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Introduction to Health and Social Care</w:t>
      </w:r>
    </w:p>
    <w:p w:rsidR="00000000" w:rsidDel="00000000" w:rsidP="00000000" w:rsidRDefault="00000000" w:rsidRPr="00000000" w14:paraId="0000000D">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Component 2</w:t>
      </w:r>
    </w:p>
    <w:p w:rsidR="00000000" w:rsidDel="00000000" w:rsidP="00000000" w:rsidRDefault="00000000" w:rsidRPr="00000000" w14:paraId="0000000E">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Kamara Golding</w:t>
      </w:r>
    </w:p>
    <w:p w:rsidR="00000000" w:rsidDel="00000000" w:rsidP="00000000" w:rsidRDefault="00000000" w:rsidRPr="00000000" w14:paraId="0000000F">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2419635</w:t>
      </w:r>
    </w:p>
    <w:p w:rsidR="00000000" w:rsidDel="00000000" w:rsidP="00000000" w:rsidRDefault="00000000" w:rsidRPr="00000000" w14:paraId="00000010">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LCHS4003 </w:t>
      </w:r>
    </w:p>
    <w:p w:rsidR="00000000" w:rsidDel="00000000" w:rsidP="00000000" w:rsidRDefault="00000000" w:rsidRPr="00000000" w14:paraId="00000011">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28/11/2025</w:t>
      </w:r>
    </w:p>
    <w:p w:rsidR="00000000" w:rsidDel="00000000" w:rsidP="00000000" w:rsidRDefault="00000000" w:rsidRPr="00000000" w14:paraId="00000012">
      <w:pPr>
        <w:spacing w:line="259"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Practitioners in health and social care are essential in the advancement of the wellness, dignity and right of people in diverse communities (Madu and Madu, 2024). Providing safe, person-centred care is based on good communication and accurate record keeping as well as continuous professional growth. This assignment discusses my future role as a practitioner in how I would incorporate the principles of the Equality Act 2010 to ensure inclusive communications between myself and service users and their families, therefore, being respectful and equal in all interaction (Klein and McCarthy, 2022). It also looks into why high standards of administrative practise by the Data Protection Act [2018] were upheld to safeguard confidentiality and accountability. Also, the reflection section is about my further professional progress requirements in order to improve teamwork and collaborative practise in the health and social care environment.</w:t>
      </w:r>
    </w:p>
    <w:p w:rsidR="00000000" w:rsidDel="00000000" w:rsidP="00000000" w:rsidRDefault="00000000" w:rsidRPr="00000000" w14:paraId="00000015">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Of Health and Social Care Practitioner with Service Users and Their Family Members</w:t>
      </w:r>
    </w:p>
    <w:p w:rsidR="00000000" w:rsidDel="00000000" w:rsidP="00000000" w:rsidRDefault="00000000" w:rsidRPr="00000000" w14:paraId="00000016">
      <w:pPr>
        <w:rPr>
          <w:rFonts w:ascii="Arial" w:cs="Arial" w:eastAsia="Arial" w:hAnsi="Arial"/>
          <w:sz w:val="22"/>
          <w:szCs w:val="22"/>
        </w:rPr>
      </w:pPr>
      <w:bookmarkStart w:colFirst="0" w:colLast="0" w:name="_7e9lrwyk0ozb" w:id="0"/>
      <w:bookmarkEnd w:id="0"/>
      <w:r w:rsidDel="00000000" w:rsidR="00000000" w:rsidRPr="00000000">
        <w:rPr>
          <w:rFonts w:ascii="Arial" w:cs="Arial" w:eastAsia="Arial" w:hAnsi="Arial"/>
          <w:sz w:val="22"/>
          <w:szCs w:val="22"/>
          <w:rtl w:val="0"/>
        </w:rPr>
        <w:t xml:space="preserve">As a health and social care practitioner of the future, the art of communication with service users and their families is critical in order to provide with compassionate and person-centred care (Henderson et al., 2020). Communication does not depend on the level of talking but it entails listening, empathy and knowing the needs and peculiarities of the people. The Equality Act 2010 has proclaimed that each and every person will be treated fairly and without any discrimination, irrespective of their age, gender, race, and disability, their religion or sexual orientation (Koschorke et al., 2021). This law provides a preceding that all people are entitled to equal care services and they should be treated with dignity and respect. Thus, the communication strategy I would adopt should be based on the principles of inclusiveness and sensitivity to diversity to ensure equality and prevent any form of discrimination during any interaction.</w:t>
      </w:r>
    </w:p>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Equality act of 2010 also focuses on reasonable adjustments to people living with disabilities. This implies that the needs of the people will be accommodated by adjusting the communication styles like engaging the hearing-impaired person with pictorials or setting up an easy read format to the learning-disabled person (Kefi and Asan, 2021). To exemplify, I would adopt a simple language when attending to a service user who has poor command of English or resort to interpreters to make myself understood. Inclusion communication within the framework of culture and religion differences will also be a part of the respect, so that the user of the service experiences an essential sense of recognition and comprehension. Through tact and being conscious of unconscious bias and cultural competence, I will be able to build trust and foster open dialogue not only with a service user, but also with the family members.</w:t>
      </w:r>
    </w:p>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inform my communication practise, I would use the SOLER model of Egan that gives a systematic organisation of active listening and participation. SOLER is an abbreviation that means Sit squarely, Open posture, Lean towards the person, Eye contact, and Relax. By using these non-verbal behaviours, it shows care and understanding and therefore make a rapport with service users and their families (Bride and Jackson, 2024). To provide an example, in case of sensitive topics, like care plans or end-of-life decisions, maintaining eye contact and an immobile posture can help an individual to feel that his or her emotions are respected and valued. This method can also be used to establish a secure environment, in which the service users will feel free sharing their concerns and preferences.</w:t>
      </w:r>
    </w:p>
    <w:p w:rsidR="00000000" w:rsidDel="00000000" w:rsidP="00000000" w:rsidRDefault="00000000" w:rsidRPr="00000000" w14:paraId="00000019">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Perform Good Administrative Skills Within Professional Practice</w:t>
      </w:r>
    </w:p>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As a future health and social care practitioner, I understand that accuracy, clearness, and confidentiality of records are critical in protecting service users along with facilitating effective communication between professionals. By ensuring appropriate record-keeping, it is in line with Data Protection Act 2018 (DPA) and general Data Protection Regulation (GDPR), which regulates how personal information should be collected, stored and shared in the care settings (Farahmand, 2024).</w:t>
      </w:r>
    </w:p>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Data Protection Act 2018, the major principles of the personal data treatment are outlined, such as lawfulness, fairness, transparency, accuracy, and data minimisation. It implies that any information that I document on the service users should be relevant, current, and safely saved (Wolff and Atallah, 2021). One of them could be in the process of writing the care plan of a service user; I need to make sure that I only write the information required like health conditions, medication, and preference but not information that are unnecessary or sensitive and not directly connected to provision of care. Recordings are supposed to be factual, written in understood and objective language and dated in order to enhance accountability (Carmi, Zohar and Riva, 2022). All amendments shall be traceable, and there should be proper audit trail as per the professional standards established by the Care Quality Commission (CQC) and NHS Code of Practise on Records Management [2021].</w:t>
      </w:r>
    </w:p>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important issue of record-keeping is confidentiality. The rights of service users are their privacy, and their data should not be disseminated to other personnel without their authorisation, who may have direct contact with them. In case, e.g. there could be need to share information with multidisciplinary team members, e.g. nurses, social workers or physiotherapists it should be shared on a need-to-know basis and with the approval of the service user where possible. Confidentiality breaches are possible both in legal consequence, loss of trust, and potential damage to the service user (Henderson et al., 2020). Hence, I would make sure that paper and digital records are properly locked away either by a password implemented system or a locked filing cabinet as recommended by Caldicott Principles which embrace minimum and needless sharing of information.</w:t>
      </w:r>
    </w:p>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Ideally, the administrative efficiency is also attained by ensuring documents are arranged, adhering to the deadlines and conveying updates in a timely manner. Maintaining consistency in care particularly during transfers between shifts or between practitioners, requires good record-keeping, which is vital since relevant information should be obtained correctly and at the right time so that the next duty practitioner can rely on it (Klein and McCarthy, 2022). Auditing records through periodical revisions is necessary to indicate a change in the condition or preferences of the service user. Moreover, documentation professionalism such as not making assumptions, being subjective, or omitting any information will ensure that the records will still be content with the decision and audit, or review of the law.</w:t>
      </w:r>
    </w:p>
    <w:p w:rsidR="00000000" w:rsidDel="00000000" w:rsidP="00000000" w:rsidRDefault="00000000" w:rsidRPr="00000000" w14:paraId="0000001E">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Reflecting on Continuing Professional Development Needs</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My reflection on my current professional development (CPD) shows that effective work in the multidisciplinary team related to health and social care must include good interpersonal, communication and collaboration skills. Having a holistic, person-centred care, I need to develop my understanding, competence and confidence constantly, both in the form of formal education and experiential practise. Inter-professional collaboration among nurses, social workers, therapists, and doctors guarantees that individual users of the services get access to distinctive and smooth services according to their personal needs (Dehghani et al., 2022). My strengths in building the domain of teamwork dynamics and interprofessional communication are one of the areas that I would like to develop. Participation in CPD programmes (workshops, reflective supervision, shadowing more experienced colleagues, and other activities) would help me become more capable of information sharing norms, addressing conflicting views of other professionals, and managing interpersonal conflicts in a constructive manner. The process of embracing frameworks like NHS Knowledge and Skills Framework (KSF) will also enable me to determine my learning requirements and objectives in accordance to organisational standards and best practises (Henderson et al., 2020). Additionally, collaboration through care entails cultural competency and emotional intelligence. The ability to cultivate such qualities in a reflective practise can be developed by applying the Gibbs Reflective Cycle where I can reflect and learn through experience and find better ways to empathise and respond to different service users, thereby enhancing care empathy and responsiveness. I will also ensure that I follow changes in policies, ethical requirements, and emerging technologies that affect the provision of care (Koschorke et al., 2021). Also, continuous professional growth does not only increase my personal competence, but it also enhances the group performance of the multidisciplinary team. I can also make my part in a collaborative, safe, and productive health and social care setting by remaining engaged in a lifelong learning process and practising continuous enhancement.</w:t>
      </w:r>
    </w:p>
    <w:p w:rsidR="00000000" w:rsidDel="00000000" w:rsidP="00000000" w:rsidRDefault="00000000" w:rsidRPr="00000000" w14:paraId="00000020">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the given assignment has helped me better understand the fact that communication, record-keeping, and professional development are the primary focus of efficient health and social care practise. The implementation of the Equality act 2010 guarantees that the communication between the service users and their families is inclusive, respectful, and understanding. In the same manner, the Confidentiality, accuracy, and professionalism in record management are promoted under the Data Protection Act 2018. My reflection on the development needs has also brought to my attention the values of working as a team, cultural competence, and lifelong learning as a part of providing a person-centred care. My goal is to apply these principles in the future, and my practise will create an environment of equality, trust, and collaboration, which will eventually result in improved quality and safety of care available to all people in the health and social care environment.</w:t>
      </w:r>
    </w:p>
    <w:p w:rsidR="00000000" w:rsidDel="00000000" w:rsidP="00000000" w:rsidRDefault="00000000" w:rsidRPr="00000000" w14:paraId="00000022">
      <w:pPr>
        <w:spacing w:line="259"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rFonts w:ascii="Arial" w:cs="Arial" w:eastAsia="Arial" w:hAnsi="Arial"/>
          <w:sz w:val="22"/>
          <w:szCs w:val="22"/>
        </w:rPr>
      </w:pPr>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24">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Bride, P. and Jackson, K. (2024). </w:t>
      </w:r>
      <w:r w:rsidDel="00000000" w:rsidR="00000000" w:rsidRPr="00000000">
        <w:rPr>
          <w:rFonts w:ascii="Arial" w:cs="Arial" w:eastAsia="Arial" w:hAnsi="Arial"/>
          <w:i w:val="1"/>
          <w:iCs w:val="1"/>
          <w:sz w:val="22"/>
          <w:szCs w:val="22"/>
          <w:rtl w:val="0"/>
        </w:rPr>
        <w:t xml:space="preserve">Elements of a Successful Therapeutic Relationship</w:t>
      </w:r>
      <w:r w:rsidDel="00000000" w:rsidR="00000000" w:rsidRPr="00000000">
        <w:rPr>
          <w:rFonts w:ascii="Arial" w:cs="Arial" w:eastAsia="Arial" w:hAnsi="Arial"/>
          <w:sz w:val="22"/>
          <w:szCs w:val="22"/>
          <w:rtl w:val="0"/>
        </w:rPr>
        <w:t xml:space="preserve">. [online] Available at: https://philbride.com/wp-content/uploads/2024/12/CNL-515-Topic-8-Assignment-Elements-of-a-Successful-Therapeutic-Relationship-Phillip-Bride-v6b.pdf.</w:t>
      </w:r>
    </w:p>
    <w:p w:rsidR="00000000" w:rsidDel="00000000" w:rsidP="00000000" w:rsidRDefault="00000000" w:rsidRPr="00000000" w14:paraId="00000025">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Carmi, L., Zohar, M. and Riva, G.M. (2022). The European General Data Protection Regulation (GDPR) in mHealth: Theoretical and practical aspects for practitioners’ use. </w:t>
      </w:r>
      <w:r w:rsidDel="00000000" w:rsidR="00000000" w:rsidRPr="00000000">
        <w:rPr>
          <w:rFonts w:ascii="Arial" w:cs="Arial" w:eastAsia="Arial" w:hAnsi="Arial"/>
          <w:i w:val="1"/>
          <w:iCs w:val="1"/>
          <w:sz w:val="22"/>
          <w:szCs w:val="22"/>
          <w:rtl w:val="0"/>
        </w:rPr>
        <w:t xml:space="preserve">Medicine, Science and the Law</w:t>
      </w:r>
      <w:r w:rsidDel="00000000" w:rsidR="00000000" w:rsidRPr="00000000">
        <w:rPr>
          <w:rFonts w:ascii="Arial" w:cs="Arial" w:eastAsia="Arial" w:hAnsi="Arial"/>
          <w:sz w:val="22"/>
          <w:szCs w:val="22"/>
          <w:rtl w:val="0"/>
        </w:rPr>
        <w:t xml:space="preserve">, 63(1), p.002580242211184. doi:https://doi.org/10.1177/00258024221118411.</w:t>
      </w:r>
    </w:p>
    <w:p w:rsidR="00000000" w:rsidDel="00000000" w:rsidP="00000000" w:rsidRDefault="00000000" w:rsidRPr="00000000" w14:paraId="00000026">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Dehghani, A., Ghomian, Z., Rakhshanderou, S., Khankeh, H. and Kavousi, A. (2022). Process and components of disaster risk communication in health systems: A thematic analysis. </w:t>
      </w:r>
      <w:r w:rsidDel="00000000" w:rsidR="00000000" w:rsidRPr="00000000">
        <w:rPr>
          <w:rFonts w:ascii="Arial" w:cs="Arial" w:eastAsia="Arial" w:hAnsi="Arial"/>
          <w:i w:val="1"/>
          <w:iCs w:val="1"/>
          <w:sz w:val="22"/>
          <w:szCs w:val="22"/>
          <w:rtl w:val="0"/>
        </w:rPr>
        <w:t xml:space="preserve">Jàmbá : Journal of Disaster Risk Studies</w:t>
      </w:r>
      <w:r w:rsidDel="00000000" w:rsidR="00000000" w:rsidRPr="00000000">
        <w:rPr>
          <w:rFonts w:ascii="Arial" w:cs="Arial" w:eastAsia="Arial" w:hAnsi="Arial"/>
          <w:sz w:val="22"/>
          <w:szCs w:val="22"/>
          <w:rtl w:val="0"/>
        </w:rPr>
        <w:t xml:space="preserve">, [online] 14(1), p.1367. doi:https://doi.org/10.4102/jamba.v14i1.1367.</w:t>
      </w:r>
    </w:p>
    <w:p w:rsidR="00000000" w:rsidDel="00000000" w:rsidP="00000000" w:rsidRDefault="00000000" w:rsidRPr="00000000" w14:paraId="00000027">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Farahmand, F. (2024). The Bill of Data Protection and GDPR 2018: A Comparative Study. [online] doi:https://doi.org/10.22133/mtlj.2023.383528.1164.</w:t>
      </w:r>
    </w:p>
    <w:p w:rsidR="00000000" w:rsidDel="00000000" w:rsidP="00000000" w:rsidRDefault="00000000" w:rsidRPr="00000000" w14:paraId="0000002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Henderson, L., Bain, H., Allan, E. and Kennedy, C. (2020). Integrated health and social care in the community: A critical integrative review of the experiences and well</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being needs of service users and their families. </w:t>
      </w:r>
      <w:r w:rsidDel="00000000" w:rsidR="00000000" w:rsidRPr="00000000">
        <w:rPr>
          <w:rFonts w:ascii="Arial" w:cs="Arial" w:eastAsia="Arial" w:hAnsi="Arial"/>
          <w:i w:val="1"/>
          <w:iCs w:val="1"/>
          <w:sz w:val="22"/>
          <w:szCs w:val="22"/>
          <w:rtl w:val="0"/>
        </w:rPr>
        <w:t xml:space="preserve">Health &amp; Social Care in the Community</w:t>
      </w:r>
      <w:r w:rsidDel="00000000" w:rsidR="00000000" w:rsidRPr="00000000">
        <w:rPr>
          <w:rFonts w:ascii="Arial" w:cs="Arial" w:eastAsia="Arial" w:hAnsi="Arial"/>
          <w:sz w:val="22"/>
          <w:szCs w:val="22"/>
          <w:rtl w:val="0"/>
        </w:rPr>
        <w:t xml:space="preserve">, 29(4).</w:t>
      </w:r>
    </w:p>
    <w:p w:rsidR="00000000" w:rsidDel="00000000" w:rsidP="00000000" w:rsidRDefault="00000000" w:rsidRPr="00000000" w14:paraId="0000002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Kefi, S.E. and Asan, O. (2021). How technology impacts communication between cancer patients and their health care providers: A systematic literature review. </w:t>
      </w:r>
      <w:r w:rsidDel="00000000" w:rsidR="00000000" w:rsidRPr="00000000">
        <w:rPr>
          <w:rFonts w:ascii="Arial" w:cs="Arial" w:eastAsia="Arial" w:hAnsi="Arial"/>
          <w:i w:val="1"/>
          <w:iCs w:val="1"/>
          <w:sz w:val="22"/>
          <w:szCs w:val="22"/>
          <w:rtl w:val="0"/>
        </w:rPr>
        <w:t xml:space="preserve">International Journal of Medical Informatics</w:t>
      </w:r>
      <w:r w:rsidDel="00000000" w:rsidR="00000000" w:rsidRPr="00000000">
        <w:rPr>
          <w:rFonts w:ascii="Arial" w:cs="Arial" w:eastAsia="Arial" w:hAnsi="Arial"/>
          <w:sz w:val="22"/>
          <w:szCs w:val="22"/>
          <w:rtl w:val="0"/>
        </w:rPr>
        <w:t xml:space="preserve">, 149(1), p.104430. doi:https://doi.org/10.1016/j.ijmedinf.2021.104430.</w:t>
      </w:r>
    </w:p>
    <w:p w:rsidR="00000000" w:rsidDel="00000000" w:rsidP="00000000" w:rsidRDefault="00000000" w:rsidRPr="00000000" w14:paraId="0000002A">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Klein, H.J. and McCarthy, S.M. (2022). Student wellness trends and interventions in medical education: a narrative review. </w:t>
      </w:r>
      <w:r w:rsidDel="00000000" w:rsidR="00000000" w:rsidRPr="00000000">
        <w:rPr>
          <w:rFonts w:ascii="Arial" w:cs="Arial" w:eastAsia="Arial" w:hAnsi="Arial"/>
          <w:i w:val="1"/>
          <w:iCs w:val="1"/>
          <w:sz w:val="22"/>
          <w:szCs w:val="22"/>
          <w:rtl w:val="0"/>
        </w:rPr>
        <w:t xml:space="preserve">Humanities and Social Sciences Communications</w:t>
      </w:r>
      <w:r w:rsidDel="00000000" w:rsidR="00000000" w:rsidRPr="00000000">
        <w:rPr>
          <w:rFonts w:ascii="Arial" w:cs="Arial" w:eastAsia="Arial" w:hAnsi="Arial"/>
          <w:sz w:val="22"/>
          <w:szCs w:val="22"/>
          <w:rtl w:val="0"/>
        </w:rPr>
        <w:t xml:space="preserve">, 9(1). doi:https://doi.org/10.1057/s41599-022-01105-8.</w:t>
      </w:r>
    </w:p>
    <w:p w:rsidR="00000000" w:rsidDel="00000000" w:rsidP="00000000" w:rsidRDefault="00000000" w:rsidRPr="00000000" w14:paraId="0000002B">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Koschorke, M., Oexle, N., Ouali, U., Cherian, A.V., Deepika, V., Mendon, G.B., Gurung, D., Kondratova, L., Muller, M., Lanfredi, M., Lasalvia, A., Bodrogi, A., Nyulászi, A., Tomasini, M., El Chammay, R., Abi Hana, R., Zgueb, Y., Nacef, F., Heim, E. and Aeschlimann, A. (2021). Perspectives of healthcare providers, service users, and family members about mental illness stigma in primary care settings: A multi-site qualitative study of seven countries in Africa, Asia, and Europe. </w:t>
      </w:r>
      <w:r w:rsidDel="00000000" w:rsidR="00000000" w:rsidRPr="00000000">
        <w:rPr>
          <w:rFonts w:ascii="Arial" w:cs="Arial" w:eastAsia="Arial" w:hAnsi="Arial"/>
          <w:i w:val="1"/>
          <w:iCs w:val="1"/>
          <w:sz w:val="22"/>
          <w:szCs w:val="22"/>
          <w:rtl w:val="0"/>
        </w:rPr>
        <w:t xml:space="preserve">PLOS ONE</w:t>
      </w:r>
      <w:r w:rsidDel="00000000" w:rsidR="00000000" w:rsidRPr="00000000">
        <w:rPr>
          <w:rFonts w:ascii="Arial" w:cs="Arial" w:eastAsia="Arial" w:hAnsi="Arial"/>
          <w:sz w:val="22"/>
          <w:szCs w:val="22"/>
          <w:rtl w:val="0"/>
        </w:rPr>
        <w:t xml:space="preserve">, 16(10), p.e0258729. doi:https://doi.org/10.1371/journal.pone.0258729.</w:t>
      </w:r>
    </w:p>
    <w:p w:rsidR="00000000" w:rsidDel="00000000" w:rsidP="00000000" w:rsidRDefault="00000000" w:rsidRPr="00000000" w14:paraId="0000002C">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Madu, S.N. and Madu, J.I. (2024). Social wellness and development: The true essence of humanity. </w:t>
      </w:r>
      <w:r w:rsidDel="00000000" w:rsidR="00000000" w:rsidRPr="00000000">
        <w:rPr>
          <w:rFonts w:ascii="Arial" w:cs="Arial" w:eastAsia="Arial" w:hAnsi="Arial"/>
          <w:i w:val="1"/>
          <w:iCs w:val="1"/>
          <w:sz w:val="22"/>
          <w:szCs w:val="22"/>
          <w:rtl w:val="0"/>
        </w:rPr>
        <w:t xml:space="preserve">ANSU Journal of Arts And Social Sciences</w:t>
      </w:r>
      <w:r w:rsidDel="00000000" w:rsidR="00000000" w:rsidRPr="00000000">
        <w:rPr>
          <w:rFonts w:ascii="Arial" w:cs="Arial" w:eastAsia="Arial" w:hAnsi="Arial"/>
          <w:sz w:val="22"/>
          <w:szCs w:val="22"/>
          <w:rtl w:val="0"/>
        </w:rPr>
        <w:t xml:space="preserve">, [online] 11(2), pp.132–155. Available at: https://www.ajol.info/index.php/ajass/article/view/290046.</w:t>
      </w:r>
    </w:p>
    <w:p w:rsidR="00000000" w:rsidDel="00000000" w:rsidP="00000000" w:rsidRDefault="00000000" w:rsidRPr="00000000" w14:paraId="0000002D">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Wolff, J. and Atallah, N. (2021). Early GDPR penalties: Analysis of implementation and fines through may 2020. </w:t>
      </w:r>
      <w:r w:rsidDel="00000000" w:rsidR="00000000" w:rsidRPr="00000000">
        <w:rPr>
          <w:rFonts w:ascii="Arial" w:cs="Arial" w:eastAsia="Arial" w:hAnsi="Arial"/>
          <w:i w:val="1"/>
          <w:iCs w:val="1"/>
          <w:sz w:val="22"/>
          <w:szCs w:val="22"/>
          <w:rtl w:val="0"/>
        </w:rPr>
        <w:t xml:space="preserve">Journal of Information Policy</w:t>
      </w:r>
      <w:r w:rsidDel="00000000" w:rsidR="00000000" w:rsidRPr="00000000">
        <w:rPr>
          <w:rFonts w:ascii="Arial" w:cs="Arial" w:eastAsia="Arial" w:hAnsi="Arial"/>
          <w:sz w:val="22"/>
          <w:szCs w:val="22"/>
          <w:rtl w:val="0"/>
        </w:rPr>
        <w:t xml:space="preserve">, 11(1), pp.63–103. doi:https://doi.org/10.5325/jinfopoli.11.2021.0063.</w:t>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sectPr>
      <w:head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Cambria Math"/>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F">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jc w:val="center"/>
    </w:pPr>
    <w:rPr>
      <w:b w:val="1"/>
      <w:bCs w:val="1"/>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