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ooyk9gagstbs" w:colFirst="0" w:colLast="0"/>
    <w:bookmarkEnd w:id="0"/>
    <w:p w14:paraId="7898363E" w14:textId="6A7F4A0F" w:rsidR="00344FCE" w:rsidRDefault="00F611A3" w:rsidP="00B420C6">
      <w:pPr>
        <w:pStyle w:val="Title"/>
      </w:pPr>
      <w:r>
        <w:fldChar w:fldCharType="begin"/>
      </w:r>
      <w:r>
        <w:instrText xml:space="preserve"> INCLUDEPICTURE "/Users/kotesh/Library/Group Containers/UBF8T346G9.ms/WebArchiveCopyPasteTempFiles/com.microsoft.Word/Wales-TSD-1.jpg" \* MERGEFORMATINET </w:instrText>
      </w:r>
      <w:r>
        <w:fldChar w:fldCharType="separate"/>
      </w:r>
      <w:r>
        <w:rPr>
          <w:noProof/>
        </w:rPr>
        <w:drawing>
          <wp:inline distT="0" distB="0" distL="0" distR="0" wp14:anchorId="3048FE96" wp14:editId="675D772E">
            <wp:extent cx="5733415" cy="2554605"/>
            <wp:effectExtent l="0" t="0" r="0" b="0"/>
            <wp:docPr id="149669212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54605"/>
                    </a:xfrm>
                    <a:prstGeom prst="rect">
                      <a:avLst/>
                    </a:prstGeom>
                    <a:noFill/>
                    <a:ln>
                      <a:noFill/>
                    </a:ln>
                  </pic:spPr>
                </pic:pic>
              </a:graphicData>
            </a:graphic>
          </wp:inline>
        </w:drawing>
      </w:r>
      <w:r>
        <w:fldChar w:fldCharType="end"/>
      </w:r>
    </w:p>
    <w:p w14:paraId="0100897F" w14:textId="77777777" w:rsidR="00344FCE" w:rsidRDefault="00344FCE" w:rsidP="00F611A3">
      <w:pPr>
        <w:pStyle w:val="Title"/>
        <w:jc w:val="both"/>
      </w:pPr>
      <w:bookmarkStart w:id="1" w:name="_8gjiymbbmoo" w:colFirst="0" w:colLast="0"/>
      <w:bookmarkStart w:id="2" w:name="_tl07c3ncsl1p" w:colFirst="0" w:colLast="0"/>
      <w:bookmarkStart w:id="3" w:name="_y21tgi5katou" w:colFirst="0" w:colLast="0"/>
      <w:bookmarkStart w:id="4" w:name="_1uq3oacjse13" w:colFirst="0" w:colLast="0"/>
      <w:bookmarkEnd w:id="1"/>
      <w:bookmarkEnd w:id="2"/>
      <w:bookmarkEnd w:id="3"/>
      <w:bookmarkEnd w:id="4"/>
    </w:p>
    <w:p w14:paraId="2C5801D2" w14:textId="77777777" w:rsidR="00F611A3" w:rsidRDefault="00F611A3" w:rsidP="00F611A3"/>
    <w:p w14:paraId="12145161" w14:textId="43B08EA7" w:rsidR="00F611A3" w:rsidRPr="00F611A3" w:rsidRDefault="00F611A3" w:rsidP="00F611A3">
      <w:pPr>
        <w:spacing w:line="240" w:lineRule="auto"/>
        <w:jc w:val="center"/>
        <w:rPr>
          <w:b/>
          <w:bCs/>
          <w:sz w:val="36"/>
          <w:szCs w:val="36"/>
        </w:rPr>
      </w:pPr>
      <w:r w:rsidRPr="00F611A3">
        <w:rPr>
          <w:b/>
          <w:bCs/>
          <w:sz w:val="36"/>
          <w:szCs w:val="36"/>
        </w:rPr>
        <w:t>TOPIC</w:t>
      </w:r>
      <w:r>
        <w:rPr>
          <w:b/>
          <w:bCs/>
          <w:sz w:val="36"/>
          <w:szCs w:val="36"/>
        </w:rPr>
        <w:t xml:space="preserve"> : </w:t>
      </w:r>
    </w:p>
    <w:p w14:paraId="6D9E30EE" w14:textId="77777777" w:rsidR="00F611A3" w:rsidRPr="00F611A3" w:rsidRDefault="00F611A3" w:rsidP="00F611A3">
      <w:pPr>
        <w:spacing w:line="240" w:lineRule="auto"/>
      </w:pPr>
      <w:bookmarkStart w:id="5" w:name="_qo9qtq94yfhq" w:colFirst="0" w:colLast="0"/>
      <w:bookmarkStart w:id="6" w:name="_dqwb4c2c9nft" w:colFirst="0" w:colLast="0"/>
      <w:bookmarkEnd w:id="5"/>
      <w:bookmarkEnd w:id="6"/>
    </w:p>
    <w:p w14:paraId="7DC5BB8A" w14:textId="77777777" w:rsidR="00344FCE" w:rsidRPr="00F611A3" w:rsidRDefault="00000000" w:rsidP="00F611A3">
      <w:pPr>
        <w:pStyle w:val="Title"/>
        <w:spacing w:line="240" w:lineRule="auto"/>
        <w:rPr>
          <w:sz w:val="36"/>
          <w:szCs w:val="36"/>
          <w:u w:val="single"/>
        </w:rPr>
      </w:pPr>
      <w:bookmarkStart w:id="7" w:name="_wtperzwx3qdg" w:colFirst="0" w:colLast="0"/>
      <w:bookmarkEnd w:id="7"/>
      <w:r w:rsidRPr="00F611A3">
        <w:rPr>
          <w:sz w:val="36"/>
          <w:szCs w:val="36"/>
          <w:u w:val="single"/>
        </w:rPr>
        <w:t xml:space="preserve">EVALUATION OF THE 2008 CRISIS IMPACT ON LLOYDS BANK </w:t>
      </w:r>
    </w:p>
    <w:p w14:paraId="308C159F" w14:textId="77777777" w:rsidR="00F611A3" w:rsidRPr="00F611A3" w:rsidRDefault="00F611A3" w:rsidP="00B420C6">
      <w:pPr>
        <w:jc w:val="center"/>
        <w:rPr>
          <w:sz w:val="36"/>
          <w:szCs w:val="36"/>
        </w:rPr>
      </w:pPr>
    </w:p>
    <w:p w14:paraId="1CB96618" w14:textId="77777777" w:rsidR="00F611A3" w:rsidRPr="00F611A3" w:rsidRDefault="00F611A3" w:rsidP="00B420C6">
      <w:pPr>
        <w:jc w:val="center"/>
        <w:rPr>
          <w:sz w:val="36"/>
          <w:szCs w:val="36"/>
        </w:rPr>
      </w:pPr>
    </w:p>
    <w:p w14:paraId="0843E51B" w14:textId="77777777" w:rsidR="00F611A3" w:rsidRPr="00F611A3" w:rsidRDefault="00F611A3" w:rsidP="00B420C6">
      <w:pPr>
        <w:jc w:val="center"/>
        <w:rPr>
          <w:b/>
          <w:bCs/>
          <w:sz w:val="36"/>
          <w:szCs w:val="36"/>
        </w:rPr>
      </w:pPr>
    </w:p>
    <w:p w14:paraId="62E74936" w14:textId="78BEC150" w:rsidR="00F611A3" w:rsidRDefault="00F611A3" w:rsidP="00B420C6">
      <w:pPr>
        <w:jc w:val="center"/>
        <w:rPr>
          <w:b/>
          <w:bCs/>
          <w:sz w:val="36"/>
          <w:szCs w:val="36"/>
        </w:rPr>
      </w:pPr>
      <w:r w:rsidRPr="00F611A3">
        <w:rPr>
          <w:b/>
          <w:bCs/>
          <w:sz w:val="36"/>
          <w:szCs w:val="36"/>
        </w:rPr>
        <w:t>MODULE: LCMB7012 BANKING FINANCIAL MANAGEMENT AND FINANCIAL MARKETS</w:t>
      </w:r>
    </w:p>
    <w:p w14:paraId="01D3B354" w14:textId="77777777" w:rsidR="00F611A3" w:rsidRDefault="00F611A3" w:rsidP="00B420C6">
      <w:pPr>
        <w:jc w:val="center"/>
        <w:rPr>
          <w:b/>
          <w:bCs/>
          <w:sz w:val="36"/>
          <w:szCs w:val="36"/>
        </w:rPr>
      </w:pPr>
    </w:p>
    <w:p w14:paraId="7DDB97D2" w14:textId="77777777" w:rsidR="00F611A3" w:rsidRPr="00F611A3" w:rsidRDefault="00F611A3" w:rsidP="00B420C6">
      <w:pPr>
        <w:jc w:val="center"/>
        <w:rPr>
          <w:b/>
          <w:bCs/>
          <w:sz w:val="36"/>
          <w:szCs w:val="36"/>
        </w:rPr>
      </w:pPr>
    </w:p>
    <w:p w14:paraId="1D799EB5" w14:textId="3C046B13" w:rsidR="00F611A3" w:rsidRPr="00F611A3" w:rsidRDefault="00F611A3" w:rsidP="00F611A3">
      <w:pPr>
        <w:pStyle w:val="Title"/>
        <w:rPr>
          <w:sz w:val="36"/>
          <w:szCs w:val="36"/>
        </w:rPr>
      </w:pPr>
      <w:r w:rsidRPr="00F611A3">
        <w:rPr>
          <w:sz w:val="36"/>
          <w:szCs w:val="36"/>
        </w:rPr>
        <w:t>NAME : NIRANJAN KONDAPALLY</w:t>
      </w:r>
    </w:p>
    <w:p w14:paraId="25B890F0" w14:textId="5874CC87" w:rsidR="00344FCE" w:rsidRPr="00F611A3" w:rsidRDefault="00F611A3" w:rsidP="00F611A3">
      <w:pPr>
        <w:pStyle w:val="Title"/>
        <w:rPr>
          <w:sz w:val="40"/>
          <w:szCs w:val="40"/>
        </w:rPr>
      </w:pPr>
      <w:r w:rsidRPr="00F611A3">
        <w:rPr>
          <w:sz w:val="36"/>
          <w:szCs w:val="36"/>
        </w:rPr>
        <w:t>STUDENT ID : 2226891</w:t>
      </w:r>
      <w:r w:rsidR="00000000" w:rsidRPr="00F611A3">
        <w:rPr>
          <w:sz w:val="40"/>
          <w:szCs w:val="40"/>
        </w:rPr>
        <w:br w:type="page"/>
      </w:r>
    </w:p>
    <w:bookmarkStart w:id="8" w:name="_aqn8jaipqyke" w:colFirst="0" w:colLast="0" w:displacedByCustomXml="next"/>
    <w:bookmarkEnd w:id="8" w:displacedByCustomXml="next"/>
    <w:sdt>
      <w:sdtPr>
        <w:rPr>
          <w:rFonts w:ascii="Times New Roman" w:eastAsia="Times New Roman" w:hAnsi="Times New Roman" w:cs="Times New Roman"/>
          <w:b/>
          <w:bCs w:val="0"/>
          <w:color w:val="auto"/>
          <w:sz w:val="28"/>
          <w:szCs w:val="28"/>
          <w:lang w:val="en-GB"/>
        </w:rPr>
        <w:id w:val="-267617975"/>
        <w:docPartObj>
          <w:docPartGallery w:val="Table of Contents"/>
          <w:docPartUnique/>
        </w:docPartObj>
      </w:sdtPr>
      <w:sdtEndPr>
        <w:rPr>
          <w:bCs/>
          <w:noProof/>
          <w:sz w:val="24"/>
          <w:szCs w:val="24"/>
        </w:rPr>
      </w:sdtEndPr>
      <w:sdtContent>
        <w:p w14:paraId="04453AD9" w14:textId="77777777" w:rsidR="00B420C6" w:rsidRPr="00B420C6" w:rsidRDefault="00B420C6" w:rsidP="00B420C6">
          <w:pPr>
            <w:pStyle w:val="TOCHeading"/>
            <w:spacing w:line="360" w:lineRule="auto"/>
            <w:jc w:val="center"/>
            <w:rPr>
              <w:rFonts w:ascii="Times New Roman" w:hAnsi="Times New Roman" w:cs="Times New Roman"/>
              <w:b/>
              <w:bCs w:val="0"/>
              <w:color w:val="auto"/>
              <w:sz w:val="28"/>
              <w:szCs w:val="28"/>
            </w:rPr>
          </w:pPr>
          <w:r w:rsidRPr="00B420C6">
            <w:rPr>
              <w:rFonts w:ascii="Times New Roman" w:hAnsi="Times New Roman" w:cs="Times New Roman"/>
              <w:b/>
              <w:bCs w:val="0"/>
              <w:color w:val="auto"/>
              <w:sz w:val="28"/>
              <w:szCs w:val="28"/>
            </w:rPr>
            <w:t>Table of Contents</w:t>
          </w:r>
        </w:p>
        <w:p w14:paraId="6EEF5A31" w14:textId="77777777" w:rsidR="00B420C6" w:rsidRDefault="00B420C6" w:rsidP="00B420C6">
          <w:pPr>
            <w:pStyle w:val="TOC1"/>
            <w:tabs>
              <w:tab w:val="right" w:leader="dot" w:pos="9019"/>
            </w:tabs>
            <w:rPr>
              <w:noProof/>
            </w:rPr>
          </w:pPr>
          <w:r>
            <w:fldChar w:fldCharType="begin"/>
          </w:r>
          <w:r>
            <w:instrText xml:space="preserve"> TOC \o "1-3" \h \z \u </w:instrText>
          </w:r>
          <w:r>
            <w:fldChar w:fldCharType="separate"/>
          </w:r>
          <w:hyperlink w:anchor="_Toc152617947" w:history="1">
            <w:r w:rsidRPr="00892A87">
              <w:rPr>
                <w:rStyle w:val="Hyperlink"/>
                <w:noProof/>
              </w:rPr>
              <w:t>1. Introduction</w:t>
            </w:r>
            <w:r>
              <w:rPr>
                <w:noProof/>
                <w:webHidden/>
              </w:rPr>
              <w:tab/>
            </w:r>
            <w:r>
              <w:rPr>
                <w:noProof/>
                <w:webHidden/>
              </w:rPr>
              <w:fldChar w:fldCharType="begin"/>
            </w:r>
            <w:r>
              <w:rPr>
                <w:noProof/>
                <w:webHidden/>
              </w:rPr>
              <w:instrText xml:space="preserve"> PAGEREF _Toc152617947 \h </w:instrText>
            </w:r>
            <w:r>
              <w:rPr>
                <w:noProof/>
                <w:webHidden/>
              </w:rPr>
            </w:r>
            <w:r>
              <w:rPr>
                <w:noProof/>
                <w:webHidden/>
              </w:rPr>
              <w:fldChar w:fldCharType="separate"/>
            </w:r>
            <w:r>
              <w:rPr>
                <w:noProof/>
                <w:webHidden/>
              </w:rPr>
              <w:t>3</w:t>
            </w:r>
            <w:r>
              <w:rPr>
                <w:noProof/>
                <w:webHidden/>
              </w:rPr>
              <w:fldChar w:fldCharType="end"/>
            </w:r>
          </w:hyperlink>
        </w:p>
        <w:p w14:paraId="6F63EEF4" w14:textId="77777777" w:rsidR="00B420C6" w:rsidRDefault="00000000" w:rsidP="00B420C6">
          <w:pPr>
            <w:pStyle w:val="TOC1"/>
            <w:tabs>
              <w:tab w:val="right" w:leader="dot" w:pos="9019"/>
            </w:tabs>
            <w:rPr>
              <w:noProof/>
            </w:rPr>
          </w:pPr>
          <w:hyperlink w:anchor="_Toc152617948" w:history="1">
            <w:r w:rsidR="00B420C6" w:rsidRPr="00892A87">
              <w:rPr>
                <w:rStyle w:val="Hyperlink"/>
                <w:noProof/>
              </w:rPr>
              <w:t>2. Influence of the 2008 crisis on Legal regulation and contract in expanding EU authorities</w:t>
            </w:r>
            <w:r w:rsidR="00B420C6">
              <w:rPr>
                <w:noProof/>
                <w:webHidden/>
              </w:rPr>
              <w:tab/>
            </w:r>
            <w:r w:rsidR="00B420C6">
              <w:rPr>
                <w:noProof/>
                <w:webHidden/>
              </w:rPr>
              <w:fldChar w:fldCharType="begin"/>
            </w:r>
            <w:r w:rsidR="00B420C6">
              <w:rPr>
                <w:noProof/>
                <w:webHidden/>
              </w:rPr>
              <w:instrText xml:space="preserve"> PAGEREF _Toc152617948 \h </w:instrText>
            </w:r>
            <w:r w:rsidR="00B420C6">
              <w:rPr>
                <w:noProof/>
                <w:webHidden/>
              </w:rPr>
            </w:r>
            <w:r w:rsidR="00B420C6">
              <w:rPr>
                <w:noProof/>
                <w:webHidden/>
              </w:rPr>
              <w:fldChar w:fldCharType="separate"/>
            </w:r>
            <w:r w:rsidR="00B420C6">
              <w:rPr>
                <w:noProof/>
                <w:webHidden/>
              </w:rPr>
              <w:t>3</w:t>
            </w:r>
            <w:r w:rsidR="00B420C6">
              <w:rPr>
                <w:noProof/>
                <w:webHidden/>
              </w:rPr>
              <w:fldChar w:fldCharType="end"/>
            </w:r>
          </w:hyperlink>
        </w:p>
        <w:p w14:paraId="67D2E8DF" w14:textId="77777777" w:rsidR="00B420C6" w:rsidRDefault="00000000" w:rsidP="00B420C6">
          <w:pPr>
            <w:pStyle w:val="TOC1"/>
            <w:tabs>
              <w:tab w:val="right" w:leader="dot" w:pos="9019"/>
            </w:tabs>
            <w:rPr>
              <w:noProof/>
            </w:rPr>
          </w:pPr>
          <w:hyperlink w:anchor="_Toc152617949" w:history="1">
            <w:r w:rsidR="00B420C6" w:rsidRPr="00892A87">
              <w:rPr>
                <w:rStyle w:val="Hyperlink"/>
                <w:noProof/>
              </w:rPr>
              <w:t>3. International Stakeholders's impact on Banking Regulation Changes for Reducing Financial Crisis of 2008</w:t>
            </w:r>
            <w:r w:rsidR="00B420C6">
              <w:rPr>
                <w:noProof/>
                <w:webHidden/>
              </w:rPr>
              <w:tab/>
            </w:r>
            <w:r w:rsidR="00B420C6">
              <w:rPr>
                <w:noProof/>
                <w:webHidden/>
              </w:rPr>
              <w:fldChar w:fldCharType="begin"/>
            </w:r>
            <w:r w:rsidR="00B420C6">
              <w:rPr>
                <w:noProof/>
                <w:webHidden/>
              </w:rPr>
              <w:instrText xml:space="preserve"> PAGEREF _Toc152617949 \h </w:instrText>
            </w:r>
            <w:r w:rsidR="00B420C6">
              <w:rPr>
                <w:noProof/>
                <w:webHidden/>
              </w:rPr>
            </w:r>
            <w:r w:rsidR="00B420C6">
              <w:rPr>
                <w:noProof/>
                <w:webHidden/>
              </w:rPr>
              <w:fldChar w:fldCharType="separate"/>
            </w:r>
            <w:r w:rsidR="00B420C6">
              <w:rPr>
                <w:noProof/>
                <w:webHidden/>
              </w:rPr>
              <w:t>7</w:t>
            </w:r>
            <w:r w:rsidR="00B420C6">
              <w:rPr>
                <w:noProof/>
                <w:webHidden/>
              </w:rPr>
              <w:fldChar w:fldCharType="end"/>
            </w:r>
          </w:hyperlink>
        </w:p>
        <w:p w14:paraId="213C91F3" w14:textId="77777777" w:rsidR="00B420C6" w:rsidRDefault="00000000" w:rsidP="00B420C6">
          <w:pPr>
            <w:pStyle w:val="TOC1"/>
            <w:tabs>
              <w:tab w:val="right" w:leader="dot" w:pos="9019"/>
            </w:tabs>
            <w:rPr>
              <w:noProof/>
            </w:rPr>
          </w:pPr>
          <w:hyperlink w:anchor="_Toc152617950" w:history="1">
            <w:r w:rsidR="00B420C6" w:rsidRPr="00892A87">
              <w:rPr>
                <w:rStyle w:val="Hyperlink"/>
                <w:noProof/>
              </w:rPr>
              <w:t>4. Critical  review of different aspects of a financial institution in the 2008 crisis</w:t>
            </w:r>
            <w:r w:rsidR="00B420C6">
              <w:rPr>
                <w:noProof/>
                <w:webHidden/>
              </w:rPr>
              <w:tab/>
            </w:r>
            <w:r w:rsidR="00B420C6">
              <w:rPr>
                <w:noProof/>
                <w:webHidden/>
              </w:rPr>
              <w:fldChar w:fldCharType="begin"/>
            </w:r>
            <w:r w:rsidR="00B420C6">
              <w:rPr>
                <w:noProof/>
                <w:webHidden/>
              </w:rPr>
              <w:instrText xml:space="preserve"> PAGEREF _Toc152617950 \h </w:instrText>
            </w:r>
            <w:r w:rsidR="00B420C6">
              <w:rPr>
                <w:noProof/>
                <w:webHidden/>
              </w:rPr>
            </w:r>
            <w:r w:rsidR="00B420C6">
              <w:rPr>
                <w:noProof/>
                <w:webHidden/>
              </w:rPr>
              <w:fldChar w:fldCharType="separate"/>
            </w:r>
            <w:r w:rsidR="00B420C6">
              <w:rPr>
                <w:noProof/>
                <w:webHidden/>
              </w:rPr>
              <w:t>10</w:t>
            </w:r>
            <w:r w:rsidR="00B420C6">
              <w:rPr>
                <w:noProof/>
                <w:webHidden/>
              </w:rPr>
              <w:fldChar w:fldCharType="end"/>
            </w:r>
          </w:hyperlink>
        </w:p>
        <w:p w14:paraId="2BB7D013" w14:textId="77777777" w:rsidR="00B420C6" w:rsidRDefault="00000000" w:rsidP="00B420C6">
          <w:pPr>
            <w:pStyle w:val="TOC1"/>
            <w:tabs>
              <w:tab w:val="right" w:leader="dot" w:pos="9019"/>
            </w:tabs>
            <w:rPr>
              <w:noProof/>
            </w:rPr>
          </w:pPr>
          <w:hyperlink w:anchor="_Toc152617951" w:history="1">
            <w:r w:rsidR="00B420C6" w:rsidRPr="00892A87">
              <w:rPr>
                <w:rStyle w:val="Hyperlink"/>
                <w:noProof/>
              </w:rPr>
              <w:t>5. Recommendation for reducing the financial crisis for the reformation</w:t>
            </w:r>
            <w:r w:rsidR="00B420C6">
              <w:rPr>
                <w:noProof/>
                <w:webHidden/>
              </w:rPr>
              <w:tab/>
            </w:r>
            <w:r w:rsidR="00B420C6">
              <w:rPr>
                <w:noProof/>
                <w:webHidden/>
              </w:rPr>
              <w:fldChar w:fldCharType="begin"/>
            </w:r>
            <w:r w:rsidR="00B420C6">
              <w:rPr>
                <w:noProof/>
                <w:webHidden/>
              </w:rPr>
              <w:instrText xml:space="preserve"> PAGEREF _Toc152617951 \h </w:instrText>
            </w:r>
            <w:r w:rsidR="00B420C6">
              <w:rPr>
                <w:noProof/>
                <w:webHidden/>
              </w:rPr>
            </w:r>
            <w:r w:rsidR="00B420C6">
              <w:rPr>
                <w:noProof/>
                <w:webHidden/>
              </w:rPr>
              <w:fldChar w:fldCharType="separate"/>
            </w:r>
            <w:r w:rsidR="00B420C6">
              <w:rPr>
                <w:noProof/>
                <w:webHidden/>
              </w:rPr>
              <w:t>11</w:t>
            </w:r>
            <w:r w:rsidR="00B420C6">
              <w:rPr>
                <w:noProof/>
                <w:webHidden/>
              </w:rPr>
              <w:fldChar w:fldCharType="end"/>
            </w:r>
          </w:hyperlink>
        </w:p>
        <w:p w14:paraId="45B6369A" w14:textId="77777777" w:rsidR="00B420C6" w:rsidRDefault="00000000" w:rsidP="00B420C6">
          <w:pPr>
            <w:pStyle w:val="TOC1"/>
            <w:tabs>
              <w:tab w:val="right" w:leader="dot" w:pos="9019"/>
            </w:tabs>
            <w:rPr>
              <w:noProof/>
            </w:rPr>
          </w:pPr>
          <w:hyperlink w:anchor="_Toc152617952" w:history="1">
            <w:r w:rsidR="00B420C6" w:rsidRPr="00892A87">
              <w:rPr>
                <w:rStyle w:val="Hyperlink"/>
                <w:noProof/>
              </w:rPr>
              <w:t>6. Financial institution reformation of Lloyds Bank with the help of compliance/non-compliance</w:t>
            </w:r>
            <w:r w:rsidR="00B420C6">
              <w:rPr>
                <w:noProof/>
                <w:webHidden/>
              </w:rPr>
              <w:tab/>
            </w:r>
            <w:r w:rsidR="00B420C6">
              <w:rPr>
                <w:noProof/>
                <w:webHidden/>
              </w:rPr>
              <w:fldChar w:fldCharType="begin"/>
            </w:r>
            <w:r w:rsidR="00B420C6">
              <w:rPr>
                <w:noProof/>
                <w:webHidden/>
              </w:rPr>
              <w:instrText xml:space="preserve"> PAGEREF _Toc152617952 \h </w:instrText>
            </w:r>
            <w:r w:rsidR="00B420C6">
              <w:rPr>
                <w:noProof/>
                <w:webHidden/>
              </w:rPr>
            </w:r>
            <w:r w:rsidR="00B420C6">
              <w:rPr>
                <w:noProof/>
                <w:webHidden/>
              </w:rPr>
              <w:fldChar w:fldCharType="separate"/>
            </w:r>
            <w:r w:rsidR="00B420C6">
              <w:rPr>
                <w:noProof/>
                <w:webHidden/>
              </w:rPr>
              <w:t>13</w:t>
            </w:r>
            <w:r w:rsidR="00B420C6">
              <w:rPr>
                <w:noProof/>
                <w:webHidden/>
              </w:rPr>
              <w:fldChar w:fldCharType="end"/>
            </w:r>
          </w:hyperlink>
        </w:p>
        <w:p w14:paraId="7A5999A5" w14:textId="77777777" w:rsidR="00B420C6" w:rsidRDefault="00000000" w:rsidP="00B420C6">
          <w:pPr>
            <w:pStyle w:val="TOC1"/>
            <w:tabs>
              <w:tab w:val="right" w:leader="dot" w:pos="9019"/>
            </w:tabs>
            <w:rPr>
              <w:noProof/>
            </w:rPr>
          </w:pPr>
          <w:hyperlink w:anchor="_Toc152617953" w:history="1">
            <w:r w:rsidR="00B420C6" w:rsidRPr="00892A87">
              <w:rPr>
                <w:rStyle w:val="Hyperlink"/>
                <w:noProof/>
              </w:rPr>
              <w:t>7. Conclusion</w:t>
            </w:r>
            <w:r w:rsidR="00B420C6">
              <w:rPr>
                <w:noProof/>
                <w:webHidden/>
              </w:rPr>
              <w:tab/>
            </w:r>
            <w:r w:rsidR="00B420C6">
              <w:rPr>
                <w:noProof/>
                <w:webHidden/>
              </w:rPr>
              <w:fldChar w:fldCharType="begin"/>
            </w:r>
            <w:r w:rsidR="00B420C6">
              <w:rPr>
                <w:noProof/>
                <w:webHidden/>
              </w:rPr>
              <w:instrText xml:space="preserve"> PAGEREF _Toc152617953 \h </w:instrText>
            </w:r>
            <w:r w:rsidR="00B420C6">
              <w:rPr>
                <w:noProof/>
                <w:webHidden/>
              </w:rPr>
            </w:r>
            <w:r w:rsidR="00B420C6">
              <w:rPr>
                <w:noProof/>
                <w:webHidden/>
              </w:rPr>
              <w:fldChar w:fldCharType="separate"/>
            </w:r>
            <w:r w:rsidR="00B420C6">
              <w:rPr>
                <w:noProof/>
                <w:webHidden/>
              </w:rPr>
              <w:t>16</w:t>
            </w:r>
            <w:r w:rsidR="00B420C6">
              <w:rPr>
                <w:noProof/>
                <w:webHidden/>
              </w:rPr>
              <w:fldChar w:fldCharType="end"/>
            </w:r>
          </w:hyperlink>
        </w:p>
        <w:p w14:paraId="5A6837C4" w14:textId="77777777" w:rsidR="00B420C6" w:rsidRDefault="00000000" w:rsidP="00B420C6">
          <w:pPr>
            <w:pStyle w:val="TOC1"/>
            <w:tabs>
              <w:tab w:val="right" w:leader="dot" w:pos="9019"/>
            </w:tabs>
            <w:rPr>
              <w:noProof/>
            </w:rPr>
          </w:pPr>
          <w:hyperlink w:anchor="_Toc152617954" w:history="1">
            <w:r w:rsidR="00B420C6" w:rsidRPr="00892A87">
              <w:rPr>
                <w:rStyle w:val="Hyperlink"/>
                <w:noProof/>
              </w:rPr>
              <w:t>8. Reference list</w:t>
            </w:r>
            <w:r w:rsidR="00B420C6">
              <w:rPr>
                <w:noProof/>
                <w:webHidden/>
              </w:rPr>
              <w:tab/>
            </w:r>
            <w:r w:rsidR="00B420C6">
              <w:rPr>
                <w:noProof/>
                <w:webHidden/>
              </w:rPr>
              <w:fldChar w:fldCharType="begin"/>
            </w:r>
            <w:r w:rsidR="00B420C6">
              <w:rPr>
                <w:noProof/>
                <w:webHidden/>
              </w:rPr>
              <w:instrText xml:space="preserve"> PAGEREF _Toc152617954 \h </w:instrText>
            </w:r>
            <w:r w:rsidR="00B420C6">
              <w:rPr>
                <w:noProof/>
                <w:webHidden/>
              </w:rPr>
            </w:r>
            <w:r w:rsidR="00B420C6">
              <w:rPr>
                <w:noProof/>
                <w:webHidden/>
              </w:rPr>
              <w:fldChar w:fldCharType="separate"/>
            </w:r>
            <w:r w:rsidR="00B420C6">
              <w:rPr>
                <w:noProof/>
                <w:webHidden/>
              </w:rPr>
              <w:t>18</w:t>
            </w:r>
            <w:r w:rsidR="00B420C6">
              <w:rPr>
                <w:noProof/>
                <w:webHidden/>
              </w:rPr>
              <w:fldChar w:fldCharType="end"/>
            </w:r>
          </w:hyperlink>
        </w:p>
        <w:p w14:paraId="6B303889" w14:textId="77777777" w:rsidR="00B420C6" w:rsidRDefault="00B420C6" w:rsidP="00B420C6">
          <w:pPr>
            <w:rPr>
              <w:b/>
              <w:bCs/>
              <w:noProof/>
            </w:rPr>
          </w:pPr>
          <w:r>
            <w:rPr>
              <w:b/>
              <w:bCs/>
              <w:noProof/>
            </w:rPr>
            <w:fldChar w:fldCharType="end"/>
          </w:r>
        </w:p>
      </w:sdtContent>
    </w:sdt>
    <w:p w14:paraId="6F98874C" w14:textId="77777777" w:rsidR="00B420C6" w:rsidRDefault="00B420C6" w:rsidP="00B420C6">
      <w:pPr>
        <w:pStyle w:val="TOCHeading"/>
        <w:spacing w:line="360" w:lineRule="auto"/>
      </w:pPr>
      <w:r>
        <w:br w:type="page"/>
      </w:r>
    </w:p>
    <w:p w14:paraId="349D035B" w14:textId="00BE86C1" w:rsidR="00344FCE" w:rsidRPr="00B420C6" w:rsidRDefault="00000000" w:rsidP="00B420C6">
      <w:pPr>
        <w:pStyle w:val="Heading1"/>
      </w:pPr>
      <w:bookmarkStart w:id="9" w:name="_Toc152617947"/>
      <w:r w:rsidRPr="00B420C6">
        <w:lastRenderedPageBreak/>
        <w:t>1. Introduction</w:t>
      </w:r>
      <w:bookmarkEnd w:id="9"/>
    </w:p>
    <w:p w14:paraId="06968E6F" w14:textId="08AAE18A" w:rsidR="00344FCE" w:rsidRDefault="00000000" w:rsidP="00B420C6">
      <w:r>
        <w:t xml:space="preserve">British post-war created an impact on financial institutions due absence of transaction transparency and improved repayment crisis that promoted instability and led to the 2008 crisis. This factor portrayed </w:t>
      </w:r>
      <w:r w:rsidR="005D3C3D">
        <w:t>that house</w:t>
      </w:r>
      <w:r>
        <w:t xml:space="preserve"> outran demand and defaulted mortgages for borrowers promoted the unstructured investment banking and insurance practice in the UK. The UK bank system from 2000 to 2007 reflects that residential property got pushed up by 31</w:t>
      </w:r>
      <w:r w:rsidR="005D3C3D">
        <w:t>% more</w:t>
      </w:r>
      <w:r>
        <w:t xml:space="preserve"> than current market wages and 8% in the outside financial sector (</w:t>
      </w:r>
      <w:proofErr w:type="spellStart"/>
      <w:r>
        <w:t>Positivemoney</w:t>
      </w:r>
      <w:proofErr w:type="spellEnd"/>
      <w:r>
        <w:t>, 2012). This factor shows that heavy investment in the house and personal loans developed the risk of debt rising than individual income and affected the financial institution’s credit systems. The house price dropped and the bubble burst portraying the lack of repayment from borrowers due to a lack of background analysis of individuals and enhancing the downward spiral in economic conditions. This unstructured credit system recovered through the usage of monetary policy modification and limited investment in house and personal credit to reduce the impact of the financial crisis. The analysis of the 2008 financial crisis highlights that banking authorities pushed reformed financial services to promote banking structures and capital management. Therefore, the reformation of loan regulation leads to improved financial service through enhancing transactional transparency and fostering financial stabilisation with limited investment in the credit market.</w:t>
      </w:r>
    </w:p>
    <w:p w14:paraId="58E2D9AB" w14:textId="77777777" w:rsidR="00344FCE" w:rsidRDefault="00000000" w:rsidP="00B420C6">
      <w:r>
        <w:t xml:space="preserve">As per the annual report of 2008, the financial service of Lloyds Bank faced a profit plunge of 70% that resulted in a hit of £585 million in executing banking services (Monaghan, 2013). This factor highlighted £865 million as the impact of credit </w:t>
      </w:r>
      <w:proofErr w:type="spellStart"/>
      <w:r>
        <w:t>cuch</w:t>
      </w:r>
      <w:proofErr w:type="spellEnd"/>
      <w:r>
        <w:t xml:space="preserve"> for dealing the excessive personal and house investment. This factor caused the loss of their major stakeholders and reduced the financial stability due to cash flow and damaged the operational fluidity in a negative way. In this assessment, the impact of the 2008 crisis is discussed and points to the EU’s monetary legislation changes that correlate with Lloyd's financial services.</w:t>
      </w:r>
    </w:p>
    <w:p w14:paraId="11C54872" w14:textId="77777777" w:rsidR="00344FCE" w:rsidRDefault="00000000" w:rsidP="00B420C6">
      <w:pPr>
        <w:pStyle w:val="Heading1"/>
      </w:pPr>
      <w:bookmarkStart w:id="10" w:name="_5gsoftdg8p8s" w:colFirst="0" w:colLast="0"/>
      <w:bookmarkStart w:id="11" w:name="_Toc152617948"/>
      <w:bookmarkEnd w:id="10"/>
      <w:r>
        <w:t>2. Influence of the 2008 crisis on Legal regulation and contract in expanding EU authorities</w:t>
      </w:r>
      <w:bookmarkEnd w:id="11"/>
    </w:p>
    <w:p w14:paraId="5878F04A" w14:textId="77777777" w:rsidR="00344FCE" w:rsidRDefault="00000000" w:rsidP="00B420C6">
      <w:r>
        <w:t xml:space="preserve">The 2008 financial recession portrayed the excessive usage of credit cards and the general leading process caused the absence of liquid capital in financial institutions and the inability of consumers to repay. This factor shows the absence of checking the borrower’s background and leads to the inability to determine the efficiency of loan repayment. According to </w:t>
      </w:r>
      <w:r>
        <w:rPr>
          <w:highlight w:val="white"/>
        </w:rPr>
        <w:t xml:space="preserve">Van Der Hoog and </w:t>
      </w:r>
      <w:proofErr w:type="spellStart"/>
      <w:r>
        <w:rPr>
          <w:highlight w:val="white"/>
        </w:rPr>
        <w:t>Dawid</w:t>
      </w:r>
      <w:proofErr w:type="spellEnd"/>
      <w:r>
        <w:rPr>
          <w:highlight w:val="white"/>
        </w:rPr>
        <w:t xml:space="preserve"> (2019), </w:t>
      </w:r>
      <w:r>
        <w:t xml:space="preserve">the loopholes in financial regulation before 2008 developed a bubble burst of financial risk for banks and affected communication with shareholders in a negative </w:t>
      </w:r>
      <w:r>
        <w:lastRenderedPageBreak/>
        <w:t>way. The credit bubble caused asset mismatches and misleading valuations in the housing market that led to a crash of the stock market and damaged financial infrastructure in 2008.  This factor developed the closure of social insurance such as jobs, houses and pensions due to the great financial depression and increased bank’s interest rates for recovering their capitalisation. The lack of jobs in the US market leads to the absence of operational cash flow and reduces the repayment duration that affects economic fluctuation in a negative way.</w:t>
      </w:r>
    </w:p>
    <w:p w14:paraId="32A72D89" w14:textId="77777777" w:rsidR="00344FCE" w:rsidRDefault="00000000" w:rsidP="00B420C6">
      <w:r>
        <w:t>The 2008 financial crisis generated financial regulation changes and developed the “Troubled Asset Relief Program '' (TARP) for purchase of toxic assets and equity in executing financial services (</w:t>
      </w:r>
      <w:r>
        <w:rPr>
          <w:highlight w:val="white"/>
        </w:rPr>
        <w:t xml:space="preserve">Ncube and </w:t>
      </w:r>
      <w:proofErr w:type="spellStart"/>
      <w:r>
        <w:rPr>
          <w:highlight w:val="white"/>
        </w:rPr>
        <w:t>Hausken</w:t>
      </w:r>
      <w:proofErr w:type="spellEnd"/>
      <w:r>
        <w:rPr>
          <w:highlight w:val="white"/>
        </w:rPr>
        <w:t>, 2019)</w:t>
      </w:r>
      <w:r>
        <w:t xml:space="preserve">. This factor highlighted the creation of initiatives to restore economic growth and resolve foreclosures in promoting cash flow that enhances the U.S. Treasury for better crisis assessment for 2008. This regulation assists in pursuing $700 billion of troubled assets for the redesign of safety in the banking system through enhancing capitalisation (Black and Hazelwood, 2012). This factor leads the government bank to facilitate beneficial projects with restriction of credit supply and develop lending processes during recessions. The relationship between the bank’s risk transfer and government ownership helped to utilise the government funds for maintaining shareholder value and promoted stock recapitalisation. This factor portrayed the control in loan composition-driven changes through the implementation of corporate draw lines for credits. In the words of </w:t>
      </w:r>
      <w:r>
        <w:rPr>
          <w:highlight w:val="white"/>
        </w:rPr>
        <w:t xml:space="preserve">Berger and Roman (2020), </w:t>
      </w:r>
      <w:r>
        <w:t>the usage of TARP accrued public debt that guides policymakers through reducing the influence of global financial crisis with proper fiscal prudence. This factor led to the cut-off of pensions and increased income taxes and tightening of the “Stability and Growth Pact'' (SGP) to prevent debt crises.</w:t>
      </w:r>
    </w:p>
    <w:p w14:paraId="528AB4C3" w14:textId="77777777" w:rsidR="00344FCE" w:rsidRDefault="00000000" w:rsidP="00B420C6">
      <w:r>
        <w:t>The adaptation of the TARP program helped to enhance the commitment of around $250 billion for stabilising financial institutions and around $27 billion in restarting credit services (</w:t>
      </w:r>
      <w:proofErr w:type="spellStart"/>
      <w:r>
        <w:rPr>
          <w:highlight w:val="white"/>
        </w:rPr>
        <w:t>TreasuryGov</w:t>
      </w:r>
      <w:proofErr w:type="spellEnd"/>
      <w:r>
        <w:rPr>
          <w:highlight w:val="white"/>
        </w:rPr>
        <w:t>, 2023)</w:t>
      </w:r>
      <w:r>
        <w:t xml:space="preserve">. This factor highlights the commitment of $46 billion to avoid foreclosure and $46 billion to help out needy families and reduce the pressure of loans among individual people. The 2023 market research portrayed monitoring TARP’s fund balance and enhanced the disbursement of $443.5 billion for better repayments and other incomes.  This factor leads to understanding the impact of executive compensation for better overseen by the </w:t>
      </w:r>
      <w:r>
        <w:rPr>
          <w:i/>
        </w:rPr>
        <w:t>“Office of the Special Master”</w:t>
      </w:r>
      <w:r>
        <w:t xml:space="preserve">. As mentioned by </w:t>
      </w:r>
      <w:proofErr w:type="spellStart"/>
      <w:r>
        <w:rPr>
          <w:highlight w:val="white"/>
        </w:rPr>
        <w:t>Buchholtz</w:t>
      </w:r>
      <w:proofErr w:type="spellEnd"/>
      <w:r>
        <w:rPr>
          <w:highlight w:val="white"/>
        </w:rPr>
        <w:t xml:space="preserve"> and Lawson (2021), </w:t>
      </w:r>
      <w:r>
        <w:t>the operational process of American International Group (AIG) implements “</w:t>
      </w:r>
      <w:r>
        <w:rPr>
          <w:i/>
        </w:rPr>
        <w:t>Federal Reserve and Treasury”</w:t>
      </w:r>
      <w:r>
        <w:t xml:space="preserve"> to reduce financial crisis and stabilisation of economic circumstances. This factor develops the quality of risk assessment in managing the cash flow in executing house and personal credit services with the help of the EU’s regulation changes. Conversely, banking support programs such as </w:t>
      </w:r>
      <w:r>
        <w:rPr>
          <w:i/>
        </w:rPr>
        <w:lastRenderedPageBreak/>
        <w:t>“Targeted Investment Programs”</w:t>
      </w:r>
      <w:r>
        <w:t xml:space="preserve"> and </w:t>
      </w:r>
      <w:r>
        <w:rPr>
          <w:i/>
        </w:rPr>
        <w:t>“Asset Guarantee Programs”</w:t>
      </w:r>
      <w:r>
        <w:t xml:space="preserve"> promoted risk assessment for stabilisation of the banking system. This factor expands the quality of the EU’s financial system in order to develop credit services through transferring into the general fund management process.</w:t>
      </w:r>
    </w:p>
    <w:p w14:paraId="2E458E6F" w14:textId="77777777" w:rsidR="00344FCE" w:rsidRDefault="00000000" w:rsidP="00B420C6">
      <w:pPr>
        <w:jc w:val="center"/>
      </w:pPr>
      <w:r>
        <w:t>.</w:t>
      </w:r>
      <w:r>
        <w:rPr>
          <w:noProof/>
        </w:rPr>
        <w:drawing>
          <wp:inline distT="114300" distB="114300" distL="114300" distR="114300" wp14:anchorId="2E52683B" wp14:editId="2A7578D3">
            <wp:extent cx="3709988" cy="2173643"/>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709988" cy="2173643"/>
                    </a:xfrm>
                    <a:prstGeom prst="rect">
                      <a:avLst/>
                    </a:prstGeom>
                    <a:ln w="12700">
                      <a:solidFill>
                        <a:srgbClr val="000000"/>
                      </a:solidFill>
                      <a:prstDash val="solid"/>
                    </a:ln>
                  </pic:spPr>
                </pic:pic>
              </a:graphicData>
            </a:graphic>
          </wp:inline>
        </w:drawing>
      </w:r>
      <w:r>
        <w:t xml:space="preserve">  </w:t>
      </w:r>
    </w:p>
    <w:p w14:paraId="3D75F9E3" w14:textId="77777777" w:rsidR="00344FCE" w:rsidRDefault="00000000" w:rsidP="00B420C6">
      <w:pPr>
        <w:jc w:val="center"/>
        <w:rPr>
          <w:b/>
        </w:rPr>
      </w:pPr>
      <w:r>
        <w:rPr>
          <w:b/>
        </w:rPr>
        <w:t>Figure 2.1: Unemployment rate from 1992-2017 in the UK</w:t>
      </w:r>
    </w:p>
    <w:p w14:paraId="720050D4" w14:textId="77777777" w:rsidR="00344FCE" w:rsidRDefault="00000000" w:rsidP="00B420C6">
      <w:pPr>
        <w:jc w:val="center"/>
      </w:pPr>
      <w:r>
        <w:t>(Source: Evan, 2018)</w:t>
      </w:r>
    </w:p>
    <w:p w14:paraId="1129CD47" w14:textId="77777777" w:rsidR="00344FCE" w:rsidRDefault="00000000" w:rsidP="00B420C6">
      <w:r>
        <w:t>Moreover, the unemployment rate of the UK was 10.6 million in 2009 as per the above figure that highlights the absence of cash flow in the UK market (Evan, 2018). This factor indicates the reduction of goods and services of business and leads to operational bankruptcy due to the economic downturn incident of the 2008 financial crisis. The application of “Dodd-Frank Wall Street Reform” shows that the protection of consumers assists in improving market transparency and financial regulation in preventing the collapse of mortgage companies (</w:t>
      </w:r>
      <w:r>
        <w:rPr>
          <w:highlight w:val="white"/>
        </w:rPr>
        <w:t>Spano,  2021)</w:t>
      </w:r>
      <w:r>
        <w:t xml:space="preserve">. This factor helps to develop the quality for further plans to reduce the influence of the 2008 financial crisis and enhance the reformation of banking regulation for consumer protection. The </w:t>
      </w:r>
      <w:r>
        <w:rPr>
          <w:i/>
        </w:rPr>
        <w:t>“Consumer Protection Act of 2010”</w:t>
      </w:r>
      <w:r>
        <w:t xml:space="preserve"> assists in improving oversight procedures and invested over $400 trillion in the swaps market with the help of  CFTC’s authority (</w:t>
      </w:r>
      <w:r>
        <w:rPr>
          <w:highlight w:val="white"/>
        </w:rPr>
        <w:t>Cftc.Gov, 2015)</w:t>
      </w:r>
      <w:r>
        <w:t xml:space="preserve">. This factor prompted the presence of swap dealers for dealing with capital and margin requirements that reduce lower risk of the banking system and enhance market integrity. </w:t>
      </w:r>
    </w:p>
    <w:p w14:paraId="0BB4E4CD" w14:textId="77777777" w:rsidR="00344FCE" w:rsidRDefault="00000000" w:rsidP="00B420C6">
      <w:r>
        <w:t xml:space="preserve">In the words of </w:t>
      </w:r>
      <w:proofErr w:type="spellStart"/>
      <w:r>
        <w:rPr>
          <w:highlight w:val="white"/>
        </w:rPr>
        <w:t>Thieme</w:t>
      </w:r>
      <w:proofErr w:type="spellEnd"/>
      <w:r>
        <w:rPr>
          <w:highlight w:val="white"/>
        </w:rPr>
        <w:t xml:space="preserve"> (2019), </w:t>
      </w:r>
      <w:r>
        <w:t>the application of the “Volcker rule” helped banking entities promote the level of engagement by sponsoring hedge funds and offering short-term securities. This factor shows the implication of this act in response to the Global finance crisis and enhances the US government bonds such as “Fannie Mae” and “</w:t>
      </w:r>
      <w:proofErr w:type="spellStart"/>
      <w:r>
        <w:t>Ginnie</w:t>
      </w:r>
      <w:proofErr w:type="spellEnd"/>
      <w:r>
        <w:t xml:space="preserve"> Mae” for increasing the level of operational profit. The EU Commission developed operational changes in banks’ trading activities that removed legislation restrictions in hedge funds and private equity fund </w:t>
      </w:r>
      <w:r>
        <w:lastRenderedPageBreak/>
        <w:t>maintenance in 2018. This factor indicates the standard maintenance of “Federal Reserve” managed “</w:t>
      </w:r>
      <w:proofErr w:type="spellStart"/>
      <w:r>
        <w:t>CitiBank</w:t>
      </w:r>
      <w:proofErr w:type="spellEnd"/>
      <w:r>
        <w:t>”, “Bank of America” and “Goldman Sachs” with 9.5% for liquid asset maintenance (</w:t>
      </w:r>
      <w:r>
        <w:rPr>
          <w:highlight w:val="white"/>
        </w:rPr>
        <w:t>Miller, 2019)</w:t>
      </w:r>
      <w:r>
        <w:t>. The regulation changed to mitigate the financial crisis in 2008 and required a $180 billion rescue with the assistance of credit swaps in collateral reserves in the EU. This factor enhances the operational stability for promoting credit and housing market services for the delivery of better financial services through the treasury selling process.</w:t>
      </w:r>
    </w:p>
    <w:p w14:paraId="35BA554E" w14:textId="77777777" w:rsidR="00344FCE" w:rsidRDefault="00000000" w:rsidP="00B420C6">
      <w:r>
        <w:t xml:space="preserve">According to </w:t>
      </w:r>
      <w:r>
        <w:rPr>
          <w:highlight w:val="white"/>
        </w:rPr>
        <w:t xml:space="preserve">Grigorieva </w:t>
      </w:r>
      <w:r>
        <w:rPr>
          <w:i/>
          <w:highlight w:val="white"/>
        </w:rPr>
        <w:t xml:space="preserve">et al., </w:t>
      </w:r>
      <w:r>
        <w:rPr>
          <w:highlight w:val="white"/>
        </w:rPr>
        <w:t xml:space="preserve">(2018), </w:t>
      </w:r>
      <w:r>
        <w:t xml:space="preserve">the </w:t>
      </w:r>
      <w:r>
        <w:rPr>
          <w:i/>
        </w:rPr>
        <w:t>“Wall Street Reformation”</w:t>
      </w:r>
      <w:r>
        <w:t xml:space="preserve"> guided for increasing operational transparency for the standardisation of credit marketplace that promoted trading through regulation of exchange. This factor leads to improved clearing housing loans between the two parties to reduce the impact of transaction risk and enhance the quality of the repayment procedure. The Dodd-Frank bill helped in the reformation of credit regulation and consumer protection for executing innovation in the swap marketplace. This factor increased capital reserve requirements for increasing the significance of handling financial hazards in the EU’s regulation. However, as per </w:t>
      </w:r>
      <w:r>
        <w:rPr>
          <w:highlight w:val="white"/>
        </w:rPr>
        <w:t xml:space="preserve">O’Halloran </w:t>
      </w:r>
      <w:r>
        <w:rPr>
          <w:i/>
          <w:highlight w:val="white"/>
        </w:rPr>
        <w:t xml:space="preserve">et al., </w:t>
      </w:r>
      <w:r>
        <w:rPr>
          <w:highlight w:val="white"/>
        </w:rPr>
        <w:t xml:space="preserve">(2018), </w:t>
      </w:r>
      <w:r>
        <w:t xml:space="preserve">the </w:t>
      </w:r>
      <w:r>
        <w:rPr>
          <w:i/>
        </w:rPr>
        <w:t>“European Commission”</w:t>
      </w:r>
      <w:r>
        <w:t xml:space="preserve"> promoted an initiative right for delegated decisions from authority and enhanced oversight of financial market regulation. This factor helps to provide a governance structure by developing policy shifts in the EU that contribute to regulatory architecture.</w:t>
      </w:r>
    </w:p>
    <w:p w14:paraId="48675A17" w14:textId="77777777" w:rsidR="00344FCE" w:rsidRDefault="00000000" w:rsidP="00B420C6">
      <w:r>
        <w:t xml:space="preserve">Moreover,  the usage of the </w:t>
      </w:r>
      <w:r>
        <w:rPr>
          <w:i/>
        </w:rPr>
        <w:t>“Emergency Economic Stabilisation Act</w:t>
      </w:r>
      <w:r>
        <w:t>” (EESA) helped to improve troubled assets purchasing and restore the financial liquidity for the subprime mortgage crisis (</w:t>
      </w:r>
      <w:r>
        <w:rPr>
          <w:highlight w:val="white"/>
        </w:rPr>
        <w:t xml:space="preserve">Kao </w:t>
      </w:r>
      <w:r>
        <w:rPr>
          <w:i/>
          <w:highlight w:val="white"/>
        </w:rPr>
        <w:t xml:space="preserve">et al., </w:t>
      </w:r>
      <w:r>
        <w:rPr>
          <w:highlight w:val="white"/>
        </w:rPr>
        <w:t>2019)</w:t>
      </w:r>
      <w:r>
        <w:t xml:space="preserve">.  This factor leads to ensuring the prevention of the US financial system in protecting home values and social insurance funds maintenance in offering public accountability efficiency. In the view of </w:t>
      </w:r>
      <w:proofErr w:type="spellStart"/>
      <w:r>
        <w:rPr>
          <w:highlight w:val="white"/>
        </w:rPr>
        <w:t>LaBrosse</w:t>
      </w:r>
      <w:proofErr w:type="spellEnd"/>
      <w:r>
        <w:rPr>
          <w:highlight w:val="white"/>
        </w:rPr>
        <w:t xml:space="preserve"> </w:t>
      </w:r>
      <w:r>
        <w:rPr>
          <w:i/>
          <w:highlight w:val="white"/>
        </w:rPr>
        <w:t xml:space="preserve">et al., </w:t>
      </w:r>
      <w:r>
        <w:rPr>
          <w:highlight w:val="white"/>
        </w:rPr>
        <w:t xml:space="preserve">(2020), </w:t>
      </w:r>
      <w:r>
        <w:t xml:space="preserve">the EESA policy assists in enhancing the quality of acute focus and promotes economic security from the operational perspective of financial institutions. This factor helped to strengthen economic governance by designing safeguard financial legislation for developing the quality of credit stability and increasing managerial transparency. The emergency fund policy enhances credit maintenance and mitigates systemic risks through restructuring the financial company’s IPO. This factor encouraged the financial institutions in the EU to understand the implications of international financial investment and credit policy that promoted operational productivity. These regulations in financial institutions contribute to expanding the quality of risk assessment and consumer security for handling loan and credit market services in an effective way. </w:t>
      </w:r>
    </w:p>
    <w:p w14:paraId="3FF80C82" w14:textId="77777777" w:rsidR="00344FCE" w:rsidRDefault="00000000" w:rsidP="00B420C6">
      <w:pPr>
        <w:pStyle w:val="Heading1"/>
      </w:pPr>
      <w:bookmarkStart w:id="12" w:name="_epthi4fl2096" w:colFirst="0" w:colLast="0"/>
      <w:bookmarkStart w:id="13" w:name="_Toc152617949"/>
      <w:bookmarkEnd w:id="12"/>
      <w:r>
        <w:t xml:space="preserve">3. International </w:t>
      </w:r>
      <w:proofErr w:type="spellStart"/>
      <w:r>
        <w:t>Stakeholders's</w:t>
      </w:r>
      <w:proofErr w:type="spellEnd"/>
      <w:r>
        <w:t xml:space="preserve"> impact on Banking Regulation Changes for Reducing Financial Crisis of 2008</w:t>
      </w:r>
      <w:bookmarkEnd w:id="13"/>
    </w:p>
    <w:p w14:paraId="2A049D23" w14:textId="77777777" w:rsidR="00344FCE" w:rsidRDefault="00000000" w:rsidP="00B420C6">
      <w:r>
        <w:lastRenderedPageBreak/>
        <w:t>The “Great Recession” indicates the duration of the 2007-2009 economic crisis due to the housing property bubble that developed the impact of the mortgage repayment-related crisis (</w:t>
      </w:r>
      <w:r>
        <w:rPr>
          <w:highlight w:val="white"/>
        </w:rPr>
        <w:t>Castonguay, 2019)</w:t>
      </w:r>
      <w:r>
        <w:t>. This factor promoted financial liquidity turbulence as the impact of the downfall in the housing market rate in the US market. On the contrary, the “Federal Reserve” implemented different regulations regarding credit and financial service maintenance to enhance the quality of financial institutions. This factor guided in understanding the importance of diversification in asset management and maintaining the financial fluidity in the US economy.  Residential investment increased by 4.5% in the US market in 2005 and increased the financial service rate in an effective way (</w:t>
      </w:r>
      <w:r>
        <w:rPr>
          <w:highlight w:val="white"/>
        </w:rPr>
        <w:t>Weinberg, 2013)</w:t>
      </w:r>
      <w:r>
        <w:t>. The mortgage debt of the US rose 96% in 2006 due to the absence of borrower background checks and lack of investment in liability funds. This factor caused heavy monterey resources used in recovering the credit repayment and generated a number of troubled assets. The operational process of “Federal Reserve” promoted the application of a large-scale asset purchase program and developed the interest rate in the maintenance of economic activity (</w:t>
      </w:r>
      <w:proofErr w:type="spellStart"/>
      <w:r>
        <w:rPr>
          <w:highlight w:val="white"/>
        </w:rPr>
        <w:t>Papaioannou</w:t>
      </w:r>
      <w:proofErr w:type="spellEnd"/>
      <w:r>
        <w:rPr>
          <w:highlight w:val="white"/>
        </w:rPr>
        <w:t>, 2020)</w:t>
      </w:r>
      <w:r>
        <w:t xml:space="preserve">. This factor promoted the quality of financial contraction by measuring surrounding circumstances such as interest rate and unemployment rate that affected reformation in a negative way. </w:t>
      </w:r>
    </w:p>
    <w:p w14:paraId="0E0D0D40" w14:textId="77777777" w:rsidR="00344FCE" w:rsidRDefault="00000000" w:rsidP="00B420C6">
      <w:r>
        <w:t>The expansion of credit regulation in the “Federal Reserve” encouraged incentives through holding in Treasury security and set a target for enhancing the reduction of other assets (</w:t>
      </w:r>
      <w:r>
        <w:rPr>
          <w:highlight w:val="white"/>
        </w:rPr>
        <w:t xml:space="preserve">Marsh and </w:t>
      </w:r>
      <w:proofErr w:type="spellStart"/>
      <w:r>
        <w:rPr>
          <w:highlight w:val="white"/>
        </w:rPr>
        <w:t>Laliberte</w:t>
      </w:r>
      <w:proofErr w:type="spellEnd"/>
      <w:r>
        <w:rPr>
          <w:highlight w:val="white"/>
        </w:rPr>
        <w:t>, 2023)</w:t>
      </w:r>
      <w:r>
        <w:t xml:space="preserve">. This factor portrayed the increment in financial stress and doubled unemployment rate that led to the absence of loan repayment rates. For example, the UK government invested £20.3 billion in </w:t>
      </w:r>
      <w:proofErr w:type="gramStart"/>
      <w:r>
        <w:t>Lloyds</w:t>
      </w:r>
      <w:proofErr w:type="gramEnd"/>
      <w:r>
        <w:t xml:space="preserve"> banking group as per operating trachea in 2009 (</w:t>
      </w:r>
      <w:r>
        <w:rPr>
          <w:highlight w:val="white"/>
        </w:rPr>
        <w:t>Mor, 2018)</w:t>
      </w:r>
      <w:r>
        <w:t>. This factor highlights this bank's 43% share owned by the UK government and leads to miscalculations in credit services.</w:t>
      </w:r>
    </w:p>
    <w:p w14:paraId="25C2194F" w14:textId="77777777" w:rsidR="00344FCE" w:rsidRDefault="00000000" w:rsidP="00B420C6">
      <w:pPr>
        <w:rPr>
          <w:i/>
        </w:rPr>
      </w:pPr>
      <w:r>
        <w:rPr>
          <w:i/>
        </w:rPr>
        <w:t xml:space="preserve">“Dodd-Frank Financial Regulation”: </w:t>
      </w:r>
    </w:p>
    <w:p w14:paraId="2251A300" w14:textId="77777777" w:rsidR="00344FCE" w:rsidRDefault="00000000" w:rsidP="00B420C6">
      <w:pPr>
        <w:jc w:val="center"/>
        <w:rPr>
          <w:i/>
        </w:rPr>
      </w:pPr>
      <w:r>
        <w:rPr>
          <w:i/>
          <w:noProof/>
        </w:rPr>
        <w:drawing>
          <wp:inline distT="114300" distB="114300" distL="114300" distR="114300" wp14:anchorId="77A904E0" wp14:editId="2A2CF77E">
            <wp:extent cx="4324029" cy="883481"/>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324029" cy="883481"/>
                    </a:xfrm>
                    <a:prstGeom prst="rect">
                      <a:avLst/>
                    </a:prstGeom>
                    <a:ln/>
                  </pic:spPr>
                </pic:pic>
              </a:graphicData>
            </a:graphic>
          </wp:inline>
        </w:drawing>
      </w:r>
    </w:p>
    <w:p w14:paraId="30E6EC6D" w14:textId="77777777" w:rsidR="00344FCE" w:rsidRDefault="00000000" w:rsidP="00B420C6">
      <w:pPr>
        <w:jc w:val="center"/>
        <w:rPr>
          <w:b/>
        </w:rPr>
      </w:pPr>
      <w:r>
        <w:rPr>
          <w:b/>
        </w:rPr>
        <w:t>Figure 3.1: Usage of FSOC from 2012 to 2023</w:t>
      </w:r>
    </w:p>
    <w:p w14:paraId="2608D8A2" w14:textId="77777777" w:rsidR="00344FCE" w:rsidRDefault="00000000" w:rsidP="00B420C6">
      <w:pPr>
        <w:jc w:val="center"/>
        <w:rPr>
          <w:i/>
        </w:rPr>
      </w:pPr>
      <w:r>
        <w:t xml:space="preserve">(Source: </w:t>
      </w:r>
      <w:r>
        <w:rPr>
          <w:highlight w:val="white"/>
        </w:rPr>
        <w:t>Gao, 2023)</w:t>
      </w:r>
      <w:r>
        <w:br w:type="page"/>
      </w:r>
    </w:p>
    <w:p w14:paraId="3C6B79D2" w14:textId="77777777" w:rsidR="00344FCE" w:rsidRDefault="00000000" w:rsidP="00B420C6">
      <w:pPr>
        <w:rPr>
          <w:b/>
        </w:rPr>
      </w:pPr>
      <w:r>
        <w:lastRenderedPageBreak/>
        <w:t xml:space="preserve">The </w:t>
      </w:r>
      <w:r>
        <w:rPr>
          <w:i/>
        </w:rPr>
        <w:t>“Dodd-Frank Act”</w:t>
      </w:r>
      <w:r>
        <w:t xml:space="preserve"> enhanced the quality of identification and response to emerging threats in the US financial system through the “Financial Stability Oversight Council” (FSOC) (</w:t>
      </w:r>
      <w:r>
        <w:rPr>
          <w:highlight w:val="white"/>
        </w:rPr>
        <w:t>Gao, 2023)</w:t>
      </w:r>
      <w:r>
        <w:t xml:space="preserve">. This factor guides in monitoring the annual report of financial institutions to understand the nonbinding issues for addressing financial stability. The above figure shows that the legislative changes lead to applied nonbank entities for heightened standards for financial practices in the operating market. This regulation indicates the operational process of </w:t>
      </w:r>
      <w:proofErr w:type="spellStart"/>
      <w:r>
        <w:t>Llyods</w:t>
      </w:r>
      <w:proofErr w:type="spellEnd"/>
      <w:r>
        <w:t xml:space="preserve"> Bank faced bankruptcy due to the sell-off of “Halifax Bank of Scotland” (HBOS) in managing financial liquidity (</w:t>
      </w:r>
      <w:r>
        <w:rPr>
          <w:highlight w:val="white"/>
        </w:rPr>
        <w:t>Insider.co.uk, 2017)</w:t>
      </w:r>
      <w:r>
        <w:t>. The investor report highlights that this share caused a £10.8 billion pre-tax loss in 2008 and reflects £13.5 billion due to the right issues. This factor guides this bank to sell its hundred branches in meeting the EU criteria for a financial institution bailout that is known as “Project Verde” in the UK market.</w:t>
      </w:r>
    </w:p>
    <w:p w14:paraId="022D4542" w14:textId="77777777" w:rsidR="00344FCE" w:rsidRDefault="00000000" w:rsidP="00B420C6">
      <w:r>
        <w:rPr>
          <w:i/>
        </w:rPr>
        <w:t xml:space="preserve">“European Market  Infrastructure Regulation” (EMIR): </w:t>
      </w:r>
      <w:r>
        <w:t>The EMIR  regulation leads to the development of the quality of trade repositories and maintains the records in financial fund distribution. This factor assists in understanding the system and operational risk for over-the-counter (OTC) credit and trade assets in the operational market (</w:t>
      </w:r>
      <w:proofErr w:type="spellStart"/>
      <w:r>
        <w:rPr>
          <w:highlight w:val="white"/>
        </w:rPr>
        <w:t>Esma</w:t>
      </w:r>
      <w:proofErr w:type="spellEnd"/>
      <w:r>
        <w:rPr>
          <w:highlight w:val="white"/>
        </w:rPr>
        <w:t>, 2020)</w:t>
      </w:r>
      <w:r>
        <w:t xml:space="preserve">. The EMIR application leads to enhanced operational safety in managing the framework for Central Clearing Counterparties (CCPs) and trade shares through an effective reporting process. This regulation encourages the managerial process of Lloyds bank in enhancing the quality of transactional record maintenance and reducing the impact of the 2008 financial crisis. </w:t>
      </w:r>
    </w:p>
    <w:p w14:paraId="1DC6B1E5" w14:textId="77777777" w:rsidR="00344FCE" w:rsidRDefault="00000000" w:rsidP="00B420C6">
      <w:pPr>
        <w:jc w:val="center"/>
      </w:pPr>
      <w:r>
        <w:rPr>
          <w:noProof/>
        </w:rPr>
        <w:drawing>
          <wp:inline distT="114300" distB="114300" distL="114300" distR="114300" wp14:anchorId="1A1F68D4" wp14:editId="42054E81">
            <wp:extent cx="4330538" cy="1605974"/>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330538" cy="1605974"/>
                    </a:xfrm>
                    <a:prstGeom prst="rect">
                      <a:avLst/>
                    </a:prstGeom>
                    <a:ln w="12700">
                      <a:solidFill>
                        <a:srgbClr val="000000"/>
                      </a:solidFill>
                      <a:prstDash val="solid"/>
                    </a:ln>
                  </pic:spPr>
                </pic:pic>
              </a:graphicData>
            </a:graphic>
          </wp:inline>
        </w:drawing>
      </w:r>
    </w:p>
    <w:p w14:paraId="6AA36B84" w14:textId="77777777" w:rsidR="00344FCE" w:rsidRDefault="00000000" w:rsidP="00B420C6">
      <w:pPr>
        <w:jc w:val="center"/>
        <w:rPr>
          <w:b/>
        </w:rPr>
      </w:pPr>
      <w:r>
        <w:rPr>
          <w:b/>
        </w:rPr>
        <w:t>Figure 3.2: Implementation of EMIR in Lloyds Bank</w:t>
      </w:r>
    </w:p>
    <w:p w14:paraId="1A60A92E" w14:textId="77777777" w:rsidR="00344FCE" w:rsidRDefault="00000000" w:rsidP="00B420C6">
      <w:pPr>
        <w:jc w:val="center"/>
      </w:pPr>
      <w:r>
        <w:t xml:space="preserve">(Source: </w:t>
      </w:r>
      <w:proofErr w:type="spellStart"/>
      <w:r>
        <w:rPr>
          <w:highlight w:val="white"/>
        </w:rPr>
        <w:t>Lloydsbankcommercial</w:t>
      </w:r>
      <w:proofErr w:type="spellEnd"/>
      <w:r>
        <w:rPr>
          <w:highlight w:val="white"/>
        </w:rPr>
        <w:t>, 2014)</w:t>
      </w:r>
    </w:p>
    <w:p w14:paraId="094717B7" w14:textId="77777777" w:rsidR="00344FCE" w:rsidRDefault="00000000" w:rsidP="00B420C6">
      <w:r>
        <w:t>The above figure portrayed that the usage of 1 billion euros in credit and equity derivative contract maintenance with the help of proxy hedge and increased stock options of Lloyds Bank. This factor enhanced the quality of financial legislation with the usage of Bi-lateral; margining and improved financial reporting that contributes to the investment strategy planning process.</w:t>
      </w:r>
    </w:p>
    <w:p w14:paraId="07657E55" w14:textId="77777777" w:rsidR="00344FCE" w:rsidRDefault="00000000" w:rsidP="00B420C6">
      <w:r>
        <w:rPr>
          <w:i/>
        </w:rPr>
        <w:t xml:space="preserve">“Emergency Economic Stabilisation Act”: </w:t>
      </w:r>
      <w:r>
        <w:t xml:space="preserve">The US market utilised $700 billion for the </w:t>
      </w:r>
      <w:proofErr w:type="spellStart"/>
      <w:r>
        <w:t>stablisation</w:t>
      </w:r>
      <w:proofErr w:type="spellEnd"/>
      <w:r>
        <w:t xml:space="preserve"> of financial institutions with the help of an emergency act in the 2008 crisis (</w:t>
      </w:r>
      <w:proofErr w:type="spellStart"/>
      <w:r>
        <w:rPr>
          <w:highlight w:val="white"/>
        </w:rPr>
        <w:t>Ypfs</w:t>
      </w:r>
      <w:proofErr w:type="spellEnd"/>
      <w:r>
        <w:rPr>
          <w:highlight w:val="white"/>
        </w:rPr>
        <w:t xml:space="preserve">, </w:t>
      </w:r>
      <w:r>
        <w:rPr>
          <w:highlight w:val="white"/>
        </w:rPr>
        <w:lastRenderedPageBreak/>
        <w:t>2012)</w:t>
      </w:r>
      <w:r>
        <w:t xml:space="preserve">. This factor leads to the use Fed in improving the utilisation of nontraditional emergency methods for lowering the interest rate through selling financial assets. The emergency fund assists in promoting the usage of government funds in recovering the operational loss and enhancing the quality of the credit market stabilisation process. The UK government generated £60 million profit by selling the banking tranche to recover the financial service efficiency in Lloyds Bank (Monaghan, 2013). The mortgage crisis assists in reducing £200 million in </w:t>
      </w:r>
      <w:proofErr w:type="gramStart"/>
      <w:r>
        <w:t>Lloyds</w:t>
      </w:r>
      <w:proofErr w:type="gramEnd"/>
      <w:r>
        <w:t xml:space="preserve"> treasury service maintenance due to an increment of absence in credit repayment. The operational process of Lloyds Bank reduced the profit plunge by 70%  that causing an operational hit of £585 million as the impact of the credit crisis. This factor reduces operational efficiency due to high investment in housing and personal loans.</w:t>
      </w:r>
      <w:r>
        <w:rPr>
          <w:i/>
        </w:rPr>
        <w:br/>
        <w:t xml:space="preserve">“Troubled Asset Refilled Program” (TARP): </w:t>
      </w:r>
      <w:r>
        <w:t>The “Capital Purchase program” leads in promoting the quality of treasury with a worth of $250 billion through voluntary election in the application of credit line. This factor reduced financial tension in the balance sheet for treasury stock maintenance and mainstream financial service offering process (</w:t>
      </w:r>
      <w:r>
        <w:rPr>
          <w:highlight w:val="white"/>
        </w:rPr>
        <w:t>Sinha, 2018)</w:t>
      </w:r>
      <w:r>
        <w:t xml:space="preserve">. On the contrary, the “Community Development Capital Initiative” (CDCI) encouraged the investment of more than $570 million for increasing financial initiatives in restoring financial stability in the US market. This factor indicates that the US financial system faced a loss of $5 billion in treasury portfolio maintenance and reduced credit claims in an effective way.  As per </w:t>
      </w:r>
      <w:r>
        <w:rPr>
          <w:highlight w:val="white"/>
        </w:rPr>
        <w:t xml:space="preserve">Lartey </w:t>
      </w:r>
      <w:r>
        <w:rPr>
          <w:i/>
          <w:highlight w:val="white"/>
        </w:rPr>
        <w:t xml:space="preserve">et al., </w:t>
      </w:r>
      <w:r>
        <w:rPr>
          <w:highlight w:val="white"/>
        </w:rPr>
        <w:t xml:space="preserve">(2021), </w:t>
      </w:r>
      <w:r>
        <w:t xml:space="preserve">the operational process of 2008 assisted </w:t>
      </w:r>
      <w:proofErr w:type="spellStart"/>
      <w:r>
        <w:t>Llyods</w:t>
      </w:r>
      <w:proofErr w:type="spellEnd"/>
      <w:r>
        <w:t xml:space="preserve"> Bank causing a loss of money in resolving mortgage default that led to freezing in managing the interbank lending process. This factor developed long-term effects on executing the credit services in the housing market and led to the downfall of this bank’s operational fluidity.</w:t>
      </w:r>
    </w:p>
    <w:p w14:paraId="5BAC34DB" w14:textId="5757317A" w:rsidR="00344FCE" w:rsidRDefault="00000000" w:rsidP="00B420C6">
      <w:r>
        <w:rPr>
          <w:i/>
        </w:rPr>
        <w:t xml:space="preserve">“Central Securities Depositories Regulation” (CSDR): </w:t>
      </w:r>
      <w:r>
        <w:t>The implementation of CSDR guides in enhancing the quality of post-trade harmonisation efforts in Europe that understand cross-border settlement for legal and operational condition maintenance (</w:t>
      </w:r>
      <w:proofErr w:type="spellStart"/>
      <w:r>
        <w:rPr>
          <w:highlight w:val="white"/>
        </w:rPr>
        <w:t>Esma</w:t>
      </w:r>
      <w:proofErr w:type="spellEnd"/>
      <w:r>
        <w:rPr>
          <w:highlight w:val="white"/>
        </w:rPr>
        <w:t>, 2020)</w:t>
      </w:r>
      <w:r>
        <w:t xml:space="preserve">. This factor guides to reduction of the influence of counterparty for mitigation of credit risk and systemic risk for establishing alignment with international standards. The operational process of </w:t>
      </w:r>
      <w:proofErr w:type="spellStart"/>
      <w:r>
        <w:t>Llyods</w:t>
      </w:r>
      <w:proofErr w:type="spellEnd"/>
      <w:r>
        <w:t xml:space="preserve"> Bank utilised CSD for offering electronic settlement services in the UK shares and bonds for settlement of financial transactions in account maintenance (</w:t>
      </w:r>
      <w:proofErr w:type="spellStart"/>
      <w:r>
        <w:rPr>
          <w:highlight w:val="white"/>
        </w:rPr>
        <w:t>Lloydsbank</w:t>
      </w:r>
      <w:proofErr w:type="spellEnd"/>
      <w:r>
        <w:rPr>
          <w:highlight w:val="white"/>
        </w:rPr>
        <w:t>, 2020)</w:t>
      </w:r>
      <w:r>
        <w:t xml:space="preserve">. This factor guides to use of “Omnibus Client </w:t>
      </w:r>
      <w:r w:rsidR="00D22ED9">
        <w:t>Segregation” for</w:t>
      </w:r>
      <w:r>
        <w:t xml:space="preserve"> CSDR by outlining trade investment and cash fluidity through using alternative resources in banking services. The financial investment of </w:t>
      </w:r>
      <w:proofErr w:type="spellStart"/>
      <w:r>
        <w:t>Llyods</w:t>
      </w:r>
      <w:proofErr w:type="spellEnd"/>
      <w:r>
        <w:t xml:space="preserve"> Bank enhanced the usage of government funds to reduce the impact of the 2008 crisis.</w:t>
      </w:r>
    </w:p>
    <w:p w14:paraId="78749550" w14:textId="77777777" w:rsidR="00344FCE" w:rsidRDefault="00000000" w:rsidP="00B420C6">
      <w:pPr>
        <w:pStyle w:val="Heading1"/>
      </w:pPr>
      <w:bookmarkStart w:id="14" w:name="_ck4wlxdmw8gu" w:colFirst="0" w:colLast="0"/>
      <w:bookmarkStart w:id="15" w:name="_Toc152617950"/>
      <w:bookmarkEnd w:id="14"/>
      <w:r>
        <w:lastRenderedPageBreak/>
        <w:t>4. Critical  review of different aspects of a financial institution in the 2008 crisis</w:t>
      </w:r>
      <w:bookmarkEnd w:id="15"/>
    </w:p>
    <w:p w14:paraId="2B912383" w14:textId="77777777" w:rsidR="00344FCE" w:rsidRDefault="00000000" w:rsidP="00B420C6">
      <w:r>
        <w:t>The Moody’s corporate issues portrayed that corporate bonds of $7.8 billion and $2.6 billion of loans in 2006 with the help of corporate issuers for financial service maintenance.  This factor reflects $2.8 billion in bonds and the global grade default rate fell by 1.57% in 2006 that affected the financial services in a negative way (</w:t>
      </w:r>
      <w:proofErr w:type="spellStart"/>
      <w:r>
        <w:rPr>
          <w:highlight w:val="white"/>
        </w:rPr>
        <w:t>Moodys</w:t>
      </w:r>
      <w:proofErr w:type="spellEnd"/>
      <w:r>
        <w:rPr>
          <w:highlight w:val="white"/>
        </w:rPr>
        <w:t>, 2008)</w:t>
      </w:r>
      <w:r>
        <w:t>. Moreover, the new issuers of 25% and 17% in volume maintenance in getting insights regarding corporate issuers in 2006 that affected macroeconomic variables in a positive way. This factor leads to credit service reduction and promotes the quality of interbank funding that exposure banking risk in the UK financial performance. The above analysis leads to oversight for understanding systemic risk and reducing financial stability due to heavy investment in the housing and credit market. This factor indicates the absence of transaction record maintenance and credit process transparency and promotes the number of absences in the repayment process. The banking service portrayed a credit rate of 76% in 2009 for understanding the cross-country models that reduced the credit growth for bankruptcy maintenance (</w:t>
      </w:r>
      <w:proofErr w:type="spellStart"/>
      <w:r>
        <w:rPr>
          <w:highlight w:val="white"/>
        </w:rPr>
        <w:t>Moodys</w:t>
      </w:r>
      <w:proofErr w:type="spellEnd"/>
      <w:r>
        <w:rPr>
          <w:highlight w:val="white"/>
        </w:rPr>
        <w:t>, 2008)</w:t>
      </w:r>
      <w:r>
        <w:t xml:space="preserve">. This factor guided in the reduction of monetary policy due to the credit boom and bust cycles that damages the credit activities in a drastic way. </w:t>
      </w:r>
    </w:p>
    <w:p w14:paraId="7A0C1F65" w14:textId="77777777" w:rsidR="00344FCE" w:rsidRDefault="00000000" w:rsidP="00B420C6">
      <w:pPr>
        <w:jc w:val="center"/>
      </w:pPr>
      <w:r>
        <w:rPr>
          <w:noProof/>
        </w:rPr>
        <w:drawing>
          <wp:inline distT="114300" distB="114300" distL="114300" distR="114300" wp14:anchorId="60A17B42" wp14:editId="2E028F5C">
            <wp:extent cx="2460832" cy="2898577"/>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460832" cy="2898577"/>
                    </a:xfrm>
                    <a:prstGeom prst="rect">
                      <a:avLst/>
                    </a:prstGeom>
                    <a:ln w="12700">
                      <a:solidFill>
                        <a:srgbClr val="000000"/>
                      </a:solidFill>
                      <a:prstDash val="solid"/>
                    </a:ln>
                  </pic:spPr>
                </pic:pic>
              </a:graphicData>
            </a:graphic>
          </wp:inline>
        </w:drawing>
      </w:r>
    </w:p>
    <w:p w14:paraId="3E1D587B" w14:textId="77777777" w:rsidR="00344FCE" w:rsidRDefault="00000000" w:rsidP="00B420C6">
      <w:pPr>
        <w:jc w:val="center"/>
        <w:rPr>
          <w:b/>
        </w:rPr>
      </w:pPr>
      <w:r>
        <w:rPr>
          <w:b/>
        </w:rPr>
        <w:t xml:space="preserve">Figure 4.1: Financial report of 2008 in </w:t>
      </w:r>
      <w:proofErr w:type="spellStart"/>
      <w:r>
        <w:rPr>
          <w:b/>
        </w:rPr>
        <w:t>Llyods</w:t>
      </w:r>
      <w:proofErr w:type="spellEnd"/>
      <w:r>
        <w:rPr>
          <w:b/>
        </w:rPr>
        <w:t xml:space="preserve"> Bank</w:t>
      </w:r>
    </w:p>
    <w:p w14:paraId="06D84B04" w14:textId="77777777" w:rsidR="00344FCE" w:rsidRDefault="00000000" w:rsidP="00B420C6">
      <w:pPr>
        <w:jc w:val="center"/>
        <w:rPr>
          <w:highlight w:val="white"/>
        </w:rPr>
      </w:pPr>
      <w:r>
        <w:t xml:space="preserve">(Source: </w:t>
      </w:r>
      <w:proofErr w:type="spellStart"/>
      <w:r>
        <w:rPr>
          <w:highlight w:val="white"/>
        </w:rPr>
        <w:t>Lloydsbankinggroup</w:t>
      </w:r>
      <w:proofErr w:type="spellEnd"/>
      <w:r>
        <w:rPr>
          <w:highlight w:val="white"/>
        </w:rPr>
        <w:t>, 2008)</w:t>
      </w:r>
    </w:p>
    <w:p w14:paraId="32C2943F" w14:textId="77777777" w:rsidR="00344FCE" w:rsidRDefault="00000000" w:rsidP="00B420C6">
      <w:pPr>
        <w:rPr>
          <w:highlight w:val="white"/>
        </w:rPr>
      </w:pPr>
      <w:r>
        <w:rPr>
          <w:highlight w:val="white"/>
        </w:rPr>
        <w:t xml:space="preserve">The operational process of statutory reflected the financial report of Lloyds Bank with an 80% reduction through the resilience of business performance and enhanced market dislocation. This factor indicates the presence of volatility in executing insurance businesses and decreased </w:t>
      </w:r>
      <w:r>
        <w:rPr>
          <w:highlight w:val="white"/>
        </w:rPr>
        <w:lastRenderedPageBreak/>
        <w:t>by 35% due to impairment issues that portrayed £1,270 million in market dislocation. The impairment loss developed by 68% through slowdowns in the UK economic environment and the influence of the house price index in the falling process (</w:t>
      </w:r>
      <w:proofErr w:type="spellStart"/>
      <w:r>
        <w:rPr>
          <w:highlight w:val="white"/>
        </w:rPr>
        <w:t>Lloydsbankinggroup</w:t>
      </w:r>
      <w:proofErr w:type="spellEnd"/>
      <w:r>
        <w:rPr>
          <w:highlight w:val="white"/>
        </w:rPr>
        <w:t>, 2008). The above figure shows that the insurance claims were £2,859 million in 2008 due to the impact of the HM treasury recapitalisation scheme and damaged 40 ordinary shares. This factor portrayed the cost syringe at 14% for meeting the financial industry challenges and reducing the impact of competitive advantages in executing Lloyds TSB. The usage of 40 ordinary shares led to the suspension of the cash dividend payment and reduced the overall financial productivity in offering credit services in the UK market. This factor showcased the UK GDP was weak during the 2008 crisis and indicated the cancellation of investment and reduced retail stocks that affected the financial infrastructure in a negative way.</w:t>
      </w:r>
    </w:p>
    <w:p w14:paraId="2EFD0A9B" w14:textId="4711F9A6" w:rsidR="00344FCE" w:rsidRPr="00D22ED9" w:rsidRDefault="00000000" w:rsidP="00D22ED9">
      <w:pPr>
        <w:rPr>
          <w:highlight w:val="white"/>
        </w:rPr>
      </w:pPr>
      <w:r>
        <w:rPr>
          <w:highlight w:val="white"/>
        </w:rPr>
        <w:t>The usage of Treasury funds developed the selling process of operational hedgers in maintaining the quality of cash flow in managing economic fluidity. This factor guides for promoting the usage of operational funds and adopting credit regulation due to the fragile financial condition of Lloyds Bank. The UK government invested 20.3 billion pounds into lender maintenance by promoting the ownership of 43% of Lloyd's banking system (Bray, 2017). This factor caused a fine of £117 million for handling the complaint related to financial product complaints and shows the legally issued developed insurance protection flaws. The HBOS acquisition led Llyod's bank to face bad loans and a weakened economic environment that damaged financial service offerings in the UK market (</w:t>
      </w:r>
      <w:proofErr w:type="spellStart"/>
      <w:r>
        <w:rPr>
          <w:highlight w:val="white"/>
        </w:rPr>
        <w:t>Bankofengland</w:t>
      </w:r>
      <w:proofErr w:type="spellEnd"/>
      <w:r>
        <w:rPr>
          <w:highlight w:val="white"/>
        </w:rPr>
        <w:t xml:space="preserve">, 2015). This factor highlights that “Halifax” and the “Bank of Scotland” operated poor acquisitions that reduced mortgage lenders of HBOS in the financial year of 2008. The banking service invested over £17 billion to compensate borrowers and increase interest rates for UK consumers in </w:t>
      </w:r>
      <w:proofErr w:type="spellStart"/>
      <w:r>
        <w:rPr>
          <w:highlight w:val="white"/>
        </w:rPr>
        <w:t>Llyods</w:t>
      </w:r>
      <w:proofErr w:type="spellEnd"/>
      <w:r>
        <w:rPr>
          <w:highlight w:val="white"/>
        </w:rPr>
        <w:t xml:space="preserve"> banking services (Bray, 2017). This factor affected the overall financial structure by highlighting the areas of lender and credit market service in the UK market context.</w:t>
      </w:r>
    </w:p>
    <w:p w14:paraId="3C8CADC2" w14:textId="77777777" w:rsidR="00344FCE" w:rsidRDefault="00000000" w:rsidP="00B420C6">
      <w:pPr>
        <w:pStyle w:val="Heading1"/>
      </w:pPr>
      <w:bookmarkStart w:id="16" w:name="_t7u9xbp2zhxv" w:colFirst="0" w:colLast="0"/>
      <w:bookmarkStart w:id="17" w:name="_Toc152617951"/>
      <w:bookmarkEnd w:id="16"/>
      <w:r>
        <w:t>5. Recommendation for reducing the financial crisis for the reformation</w:t>
      </w:r>
      <w:bookmarkEnd w:id="17"/>
    </w:p>
    <w:p w14:paraId="7BF2AFF5" w14:textId="77777777" w:rsidR="00344FCE" w:rsidRDefault="00000000" w:rsidP="00B420C6">
      <w:r>
        <w:t>The financial services of Lloyds Banking can develop strategic management for the reformation of financial institution services that are mentioned below:</w:t>
      </w:r>
    </w:p>
    <w:p w14:paraId="28554AF5" w14:textId="77777777" w:rsidR="00344FCE" w:rsidRDefault="00000000" w:rsidP="00B420C6">
      <w:pPr>
        <w:numPr>
          <w:ilvl w:val="0"/>
          <w:numId w:val="1"/>
        </w:numPr>
      </w:pPr>
      <w:r>
        <w:t xml:space="preserve">As per </w:t>
      </w:r>
      <w:r>
        <w:rPr>
          <w:color w:val="222222"/>
          <w:highlight w:val="white"/>
        </w:rPr>
        <w:t>Mustapha</w:t>
      </w:r>
      <w:r>
        <w:rPr>
          <w:i/>
          <w:color w:val="222222"/>
          <w:highlight w:val="white"/>
        </w:rPr>
        <w:t xml:space="preserve"> et al., </w:t>
      </w:r>
      <w:r>
        <w:rPr>
          <w:color w:val="222222"/>
          <w:highlight w:val="white"/>
        </w:rPr>
        <w:t xml:space="preserve">(2021), </w:t>
      </w:r>
      <w:r>
        <w:t xml:space="preserve">the adoption of an automation system can help to enhance the quality of reducing human intervention and improve the operational efficiency in handling trading services. This factor will develop the safety and quality management in operating the credit market and loan structure that enhances financial stability in a positive way. The automated system can adopt real-time operational </w:t>
      </w:r>
      <w:r>
        <w:lastRenderedPageBreak/>
        <w:t xml:space="preserve">visibility by eliminating financial errors in promoting the quality of financial accuracy. This factor will improve the account reconciliation and ledger journal entries for tracking records of </w:t>
      </w:r>
      <w:proofErr w:type="spellStart"/>
      <w:r>
        <w:t>Llyods</w:t>
      </w:r>
      <w:proofErr w:type="spellEnd"/>
      <w:r>
        <w:t xml:space="preserve"> banking services. The operational process of </w:t>
      </w:r>
      <w:proofErr w:type="spellStart"/>
      <w:r>
        <w:t>Llyods</w:t>
      </w:r>
      <w:proofErr w:type="spellEnd"/>
      <w:r>
        <w:t xml:space="preserve"> can use this system for securing their financial data with the help of cloud computing services and promoted consumer services. This factor will help to develop the finance department by creating value and operational strategy for improving the quality of finance automation of Lloyds Bank. In the words of </w:t>
      </w:r>
      <w:r>
        <w:rPr>
          <w:color w:val="222222"/>
          <w:highlight w:val="white"/>
        </w:rPr>
        <w:t xml:space="preserve">Pramod (2022), </w:t>
      </w:r>
      <w:r>
        <w:t xml:space="preserve">operational compliance can improve the overall quality in preparation for financial statements and budgeting procedures that will restructure in credit system.   </w:t>
      </w:r>
    </w:p>
    <w:p w14:paraId="6B2963B5" w14:textId="77777777" w:rsidR="00344FCE" w:rsidRDefault="00000000" w:rsidP="00B420C6">
      <w:pPr>
        <w:numPr>
          <w:ilvl w:val="0"/>
          <w:numId w:val="1"/>
        </w:numPr>
      </w:pPr>
      <w:r>
        <w:t>The creation of budget management will help to understand tracking expenses in creating budget plans and constructing emergency funds for recovering operational expenses (</w:t>
      </w:r>
      <w:proofErr w:type="spellStart"/>
      <w:r>
        <w:rPr>
          <w:color w:val="222222"/>
          <w:highlight w:val="white"/>
        </w:rPr>
        <w:t>Anessi</w:t>
      </w:r>
      <w:proofErr w:type="spellEnd"/>
      <w:r>
        <w:rPr>
          <w:color w:val="222222"/>
          <w:highlight w:val="white"/>
        </w:rPr>
        <w:t xml:space="preserve">-Pessina </w:t>
      </w:r>
      <w:r>
        <w:rPr>
          <w:i/>
          <w:color w:val="222222"/>
          <w:highlight w:val="white"/>
        </w:rPr>
        <w:t>et al.,</w:t>
      </w:r>
      <w:r>
        <w:rPr>
          <w:color w:val="222222"/>
          <w:highlight w:val="white"/>
        </w:rPr>
        <w:t xml:space="preserve"> 2020)</w:t>
      </w:r>
      <w:r>
        <w:t>. This factor can assist in developing communication with shareholders for identification of the areas of credit and housing market maintenance through the usage of effective resources. The operational process of Lloyds Bank can enhance its contribution by establishing communication with the local community for getting better funds in executing financial operations in the UK market. This factor will improve the quality of the financial reporting process and maintain the operational cashflow in a functional way. Lloyds Bank will help to analyse the areas of major expenses in handling the profit margin and credit rates to expand the opportunity in the UK market.</w:t>
      </w:r>
    </w:p>
    <w:p w14:paraId="2DE2F444" w14:textId="77777777" w:rsidR="00344FCE" w:rsidRDefault="00000000" w:rsidP="00B420C6">
      <w:pPr>
        <w:numPr>
          <w:ilvl w:val="0"/>
          <w:numId w:val="1"/>
        </w:numPr>
      </w:pPr>
      <w:r>
        <w:t>On the contrary, the usage of financial investment can assist in improved network management by enhancing communication channels through an effective marketing process. This factor will help to check the background of an individual to understand their capability in the repayment procedure of loans and enhance financial stability in a positive way (</w:t>
      </w:r>
      <w:r>
        <w:rPr>
          <w:color w:val="222222"/>
          <w:highlight w:val="white"/>
        </w:rPr>
        <w:t xml:space="preserve">Tien </w:t>
      </w:r>
      <w:r>
        <w:rPr>
          <w:i/>
          <w:color w:val="222222"/>
          <w:highlight w:val="white"/>
        </w:rPr>
        <w:t>et al.,</w:t>
      </w:r>
      <w:r>
        <w:rPr>
          <w:color w:val="222222"/>
          <w:highlight w:val="white"/>
        </w:rPr>
        <w:t xml:space="preserve"> 2021)</w:t>
      </w:r>
      <w:r>
        <w:t>. The management process of Lloyds Bank can contribute in regular cash flow management through using their network in order to manage liability and assets in executing financial services. This factor can guide the managerial team in creating an effective budget plan by highlighting the areas of expenses in offering credit services. Lloyd Bank will enhance its connection with customers by offering quarterly and monthly repayments to reduce the pressure of loans.</w:t>
      </w:r>
    </w:p>
    <w:p w14:paraId="76C1A28D" w14:textId="77777777" w:rsidR="00344FCE" w:rsidRDefault="00000000" w:rsidP="00B420C6">
      <w:pPr>
        <w:pStyle w:val="Heading1"/>
      </w:pPr>
      <w:bookmarkStart w:id="18" w:name="_axxrlr1uv37" w:colFirst="0" w:colLast="0"/>
      <w:bookmarkStart w:id="19" w:name="_Toc152617952"/>
      <w:bookmarkEnd w:id="18"/>
      <w:r>
        <w:t>6. Financial institution reformation of Lloyds Bank with the help of compliance/non-compliance</w:t>
      </w:r>
      <w:bookmarkEnd w:id="19"/>
      <w:r>
        <w:t xml:space="preserve"> </w:t>
      </w:r>
    </w:p>
    <w:p w14:paraId="7D85F0DB" w14:textId="4E7B8B9A" w:rsidR="00344FCE" w:rsidRDefault="00000000" w:rsidP="00B420C6">
      <w:r>
        <w:lastRenderedPageBreak/>
        <w:t xml:space="preserve">From global post-crisis banking reformation, Lloyds Banking Group PLC has developed its strategy in multiple ways. Among its financial packages, it has been included with limiting banking ability while deciding the required capital for compiling with trades and loans. In the part of its economic changes, it started in 2009, when the European ordered the group the divert part in its business. </w:t>
      </w:r>
      <w:r w:rsidR="00D22ED9">
        <w:t>Therefore,</w:t>
      </w:r>
      <w:r>
        <w:t xml:space="preserve"> in the year 2013, the Lloyds TSB had been divided into 2 separate types from where the Lloyds TSB Bank PLC known as Lloyds Bank plc. In relation to this, the bank had returned to private ownership from the year 2017. Later in 2018, Lloyds Banking Group complied with ring-fencing legislation. After the financial breakdown, the group started adjusting its focus to a “customer-facing financial service supplier </w:t>
      </w:r>
      <w:r w:rsidR="00524D84">
        <w:t>brand”. Through</w:t>
      </w:r>
      <w:r>
        <w:t xml:space="preserve"> supporting its </w:t>
      </w:r>
      <w:r w:rsidR="00524D84">
        <w:t>commitment,</w:t>
      </w:r>
      <w:r>
        <w:t xml:space="preserve"> the Lloyds Banking Group adapted the “financial supplier qualification system” (FSQS). The FSQS has been designed to manage and standardising banking requests for assurance and compliance data. Referring to the regulatory environment becoming more critical the bank had started taking care of its stakeholders while also working responsibly with the suppliers for risk minimisation and protection of customers. In using FSQS, a standardised mechanism can be referred to in managing and collecting supplier assurance all across the groups. Acting as an integral part of the banking sourcing process, potential business opportunities can be created (lloydsbankinggroup.com, 2023). </w:t>
      </w:r>
    </w:p>
    <w:p w14:paraId="167608A8" w14:textId="77777777" w:rsidR="00344FCE" w:rsidRDefault="00000000" w:rsidP="00B420C6">
      <w:pPr>
        <w:jc w:val="center"/>
      </w:pPr>
      <w:r>
        <w:rPr>
          <w:noProof/>
        </w:rPr>
        <w:drawing>
          <wp:inline distT="114300" distB="114300" distL="114300" distR="114300" wp14:anchorId="334283FB" wp14:editId="19CDF992">
            <wp:extent cx="4181475" cy="28575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181475" cy="2857500"/>
                    </a:xfrm>
                    <a:prstGeom prst="rect">
                      <a:avLst/>
                    </a:prstGeom>
                    <a:ln/>
                  </pic:spPr>
                </pic:pic>
              </a:graphicData>
            </a:graphic>
          </wp:inline>
        </w:drawing>
      </w:r>
    </w:p>
    <w:p w14:paraId="4936DBB0" w14:textId="77777777" w:rsidR="00344FCE" w:rsidRDefault="00000000" w:rsidP="00B420C6">
      <w:pPr>
        <w:jc w:val="center"/>
        <w:rPr>
          <w:b/>
        </w:rPr>
      </w:pPr>
      <w:r>
        <w:rPr>
          <w:b/>
        </w:rPr>
        <w:t>Figure 6.1: GDP Index of LBG</w:t>
      </w:r>
    </w:p>
    <w:p w14:paraId="5896D3CA" w14:textId="77777777" w:rsidR="00344FCE" w:rsidRDefault="00000000" w:rsidP="00B420C6">
      <w:pPr>
        <w:jc w:val="center"/>
      </w:pPr>
      <w:r>
        <w:t>(Source: lloydsbankinggroup.com, (2023)</w:t>
      </w:r>
    </w:p>
    <w:p w14:paraId="2D47D8F5" w14:textId="77777777" w:rsidR="00344FCE" w:rsidRDefault="00000000" w:rsidP="00B420C6">
      <w:r>
        <w:t>In the part of banking benefits upon suppliers, these can be discussed as -</w:t>
      </w:r>
    </w:p>
    <w:p w14:paraId="385AEA0C" w14:textId="77777777" w:rsidR="00344FCE" w:rsidRDefault="00000000" w:rsidP="00B420C6">
      <w:pPr>
        <w:numPr>
          <w:ilvl w:val="0"/>
          <w:numId w:val="4"/>
        </w:numPr>
        <w:jc w:val="left"/>
        <w:rPr>
          <w:color w:val="000000"/>
        </w:rPr>
      </w:pPr>
      <w:r>
        <w:t>Creating a banking outline process for submitting compliance and assurance data in deducing duplicate requests all over the group</w:t>
      </w:r>
    </w:p>
    <w:p w14:paraId="12D1AD4C" w14:textId="77777777" w:rsidR="00344FCE" w:rsidRDefault="00000000" w:rsidP="00B420C6">
      <w:pPr>
        <w:numPr>
          <w:ilvl w:val="0"/>
          <w:numId w:val="4"/>
        </w:numPr>
        <w:jc w:val="left"/>
        <w:rPr>
          <w:color w:val="000000"/>
        </w:rPr>
      </w:pPr>
      <w:r>
        <w:lastRenderedPageBreak/>
        <w:t>Making an “online supplier profile” which can be updated throughout the year to explain the present compliance structure of the banking policies</w:t>
      </w:r>
    </w:p>
    <w:p w14:paraId="10F1F569" w14:textId="77777777" w:rsidR="00344FCE" w:rsidRDefault="00000000" w:rsidP="00B420C6">
      <w:pPr>
        <w:numPr>
          <w:ilvl w:val="0"/>
          <w:numId w:val="4"/>
        </w:numPr>
        <w:jc w:val="left"/>
        <w:rPr>
          <w:color w:val="000000"/>
        </w:rPr>
      </w:pPr>
      <w:r>
        <w:t>Defining the compliance requirements as proportional to the delivered services and products</w:t>
      </w:r>
    </w:p>
    <w:p w14:paraId="2D60647C" w14:textId="77777777" w:rsidR="00344FCE" w:rsidRDefault="00000000" w:rsidP="00B420C6">
      <w:pPr>
        <w:numPr>
          <w:ilvl w:val="0"/>
          <w:numId w:val="4"/>
        </w:numPr>
        <w:jc w:val="left"/>
        <w:rPr>
          <w:color w:val="000000"/>
        </w:rPr>
      </w:pPr>
      <w:r>
        <w:t>Identifying qualification which explains one doesn’t have to give assurance information every time in bidding on the business with a group</w:t>
      </w:r>
    </w:p>
    <w:p w14:paraId="65FBAA62" w14:textId="34BA629C" w:rsidR="00344FCE" w:rsidRDefault="00524D84" w:rsidP="00B420C6">
      <w:r>
        <w:t>Therefore, under this stage of qualification, there are two levels. In stage 1 types the suppliers are found in receiving email invitations in completing an online questionnaire. An external partner Helios sent this invitation. After completing this assessment other banks can decide whether an organisation is required with stage 1 qualification and also required to complete stage 2 assessment. After that, the stage 2 qualification has been included with the detailed assessment along with the evidence provision in supporting the recommended application. This stage has been covered with the practices under third-party policies. Stage 2 has been incurred with the annual fee which is also payable in direct relation with Helios. It covers the operational costs of system administration. Through supporting the “Group’s Helping Britain Prosper Plan”. As the cost of Stage 2 qualification, there will be no fee applicable in the case of medium, small, and micro-sized enterprises. In relation to this stage 2 qualification, the Bank might wish to conduct further activities which include an on-site audit (lloydsbankinggroup.com, 2023).</w:t>
      </w:r>
    </w:p>
    <w:p w14:paraId="02C45A6E" w14:textId="77777777" w:rsidR="00344FCE" w:rsidRDefault="00344FCE" w:rsidP="00B420C6"/>
    <w:p w14:paraId="41CDE5DC" w14:textId="77777777" w:rsidR="00344FCE" w:rsidRDefault="00000000" w:rsidP="00B420C6">
      <w:pPr>
        <w:jc w:val="center"/>
      </w:pPr>
      <w:r>
        <w:rPr>
          <w:noProof/>
        </w:rPr>
        <w:drawing>
          <wp:inline distT="114300" distB="114300" distL="114300" distR="114300" wp14:anchorId="0DEC1129" wp14:editId="345B116F">
            <wp:extent cx="4189087" cy="187363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189087" cy="1873634"/>
                    </a:xfrm>
                    <a:prstGeom prst="rect">
                      <a:avLst/>
                    </a:prstGeom>
                    <a:ln/>
                  </pic:spPr>
                </pic:pic>
              </a:graphicData>
            </a:graphic>
          </wp:inline>
        </w:drawing>
      </w:r>
    </w:p>
    <w:p w14:paraId="12F7EFBC" w14:textId="77777777" w:rsidR="00344FCE" w:rsidRDefault="00000000" w:rsidP="00B420C6">
      <w:pPr>
        <w:jc w:val="center"/>
        <w:rPr>
          <w:b/>
        </w:rPr>
      </w:pPr>
      <w:r>
        <w:rPr>
          <w:b/>
        </w:rPr>
        <w:t>Figure 6.2: Banking failures in multiple services</w:t>
      </w:r>
    </w:p>
    <w:p w14:paraId="4CB4BC5D" w14:textId="77777777" w:rsidR="00344FCE" w:rsidRDefault="00000000" w:rsidP="00B420C6">
      <w:pPr>
        <w:jc w:val="center"/>
      </w:pPr>
      <w:r>
        <w:t>(Source: Lloydsbankinggroup.2023)</w:t>
      </w:r>
    </w:p>
    <w:p w14:paraId="4CAB170C" w14:textId="77777777" w:rsidR="00344FCE" w:rsidRDefault="00000000" w:rsidP="00B420C6">
      <w:r>
        <w:t>In the part of banking benefits upon suppliers, these can be discussed as -</w:t>
      </w:r>
    </w:p>
    <w:p w14:paraId="5AA00A57" w14:textId="77777777" w:rsidR="00344FCE" w:rsidRDefault="00000000" w:rsidP="00B420C6">
      <w:pPr>
        <w:numPr>
          <w:ilvl w:val="0"/>
          <w:numId w:val="2"/>
        </w:numPr>
        <w:jc w:val="left"/>
        <w:rPr>
          <w:color w:val="000000"/>
        </w:rPr>
      </w:pPr>
      <w:r>
        <w:t>Creating a banking outline process for submitting compliance and assurance data in deducing duplicate requests all over the group</w:t>
      </w:r>
    </w:p>
    <w:p w14:paraId="48B9836C" w14:textId="77777777" w:rsidR="00344FCE" w:rsidRDefault="00000000" w:rsidP="00B420C6">
      <w:pPr>
        <w:numPr>
          <w:ilvl w:val="0"/>
          <w:numId w:val="2"/>
        </w:numPr>
        <w:jc w:val="left"/>
        <w:rPr>
          <w:color w:val="000000"/>
        </w:rPr>
      </w:pPr>
      <w:r>
        <w:t>Making an “online supplier profile” that can be updated throughout the year to explain the present compliance structure of the banking policies</w:t>
      </w:r>
    </w:p>
    <w:p w14:paraId="0FF39B95" w14:textId="77777777" w:rsidR="00344FCE" w:rsidRDefault="00000000" w:rsidP="00B420C6">
      <w:pPr>
        <w:numPr>
          <w:ilvl w:val="0"/>
          <w:numId w:val="2"/>
        </w:numPr>
        <w:jc w:val="left"/>
        <w:rPr>
          <w:color w:val="000000"/>
        </w:rPr>
      </w:pPr>
      <w:r>
        <w:lastRenderedPageBreak/>
        <w:t>Defining the compliance requirements as proportional to the delivered services and products</w:t>
      </w:r>
    </w:p>
    <w:p w14:paraId="0FA45256" w14:textId="77777777" w:rsidR="00344FCE" w:rsidRDefault="00000000" w:rsidP="00B420C6">
      <w:pPr>
        <w:numPr>
          <w:ilvl w:val="0"/>
          <w:numId w:val="2"/>
        </w:numPr>
        <w:jc w:val="left"/>
        <w:rPr>
          <w:color w:val="000000"/>
        </w:rPr>
      </w:pPr>
      <w:r>
        <w:t>Identifying qualifications which explains one doesn’t have to give assurance information every time in bidding on the business with a group</w:t>
      </w:r>
    </w:p>
    <w:p w14:paraId="2DF7715A" w14:textId="041ECC47" w:rsidR="00344FCE" w:rsidRDefault="00524D84" w:rsidP="00B420C6">
      <w:r>
        <w:t>Therefore, under this stage of qualification, there are two levels. In stage 1 types the suppliers are found in receiving email invitations in completing an online questionnaire. An external partner Helios sent this invitation. After completing this assessment other banks can decide whether an organisation is required with stage 1 qualification and also required to complete stage 2 assessment. After that, the stage 2 qualification has been included with the detailed assessment along with the evidence provision in supporting the recommended application. This stage has been covered with the practices under third-party policies. Stage 2 has been incurred with the annual fee which is also payable in direct relation with Helios. It covers the operational costs of system administration. Through supporting the “Group’s Helping Britain Prosper Plan”. As the cost of Stage 2 qualification, there will be no fee applicable in the case of medium, small, and micro-sized enterprises. In relation to this stage 2 qualification, the Bank might wish to conduct further activities which include an on-site audit (lloydsbankinggroup.com, 2023).</w:t>
      </w:r>
    </w:p>
    <w:p w14:paraId="08C467CF" w14:textId="77777777" w:rsidR="00344FCE" w:rsidRDefault="00344FCE" w:rsidP="00B420C6"/>
    <w:p w14:paraId="71CF2911" w14:textId="77777777" w:rsidR="00344FCE" w:rsidRDefault="00000000" w:rsidP="00B420C6">
      <w:pPr>
        <w:jc w:val="center"/>
      </w:pPr>
      <w:r>
        <w:rPr>
          <w:noProof/>
        </w:rPr>
        <w:drawing>
          <wp:inline distT="114300" distB="114300" distL="114300" distR="114300" wp14:anchorId="24B8AA5D" wp14:editId="5B6C7FDC">
            <wp:extent cx="4428068" cy="230225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428068" cy="2302259"/>
                    </a:xfrm>
                    <a:prstGeom prst="rect">
                      <a:avLst/>
                    </a:prstGeom>
                    <a:ln/>
                  </pic:spPr>
                </pic:pic>
              </a:graphicData>
            </a:graphic>
          </wp:inline>
        </w:drawing>
      </w:r>
    </w:p>
    <w:p w14:paraId="33676C36" w14:textId="18511834" w:rsidR="00344FCE" w:rsidRDefault="00000000" w:rsidP="00B420C6">
      <w:pPr>
        <w:jc w:val="center"/>
        <w:rPr>
          <w:b/>
        </w:rPr>
      </w:pPr>
      <w:r>
        <w:rPr>
          <w:b/>
        </w:rPr>
        <w:t xml:space="preserve">Figure 6.3: Balance sheet of </w:t>
      </w:r>
      <w:r w:rsidR="00524D84">
        <w:rPr>
          <w:b/>
        </w:rPr>
        <w:t>Lloyds</w:t>
      </w:r>
      <w:r>
        <w:rPr>
          <w:b/>
        </w:rPr>
        <w:t xml:space="preserve"> Group</w:t>
      </w:r>
    </w:p>
    <w:p w14:paraId="21AF10FC" w14:textId="77777777" w:rsidR="00344FCE" w:rsidRDefault="00000000" w:rsidP="00B420C6">
      <w:pPr>
        <w:jc w:val="center"/>
      </w:pPr>
      <w:r>
        <w:t>(Source: lloydsbankinggroup.com, (2023)</w:t>
      </w:r>
    </w:p>
    <w:p w14:paraId="542B6452" w14:textId="77777777" w:rsidR="00344FCE" w:rsidRDefault="00000000" w:rsidP="00B420C6">
      <w:r>
        <w:t>Within the part of supplier management and responsible sourcing the bank has aimed at sourcing its services and products with supplier management although in a responsible way. The expectations of the bank have been relied on through its minimal responsible business requirements. These are based on multiple principles -</w:t>
      </w:r>
    </w:p>
    <w:p w14:paraId="1FB4704A" w14:textId="77777777" w:rsidR="00344FCE" w:rsidRDefault="00000000" w:rsidP="00B420C6">
      <w:pPr>
        <w:numPr>
          <w:ilvl w:val="0"/>
          <w:numId w:val="3"/>
        </w:numPr>
        <w:jc w:val="left"/>
        <w:rPr>
          <w:color w:val="000000"/>
        </w:rPr>
      </w:pPr>
      <w:r>
        <w:t>Compiling with the policies of third-party suppliers</w:t>
      </w:r>
    </w:p>
    <w:p w14:paraId="684479D5" w14:textId="77777777" w:rsidR="00344FCE" w:rsidRDefault="00000000" w:rsidP="00B420C6">
      <w:pPr>
        <w:numPr>
          <w:ilvl w:val="0"/>
          <w:numId w:val="3"/>
        </w:numPr>
        <w:jc w:val="left"/>
        <w:rPr>
          <w:color w:val="000000"/>
        </w:rPr>
      </w:pPr>
      <w:r>
        <w:lastRenderedPageBreak/>
        <w:t>Delivering better outcomes to the customers</w:t>
      </w:r>
    </w:p>
    <w:p w14:paraId="2602CE00" w14:textId="77777777" w:rsidR="00344FCE" w:rsidRDefault="00000000" w:rsidP="00B420C6">
      <w:pPr>
        <w:numPr>
          <w:ilvl w:val="0"/>
          <w:numId w:val="3"/>
        </w:numPr>
        <w:jc w:val="left"/>
        <w:rPr>
          <w:color w:val="000000"/>
        </w:rPr>
      </w:pPr>
      <w:r>
        <w:t>Implementation of supplier responsibility standards as a good practice for their own supply chain</w:t>
      </w:r>
    </w:p>
    <w:p w14:paraId="54A5A5DF" w14:textId="77777777" w:rsidR="00344FCE" w:rsidRDefault="00000000" w:rsidP="00B420C6">
      <w:pPr>
        <w:numPr>
          <w:ilvl w:val="0"/>
          <w:numId w:val="3"/>
        </w:numPr>
        <w:jc w:val="left"/>
        <w:rPr>
          <w:color w:val="000000"/>
        </w:rPr>
      </w:pPr>
      <w:r>
        <w:t>Registered through Ariba Network for transfecting with the suppliers with Lloyds Banking Group</w:t>
      </w:r>
    </w:p>
    <w:p w14:paraId="71D94DFA" w14:textId="77777777" w:rsidR="00344FCE" w:rsidRDefault="00000000" w:rsidP="00B420C6">
      <w:pPr>
        <w:numPr>
          <w:ilvl w:val="0"/>
          <w:numId w:val="3"/>
        </w:numPr>
        <w:jc w:val="left"/>
        <w:rPr>
          <w:color w:val="000000"/>
        </w:rPr>
      </w:pPr>
      <w:r>
        <w:t>Ensuring of fairer business dealings</w:t>
      </w:r>
    </w:p>
    <w:p w14:paraId="3891543A" w14:textId="77777777" w:rsidR="00344FCE" w:rsidRDefault="00000000" w:rsidP="00B420C6">
      <w:pPr>
        <w:numPr>
          <w:ilvl w:val="0"/>
          <w:numId w:val="3"/>
        </w:numPr>
        <w:jc w:val="left"/>
        <w:rPr>
          <w:color w:val="000000"/>
        </w:rPr>
      </w:pPr>
      <w:r>
        <w:t>Completing of FSQS</w:t>
      </w:r>
    </w:p>
    <w:p w14:paraId="3A58F7D5" w14:textId="77777777" w:rsidR="00344FCE" w:rsidRDefault="00000000" w:rsidP="00B420C6">
      <w:r>
        <w:t xml:space="preserve">In connection with the “code of supplier responsibility,” has been implemented by setting out minimum standards for all of the supplier types. Through this, the banking group is encompassing ethical, social, and environmental key principles while adhering to its business. These supplier chains are found to be critical for fulfilling customer needs. Along with this, the bank is also connecting with the suppliers in managing risk or maintaining its quality standards. With effective collaboration, the bank is enabling innovation by creating customer value (lloydsbankinggroup.com, 2023). </w:t>
      </w:r>
    </w:p>
    <w:p w14:paraId="02287A27" w14:textId="77777777" w:rsidR="00344FCE" w:rsidRDefault="00000000" w:rsidP="00B420C6">
      <w:r>
        <w:t>The Lloyds bank has been regulated by the “Financial Conduct Authority'' along with the “Prudential Regulation Authority” (Buckle and Thompson, 2020). There is also a Financial Crime team, that has been involved in regulating its branding and trading rights along with the licenses from all kinds of risks like corruption, money laundering, insider dealing, transactions, fraud, and abuse of markets also.</w:t>
      </w:r>
    </w:p>
    <w:p w14:paraId="65E2E07D" w14:textId="77777777" w:rsidR="00344FCE" w:rsidRDefault="00000000" w:rsidP="00B420C6">
      <w:pPr>
        <w:pStyle w:val="Heading1"/>
      </w:pPr>
      <w:bookmarkStart w:id="20" w:name="_uf93ufpl8rvx" w:colFirst="0" w:colLast="0"/>
      <w:bookmarkStart w:id="21" w:name="_Toc152617953"/>
      <w:bookmarkEnd w:id="20"/>
      <w:r>
        <w:t>7. Conclusion</w:t>
      </w:r>
      <w:bookmarkEnd w:id="21"/>
      <w:r>
        <w:t xml:space="preserve"> </w:t>
      </w:r>
    </w:p>
    <w:p w14:paraId="4BCB0FB3" w14:textId="4FA3CA07" w:rsidR="00344FCE" w:rsidRDefault="00000000" w:rsidP="00B420C6">
      <w:r>
        <w:t xml:space="preserve">Like other banking institutions, Lloyds Banking Group PLC was also hit hard by the financial crisis. In the above section, the overall poor banking structures along with the banking shareholders' situation have been discussed. After that incident, the bank made multiple types of compliance and non-compliance regulations which helped the LBG in making its financial reformation. Through merger and acquisition, the group had been reformed in 2009. With economic reformation, the bank has become one of the leading UK banks delivering better services and products to its customers. Regarding this, the manifesto of LBG has been relied on to serve families, individuals, and businesses. Along with the improvement of data reliability, this gives the bank a competitive advantage. Within part of its digitization, the bank became one of the largest digital banks in the UK. From the year 2022, the bank had been found with an 8% increment among digital active users (Korol </w:t>
      </w:r>
      <w:r>
        <w:rPr>
          <w:i/>
        </w:rPr>
        <w:t xml:space="preserve">et al., </w:t>
      </w:r>
      <w:r>
        <w:t xml:space="preserve">2022). Benefitted from the workplace reengineering the LBG has developed its workplace culture, productivity, and workplace morale. The bank has been impacted negatively by the financial crisis. In using </w:t>
      </w:r>
      <w:r w:rsidR="00524D84">
        <w:t>of</w:t>
      </w:r>
      <w:r>
        <w:t xml:space="preserve"> </w:t>
      </w:r>
      <w:r w:rsidR="00524D84">
        <w:lastRenderedPageBreak/>
        <w:t>opportunities,</w:t>
      </w:r>
      <w:r>
        <w:t xml:space="preserve"> the bank is enabled to adopt its banking transformation while delivering exemplary customer services and products.</w:t>
      </w:r>
    </w:p>
    <w:p w14:paraId="48263346" w14:textId="77777777" w:rsidR="00344FCE" w:rsidRDefault="00000000" w:rsidP="00B420C6">
      <w:r>
        <w:br w:type="page"/>
      </w:r>
    </w:p>
    <w:p w14:paraId="7C89D7D2" w14:textId="77777777" w:rsidR="00344FCE" w:rsidRDefault="00000000" w:rsidP="00B420C6">
      <w:pPr>
        <w:pStyle w:val="Heading1"/>
      </w:pPr>
      <w:bookmarkStart w:id="22" w:name="_ht1xnrph696y" w:colFirst="0" w:colLast="0"/>
      <w:bookmarkStart w:id="23" w:name="_Toc152617954"/>
      <w:bookmarkEnd w:id="22"/>
      <w:r>
        <w:lastRenderedPageBreak/>
        <w:t>8. Reference list</w:t>
      </w:r>
      <w:bookmarkEnd w:id="23"/>
      <w:r>
        <w:t xml:space="preserve"> </w:t>
      </w:r>
    </w:p>
    <w:p w14:paraId="4F2999DC" w14:textId="77777777" w:rsidR="00344FCE" w:rsidRDefault="00000000" w:rsidP="00B420C6">
      <w:r>
        <w:t xml:space="preserve">Altamura, C.E., 2023. Commercial Banking from Oil Crisis to Debt Crisis: The Case of Lloyds Bank. </w:t>
      </w:r>
      <w:proofErr w:type="spellStart"/>
      <w:r>
        <w:t>Jahrbuch</w:t>
      </w:r>
      <w:proofErr w:type="spellEnd"/>
      <w:r>
        <w:t xml:space="preserve"> für </w:t>
      </w:r>
      <w:proofErr w:type="spellStart"/>
      <w:r>
        <w:t>Wirtschaftsgeschichte</w:t>
      </w:r>
      <w:proofErr w:type="spellEnd"/>
      <w:r>
        <w:t xml:space="preserve">/Economic History Yearbook, 64(2), pp.469-487. </w:t>
      </w:r>
      <w:hyperlink r:id="rId16">
        <w:r>
          <w:rPr>
            <w:u w:val="single"/>
          </w:rPr>
          <w:t>https://www.degruyter.com/document/doi/10.1515/jbwg-2023-0017/html</w:t>
        </w:r>
      </w:hyperlink>
      <w:r>
        <w:t xml:space="preserve"> </w:t>
      </w:r>
    </w:p>
    <w:p w14:paraId="0A006F75" w14:textId="77777777" w:rsidR="00344FCE" w:rsidRDefault="00000000" w:rsidP="00B420C6">
      <w:pPr>
        <w:rPr>
          <w:highlight w:val="white"/>
        </w:rPr>
      </w:pPr>
      <w:proofErr w:type="spellStart"/>
      <w:r>
        <w:rPr>
          <w:highlight w:val="white"/>
        </w:rPr>
        <w:t>Anessi</w:t>
      </w:r>
      <w:proofErr w:type="spellEnd"/>
      <w:r>
        <w:rPr>
          <w:highlight w:val="white"/>
        </w:rPr>
        <w:t xml:space="preserve">-Pessina, E., Barbera, C., </w:t>
      </w:r>
      <w:proofErr w:type="spellStart"/>
      <w:r>
        <w:rPr>
          <w:highlight w:val="white"/>
        </w:rPr>
        <w:t>Langella</w:t>
      </w:r>
      <w:proofErr w:type="spellEnd"/>
      <w:r>
        <w:rPr>
          <w:highlight w:val="white"/>
        </w:rPr>
        <w:t xml:space="preserve">, C., Manes-Rossi, F., </w:t>
      </w:r>
      <w:proofErr w:type="spellStart"/>
      <w:r>
        <w:rPr>
          <w:highlight w:val="white"/>
        </w:rPr>
        <w:t>Sancino</w:t>
      </w:r>
      <w:proofErr w:type="spellEnd"/>
      <w:r>
        <w:rPr>
          <w:highlight w:val="white"/>
        </w:rPr>
        <w:t xml:space="preserve">, A., Sicilia, M. and </w:t>
      </w:r>
      <w:proofErr w:type="spellStart"/>
      <w:r>
        <w:rPr>
          <w:highlight w:val="white"/>
        </w:rPr>
        <w:t>Steccolini</w:t>
      </w:r>
      <w:proofErr w:type="spellEnd"/>
      <w:r>
        <w:rPr>
          <w:highlight w:val="white"/>
        </w:rPr>
        <w:t>, I., 2020. Reconsidering public budgeting after the COVID-19 outbreak: key lessons and future challenges. Journal of Public Budgeting, Accounting &amp; Financial Management, 32(5), pp.957-965.</w:t>
      </w:r>
      <w:hyperlink r:id="rId17">
        <w:r>
          <w:rPr>
            <w:highlight w:val="white"/>
            <w:u w:val="single"/>
          </w:rPr>
          <w:t>https://repository.essex.ac.uk/30402/5/COVID%20and%20accounting_SI%20JPBFAM_2020_FINAL_Main%20document_Resubmission%20final.pdf</w:t>
        </w:r>
      </w:hyperlink>
    </w:p>
    <w:p w14:paraId="4DC08982" w14:textId="77777777" w:rsidR="00344FCE" w:rsidRDefault="00000000" w:rsidP="00B420C6">
      <w:pPr>
        <w:rPr>
          <w:highlight w:val="white"/>
        </w:rPr>
      </w:pPr>
      <w:proofErr w:type="spellStart"/>
      <w:r>
        <w:rPr>
          <w:highlight w:val="white"/>
        </w:rPr>
        <w:t>Bankofengland</w:t>
      </w:r>
      <w:proofErr w:type="spellEnd"/>
      <w:r>
        <w:rPr>
          <w:highlight w:val="white"/>
        </w:rPr>
        <w:t xml:space="preserve"> (2015). </w:t>
      </w:r>
      <w:r>
        <w:rPr>
          <w:i/>
          <w:highlight w:val="white"/>
        </w:rPr>
        <w:t>The failure of HBOS plc (HBOS) A report by the Financial Conduct Authority (FCA) and the Prudential Regulation Authority (PRA)</w:t>
      </w:r>
      <w:r>
        <w:rPr>
          <w:highlight w:val="white"/>
        </w:rPr>
        <w:t>. [online] Available at: https://www.bankofengland.co.uk/-/media/boe/files/prudential-regulation/publication/hbos-summary-and-recommendations [Accessed 4 Dec. 2023].</w:t>
      </w:r>
    </w:p>
    <w:p w14:paraId="6E682E4B" w14:textId="77777777" w:rsidR="00344FCE" w:rsidRDefault="00000000" w:rsidP="00B420C6">
      <w:pPr>
        <w:rPr>
          <w:highlight w:val="white"/>
        </w:rPr>
      </w:pPr>
      <w:r>
        <w:rPr>
          <w:highlight w:val="white"/>
        </w:rPr>
        <w:t xml:space="preserve">Berger, A.N. and Roman, R.A., 2020. </w:t>
      </w:r>
      <w:r>
        <w:rPr>
          <w:i/>
          <w:highlight w:val="white"/>
        </w:rPr>
        <w:t>TARP and other bank bailouts and bail-ins around the world: Connecting Wall Street, Main Street, and the financial system</w:t>
      </w:r>
      <w:r>
        <w:rPr>
          <w:highlight w:val="white"/>
        </w:rPr>
        <w:t>. Academic Press.</w:t>
      </w:r>
      <w:hyperlink r:id="rId18">
        <w:r>
          <w:rPr>
            <w:highlight w:val="white"/>
            <w:u w:val="single"/>
          </w:rPr>
          <w:t>https://books.google.com/books?hl=en&amp;lr=&amp;id=IZLhDwAAQBAJ&amp;oi=fnd&amp;pg=PP1&amp;dq=The+usage+of+TARP+accrued+public+debt+that+guides+policymakers+through+reducing+the+influence+of+global+financial+crisis+with+proper+fiscal+prudence&amp;ots=LMJQJehuYg&amp;sig=KFTeUyfuUqlwTso4pQ8WC1dCYDA</w:t>
        </w:r>
      </w:hyperlink>
    </w:p>
    <w:p w14:paraId="2DC4ECEE" w14:textId="77777777" w:rsidR="00344FCE" w:rsidRDefault="00000000" w:rsidP="00B420C6">
      <w:r>
        <w:t xml:space="preserve">Black , L. and Hazelwood, L. (2012). </w:t>
      </w:r>
      <w:r>
        <w:rPr>
          <w:i/>
        </w:rPr>
        <w:t>FRB: The Effect of TARP on Bank Risk-Taking</w:t>
      </w:r>
      <w:r>
        <w:t>. [online] Federalreserve.gov. Available at: https://www.federalreserve.gov/pubs/ifdp/2012/1043/ifdp1043.htm [Accessed 3 Dec. 2023].</w:t>
      </w:r>
    </w:p>
    <w:p w14:paraId="76C23FB3" w14:textId="77777777" w:rsidR="00344FCE" w:rsidRDefault="00000000" w:rsidP="00B420C6">
      <w:pPr>
        <w:rPr>
          <w:highlight w:val="white"/>
        </w:rPr>
      </w:pPr>
      <w:r>
        <w:rPr>
          <w:highlight w:val="white"/>
        </w:rPr>
        <w:t xml:space="preserve">Bray, C. (2017). U.K. Government Sells Final Stake in Lloyds Banking Group. </w:t>
      </w:r>
      <w:r>
        <w:rPr>
          <w:i/>
          <w:highlight w:val="white"/>
        </w:rPr>
        <w:t>The New York Times</w:t>
      </w:r>
      <w:r>
        <w:rPr>
          <w:highlight w:val="white"/>
        </w:rPr>
        <w:t>. [online] 17 May. Available at: https://www.nytimes.com/2017/05/17/business/dealbook/lloyds-britain-bank.html [Accessed 4 Dec. 2023].</w:t>
      </w:r>
    </w:p>
    <w:p w14:paraId="15129CAF" w14:textId="77777777" w:rsidR="00344FCE" w:rsidRDefault="00000000" w:rsidP="00B420C6">
      <w:pPr>
        <w:rPr>
          <w:highlight w:val="white"/>
        </w:rPr>
      </w:pPr>
      <w:proofErr w:type="spellStart"/>
      <w:r>
        <w:rPr>
          <w:highlight w:val="white"/>
        </w:rPr>
        <w:t>Buchholtz</w:t>
      </w:r>
      <w:proofErr w:type="spellEnd"/>
      <w:r>
        <w:rPr>
          <w:highlight w:val="white"/>
        </w:rPr>
        <w:t xml:space="preserve">, A. and Lawson, A., 2021. </w:t>
      </w:r>
      <w:r>
        <w:rPr>
          <w:i/>
          <w:highlight w:val="white"/>
        </w:rPr>
        <w:t>The Rescue of American International Group Module A: The Revolving Credit Facility</w:t>
      </w:r>
      <w:r>
        <w:rPr>
          <w:highlight w:val="white"/>
        </w:rPr>
        <w:t>. The Journal of Financial Crises, 3(1), pp.20-62.</w:t>
      </w:r>
      <w:hyperlink r:id="rId19">
        <w:r>
          <w:rPr>
            <w:highlight w:val="white"/>
            <w:u w:val="single"/>
          </w:rPr>
          <w:t>https://elischolar.library.yale.edu/cgi/viewcontent.cgi?article=1144&amp;context=journal-of-financial-crises</w:t>
        </w:r>
      </w:hyperlink>
    </w:p>
    <w:p w14:paraId="0611935C" w14:textId="77777777" w:rsidR="00344FCE" w:rsidRDefault="00000000" w:rsidP="00B420C6">
      <w:r>
        <w:lastRenderedPageBreak/>
        <w:t xml:space="preserve">Buckle, M. and Thompson, J., 2020. Regulation of the banking system. In The UK financial system (fifth edition) (pp. 363-402). Manchester University Press. </w:t>
      </w:r>
      <w:hyperlink r:id="rId20">
        <w:r>
          <w:rPr>
            <w:u w:val="single"/>
          </w:rPr>
          <w:t>https://www.manchesterhive.com/display/9781526153692/9781526153692.00025.xml</w:t>
        </w:r>
      </w:hyperlink>
      <w:r>
        <w:t xml:space="preserve"> </w:t>
      </w:r>
    </w:p>
    <w:p w14:paraId="6B4EE339" w14:textId="77777777" w:rsidR="00344FCE" w:rsidRDefault="00000000" w:rsidP="00B420C6">
      <w:pPr>
        <w:rPr>
          <w:highlight w:val="white"/>
        </w:rPr>
      </w:pPr>
      <w:r>
        <w:rPr>
          <w:highlight w:val="white"/>
        </w:rPr>
        <w:t>Castonguay, A.H., 2019. An Economic Analysis of Student Loan Default. The University of Maine.</w:t>
      </w:r>
      <w:hyperlink r:id="rId21">
        <w:r>
          <w:rPr>
            <w:highlight w:val="white"/>
            <w:u w:val="single"/>
          </w:rPr>
          <w:t>https://digitalcommons.library.umaine.edu/cgi/viewcontent.cgi?article=4054&amp;context=etd</w:t>
        </w:r>
      </w:hyperlink>
    </w:p>
    <w:p w14:paraId="4C6FE164" w14:textId="77777777" w:rsidR="00344FCE" w:rsidRDefault="00000000" w:rsidP="00B420C6">
      <w:pPr>
        <w:rPr>
          <w:highlight w:val="white"/>
        </w:rPr>
      </w:pPr>
      <w:r>
        <w:rPr>
          <w:highlight w:val="white"/>
        </w:rPr>
        <w:t xml:space="preserve">Cftc.Gov (2015). </w:t>
      </w:r>
      <w:r>
        <w:rPr>
          <w:i/>
          <w:highlight w:val="white"/>
        </w:rPr>
        <w:t>Dodd-Frank Act | CFTC</w:t>
      </w:r>
      <w:r>
        <w:rPr>
          <w:highlight w:val="white"/>
        </w:rPr>
        <w:t>. [online] www.cftc.gov. Available at: https://www.cftc.gov/LawRegulation/DoddFrankAct/index.htm#:~:text=In%20the%20aftermath%20of%20the [Accessed 4 Dec. 2023].</w:t>
      </w:r>
    </w:p>
    <w:p w14:paraId="7B269184" w14:textId="77777777" w:rsidR="00344FCE" w:rsidRDefault="00000000" w:rsidP="00B420C6">
      <w:pPr>
        <w:rPr>
          <w:highlight w:val="white"/>
        </w:rPr>
      </w:pPr>
      <w:proofErr w:type="spellStart"/>
      <w:r>
        <w:rPr>
          <w:highlight w:val="white"/>
        </w:rPr>
        <w:t>Esma</w:t>
      </w:r>
      <w:proofErr w:type="spellEnd"/>
      <w:r>
        <w:rPr>
          <w:highlight w:val="white"/>
        </w:rPr>
        <w:t xml:space="preserve"> (2020). </w:t>
      </w:r>
      <w:r>
        <w:rPr>
          <w:i/>
          <w:highlight w:val="white"/>
        </w:rPr>
        <w:t>EMIR Reporting</w:t>
      </w:r>
      <w:r>
        <w:rPr>
          <w:highlight w:val="white"/>
        </w:rPr>
        <w:t>. [online] www.esma.europa.eu. Available at: https://www.esma.europa.eu/data-reporting/emir-reporting#:~:text=EMIR%20mandates%20reporting%20of%20all [Accessed 4 Dec. 2023].</w:t>
      </w:r>
    </w:p>
    <w:p w14:paraId="11A96D24" w14:textId="77777777" w:rsidR="00344FCE" w:rsidRDefault="00000000" w:rsidP="00B420C6">
      <w:r>
        <w:t xml:space="preserve">Evan, C. (2018). </w:t>
      </w:r>
      <w:r>
        <w:rPr>
          <w:i/>
        </w:rPr>
        <w:t>Great Recession, great recovery? Trends from the Current Population Survey : Monthly Labor Review: U.S. Bureau of Labor Statistics</w:t>
      </w:r>
      <w:r>
        <w:t>. [online] www.bls.gov. Available at: https://www.bls.gov/opub/mlr/2018/article/great-recession-great-recovery.htm#:~:text=During%20the%202007%E2%80%9309%20recession [Accessed 3 Dec. 2023].</w:t>
      </w:r>
    </w:p>
    <w:p w14:paraId="2BCCBF0B" w14:textId="77777777" w:rsidR="00344FCE" w:rsidRDefault="00000000" w:rsidP="00B420C6">
      <w:pPr>
        <w:rPr>
          <w:highlight w:val="white"/>
        </w:rPr>
      </w:pPr>
      <w:r>
        <w:rPr>
          <w:highlight w:val="white"/>
        </w:rPr>
        <w:t xml:space="preserve">Gao (2023). </w:t>
      </w:r>
      <w:r>
        <w:rPr>
          <w:i/>
          <w:highlight w:val="white"/>
        </w:rPr>
        <w:t>Financial Stability Oversight Council: Assessing Effectiveness Could Enhance Response to Systemic Risks | U.S. GAO</w:t>
      </w:r>
      <w:r>
        <w:rPr>
          <w:highlight w:val="white"/>
        </w:rPr>
        <w:t>. [online] www.gao.gov. Available at: https://www.gao.gov/products/gao-23-105708#:~:text=In%202010%2C%20the%20Dodd%2DFrank [Accessed 4 Dec. 2023].</w:t>
      </w:r>
    </w:p>
    <w:p w14:paraId="68C9CEFA" w14:textId="77777777" w:rsidR="00344FCE" w:rsidRDefault="00000000" w:rsidP="00B420C6">
      <w:pPr>
        <w:rPr>
          <w:highlight w:val="white"/>
        </w:rPr>
      </w:pPr>
      <w:r>
        <w:rPr>
          <w:highlight w:val="white"/>
        </w:rPr>
        <w:t xml:space="preserve">Grigorieva, A.K., </w:t>
      </w:r>
      <w:proofErr w:type="spellStart"/>
      <w:r>
        <w:rPr>
          <w:highlight w:val="white"/>
        </w:rPr>
        <w:t>Kuzero</w:t>
      </w:r>
      <w:proofErr w:type="spellEnd"/>
      <w:r>
        <w:rPr>
          <w:highlight w:val="white"/>
        </w:rPr>
        <w:t xml:space="preserve">, S.Y. and </w:t>
      </w:r>
      <w:proofErr w:type="spellStart"/>
      <w:r>
        <w:rPr>
          <w:highlight w:val="white"/>
        </w:rPr>
        <w:t>Dzarasov</w:t>
      </w:r>
      <w:proofErr w:type="spellEnd"/>
      <w:r>
        <w:rPr>
          <w:highlight w:val="white"/>
        </w:rPr>
        <w:t>, R.S., 2018. DIRECTIONS OF IMPROVEMENT OF THE GLOBAL FINANCIAL SYSTEM. In INTERNATIONAL SCIENTIFIC REVIEW OF THE PROBLEMS AND PROSPECTS OF MODERN SCIENCE AND EDUCATION (pp. 74-76).</w:t>
      </w:r>
      <w:hyperlink r:id="rId22">
        <w:r>
          <w:rPr>
            <w:highlight w:val="white"/>
            <w:u w:val="single"/>
          </w:rPr>
          <w:t>https://elibrary.ru/</w:t>
        </w:r>
        <w:proofErr w:type="spellStart"/>
        <w:r>
          <w:rPr>
            <w:highlight w:val="white"/>
            <w:u w:val="single"/>
          </w:rPr>
          <w:t>item.asp?id</w:t>
        </w:r>
        <w:proofErr w:type="spellEnd"/>
        <w:r>
          <w:rPr>
            <w:highlight w:val="white"/>
            <w:u w:val="single"/>
          </w:rPr>
          <w:t>=32639180</w:t>
        </w:r>
      </w:hyperlink>
    </w:p>
    <w:p w14:paraId="21163FB0" w14:textId="77777777" w:rsidR="00344FCE" w:rsidRDefault="00000000" w:rsidP="00B420C6">
      <w:pPr>
        <w:rPr>
          <w:highlight w:val="white"/>
        </w:rPr>
      </w:pPr>
      <w:r>
        <w:rPr>
          <w:highlight w:val="white"/>
        </w:rPr>
        <w:t xml:space="preserve">Insider.co.uk (2017). </w:t>
      </w:r>
      <w:r>
        <w:rPr>
          <w:i/>
          <w:highlight w:val="white"/>
        </w:rPr>
        <w:t xml:space="preserve">How Lloyds went from </w:t>
      </w:r>
      <w:proofErr w:type="spellStart"/>
      <w:r>
        <w:rPr>
          <w:i/>
          <w:highlight w:val="white"/>
        </w:rPr>
        <w:t>basketcase</w:t>
      </w:r>
      <w:proofErr w:type="spellEnd"/>
      <w:r>
        <w:rPr>
          <w:i/>
          <w:highlight w:val="white"/>
        </w:rPr>
        <w:t xml:space="preserve"> in 2008 to banking force in 2017</w:t>
      </w:r>
      <w:r>
        <w:rPr>
          <w:highlight w:val="white"/>
        </w:rPr>
        <w:t xml:space="preserve">. [online] </w:t>
      </w:r>
      <w:proofErr w:type="spellStart"/>
      <w:r>
        <w:rPr>
          <w:highlight w:val="white"/>
        </w:rPr>
        <w:t>businessInsider</w:t>
      </w:r>
      <w:proofErr w:type="spellEnd"/>
      <w:r>
        <w:rPr>
          <w:highlight w:val="white"/>
        </w:rPr>
        <w:t>. Available at: https://www.insider.co.uk/news/how-lloyds-went-basketcase-2008-10439315 [Accessed 4 Dec. 2023].</w:t>
      </w:r>
    </w:p>
    <w:p w14:paraId="6D9607DE" w14:textId="77777777" w:rsidR="00344FCE" w:rsidRDefault="00000000" w:rsidP="00B420C6">
      <w:pPr>
        <w:rPr>
          <w:highlight w:val="white"/>
        </w:rPr>
      </w:pPr>
      <w:r>
        <w:rPr>
          <w:highlight w:val="white"/>
        </w:rPr>
        <w:t xml:space="preserve">Kao, Y.S., Zhao, K., Ku, Y.C. and </w:t>
      </w:r>
      <w:proofErr w:type="spellStart"/>
      <w:r>
        <w:rPr>
          <w:highlight w:val="white"/>
        </w:rPr>
        <w:t>Nieh</w:t>
      </w:r>
      <w:proofErr w:type="spellEnd"/>
      <w:r>
        <w:rPr>
          <w:highlight w:val="white"/>
        </w:rPr>
        <w:t>, C.C., 2019. The asymmetric contagion effect from the US stock market around the subprime crisis between 2007 and 2010. Economic research-</w:t>
      </w:r>
      <w:proofErr w:type="spellStart"/>
      <w:r>
        <w:rPr>
          <w:highlight w:val="white"/>
        </w:rPr>
        <w:t>Ekonomska</w:t>
      </w:r>
      <w:proofErr w:type="spellEnd"/>
      <w:r>
        <w:rPr>
          <w:highlight w:val="white"/>
        </w:rPr>
        <w:t xml:space="preserve"> </w:t>
      </w:r>
      <w:proofErr w:type="spellStart"/>
      <w:r>
        <w:rPr>
          <w:highlight w:val="white"/>
        </w:rPr>
        <w:t>istraživanja</w:t>
      </w:r>
      <w:proofErr w:type="spellEnd"/>
      <w:r>
        <w:rPr>
          <w:highlight w:val="white"/>
        </w:rPr>
        <w:t>, 32(1), pp.2422-2454.</w:t>
      </w:r>
      <w:hyperlink r:id="rId23">
        <w:r>
          <w:rPr>
            <w:highlight w:val="white"/>
            <w:u w:val="single"/>
          </w:rPr>
          <w:t>https://hrcak.srce.hr/file/333744</w:t>
        </w:r>
      </w:hyperlink>
    </w:p>
    <w:p w14:paraId="2FB8D40C" w14:textId="77777777" w:rsidR="00344FCE" w:rsidRDefault="00000000" w:rsidP="00B420C6">
      <w:r>
        <w:t xml:space="preserve">Korol, M., </w:t>
      </w:r>
      <w:proofErr w:type="spellStart"/>
      <w:r>
        <w:t>Bazhenova</w:t>
      </w:r>
      <w:proofErr w:type="spellEnd"/>
      <w:r>
        <w:t xml:space="preserve">, O., Korol, I., </w:t>
      </w:r>
      <w:proofErr w:type="spellStart"/>
      <w:r>
        <w:t>Bazhenov</w:t>
      </w:r>
      <w:proofErr w:type="spellEnd"/>
      <w:r>
        <w:t xml:space="preserve">, V., Yarmolenko, J. and </w:t>
      </w:r>
      <w:proofErr w:type="spellStart"/>
      <w:r>
        <w:t>Vasylets</w:t>
      </w:r>
      <w:proofErr w:type="spellEnd"/>
      <w:r>
        <w:t xml:space="preserve">, N., 2022. The Banking system of the UK: analysis and modelling. </w:t>
      </w:r>
      <w:hyperlink r:id="rId24">
        <w:r>
          <w:rPr>
            <w:u w:val="single"/>
          </w:rPr>
          <w:t>http://ekmair.ukma.edu.ua/bitstream/handle/123456789/24768/The_Banking_system_of_the_UK_analysis_and_modelling.pdf?sequence=1</w:t>
        </w:r>
      </w:hyperlink>
      <w:r>
        <w:t xml:space="preserve"> </w:t>
      </w:r>
    </w:p>
    <w:p w14:paraId="60ABA8B3" w14:textId="77777777" w:rsidR="00344FCE" w:rsidRDefault="00000000" w:rsidP="00B420C6">
      <w:pPr>
        <w:rPr>
          <w:highlight w:val="white"/>
        </w:rPr>
      </w:pPr>
      <w:proofErr w:type="spellStart"/>
      <w:r>
        <w:rPr>
          <w:highlight w:val="white"/>
        </w:rPr>
        <w:t>LaBrosse</w:t>
      </w:r>
      <w:proofErr w:type="spellEnd"/>
      <w:r>
        <w:rPr>
          <w:highlight w:val="white"/>
        </w:rPr>
        <w:t>, J.R., Olivares-</w:t>
      </w:r>
      <w:proofErr w:type="spellStart"/>
      <w:r>
        <w:rPr>
          <w:highlight w:val="white"/>
        </w:rPr>
        <w:t>Caminal</w:t>
      </w:r>
      <w:proofErr w:type="spellEnd"/>
      <w:r>
        <w:rPr>
          <w:highlight w:val="white"/>
        </w:rPr>
        <w:t>, R. and Singh, D., 2020. Financial crisis management and bank resolution. Taylor &amp; Francis.</w:t>
      </w:r>
      <w:hyperlink r:id="rId25">
        <w:r>
          <w:rPr>
            <w:highlight w:val="white"/>
            <w:u w:val="single"/>
          </w:rPr>
          <w:t>https://books.google.com/books?hl=en&amp;lr=&amp;id=KSAJEAAAQBAJ&amp;oi=fnd&amp;pg=PT14&amp;dq=+the+usage+of+the+%E2%80%9CEmergency+Economic+Stabilisation+Act%E2%80%9D+(EESA)+helped+to+improve+troubled+assets+purchasing+and+restore+the+financial+liquidity+for+the+subprime+mortgage+crisis&amp;ots=YZ8qa5MkOU&amp;sig=1j6630ViBtVfpAC30IuC_VevdPA</w:t>
        </w:r>
      </w:hyperlink>
    </w:p>
    <w:p w14:paraId="3473BAC9" w14:textId="77777777" w:rsidR="00344FCE" w:rsidRDefault="00000000" w:rsidP="00B420C6">
      <w:pPr>
        <w:rPr>
          <w:highlight w:val="white"/>
        </w:rPr>
      </w:pPr>
      <w:r>
        <w:rPr>
          <w:highlight w:val="white"/>
        </w:rPr>
        <w:t xml:space="preserve">Lartey, T., James, G.A. and </w:t>
      </w:r>
      <w:proofErr w:type="spellStart"/>
      <w:r>
        <w:rPr>
          <w:highlight w:val="white"/>
        </w:rPr>
        <w:t>Danso</w:t>
      </w:r>
      <w:proofErr w:type="spellEnd"/>
      <w:r>
        <w:rPr>
          <w:highlight w:val="white"/>
        </w:rPr>
        <w:t>, A., 2021. Interbank funding, bank risk exposure and performance in the UK: A three-stage network DEA approach. International review of financial analysis, 75, p.101753.</w:t>
      </w:r>
      <w:hyperlink r:id="rId26">
        <w:r>
          <w:rPr>
            <w:highlight w:val="white"/>
            <w:u w:val="single"/>
          </w:rPr>
          <w:t>https://dora.dmu.ac.uk/bitstream/handle/2086/20753/Manuscript_IRFA.pdf?sequence=1&amp;isAllowed=n</w:t>
        </w:r>
      </w:hyperlink>
    </w:p>
    <w:p w14:paraId="56D1901A" w14:textId="77777777" w:rsidR="00344FCE" w:rsidRDefault="00000000" w:rsidP="00B420C6">
      <w:pPr>
        <w:rPr>
          <w:highlight w:val="white"/>
        </w:rPr>
      </w:pPr>
      <w:proofErr w:type="spellStart"/>
      <w:r>
        <w:rPr>
          <w:highlight w:val="white"/>
        </w:rPr>
        <w:t>Lloydsbank</w:t>
      </w:r>
      <w:proofErr w:type="spellEnd"/>
      <w:r>
        <w:rPr>
          <w:highlight w:val="white"/>
        </w:rPr>
        <w:t xml:space="preserve"> (2020). </w:t>
      </w:r>
      <w:r>
        <w:rPr>
          <w:i/>
          <w:highlight w:val="white"/>
        </w:rPr>
        <w:t>Lloyds Bank - Internet Banking - Error</w:t>
      </w:r>
      <w:r>
        <w:rPr>
          <w:highlight w:val="white"/>
        </w:rPr>
        <w:t>. [online] www.lloydsbank.com. Available at: https://www.lloydsbank.com/investing/ics-service.html#:~:text=Under%20Central%20Securities%20Depositories%20Regulation [Accessed 4 Dec. 2023].</w:t>
      </w:r>
    </w:p>
    <w:p w14:paraId="4092228B" w14:textId="77777777" w:rsidR="00344FCE" w:rsidRDefault="00000000" w:rsidP="00B420C6">
      <w:pPr>
        <w:rPr>
          <w:highlight w:val="white"/>
        </w:rPr>
      </w:pPr>
      <w:proofErr w:type="spellStart"/>
      <w:r>
        <w:rPr>
          <w:highlight w:val="white"/>
        </w:rPr>
        <w:t>Lloydsbankcommercial</w:t>
      </w:r>
      <w:proofErr w:type="spellEnd"/>
      <w:r>
        <w:rPr>
          <w:highlight w:val="white"/>
        </w:rPr>
        <w:t xml:space="preserve"> (2014). </w:t>
      </w:r>
      <w:r>
        <w:rPr>
          <w:i/>
          <w:highlight w:val="white"/>
        </w:rPr>
        <w:t>Derivative Market Reform: Understanding EMIR</w:t>
      </w:r>
      <w:r>
        <w:rPr>
          <w:highlight w:val="white"/>
        </w:rPr>
        <w:t xml:space="preserve">. [online] </w:t>
      </w:r>
      <w:proofErr w:type="spellStart"/>
      <w:r>
        <w:rPr>
          <w:highlight w:val="white"/>
        </w:rPr>
        <w:t>Lloydsbankcommercial</w:t>
      </w:r>
      <w:proofErr w:type="spellEnd"/>
      <w:r>
        <w:rPr>
          <w:highlight w:val="white"/>
        </w:rPr>
        <w:t>. Available at: https://www.lloydsbankcommercial.com/uploadedFiles/724.1%20EMIR%20factsheet%20v1%20contacts.pdf [Accessed 4 Dec. 2023].</w:t>
      </w:r>
    </w:p>
    <w:p w14:paraId="4143F3F4" w14:textId="77777777" w:rsidR="00344FCE" w:rsidRDefault="00000000" w:rsidP="00B420C6">
      <w:r>
        <w:t>lloydsbankinggroup.com, (2023),</w:t>
      </w:r>
      <w:r>
        <w:rPr>
          <w:i/>
        </w:rPr>
        <w:t xml:space="preserve"> FINANCIAL SUPPLIER QUALIFICATION SYSTEM, </w:t>
      </w:r>
      <w:r>
        <w:t xml:space="preserve">Available at: </w:t>
      </w:r>
      <w:hyperlink r:id="rId27">
        <w:r>
          <w:rPr>
            <w:u w:val="single"/>
          </w:rPr>
          <w:t>https://www.lloydsbankinggroup.com/assets/pdfs/who-we-are/working-with-suppliers/third-party-policies/fsqs-brochure.pdf</w:t>
        </w:r>
      </w:hyperlink>
      <w:r>
        <w:t xml:space="preserve"> [Accessed on: 25.11.2023]</w:t>
      </w:r>
    </w:p>
    <w:p w14:paraId="66F2C017" w14:textId="77777777" w:rsidR="00344FCE" w:rsidRDefault="00000000" w:rsidP="00B420C6">
      <w:r>
        <w:t xml:space="preserve">lloydsbankinggroup.com, (2023), </w:t>
      </w:r>
      <w:r>
        <w:rPr>
          <w:i/>
        </w:rPr>
        <w:t xml:space="preserve">Policy compliance, </w:t>
      </w:r>
      <w:r>
        <w:t xml:space="preserve">Available at:  </w:t>
      </w:r>
      <w:hyperlink r:id="rId28">
        <w:r>
          <w:rPr>
            <w:u w:val="single"/>
          </w:rPr>
          <w:t>https://www.lloydsbankinggroup.com/who-we-are/working-with-suppliers/policy-compliance.html</w:t>
        </w:r>
      </w:hyperlink>
      <w:r>
        <w:t xml:space="preserve"> [Accessed on: 25.11.2023]</w:t>
      </w:r>
    </w:p>
    <w:p w14:paraId="09C01424" w14:textId="77777777" w:rsidR="00344FCE" w:rsidRDefault="00000000" w:rsidP="00B420C6">
      <w:r>
        <w:t xml:space="preserve">lloydsbankinggroup.com, (2023), </w:t>
      </w:r>
      <w:r>
        <w:rPr>
          <w:i/>
        </w:rPr>
        <w:t xml:space="preserve">Responsible sourcing and supplier management, </w:t>
      </w:r>
      <w:r>
        <w:t xml:space="preserve">Available at: </w:t>
      </w:r>
      <w:hyperlink r:id="rId29">
        <w:r>
          <w:rPr>
            <w:u w:val="single"/>
          </w:rPr>
          <w:t>https://www.lloydsbankinggroup.com/who-we-are/working-with-suppliers/responsible-sourcing-supplier-management.html</w:t>
        </w:r>
      </w:hyperlink>
      <w:r>
        <w:t xml:space="preserve"> [Accessed on: 25.11.2023]</w:t>
      </w:r>
    </w:p>
    <w:p w14:paraId="28D15E21" w14:textId="77777777" w:rsidR="00344FCE" w:rsidRDefault="00000000" w:rsidP="00B420C6">
      <w:pPr>
        <w:rPr>
          <w:highlight w:val="white"/>
        </w:rPr>
      </w:pPr>
      <w:proofErr w:type="spellStart"/>
      <w:r>
        <w:rPr>
          <w:highlight w:val="white"/>
        </w:rPr>
        <w:t>Lloydsbankinggroup</w:t>
      </w:r>
      <w:proofErr w:type="spellEnd"/>
      <w:r>
        <w:rPr>
          <w:highlight w:val="white"/>
        </w:rPr>
        <w:t xml:space="preserve"> (2008). </w:t>
      </w:r>
      <w:proofErr w:type="spellStart"/>
      <w:r>
        <w:rPr>
          <w:i/>
          <w:highlight w:val="white"/>
        </w:rPr>
        <w:t>AnnuAl</w:t>
      </w:r>
      <w:proofErr w:type="spellEnd"/>
      <w:r>
        <w:rPr>
          <w:i/>
          <w:highlight w:val="white"/>
        </w:rPr>
        <w:t xml:space="preserve"> </w:t>
      </w:r>
      <w:proofErr w:type="spellStart"/>
      <w:r>
        <w:rPr>
          <w:i/>
          <w:highlight w:val="white"/>
        </w:rPr>
        <w:t>RepoRt</w:t>
      </w:r>
      <w:proofErr w:type="spellEnd"/>
      <w:r>
        <w:rPr>
          <w:i/>
          <w:highlight w:val="white"/>
        </w:rPr>
        <w:t xml:space="preserve"> And Accounts 2008 Creating the UK’s leading </w:t>
      </w:r>
      <w:proofErr w:type="spellStart"/>
      <w:r>
        <w:rPr>
          <w:i/>
          <w:highlight w:val="white"/>
        </w:rPr>
        <w:t>finanCial</w:t>
      </w:r>
      <w:proofErr w:type="spellEnd"/>
      <w:r>
        <w:rPr>
          <w:i/>
          <w:highlight w:val="white"/>
        </w:rPr>
        <w:t xml:space="preserve"> </w:t>
      </w:r>
      <w:proofErr w:type="spellStart"/>
      <w:r>
        <w:rPr>
          <w:i/>
          <w:highlight w:val="white"/>
        </w:rPr>
        <w:t>serviCes</w:t>
      </w:r>
      <w:proofErr w:type="spellEnd"/>
      <w:r>
        <w:rPr>
          <w:i/>
          <w:highlight w:val="white"/>
        </w:rPr>
        <w:t xml:space="preserve"> provider </w:t>
      </w:r>
      <w:proofErr w:type="spellStart"/>
      <w:r>
        <w:rPr>
          <w:i/>
          <w:highlight w:val="white"/>
        </w:rPr>
        <w:t>CoNTeNTS</w:t>
      </w:r>
      <w:proofErr w:type="spellEnd"/>
      <w:r>
        <w:rPr>
          <w:highlight w:val="white"/>
        </w:rPr>
        <w:t xml:space="preserve">. [online] Available at: </w:t>
      </w:r>
      <w:r>
        <w:rPr>
          <w:highlight w:val="white"/>
        </w:rPr>
        <w:lastRenderedPageBreak/>
        <w:t>https://www.lloydsbankinggroup.com/assets/pdfs/investors/annual-report/2008-download-links/2008_lbg_annual_report.pdf [Accessed 4 Dec. 2023].</w:t>
      </w:r>
    </w:p>
    <w:p w14:paraId="0314E28C" w14:textId="77777777" w:rsidR="00344FCE" w:rsidRDefault="00000000" w:rsidP="00B420C6">
      <w:pPr>
        <w:rPr>
          <w:highlight w:val="white"/>
        </w:rPr>
      </w:pPr>
      <w:r>
        <w:rPr>
          <w:highlight w:val="white"/>
        </w:rPr>
        <w:t xml:space="preserve">Marsh, W.B. and </w:t>
      </w:r>
      <w:proofErr w:type="spellStart"/>
      <w:r>
        <w:rPr>
          <w:highlight w:val="white"/>
        </w:rPr>
        <w:t>Laliberte</w:t>
      </w:r>
      <w:proofErr w:type="spellEnd"/>
      <w:r>
        <w:rPr>
          <w:highlight w:val="white"/>
        </w:rPr>
        <w:t>, B., 2023. The Implications of Unrealized Losses for Banks. Economic Review, 108(2), pp.1-20.</w:t>
      </w:r>
      <w:hyperlink r:id="rId30">
        <w:r>
          <w:rPr>
            <w:highlight w:val="white"/>
            <w:u w:val="single"/>
          </w:rPr>
          <w:t>https://www.kansascityfed.org/Economic%20Review/documents/9473/EconomicReviewV108N2MarshLaliberte.pdf</w:t>
        </w:r>
      </w:hyperlink>
    </w:p>
    <w:p w14:paraId="5343BE12" w14:textId="77777777" w:rsidR="00344FCE" w:rsidRDefault="00000000" w:rsidP="00B420C6">
      <w:pPr>
        <w:rPr>
          <w:highlight w:val="white"/>
        </w:rPr>
      </w:pPr>
      <w:r>
        <w:rPr>
          <w:highlight w:val="white"/>
        </w:rPr>
        <w:t xml:space="preserve">Miller, S. (2019). </w:t>
      </w:r>
      <w:r>
        <w:rPr>
          <w:i/>
          <w:highlight w:val="white"/>
        </w:rPr>
        <w:t>6 major provisions of Dodd-Frank</w:t>
      </w:r>
      <w:r>
        <w:rPr>
          <w:highlight w:val="white"/>
        </w:rPr>
        <w:t>. [online] Fin | Insights on the future of finance from Plaid. Available at: https://fin.plaid.com/articles/major-provisions-of-the-wall-street-reform-and-consumer/ [Accessed 4 Dec. 2023].</w:t>
      </w:r>
    </w:p>
    <w:p w14:paraId="68DF8EA2" w14:textId="77777777" w:rsidR="00344FCE" w:rsidRDefault="00000000" w:rsidP="00B420C6">
      <w:r>
        <w:t xml:space="preserve">Monaghan, A. (2013). Lloyds Banking Group timeline: from bailout to government sale. </w:t>
      </w:r>
      <w:r>
        <w:rPr>
          <w:i/>
        </w:rPr>
        <w:t>The Guardian</w:t>
      </w:r>
      <w:r>
        <w:t>. [online] 17 Sep. Available at: https://www.theguardian.com/business/2013/sep/17/lloyds-banking-group-from-bailout-to-selloff#:~:text=2008&amp;text=First%2Dhalf%20profits%20plunge%2070 [Accessed 3 Dec. 2023].</w:t>
      </w:r>
    </w:p>
    <w:p w14:paraId="636FC261" w14:textId="77777777" w:rsidR="00344FCE" w:rsidRDefault="00000000" w:rsidP="00B420C6">
      <w:pPr>
        <w:rPr>
          <w:highlight w:val="white"/>
        </w:rPr>
      </w:pPr>
      <w:proofErr w:type="spellStart"/>
      <w:r>
        <w:rPr>
          <w:highlight w:val="white"/>
        </w:rPr>
        <w:t>Moodys</w:t>
      </w:r>
      <w:proofErr w:type="spellEnd"/>
      <w:r>
        <w:rPr>
          <w:highlight w:val="white"/>
        </w:rPr>
        <w:t xml:space="preserve"> (2008). </w:t>
      </w:r>
      <w:r>
        <w:rPr>
          <w:i/>
          <w:highlight w:val="white"/>
        </w:rPr>
        <w:t>Special Comment Corporate Default and Recovery Rates, 1920-2006</w:t>
      </w:r>
      <w:r>
        <w:rPr>
          <w:highlight w:val="white"/>
        </w:rPr>
        <w:t>. [online] Available at: https://www.moodys.com/sites/products/DefaultResearch/2006400000429618.pdf [Accessed 4 Dec. 2023].</w:t>
      </w:r>
    </w:p>
    <w:p w14:paraId="5180E1CC" w14:textId="77777777" w:rsidR="00344FCE" w:rsidRDefault="00000000" w:rsidP="00B420C6">
      <w:pPr>
        <w:rPr>
          <w:highlight w:val="white"/>
        </w:rPr>
      </w:pPr>
      <w:r>
        <w:rPr>
          <w:highlight w:val="white"/>
        </w:rPr>
        <w:t xml:space="preserve">Mor, F. (2018). </w:t>
      </w:r>
      <w:r>
        <w:rPr>
          <w:i/>
          <w:highlight w:val="white"/>
        </w:rPr>
        <w:t>Bank rescues of 2007-09: outcomes and cost</w:t>
      </w:r>
      <w:r>
        <w:rPr>
          <w:highlight w:val="white"/>
        </w:rPr>
        <w:t>. [online] Parliament.uk. Available at: https://researchbriefings.files.parliament.uk/documents/SN05748/SN05748.pdf [Accessed 4 Dec. 2023].</w:t>
      </w:r>
    </w:p>
    <w:p w14:paraId="586331CA" w14:textId="77777777" w:rsidR="00344FCE" w:rsidRDefault="00000000" w:rsidP="00B420C6">
      <w:pPr>
        <w:rPr>
          <w:highlight w:val="white"/>
        </w:rPr>
      </w:pPr>
      <w:r>
        <w:rPr>
          <w:highlight w:val="white"/>
        </w:rPr>
        <w:t>Mustapha, U.F., Alhassan, A.W., Jiang, D.N. and Li, G.L., 2021. Sustainable aquaculture development: a review on the roles of cloud computing, internet of things and artificial intelligence (CIA). Reviews in Aquaculture, 13(4), pp.2076-2091.</w:t>
      </w:r>
      <w:hyperlink r:id="rId31">
        <w:r>
          <w:rPr>
            <w:highlight w:val="white"/>
            <w:u w:val="single"/>
          </w:rPr>
          <w:t>https://onlinelibrary.wiley.com/doi/abs/10.1111/raq.12559</w:t>
        </w:r>
      </w:hyperlink>
    </w:p>
    <w:p w14:paraId="7079F4B0" w14:textId="77777777" w:rsidR="00344FCE" w:rsidRDefault="00000000" w:rsidP="00B420C6">
      <w:pPr>
        <w:rPr>
          <w:highlight w:val="white"/>
        </w:rPr>
      </w:pPr>
      <w:r>
        <w:rPr>
          <w:highlight w:val="white"/>
        </w:rPr>
        <w:t xml:space="preserve">Ncube, M. and </w:t>
      </w:r>
      <w:proofErr w:type="spellStart"/>
      <w:r>
        <w:rPr>
          <w:highlight w:val="white"/>
        </w:rPr>
        <w:t>Hausken</w:t>
      </w:r>
      <w:proofErr w:type="spellEnd"/>
      <w:r>
        <w:rPr>
          <w:highlight w:val="white"/>
        </w:rPr>
        <w:t xml:space="preserve">, K., 2019. Evidence on the Impact of the Troubled Assets Relief Program on Stock Returns. </w:t>
      </w:r>
      <w:r>
        <w:rPr>
          <w:i/>
          <w:highlight w:val="white"/>
        </w:rPr>
        <w:t>The International Journal of Business and Finance Research</w:t>
      </w:r>
      <w:r>
        <w:rPr>
          <w:highlight w:val="white"/>
        </w:rPr>
        <w:t xml:space="preserve">, </w:t>
      </w:r>
      <w:r>
        <w:rPr>
          <w:i/>
          <w:highlight w:val="white"/>
        </w:rPr>
        <w:t>13</w:t>
      </w:r>
      <w:r>
        <w:rPr>
          <w:highlight w:val="white"/>
        </w:rPr>
        <w:t>(1), pp.1-30.</w:t>
      </w:r>
      <w:hyperlink r:id="rId32">
        <w:r>
          <w:rPr>
            <w:highlight w:val="white"/>
            <w:u w:val="single"/>
          </w:rPr>
          <w:t>https://papers.ssrn.com/sol3/papers.cfm?abstract_id=3340141</w:t>
        </w:r>
      </w:hyperlink>
    </w:p>
    <w:p w14:paraId="11ACE9C5" w14:textId="77777777" w:rsidR="00344FCE" w:rsidRDefault="00000000" w:rsidP="00B420C6">
      <w:pPr>
        <w:rPr>
          <w:highlight w:val="white"/>
        </w:rPr>
      </w:pPr>
      <w:r>
        <w:rPr>
          <w:highlight w:val="white"/>
        </w:rPr>
        <w:t xml:space="preserve">O’Halloran, S., Chen, K., Biswas, R.M.G., Kim, H., Liu, P., Zhang, Y. and Zhou, Y., 2018, November. Delegating regulation: </w:t>
      </w:r>
      <w:proofErr w:type="spellStart"/>
      <w:r>
        <w:rPr>
          <w:highlight w:val="white"/>
        </w:rPr>
        <w:t>european</w:t>
      </w:r>
      <w:proofErr w:type="spellEnd"/>
      <w:r>
        <w:rPr>
          <w:highlight w:val="white"/>
        </w:rPr>
        <w:t xml:space="preserve"> union and financial markets. In Annales des Mines-</w:t>
      </w:r>
      <w:proofErr w:type="spellStart"/>
      <w:r>
        <w:rPr>
          <w:highlight w:val="white"/>
        </w:rPr>
        <w:t>Realites</w:t>
      </w:r>
      <w:proofErr w:type="spellEnd"/>
      <w:r>
        <w:rPr>
          <w:highlight w:val="white"/>
        </w:rPr>
        <w:t xml:space="preserve"> </w:t>
      </w:r>
      <w:proofErr w:type="spellStart"/>
      <w:r>
        <w:rPr>
          <w:highlight w:val="white"/>
        </w:rPr>
        <w:t>industrielles</w:t>
      </w:r>
      <w:proofErr w:type="spellEnd"/>
      <w:r>
        <w:rPr>
          <w:highlight w:val="white"/>
        </w:rPr>
        <w:t xml:space="preserve"> (No. 4, pp. 91-111). Cairn/Softwin.</w:t>
      </w:r>
      <w:hyperlink r:id="rId33">
        <w:r>
          <w:rPr>
            <w:highlight w:val="white"/>
            <w:u w:val="single"/>
          </w:rPr>
          <w:t>https://www.cairn.info/revue-realites-industrielles-2018-4-page-91.html</w:t>
        </w:r>
      </w:hyperlink>
    </w:p>
    <w:p w14:paraId="3190D859" w14:textId="77777777" w:rsidR="00344FCE" w:rsidRDefault="00000000" w:rsidP="00B420C6">
      <w:pPr>
        <w:rPr>
          <w:highlight w:val="white"/>
        </w:rPr>
      </w:pPr>
      <w:proofErr w:type="spellStart"/>
      <w:r>
        <w:rPr>
          <w:highlight w:val="white"/>
        </w:rPr>
        <w:t>Papaioannou</w:t>
      </w:r>
      <w:proofErr w:type="spellEnd"/>
      <w:r>
        <w:rPr>
          <w:highlight w:val="white"/>
        </w:rPr>
        <w:t xml:space="preserve">, M.G., 2020. Central Banks: Gatekeepers of Monetary Stability and Guardians of Public Interest. Asset Management at Central Banks and Monetary Authorities: New Practices </w:t>
      </w:r>
      <w:r>
        <w:rPr>
          <w:highlight w:val="white"/>
        </w:rPr>
        <w:lastRenderedPageBreak/>
        <w:t>in Managing International Foreign Exchange Reserves, pp.17-39.</w:t>
      </w:r>
      <w:hyperlink r:id="rId34">
        <w:r>
          <w:rPr>
            <w:highlight w:val="white"/>
            <w:u w:val="single"/>
          </w:rPr>
          <w:t>https://link.springer.com/chapter/10.1007/978-3-030-43457-1_2</w:t>
        </w:r>
      </w:hyperlink>
    </w:p>
    <w:p w14:paraId="1CC8A780" w14:textId="77777777" w:rsidR="00344FCE" w:rsidRDefault="00000000" w:rsidP="00B420C6">
      <w:proofErr w:type="spellStart"/>
      <w:r>
        <w:t>Positivemoney</w:t>
      </w:r>
      <w:proofErr w:type="spellEnd"/>
      <w:r>
        <w:t xml:space="preserve"> (2012). </w:t>
      </w:r>
      <w:r>
        <w:rPr>
          <w:i/>
        </w:rPr>
        <w:t>What Caused the Financial Crisis &amp; Recession?</w:t>
      </w:r>
      <w:r>
        <w:t xml:space="preserve"> [online] Positive Money. Available at: https://positivemoney.org/issues/recessions-crisis/#:~:text=The%20financial%20crisis%20happened%20because [Accessed 3 Dec. 2023].</w:t>
      </w:r>
    </w:p>
    <w:p w14:paraId="58CE92D2" w14:textId="77777777" w:rsidR="00344FCE" w:rsidRDefault="00000000" w:rsidP="00B420C6">
      <w:pPr>
        <w:rPr>
          <w:highlight w:val="white"/>
        </w:rPr>
      </w:pPr>
      <w:r>
        <w:rPr>
          <w:highlight w:val="white"/>
        </w:rPr>
        <w:t>Pramod, D., 2022. Robotic process automation for industry: adoption status, benefits, challenges and research agenda. Benchmarking: an international journal, 29(5), pp.1562-1586.</w:t>
      </w:r>
      <w:hyperlink r:id="rId35">
        <w:r>
          <w:rPr>
            <w:highlight w:val="white"/>
            <w:u w:val="single"/>
          </w:rPr>
          <w:t>https://www.emerald.com/insight/content/doi/10.1108/BIJ-01-2021-0033/full/html</w:t>
        </w:r>
      </w:hyperlink>
    </w:p>
    <w:p w14:paraId="07E35A69" w14:textId="77777777" w:rsidR="00344FCE" w:rsidRDefault="00000000" w:rsidP="00B420C6">
      <w:pPr>
        <w:rPr>
          <w:highlight w:val="white"/>
        </w:rPr>
      </w:pPr>
      <w:r>
        <w:rPr>
          <w:highlight w:val="white"/>
        </w:rPr>
        <w:t xml:space="preserve">Sinha, T. (2018). A Comparative Study of the European Stability Mechanism with the Troubled Asset Relief Program of the United States. </w:t>
      </w:r>
      <w:r>
        <w:rPr>
          <w:i/>
          <w:highlight w:val="white"/>
        </w:rPr>
        <w:t>Northwestern Journal of International Law &amp; Business</w:t>
      </w:r>
      <w:r>
        <w:rPr>
          <w:highlight w:val="white"/>
        </w:rPr>
        <w:t>, [online] 38. Available at: https://scholarlycommons.law.northwestern.edu/cgi/viewcontent.cgi?article=1831&amp;context=njilb [Accessed 4 Dec. 2023].</w:t>
      </w:r>
    </w:p>
    <w:p w14:paraId="381012A3" w14:textId="77777777" w:rsidR="00344FCE" w:rsidRDefault="00000000" w:rsidP="00B420C6">
      <w:pPr>
        <w:rPr>
          <w:highlight w:val="white"/>
        </w:rPr>
      </w:pPr>
      <w:r>
        <w:rPr>
          <w:highlight w:val="white"/>
        </w:rPr>
        <w:t xml:space="preserve">Spano, D., 2021. The 2008 financial recession and the Dodd-Frank act. </w:t>
      </w:r>
      <w:r>
        <w:rPr>
          <w:i/>
          <w:highlight w:val="white"/>
        </w:rPr>
        <w:t>HOLISTICA–Journal of Business and Public Administration</w:t>
      </w:r>
      <w:r>
        <w:rPr>
          <w:highlight w:val="white"/>
        </w:rPr>
        <w:t xml:space="preserve">, </w:t>
      </w:r>
      <w:r>
        <w:rPr>
          <w:i/>
          <w:highlight w:val="white"/>
        </w:rPr>
        <w:t>12</w:t>
      </w:r>
      <w:r>
        <w:rPr>
          <w:highlight w:val="white"/>
        </w:rPr>
        <w:t>(1), pp.1-10.</w:t>
      </w:r>
      <w:hyperlink r:id="rId36">
        <w:r>
          <w:rPr>
            <w:highlight w:val="white"/>
            <w:u w:val="single"/>
          </w:rPr>
          <w:t>https://sciendo.com/pdf/10.2478/hjbpa-2021-0001</w:t>
        </w:r>
      </w:hyperlink>
    </w:p>
    <w:p w14:paraId="5BA7BC4C" w14:textId="77777777" w:rsidR="00344FCE" w:rsidRDefault="00000000" w:rsidP="00B420C6">
      <w:pPr>
        <w:rPr>
          <w:highlight w:val="white"/>
        </w:rPr>
      </w:pPr>
      <w:proofErr w:type="spellStart"/>
      <w:r>
        <w:rPr>
          <w:highlight w:val="white"/>
        </w:rPr>
        <w:t>Thieme</w:t>
      </w:r>
      <w:proofErr w:type="spellEnd"/>
      <w:r>
        <w:rPr>
          <w:highlight w:val="white"/>
        </w:rPr>
        <w:t>, D., 2019. The Economic Effects of the Volcker Rule. The Need for Humility in Policymaking: Lessons from Regulatory Policy, p.271.</w:t>
      </w:r>
      <w:hyperlink r:id="rId37">
        <w:r>
          <w:rPr>
            <w:highlight w:val="white"/>
            <w:u w:val="single"/>
          </w:rPr>
          <w:t>https://books.google.com/books?hl=en&amp;lr=&amp;id=QufaDwAAQBAJ&amp;oi=fnd&amp;pg=PA271&amp;dq=The+application+of+the+%E2%80%9CVolcker+rule%E2%80%9D+helped+banking+entities+in+promoting+the+level+of+engagement+by+sponsoring+hedge+funds+and+offering+short-term+securities&amp;ots=OPwsQaLDBv&amp;sig=KKmyK0-Po2ExyFwSOHTGcSMfpBY</w:t>
        </w:r>
      </w:hyperlink>
    </w:p>
    <w:p w14:paraId="4CEF9B95" w14:textId="77777777" w:rsidR="00344FCE" w:rsidRDefault="00000000" w:rsidP="00B420C6">
      <w:pPr>
        <w:rPr>
          <w:highlight w:val="white"/>
        </w:rPr>
      </w:pPr>
      <w:r>
        <w:rPr>
          <w:highlight w:val="white"/>
        </w:rPr>
        <w:t>Tien, N.H., Diem, P.T., Van On, P., Anh, V.T., Van Dat, N., Hung, N.T. and Tam, B.Q., 2021. The formation and development of CRM system at Thien Hoa electronics supermarket in Vietnam. International Journal of Research and Growth Evaluation, 2(4), pp.752-760.https://www.researchgate.net/profile/Nguyen-Tien-32/publication/354037511_The_formation_and_development_of_CRM_system_at_Thien_Hoa_electronics_supermarket_in_Vietnam/links/63c60103d9fb5967c2e05ba8/The-formation-and-development-of-CRM-system-at-Thien-Hoa-electronics-supermarket-in-Vietnam.pdf</w:t>
      </w:r>
    </w:p>
    <w:p w14:paraId="1F307328" w14:textId="77777777" w:rsidR="00344FCE" w:rsidRDefault="00000000" w:rsidP="00B420C6">
      <w:pPr>
        <w:rPr>
          <w:highlight w:val="white"/>
        </w:rPr>
      </w:pPr>
      <w:proofErr w:type="spellStart"/>
      <w:r>
        <w:rPr>
          <w:highlight w:val="white"/>
        </w:rPr>
        <w:t>TreasuryGov</w:t>
      </w:r>
      <w:proofErr w:type="spellEnd"/>
      <w:r>
        <w:rPr>
          <w:highlight w:val="white"/>
        </w:rPr>
        <w:t xml:space="preserve"> (2023). </w:t>
      </w:r>
      <w:r>
        <w:rPr>
          <w:i/>
          <w:highlight w:val="white"/>
        </w:rPr>
        <w:t>Troubled Asset Relief Program (TARP)</w:t>
      </w:r>
      <w:r>
        <w:rPr>
          <w:highlight w:val="white"/>
        </w:rPr>
        <w:t>. [online] U.S. Department of the Treasury. Available at: https://home.treasury.gov/data/troubled-asset-relief-program#:~:text=Of%20that%2C%20the%20following%20amounts [Accessed 4 Dec. 2023].</w:t>
      </w:r>
    </w:p>
    <w:p w14:paraId="20BE78B6" w14:textId="77777777" w:rsidR="00344FCE" w:rsidRDefault="00000000" w:rsidP="00B420C6">
      <w:r>
        <w:rPr>
          <w:highlight w:val="white"/>
        </w:rPr>
        <w:t xml:space="preserve">Van Der Hoog, S. and </w:t>
      </w:r>
      <w:proofErr w:type="spellStart"/>
      <w:r>
        <w:rPr>
          <w:highlight w:val="white"/>
        </w:rPr>
        <w:t>Dawid</w:t>
      </w:r>
      <w:proofErr w:type="spellEnd"/>
      <w:r>
        <w:rPr>
          <w:highlight w:val="white"/>
        </w:rPr>
        <w:t xml:space="preserve">, H., 2019. Bubbles, crashes, and the financial cycle: The impact of banking regulation on deep recessions. </w:t>
      </w:r>
      <w:r>
        <w:rPr>
          <w:i/>
          <w:highlight w:val="white"/>
        </w:rPr>
        <w:t>Macroeconomic Dynamics</w:t>
      </w:r>
      <w:r>
        <w:rPr>
          <w:highlight w:val="white"/>
        </w:rPr>
        <w:t xml:space="preserve">, </w:t>
      </w:r>
      <w:r>
        <w:rPr>
          <w:i/>
          <w:highlight w:val="white"/>
        </w:rPr>
        <w:t>23</w:t>
      </w:r>
      <w:r>
        <w:rPr>
          <w:highlight w:val="white"/>
        </w:rPr>
        <w:t>(3), pp.1205-</w:t>
      </w:r>
      <w:r>
        <w:rPr>
          <w:highlight w:val="white"/>
        </w:rPr>
        <w:lastRenderedPageBreak/>
        <w:t>1246.https://www.researchgate.net/profile/Sander-Van-Der-Hoog/publication/321917107_BUBBLES_CRASHES_AND_THE_FINANCIAL_CYCLE_THE_IMPACT_OF_BANKING_REGULATION_ON_DEEP_RECESSIONS/links/5a3a9391a6fdcc3d07afb345/BUBBLES-CRASHES-AND-THE-FINANCIAL-CYCLE-THE-IMPACT-OF-BANKING-REGULATION-ON-DEEP-RECESSIONS.pdf</w:t>
      </w:r>
    </w:p>
    <w:p w14:paraId="462993EA" w14:textId="77777777" w:rsidR="00344FCE" w:rsidRDefault="00000000" w:rsidP="00B420C6">
      <w:pPr>
        <w:rPr>
          <w:highlight w:val="white"/>
        </w:rPr>
      </w:pPr>
      <w:r>
        <w:rPr>
          <w:highlight w:val="white"/>
        </w:rPr>
        <w:t xml:space="preserve">Weinberg, J. (2013). </w:t>
      </w:r>
      <w:r>
        <w:rPr>
          <w:i/>
          <w:highlight w:val="white"/>
        </w:rPr>
        <w:t>The Great Recession and its Aftermath</w:t>
      </w:r>
      <w:r>
        <w:rPr>
          <w:highlight w:val="white"/>
        </w:rPr>
        <w:t>. [online] Federal Reserve History. Available at: https://www.federalreservehistory.org/essays/great-recession-and-its-aftermath [Accessed 4 Dec. 2023].</w:t>
      </w:r>
    </w:p>
    <w:p w14:paraId="441C61E2" w14:textId="77777777" w:rsidR="00344FCE" w:rsidRDefault="00000000" w:rsidP="00B420C6">
      <w:pPr>
        <w:rPr>
          <w:highlight w:val="white"/>
        </w:rPr>
      </w:pPr>
      <w:proofErr w:type="spellStart"/>
      <w:r>
        <w:rPr>
          <w:highlight w:val="white"/>
        </w:rPr>
        <w:t>Ypfs</w:t>
      </w:r>
      <w:proofErr w:type="spellEnd"/>
      <w:r>
        <w:rPr>
          <w:highlight w:val="white"/>
        </w:rPr>
        <w:t xml:space="preserve"> (2012). </w:t>
      </w:r>
      <w:r>
        <w:rPr>
          <w:i/>
          <w:highlight w:val="white"/>
        </w:rPr>
        <w:t>US Government Crisis Response | Program on Financial Stability</w:t>
      </w:r>
      <w:r>
        <w:rPr>
          <w:highlight w:val="white"/>
        </w:rPr>
        <w:t>. [online] ypfs.som.yale.edu. Available at: https://ypfs.som.yale.edu/us-government-crisis-response [Accessed 4 Dec. 2023].</w:t>
      </w:r>
    </w:p>
    <w:p w14:paraId="0FE3E7D5" w14:textId="77777777" w:rsidR="00344FCE" w:rsidRDefault="00344FCE" w:rsidP="00B420C6"/>
    <w:p w14:paraId="354189DB" w14:textId="77777777" w:rsidR="00344FCE" w:rsidRDefault="00344FCE" w:rsidP="00B420C6"/>
    <w:sectPr w:rsidR="00344FCE" w:rsidSect="009D417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CCDF" w14:textId="77777777" w:rsidR="009D4178" w:rsidRDefault="009D4178">
      <w:pPr>
        <w:spacing w:line="240" w:lineRule="auto"/>
      </w:pPr>
      <w:r>
        <w:separator/>
      </w:r>
    </w:p>
  </w:endnote>
  <w:endnote w:type="continuationSeparator" w:id="0">
    <w:p w14:paraId="7FE2AEC4" w14:textId="77777777" w:rsidR="009D4178" w:rsidRDefault="009D41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9FA0B" w14:textId="77777777" w:rsidR="009D4178" w:rsidRDefault="009D4178">
      <w:pPr>
        <w:spacing w:line="240" w:lineRule="auto"/>
      </w:pPr>
      <w:r>
        <w:separator/>
      </w:r>
    </w:p>
  </w:footnote>
  <w:footnote w:type="continuationSeparator" w:id="0">
    <w:p w14:paraId="0D823576" w14:textId="77777777" w:rsidR="009D4178" w:rsidRDefault="009D41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4403B"/>
    <w:multiLevelType w:val="multilevel"/>
    <w:tmpl w:val="91F008F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774877"/>
    <w:multiLevelType w:val="multilevel"/>
    <w:tmpl w:val="6C7EB14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181880"/>
    <w:multiLevelType w:val="multilevel"/>
    <w:tmpl w:val="31E0C05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B677CF"/>
    <w:multiLevelType w:val="multilevel"/>
    <w:tmpl w:val="01FA2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495346">
    <w:abstractNumId w:val="3"/>
  </w:num>
  <w:num w:numId="2" w16cid:durableId="1464499540">
    <w:abstractNumId w:val="2"/>
  </w:num>
  <w:num w:numId="3" w16cid:durableId="417943386">
    <w:abstractNumId w:val="0"/>
  </w:num>
  <w:num w:numId="4" w16cid:durableId="627246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FCE"/>
    <w:rsid w:val="00344FCE"/>
    <w:rsid w:val="00524D84"/>
    <w:rsid w:val="005D3C3D"/>
    <w:rsid w:val="009133EB"/>
    <w:rsid w:val="009D4178"/>
    <w:rsid w:val="009F18EF"/>
    <w:rsid w:val="00B420C6"/>
    <w:rsid w:val="00D22ED9"/>
    <w:rsid w:val="00F61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D628"/>
  <w15:docId w15:val="{74C4DC9A-5FA2-4D4E-887B-8E3A960F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420C6"/>
    <w:pPr>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B420C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420C6"/>
    <w:pPr>
      <w:spacing w:after="100"/>
    </w:pPr>
  </w:style>
  <w:style w:type="character" w:styleId="Hyperlink">
    <w:name w:val="Hyperlink"/>
    <w:basedOn w:val="DefaultParagraphFont"/>
    <w:uiPriority w:val="99"/>
    <w:unhideWhenUsed/>
    <w:rsid w:val="00B420C6"/>
    <w:rPr>
      <w:color w:val="0000FF" w:themeColor="hyperlink"/>
      <w:u w:val="single"/>
    </w:rPr>
  </w:style>
  <w:style w:type="paragraph" w:styleId="Header">
    <w:name w:val="header"/>
    <w:basedOn w:val="Normal"/>
    <w:link w:val="HeaderChar"/>
    <w:uiPriority w:val="99"/>
    <w:unhideWhenUsed/>
    <w:rsid w:val="00B420C6"/>
    <w:pPr>
      <w:tabs>
        <w:tab w:val="center" w:pos="4680"/>
        <w:tab w:val="right" w:pos="9360"/>
      </w:tabs>
      <w:spacing w:line="240" w:lineRule="auto"/>
    </w:pPr>
  </w:style>
  <w:style w:type="character" w:customStyle="1" w:styleId="HeaderChar">
    <w:name w:val="Header Char"/>
    <w:basedOn w:val="DefaultParagraphFont"/>
    <w:link w:val="Header"/>
    <w:uiPriority w:val="99"/>
    <w:rsid w:val="00B420C6"/>
  </w:style>
  <w:style w:type="paragraph" w:styleId="Footer">
    <w:name w:val="footer"/>
    <w:basedOn w:val="Normal"/>
    <w:link w:val="FooterChar"/>
    <w:uiPriority w:val="99"/>
    <w:unhideWhenUsed/>
    <w:rsid w:val="00B420C6"/>
    <w:pPr>
      <w:tabs>
        <w:tab w:val="center" w:pos="4680"/>
        <w:tab w:val="right" w:pos="9360"/>
      </w:tabs>
      <w:spacing w:line="240" w:lineRule="auto"/>
    </w:pPr>
  </w:style>
  <w:style w:type="character" w:customStyle="1" w:styleId="FooterChar">
    <w:name w:val="Footer Char"/>
    <w:basedOn w:val="DefaultParagraphFont"/>
    <w:link w:val="Footer"/>
    <w:uiPriority w:val="99"/>
    <w:rsid w:val="00B42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ooks.google.com/books?hl=en&amp;lr=&amp;id=IZLhDwAAQBAJ&amp;oi=fnd&amp;pg=PP1&amp;dq=The+usage+of+TARP+accrued+public+debt+that+guides+policymakers+through+reducing+the+influence+of+global+financial+crisis+with+proper+fiscal+prudence&amp;ots=LMJQJehuYg&amp;sig=KFTeUyfuUqlwTso4pQ8WC1dCYDA" TargetMode="External"/><Relationship Id="rId26" Type="http://schemas.openxmlformats.org/officeDocument/2006/relationships/hyperlink" Target="https://dora.dmu.ac.uk/bitstream/handle/2086/20753/Manuscript_IRFA.pdf?sequence=1&amp;isAllowed=n" TargetMode="External"/><Relationship Id="rId39" Type="http://schemas.openxmlformats.org/officeDocument/2006/relationships/theme" Target="theme/theme1.xml"/><Relationship Id="rId21" Type="http://schemas.openxmlformats.org/officeDocument/2006/relationships/hyperlink" Target="https://digitalcommons.library.umaine.edu/cgi/viewcontent.cgi?article=4054&amp;context=etd" TargetMode="External"/><Relationship Id="rId34" Type="http://schemas.openxmlformats.org/officeDocument/2006/relationships/hyperlink" Target="https://link.springer.com/chapter/10.1007/978-3-030-43457-1_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repository.essex.ac.uk/30402/5/COVID%20and%20accounting_SI%20JPBFAM_2020_FINAL_Main%20document_Resubmission%20final.pdf" TargetMode="External"/><Relationship Id="rId25" Type="http://schemas.openxmlformats.org/officeDocument/2006/relationships/hyperlink" Target="https://books.google.com/books?hl=en&amp;lr=&amp;id=KSAJEAAAQBAJ&amp;oi=fnd&amp;pg=PT14&amp;dq=+the+usage+of+the+%E2%80%9CEmergency+Economic+Stabilisation+Act%E2%80%9D+(EESA)+helped+to+improve+troubled+assets+purchasing+and+restore+the+financial+liquidity+for+the+subprime+mortgage+crisis&amp;ots=YZ8qa5MkOU&amp;sig=1j6630ViBtVfpAC30IuC_VevdPA" TargetMode="External"/><Relationship Id="rId33" Type="http://schemas.openxmlformats.org/officeDocument/2006/relationships/hyperlink" Target="https://www.cairn.info/revue-realites-industrielles-2018-4-page-91.htm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egruyter.com/document/doi/10.1515/jbwg-2023-0017/html" TargetMode="External"/><Relationship Id="rId20" Type="http://schemas.openxmlformats.org/officeDocument/2006/relationships/hyperlink" Target="https://www.manchesterhive.com/display/9781526153692/9781526153692.00025.xml" TargetMode="External"/><Relationship Id="rId29" Type="http://schemas.openxmlformats.org/officeDocument/2006/relationships/hyperlink" Target="https://www.lloydsbankinggroup.com/who-we-are/working-with-suppliers/responsible-sourcing-supplier-manageme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ekmair.ukma.edu.ua/bitstream/handle/123456789/24768/The_Banking_system_of_the_UK_analysis_and_modelling.pdf?sequence=1" TargetMode="External"/><Relationship Id="rId32" Type="http://schemas.openxmlformats.org/officeDocument/2006/relationships/hyperlink" Target="https://papers.ssrn.com/sol3/papers.cfm?abstract_id=3340141" TargetMode="External"/><Relationship Id="rId37" Type="http://schemas.openxmlformats.org/officeDocument/2006/relationships/hyperlink" Target="https://books.google.com/books?hl=en&amp;lr=&amp;id=QufaDwAAQBAJ&amp;oi=fnd&amp;pg=PA271&amp;dq=The+application+of+the+%E2%80%9CVolcker+rule%E2%80%9D+helped+banking+entities+in+promoting+the+level+of+engagement+by+sponsoring+hedge+funds+and+offering+short-term+securities&amp;ots=OPwsQaLDBv&amp;sig=KKmyK0-Po2ExyFwSOHTGcSMfpB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hrcak.srce.hr/file/333744" TargetMode="External"/><Relationship Id="rId28" Type="http://schemas.openxmlformats.org/officeDocument/2006/relationships/hyperlink" Target="https://www.lloydsbankinggroup.com/who-we-are/working-with-suppliers/policy-compliance.html" TargetMode="External"/><Relationship Id="rId36" Type="http://schemas.openxmlformats.org/officeDocument/2006/relationships/hyperlink" Target="https://sciendo.com/pdf/10.2478/hjbpa-2021-0001" TargetMode="External"/><Relationship Id="rId10" Type="http://schemas.openxmlformats.org/officeDocument/2006/relationships/image" Target="media/image3.png"/><Relationship Id="rId19" Type="http://schemas.openxmlformats.org/officeDocument/2006/relationships/hyperlink" Target="https://elischolar.library.yale.edu/cgi/viewcontent.cgi?article=1144&amp;context=journal-of-financial-crises" TargetMode="External"/><Relationship Id="rId31" Type="http://schemas.openxmlformats.org/officeDocument/2006/relationships/hyperlink" Target="https://onlinelibrary.wiley.com/doi/abs/10.1111/raq.125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library.ru/item.asp?id=32639180" TargetMode="External"/><Relationship Id="rId27" Type="http://schemas.openxmlformats.org/officeDocument/2006/relationships/hyperlink" Target="https://www.lloydsbankinggroup.com/assets/pdfs/who-we-are/working-with-suppliers/third-party-policies/fsqs-brochure.pdf" TargetMode="External"/><Relationship Id="rId30" Type="http://schemas.openxmlformats.org/officeDocument/2006/relationships/hyperlink" Target="https://www.kansascityfed.org/Economic%20Review/documents/9473/EconomicReviewV108N2MarshLaliberte.pdf" TargetMode="External"/><Relationship Id="rId35" Type="http://schemas.openxmlformats.org/officeDocument/2006/relationships/hyperlink" Target="https://www.emerald.com/insight/content/doi/10.1108/BIJ-01-2021-0033/full/html"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C33A3-8DB0-42C9-A056-A59A396B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7487</Words>
  <Characters>42679</Characters>
  <Application>Microsoft Office Word</Application>
  <DocSecurity>0</DocSecurity>
  <Lines>355</Lines>
  <Paragraphs>100</Paragraphs>
  <ScaleCrop>false</ScaleCrop>
  <Company/>
  <LinksUpToDate>false</LinksUpToDate>
  <CharactersWithSpaces>50066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Sai Durga Polasi</cp:lastModifiedBy>
  <cp:revision>3</cp:revision>
  <dcterms:created xsi:type="dcterms:W3CDTF">2023-12-21T21:15:00Z</dcterms:created>
  <dcterms:modified xsi:type="dcterms:W3CDTF">2023-12-21T21:21:00Z</dcterms:modified>
</cp:coreProperties>
</file>