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1A1C95C" wp14:paraId="414E8ACB" wp14:textId="6471BCF5">
      <w:pPr>
        <w:pStyle w:val="Normal"/>
        <w:jc w:val="center"/>
      </w:pPr>
      <w:r w:rsidR="4B106E66">
        <w:drawing>
          <wp:inline xmlns:wp14="http://schemas.microsoft.com/office/word/2010/wordprocessingDrawing" wp14:editId="06C31FE0" wp14:anchorId="706F6CEB">
            <wp:extent cx="3105150" cy="1336849"/>
            <wp:effectExtent l="0" t="0" r="0" b="0"/>
            <wp:docPr id="2188013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8801332" name="Picture 218801332"/>
                    <pic:cNvPicPr/>
                  </pic:nvPicPr>
                  <pic:blipFill>
                    <a:blip xmlns:r="http://schemas.openxmlformats.org/officeDocument/2006/relationships" r:embed="rId2015240650">
                      <a:extLst>
                        <a:ext uri="{28A0092B-C50C-407E-A947-70E740481C1C}">
                          <a14:useLocalDpi xmlns:a14="http://schemas.microsoft.com/office/drawing/2010/main"/>
                        </a:ext>
                      </a:extLst>
                    </a:blip>
                    <a:stretch>
                      <a:fillRect/>
                    </a:stretch>
                  </pic:blipFill>
                  <pic:spPr>
                    <a:xfrm rot="0">
                      <a:off x="0" y="0"/>
                      <a:ext cx="3105150" cy="1336849"/>
                    </a:xfrm>
                    <a:prstGeom prst="rect">
                      <a:avLst/>
                    </a:prstGeom>
                  </pic:spPr>
                </pic:pic>
              </a:graphicData>
            </a:graphic>
          </wp:inline>
        </w:drawing>
      </w:r>
    </w:p>
    <w:p xmlns:wp14="http://schemas.microsoft.com/office/word/2010/wordml" w:rsidP="51A1C95C" wp14:paraId="5D19CF61" wp14:textId="013EA7FC">
      <w:pPr>
        <w:spacing w:before="0" w:beforeAutospacing="off" w:after="160" w:afterAutospacing="off"/>
        <w:jc w:val="center"/>
      </w:pPr>
      <w:r w:rsidRPr="51A1C95C" w:rsidR="4B106E66">
        <w:rPr>
          <w:rFonts w:ascii="Aptos" w:hAnsi="Aptos" w:eastAsia="Aptos" w:cs="Aptos"/>
          <w:b w:val="1"/>
          <w:bCs w:val="1"/>
          <w:i w:val="0"/>
          <w:iCs w:val="0"/>
          <w:strike w:val="0"/>
          <w:dstrike w:val="0"/>
          <w:noProof w:val="0"/>
          <w:color w:val="000000" w:themeColor="text1" w:themeTint="FF" w:themeShade="FF"/>
          <w:sz w:val="28"/>
          <w:szCs w:val="28"/>
          <w:u w:val="none"/>
          <w:lang w:val="en-US"/>
        </w:rPr>
        <w:t>Module name:  Finan</w:t>
      </w:r>
      <w:r w:rsidRPr="51A1C95C" w:rsidR="277FC968">
        <w:rPr>
          <w:rFonts w:ascii="Aptos" w:hAnsi="Aptos" w:eastAsia="Aptos" w:cs="Aptos"/>
          <w:b w:val="1"/>
          <w:bCs w:val="1"/>
          <w:i w:val="0"/>
          <w:iCs w:val="0"/>
          <w:strike w:val="0"/>
          <w:dstrike w:val="0"/>
          <w:noProof w:val="0"/>
          <w:color w:val="000000" w:themeColor="text1" w:themeTint="FF" w:themeShade="FF"/>
          <w:sz w:val="28"/>
          <w:szCs w:val="28"/>
          <w:u w:val="none"/>
          <w:lang w:val="en-US"/>
        </w:rPr>
        <w:t>cial Management</w:t>
      </w:r>
    </w:p>
    <w:p xmlns:wp14="http://schemas.microsoft.com/office/word/2010/wordml" w:rsidP="51A1C95C" wp14:paraId="44993A48" wp14:textId="689C3960">
      <w:pPr>
        <w:spacing w:before="0" w:beforeAutospacing="off" w:after="160" w:afterAutospacing="off"/>
        <w:jc w:val="center"/>
        <w:rPr>
          <w:rFonts w:ascii="Aptos" w:hAnsi="Aptos" w:eastAsia="Aptos" w:cs="Aptos"/>
          <w:b w:val="1"/>
          <w:bCs w:val="1"/>
          <w:i w:val="0"/>
          <w:iCs w:val="0"/>
          <w:strike w:val="0"/>
          <w:dstrike w:val="0"/>
          <w:noProof w:val="0"/>
          <w:color w:val="000000" w:themeColor="text1" w:themeTint="FF" w:themeShade="FF"/>
          <w:sz w:val="28"/>
          <w:szCs w:val="28"/>
          <w:u w:val="none"/>
          <w:lang w:val="en-US"/>
        </w:rPr>
      </w:pPr>
      <w:r w:rsidRPr="51A1C95C" w:rsidR="4B106E66">
        <w:rPr>
          <w:rFonts w:ascii="Aptos" w:hAnsi="Aptos" w:eastAsia="Aptos" w:cs="Aptos"/>
          <w:b w:val="1"/>
          <w:bCs w:val="1"/>
          <w:i w:val="0"/>
          <w:iCs w:val="0"/>
          <w:strike w:val="0"/>
          <w:dstrike w:val="0"/>
          <w:noProof w:val="0"/>
          <w:color w:val="000000" w:themeColor="text1" w:themeTint="FF" w:themeShade="FF"/>
          <w:sz w:val="28"/>
          <w:szCs w:val="28"/>
          <w:u w:val="none"/>
          <w:lang w:val="en-US"/>
        </w:rPr>
        <w:t>Module code</w:t>
      </w:r>
      <w:r w:rsidRPr="51A1C95C" w:rsidR="4B106E66">
        <w:rPr>
          <w:rFonts w:ascii="Aptos" w:hAnsi="Aptos" w:eastAsia="Aptos" w:cs="Aptos"/>
          <w:b w:val="0"/>
          <w:bCs w:val="0"/>
          <w:i w:val="0"/>
          <w:iCs w:val="0"/>
          <w:strike w:val="0"/>
          <w:dstrike w:val="0"/>
          <w:noProof w:val="0"/>
          <w:color w:val="000000" w:themeColor="text1" w:themeTint="FF" w:themeShade="FF"/>
          <w:sz w:val="28"/>
          <w:szCs w:val="28"/>
          <w:u w:val="none"/>
          <w:lang w:val="en-US"/>
        </w:rPr>
        <w:t>:</w:t>
      </w:r>
      <w:r w:rsidRPr="51A1C95C" w:rsidR="304E3E30">
        <w:rPr>
          <w:rFonts w:ascii="Aptos" w:hAnsi="Aptos" w:eastAsia="Aptos" w:cs="Aptos"/>
          <w:b w:val="0"/>
          <w:bCs w:val="0"/>
          <w:i w:val="0"/>
          <w:iCs w:val="0"/>
          <w:strike w:val="0"/>
          <w:dstrike w:val="0"/>
          <w:noProof w:val="0"/>
          <w:color w:val="000000" w:themeColor="text1" w:themeTint="FF" w:themeShade="FF"/>
          <w:sz w:val="28"/>
          <w:szCs w:val="28"/>
          <w:u w:val="none"/>
          <w:lang w:val="en-US"/>
        </w:rPr>
        <w:t xml:space="preserve"> </w:t>
      </w:r>
      <w:r w:rsidRPr="51A1C95C" w:rsidR="304E3E30">
        <w:rPr>
          <w:rFonts w:ascii="Aptos" w:hAnsi="Aptos" w:eastAsia="Aptos" w:cs="Aptos"/>
          <w:b w:val="1"/>
          <w:bCs w:val="1"/>
          <w:i w:val="0"/>
          <w:iCs w:val="0"/>
          <w:strike w:val="0"/>
          <w:dstrike w:val="0"/>
          <w:noProof w:val="0"/>
          <w:color w:val="000000" w:themeColor="text1" w:themeTint="FF" w:themeShade="FF"/>
          <w:sz w:val="28"/>
          <w:szCs w:val="28"/>
          <w:u w:val="none"/>
          <w:lang w:val="en-US"/>
        </w:rPr>
        <w:t>(LCMBM7200_LON)</w:t>
      </w:r>
    </w:p>
    <w:p xmlns:wp14="http://schemas.microsoft.com/office/word/2010/wordml" w:rsidP="51A1C95C" wp14:paraId="1806E62F" wp14:textId="7B4DF52A">
      <w:pPr>
        <w:pStyle w:val="Normal"/>
        <w:spacing w:before="0" w:beforeAutospacing="off" w:after="160" w:afterAutospacing="off"/>
        <w:jc w:val="center"/>
        <w:rPr>
          <w:rFonts w:ascii="Segoe UI" w:hAnsi="Segoe UI" w:eastAsia="Segoe UI" w:cs="Segoe UI"/>
          <w:b w:val="1"/>
          <w:bCs w:val="1"/>
          <w:i w:val="0"/>
          <w:iCs w:val="0"/>
          <w:caps w:val="0"/>
          <w:smallCaps w:val="0"/>
          <w:noProof w:val="0"/>
          <w:color w:val="1D2125"/>
          <w:sz w:val="28"/>
          <w:szCs w:val="28"/>
          <w:lang w:val="en-US"/>
        </w:rPr>
      </w:pPr>
      <w:r w:rsidRPr="51A1C95C" w:rsidR="4B106E66">
        <w:rPr>
          <w:rFonts w:ascii="Aptos" w:hAnsi="Aptos" w:eastAsia="Aptos" w:cs="Aptos"/>
          <w:b w:val="1"/>
          <w:bCs w:val="1"/>
          <w:i w:val="0"/>
          <w:iCs w:val="0"/>
          <w:strike w:val="0"/>
          <w:dstrike w:val="0"/>
          <w:noProof w:val="0"/>
          <w:color w:val="000000" w:themeColor="text1" w:themeTint="FF" w:themeShade="FF"/>
          <w:sz w:val="28"/>
          <w:szCs w:val="28"/>
          <w:u w:val="none"/>
          <w:lang w:val="en-US"/>
        </w:rPr>
        <w:t>Lecturer name</w:t>
      </w:r>
      <w:r w:rsidRPr="51A1C95C" w:rsidR="4B106E66">
        <w:rPr>
          <w:rFonts w:ascii="Aptos" w:hAnsi="Aptos" w:eastAsia="Aptos" w:cs="Aptos"/>
          <w:b w:val="0"/>
          <w:bCs w:val="0"/>
          <w:i w:val="0"/>
          <w:iCs w:val="0"/>
          <w:strike w:val="0"/>
          <w:dstrike w:val="0"/>
          <w:noProof w:val="0"/>
          <w:color w:val="000000" w:themeColor="text1" w:themeTint="FF" w:themeShade="FF"/>
          <w:sz w:val="28"/>
          <w:szCs w:val="28"/>
          <w:u w:val="none"/>
          <w:lang w:val="en-US"/>
        </w:rPr>
        <w:t xml:space="preserve">: </w:t>
      </w:r>
      <w:r w:rsidRPr="51A1C95C" w:rsidR="5FDE1572">
        <w:rPr>
          <w:rFonts w:ascii="Segoe UI" w:hAnsi="Segoe UI" w:eastAsia="Segoe UI" w:cs="Segoe UI"/>
          <w:b w:val="1"/>
          <w:bCs w:val="1"/>
          <w:i w:val="0"/>
          <w:iCs w:val="0"/>
          <w:caps w:val="0"/>
          <w:smallCaps w:val="0"/>
          <w:noProof w:val="0"/>
          <w:color w:val="1D2125"/>
          <w:sz w:val="28"/>
          <w:szCs w:val="28"/>
          <w:lang w:val="en-US"/>
        </w:rPr>
        <w:t>Dr Shengfeng Mei</w:t>
      </w:r>
    </w:p>
    <w:p xmlns:wp14="http://schemas.microsoft.com/office/word/2010/wordml" w:rsidP="51A1C95C" wp14:paraId="11048CD3" wp14:textId="5FAC0EE5">
      <w:pPr>
        <w:jc w:val="center"/>
      </w:pPr>
    </w:p>
    <w:p xmlns:wp14="http://schemas.microsoft.com/office/word/2010/wordml" w:rsidP="51A1C95C" wp14:paraId="460CAEEB" wp14:textId="743522C2">
      <w:pPr>
        <w:spacing w:before="0" w:beforeAutospacing="off" w:after="160" w:afterAutospacing="off"/>
        <w:jc w:val="center"/>
        <w:rPr>
          <w:rFonts w:ascii="Aptos" w:hAnsi="Aptos" w:eastAsia="Aptos" w:cs="Aptos"/>
          <w:b w:val="0"/>
          <w:bCs w:val="0"/>
          <w:i w:val="0"/>
          <w:iCs w:val="0"/>
          <w:strike w:val="0"/>
          <w:dstrike w:val="0"/>
          <w:noProof w:val="0"/>
          <w:color w:val="000000" w:themeColor="text1" w:themeTint="FF" w:themeShade="FF"/>
          <w:sz w:val="28"/>
          <w:szCs w:val="28"/>
          <w:u w:val="none"/>
          <w:lang w:val="en-US"/>
        </w:rPr>
      </w:pPr>
      <w:r w:rsidRPr="51A1C95C" w:rsidR="4B106E66">
        <w:rPr>
          <w:rFonts w:ascii="Aptos" w:hAnsi="Aptos" w:eastAsia="Aptos" w:cs="Aptos"/>
          <w:b w:val="1"/>
          <w:bCs w:val="1"/>
          <w:i w:val="0"/>
          <w:iCs w:val="0"/>
          <w:strike w:val="0"/>
          <w:dstrike w:val="0"/>
          <w:noProof w:val="0"/>
          <w:color w:val="000000" w:themeColor="text1" w:themeTint="FF" w:themeShade="FF"/>
          <w:sz w:val="28"/>
          <w:szCs w:val="28"/>
          <w:u w:val="none"/>
          <w:lang w:val="en-US"/>
        </w:rPr>
        <w:t>Student name</w:t>
      </w:r>
      <w:r w:rsidRPr="51A1C95C" w:rsidR="4B106E66">
        <w:rPr>
          <w:rFonts w:ascii="Aptos" w:hAnsi="Aptos" w:eastAsia="Aptos" w:cs="Aptos"/>
          <w:b w:val="0"/>
          <w:bCs w:val="0"/>
          <w:i w:val="0"/>
          <w:iCs w:val="0"/>
          <w:strike w:val="0"/>
          <w:dstrike w:val="0"/>
          <w:noProof w:val="0"/>
          <w:color w:val="000000" w:themeColor="text1" w:themeTint="FF" w:themeShade="FF"/>
          <w:sz w:val="28"/>
          <w:szCs w:val="28"/>
          <w:u w:val="none"/>
          <w:lang w:val="en-US"/>
        </w:rPr>
        <w:t>:</w:t>
      </w:r>
      <w:r w:rsidRPr="51A1C95C" w:rsidR="3D9E324E">
        <w:rPr>
          <w:rFonts w:ascii="Aptos" w:hAnsi="Aptos" w:eastAsia="Aptos" w:cs="Aptos"/>
          <w:b w:val="0"/>
          <w:bCs w:val="0"/>
          <w:i w:val="0"/>
          <w:iCs w:val="0"/>
          <w:strike w:val="0"/>
          <w:dstrike w:val="0"/>
          <w:noProof w:val="0"/>
          <w:color w:val="000000" w:themeColor="text1" w:themeTint="FF" w:themeShade="FF"/>
          <w:sz w:val="28"/>
          <w:szCs w:val="28"/>
          <w:u w:val="none"/>
          <w:lang w:val="en-US"/>
        </w:rPr>
        <w:t xml:space="preserve"> </w:t>
      </w:r>
      <w:r w:rsidRPr="51A1C95C" w:rsidR="3D9E324E">
        <w:rPr>
          <w:rFonts w:ascii="Aptos" w:hAnsi="Aptos" w:eastAsia="Aptos" w:cs="Aptos"/>
          <w:b w:val="1"/>
          <w:bCs w:val="1"/>
          <w:i w:val="0"/>
          <w:iCs w:val="0"/>
          <w:strike w:val="0"/>
          <w:dstrike w:val="0"/>
          <w:noProof w:val="0"/>
          <w:color w:val="000000" w:themeColor="text1" w:themeTint="FF" w:themeShade="FF"/>
          <w:sz w:val="28"/>
          <w:szCs w:val="28"/>
          <w:u w:val="none"/>
          <w:lang w:val="en-US"/>
        </w:rPr>
        <w:t>Nehal Chekhalia</w:t>
      </w:r>
      <w:r>
        <w:tab/>
      </w:r>
    </w:p>
    <w:p xmlns:wp14="http://schemas.microsoft.com/office/word/2010/wordml" w:rsidP="51A1C95C" wp14:paraId="2FF85B97" wp14:textId="425F3079">
      <w:pPr>
        <w:spacing w:before="0" w:beforeAutospacing="off" w:after="160" w:afterAutospacing="off"/>
        <w:jc w:val="center"/>
        <w:rPr>
          <w:rFonts w:ascii="Aptos" w:hAnsi="Aptos" w:eastAsia="Aptos" w:cs="Aptos"/>
          <w:b w:val="1"/>
          <w:bCs w:val="1"/>
          <w:i w:val="0"/>
          <w:iCs w:val="0"/>
          <w:strike w:val="0"/>
          <w:dstrike w:val="0"/>
          <w:noProof w:val="0"/>
          <w:color w:val="000000" w:themeColor="text1" w:themeTint="FF" w:themeShade="FF"/>
          <w:sz w:val="28"/>
          <w:szCs w:val="28"/>
          <w:u w:val="none"/>
          <w:lang w:val="en-US"/>
        </w:rPr>
      </w:pPr>
      <w:r w:rsidRPr="51A1C95C" w:rsidR="4B106E66">
        <w:rPr>
          <w:rFonts w:ascii="Aptos" w:hAnsi="Aptos" w:eastAsia="Aptos" w:cs="Aptos"/>
          <w:b w:val="1"/>
          <w:bCs w:val="1"/>
          <w:i w:val="0"/>
          <w:iCs w:val="0"/>
          <w:strike w:val="0"/>
          <w:dstrike w:val="0"/>
          <w:noProof w:val="0"/>
          <w:color w:val="000000" w:themeColor="text1" w:themeTint="FF" w:themeShade="FF"/>
          <w:sz w:val="28"/>
          <w:szCs w:val="28"/>
          <w:u w:val="none"/>
          <w:lang w:val="en-US"/>
        </w:rPr>
        <w:t>Student ID</w:t>
      </w:r>
      <w:r w:rsidRPr="51A1C95C" w:rsidR="4B106E66">
        <w:rPr>
          <w:rFonts w:ascii="Aptos" w:hAnsi="Aptos" w:eastAsia="Aptos" w:cs="Aptos"/>
          <w:b w:val="0"/>
          <w:bCs w:val="0"/>
          <w:i w:val="0"/>
          <w:iCs w:val="0"/>
          <w:strike w:val="0"/>
          <w:dstrike w:val="0"/>
          <w:noProof w:val="0"/>
          <w:color w:val="000000" w:themeColor="text1" w:themeTint="FF" w:themeShade="FF"/>
          <w:sz w:val="28"/>
          <w:szCs w:val="28"/>
          <w:u w:val="none"/>
          <w:lang w:val="en-US"/>
        </w:rPr>
        <w:t>:</w:t>
      </w:r>
      <w:r w:rsidRPr="51A1C95C" w:rsidR="592E76D4">
        <w:rPr>
          <w:rFonts w:ascii="Aptos" w:hAnsi="Aptos" w:eastAsia="Aptos" w:cs="Aptos"/>
          <w:b w:val="1"/>
          <w:bCs w:val="1"/>
          <w:i w:val="0"/>
          <w:iCs w:val="0"/>
          <w:strike w:val="0"/>
          <w:dstrike w:val="0"/>
          <w:noProof w:val="0"/>
          <w:color w:val="000000" w:themeColor="text1" w:themeTint="FF" w:themeShade="FF"/>
          <w:sz w:val="28"/>
          <w:szCs w:val="28"/>
          <w:u w:val="none"/>
          <w:lang w:val="en-US"/>
        </w:rPr>
        <w:t>2545212</w:t>
      </w:r>
    </w:p>
    <w:p xmlns:wp14="http://schemas.microsoft.com/office/word/2010/wordml" w:rsidP="51A1C95C" wp14:paraId="3A9CD1B5" wp14:textId="51F092C6">
      <w:pPr>
        <w:jc w:val="center"/>
      </w:pPr>
    </w:p>
    <w:p xmlns:wp14="http://schemas.microsoft.com/office/word/2010/wordml" w:rsidP="51A1C95C" wp14:paraId="59DCEC6B" wp14:textId="59EB25B0">
      <w:pPr>
        <w:spacing w:before="0" w:beforeAutospacing="off" w:after="160" w:afterAutospacing="off"/>
        <w:jc w:val="center"/>
        <w:rPr>
          <w:rFonts w:ascii="Aptos" w:hAnsi="Aptos" w:eastAsia="Aptos" w:cs="Aptos"/>
          <w:b w:val="1"/>
          <w:bCs w:val="1"/>
          <w:i w:val="0"/>
          <w:iCs w:val="0"/>
          <w:strike w:val="0"/>
          <w:dstrike w:val="0"/>
          <w:noProof w:val="0"/>
          <w:color w:val="000000" w:themeColor="text1" w:themeTint="FF" w:themeShade="FF"/>
          <w:sz w:val="28"/>
          <w:szCs w:val="28"/>
          <w:u w:val="none"/>
          <w:lang w:val="en-US"/>
        </w:rPr>
      </w:pPr>
      <w:r w:rsidRPr="51A1C95C" w:rsidR="4B106E66">
        <w:rPr>
          <w:rFonts w:ascii="Aptos" w:hAnsi="Aptos" w:eastAsia="Aptos" w:cs="Aptos"/>
          <w:b w:val="1"/>
          <w:bCs w:val="1"/>
          <w:i w:val="0"/>
          <w:iCs w:val="0"/>
          <w:strike w:val="0"/>
          <w:dstrike w:val="0"/>
          <w:noProof w:val="0"/>
          <w:color w:val="000000" w:themeColor="text1" w:themeTint="FF" w:themeShade="FF"/>
          <w:sz w:val="28"/>
          <w:szCs w:val="28"/>
          <w:u w:val="none"/>
          <w:lang w:val="en-US"/>
        </w:rPr>
        <w:t>Word count</w:t>
      </w:r>
      <w:r w:rsidRPr="51A1C95C" w:rsidR="4B106E66">
        <w:rPr>
          <w:rFonts w:ascii="Aptos" w:hAnsi="Aptos" w:eastAsia="Aptos" w:cs="Aptos"/>
          <w:b w:val="0"/>
          <w:bCs w:val="0"/>
          <w:i w:val="0"/>
          <w:iCs w:val="0"/>
          <w:strike w:val="0"/>
          <w:dstrike w:val="0"/>
          <w:noProof w:val="0"/>
          <w:color w:val="000000" w:themeColor="text1" w:themeTint="FF" w:themeShade="FF"/>
          <w:sz w:val="28"/>
          <w:szCs w:val="28"/>
          <w:u w:val="none"/>
          <w:lang w:val="en-US"/>
        </w:rPr>
        <w:t>:</w:t>
      </w:r>
      <w:r w:rsidRPr="51A1C95C" w:rsidR="0844FB06">
        <w:rPr>
          <w:rFonts w:ascii="Aptos" w:hAnsi="Aptos" w:eastAsia="Aptos" w:cs="Aptos"/>
          <w:b w:val="1"/>
          <w:bCs w:val="1"/>
          <w:i w:val="0"/>
          <w:iCs w:val="0"/>
          <w:strike w:val="0"/>
          <w:dstrike w:val="0"/>
          <w:noProof w:val="0"/>
          <w:color w:val="000000" w:themeColor="text1" w:themeTint="FF" w:themeShade="FF"/>
          <w:sz w:val="28"/>
          <w:szCs w:val="28"/>
          <w:u w:val="none"/>
          <w:lang w:val="en-US"/>
        </w:rPr>
        <w:t>5000</w:t>
      </w:r>
    </w:p>
    <w:p xmlns:wp14="http://schemas.microsoft.com/office/word/2010/wordml" w:rsidP="51A1C95C" wp14:paraId="72436C2A" wp14:textId="4284F292">
      <w:pPr>
        <w:spacing w:before="0" w:beforeAutospacing="off" w:after="160" w:afterAutospacing="off"/>
        <w:jc w:val="center"/>
        <w:rPr>
          <w:rFonts w:ascii="Aptos" w:hAnsi="Aptos" w:eastAsia="Aptos" w:cs="Aptos"/>
          <w:b w:val="1"/>
          <w:bCs w:val="1"/>
          <w:i w:val="0"/>
          <w:iCs w:val="0"/>
          <w:strike w:val="0"/>
          <w:dstrike w:val="0"/>
          <w:noProof w:val="0"/>
          <w:color w:val="000000" w:themeColor="text1" w:themeTint="FF" w:themeShade="FF"/>
          <w:sz w:val="28"/>
          <w:szCs w:val="28"/>
          <w:u w:val="none"/>
          <w:lang w:val="en-US"/>
        </w:rPr>
      </w:pPr>
      <w:r w:rsidRPr="51A1C95C" w:rsidR="4B106E66">
        <w:rPr>
          <w:rFonts w:ascii="Aptos" w:hAnsi="Aptos" w:eastAsia="Aptos" w:cs="Aptos"/>
          <w:b w:val="1"/>
          <w:bCs w:val="1"/>
          <w:i w:val="0"/>
          <w:iCs w:val="0"/>
          <w:strike w:val="0"/>
          <w:dstrike w:val="0"/>
          <w:noProof w:val="0"/>
          <w:color w:val="000000" w:themeColor="text1" w:themeTint="FF" w:themeShade="FF"/>
          <w:sz w:val="28"/>
          <w:szCs w:val="28"/>
          <w:u w:val="none"/>
          <w:lang w:val="en-US"/>
        </w:rPr>
        <w:t>Submission date</w:t>
      </w:r>
      <w:r w:rsidRPr="51A1C95C" w:rsidR="4B106E66">
        <w:rPr>
          <w:rFonts w:ascii="Aptos" w:hAnsi="Aptos" w:eastAsia="Aptos" w:cs="Aptos"/>
          <w:b w:val="0"/>
          <w:bCs w:val="0"/>
          <w:i w:val="0"/>
          <w:iCs w:val="0"/>
          <w:strike w:val="0"/>
          <w:dstrike w:val="0"/>
          <w:noProof w:val="0"/>
          <w:color w:val="000000" w:themeColor="text1" w:themeTint="FF" w:themeShade="FF"/>
          <w:sz w:val="28"/>
          <w:szCs w:val="28"/>
          <w:u w:val="none"/>
          <w:lang w:val="en-US"/>
        </w:rPr>
        <w:t>:</w:t>
      </w:r>
      <w:r w:rsidRPr="51A1C95C" w:rsidR="189A9784">
        <w:rPr>
          <w:rFonts w:ascii="Aptos" w:hAnsi="Aptos" w:eastAsia="Aptos" w:cs="Aptos"/>
          <w:b w:val="1"/>
          <w:bCs w:val="1"/>
          <w:i w:val="0"/>
          <w:iCs w:val="0"/>
          <w:strike w:val="0"/>
          <w:dstrike w:val="0"/>
          <w:noProof w:val="0"/>
          <w:color w:val="000000" w:themeColor="text1" w:themeTint="FF" w:themeShade="FF"/>
          <w:sz w:val="28"/>
          <w:szCs w:val="28"/>
          <w:u w:val="none"/>
          <w:lang w:val="en-US"/>
        </w:rPr>
        <w:t>13-Aug-2026</w:t>
      </w:r>
    </w:p>
    <w:p xmlns:wp14="http://schemas.microsoft.com/office/word/2010/wordml" w:rsidP="51A1C95C" wp14:paraId="19F0463D" wp14:textId="57FD857C">
      <w:pPr>
        <w:jc w:val="center"/>
      </w:pPr>
    </w:p>
    <w:p xmlns:wp14="http://schemas.microsoft.com/office/word/2010/wordml" w:rsidP="51A1C95C" wp14:paraId="2A8F5854" wp14:textId="676D2772">
      <w:pPr>
        <w:spacing w:before="1600" w:beforeAutospacing="off" w:after="0" w:afterAutospacing="off"/>
        <w:jc w:val="center"/>
        <w:rPr>
          <w:rFonts w:ascii="Calibri" w:hAnsi="Calibri" w:eastAsia="Calibri" w:cs="Calibri"/>
          <w:b w:val="1"/>
          <w:bCs w:val="1"/>
          <w:i w:val="0"/>
          <w:iCs w:val="0"/>
          <w:strike w:val="0"/>
          <w:dstrike w:val="0"/>
          <w:noProof w:val="0"/>
          <w:color w:val="1F3864"/>
          <w:sz w:val="32"/>
          <w:szCs w:val="32"/>
          <w:u w:val="none"/>
          <w:lang w:val="en-US"/>
        </w:rPr>
      </w:pPr>
    </w:p>
    <w:p xmlns:wp14="http://schemas.microsoft.com/office/word/2010/wordml" wp14:paraId="08ED3F92" wp14:textId="48890367">
      <w:r>
        <w:br w:type="page"/>
      </w:r>
    </w:p>
    <w:p xmlns:wp14="http://schemas.microsoft.com/office/word/2010/wordml" w:rsidP="51A1C95C" wp14:paraId="0D2AFA1A" wp14:textId="1854DFF0">
      <w:pPr>
        <w:pStyle w:val="Normal"/>
        <w:spacing w:before="1600" w:beforeAutospacing="off" w:after="0" w:afterAutospacing="off"/>
        <w:jc w:val="center"/>
        <w:rPr>
          <w:rFonts w:ascii="Calibri" w:hAnsi="Calibri" w:eastAsia="Calibri" w:cs="Calibri"/>
          <w:b w:val="1"/>
          <w:bCs w:val="1"/>
          <w:i w:val="0"/>
          <w:iCs w:val="0"/>
          <w:strike w:val="0"/>
          <w:dstrike w:val="0"/>
          <w:noProof w:val="0"/>
          <w:color w:val="1F3864"/>
          <w:sz w:val="32"/>
          <w:szCs w:val="32"/>
          <w:u w:val="none"/>
          <w:lang w:val="en-US"/>
        </w:rPr>
      </w:pPr>
      <w:r w:rsidRPr="51A1C95C" w:rsidR="740B1170">
        <w:rPr>
          <w:rFonts w:ascii="Calibri" w:hAnsi="Calibri" w:eastAsia="Calibri" w:cs="Calibri"/>
          <w:b w:val="1"/>
          <w:bCs w:val="1"/>
          <w:i w:val="0"/>
          <w:iCs w:val="0"/>
          <w:strike w:val="0"/>
          <w:dstrike w:val="0"/>
          <w:noProof w:val="0"/>
          <w:color w:val="1F3864"/>
          <w:sz w:val="32"/>
          <w:szCs w:val="32"/>
          <w:u w:val="none"/>
          <w:lang w:val="en-US"/>
        </w:rPr>
        <w:t>HYATT HOTELS CORPORATION</w:t>
      </w:r>
    </w:p>
    <w:p xmlns:wp14="http://schemas.microsoft.com/office/word/2010/wordml" w:rsidP="51A1C95C" wp14:paraId="581E6429" wp14:textId="46CCAC4C">
      <w:pPr>
        <w:spacing w:before="200" w:beforeAutospacing="off" w:after="400" w:afterAutospacing="off"/>
        <w:jc w:val="center"/>
        <w:rPr>
          <w:rFonts w:ascii="Calibri" w:hAnsi="Calibri" w:eastAsia="Calibri" w:cs="Calibri"/>
          <w:b w:val="1"/>
          <w:bCs w:val="1"/>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1"/>
          <w:bCs w:val="1"/>
          <w:i w:val="0"/>
          <w:iCs w:val="0"/>
          <w:strike w:val="0"/>
          <w:dstrike w:val="0"/>
          <w:noProof w:val="0"/>
          <w:color w:val="000000" w:themeColor="text1" w:themeTint="FF" w:themeShade="FF"/>
          <w:sz w:val="32"/>
          <w:szCs w:val="32"/>
          <w:u w:val="none"/>
          <w:lang w:val="en-US"/>
        </w:rPr>
        <w:t>A CFO Report: Financial Health, Working Capital, Restructuring and Investment Appraisal (FY2021–FY2025)</w:t>
      </w:r>
    </w:p>
    <w:p xmlns:wp14="http://schemas.microsoft.com/office/word/2010/wordml" w:rsidP="51A1C95C" wp14:paraId="043E3652" wp14:textId="33B33844">
      <w:pPr>
        <w:spacing w:before="800" w:beforeAutospacing="off" w:after="0" w:afterAutospacing="off"/>
        <w:jc w:val="center"/>
        <w:rPr>
          <w:rFonts w:ascii="Calibri" w:hAnsi="Calibri" w:eastAsia="Calibri" w:cs="Calibri"/>
          <w:b w:val="0"/>
          <w:bCs w:val="0"/>
          <w:i w:val="1"/>
          <w:iCs w:val="1"/>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1"/>
          <w:iCs w:val="1"/>
          <w:strike w:val="0"/>
          <w:dstrike w:val="0"/>
          <w:noProof w:val="0"/>
          <w:color w:val="000000" w:themeColor="text1" w:themeTint="FF" w:themeShade="FF"/>
          <w:sz w:val="32"/>
          <w:szCs w:val="32"/>
          <w:u w:val="none"/>
          <w:lang w:val="en-US"/>
        </w:rPr>
        <w:t>Prepared in the capacity of Chief Financial Officer</w:t>
      </w:r>
    </w:p>
    <w:p xmlns:wp14="http://schemas.microsoft.com/office/word/2010/wordml" w:rsidP="51A1C95C" wp14:paraId="076EFDF4" wp14:textId="220E8800">
      <w:pPr>
        <w:spacing w:before="200" w:beforeAutospacing="off" w:after="0" w:afterAutospacing="off"/>
        <w:jc w:val="center"/>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Word count: Task 1 – 1,400; Task 2 – 800; Task 3 – 800; Task 4 – 1,400; Task 5 – 600 (excluding tables, captions and references)</w:t>
      </w:r>
    </w:p>
    <w:p xmlns:wp14="http://schemas.microsoft.com/office/word/2010/wordml" w:rsidP="51A1C95C" wp14:paraId="028DEC13" wp14:textId="35765E31">
      <w:pPr>
        <w:spacing w:before="2000" w:beforeAutospacing="off" w:after="0" w:afterAutospacing="off"/>
        <w:jc w:val="center"/>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13 August 2026</w:t>
      </w:r>
    </w:p>
    <w:p xmlns:wp14="http://schemas.microsoft.com/office/word/2010/wordml" w:rsidP="51A1C95C" wp14:paraId="7892D970" wp14:textId="23D61DE5">
      <w:pPr>
        <w:pStyle w:val="Heading1"/>
        <w:spacing w:before="360" w:beforeAutospacing="off" w:after="160" w:afterAutospacing="off"/>
        <w:rPr>
          <w:rFonts w:ascii="Calibri" w:hAnsi="Calibri" w:eastAsia="Calibri" w:cs="Calibri"/>
          <w:b w:val="1"/>
          <w:bCs w:val="1"/>
          <w:i w:val="0"/>
          <w:iCs w:val="0"/>
          <w:strike w:val="0"/>
          <w:dstrike w:val="0"/>
          <w:noProof w:val="0"/>
          <w:color w:val="1F3864"/>
          <w:sz w:val="32"/>
          <w:szCs w:val="32"/>
          <w:u w:val="none"/>
          <w:lang w:val="en-US"/>
        </w:rPr>
      </w:pPr>
      <w:r w:rsidRPr="51A1C95C" w:rsidR="740B1170">
        <w:rPr>
          <w:rFonts w:ascii="Calibri" w:hAnsi="Calibri" w:eastAsia="Calibri" w:cs="Calibri"/>
          <w:b w:val="1"/>
          <w:bCs w:val="1"/>
          <w:i w:val="0"/>
          <w:iCs w:val="0"/>
          <w:strike w:val="0"/>
          <w:dstrike w:val="0"/>
          <w:noProof w:val="0"/>
          <w:color w:val="1F3864"/>
          <w:sz w:val="32"/>
          <w:szCs w:val="32"/>
          <w:u w:val="none"/>
          <w:lang w:val="en-US"/>
        </w:rPr>
        <w:t>Task 1: Financial Health Check</w:t>
      </w:r>
    </w:p>
    <w:p xmlns:wp14="http://schemas.microsoft.com/office/word/2010/wordml" w:rsidP="51A1C95C" wp14:paraId="7048FD4E" wp14:textId="4F438324">
      <w:pPr>
        <w:pStyle w:val="Heading2"/>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1.1 Introduction and Five-Year Performance Overview</w:t>
      </w:r>
    </w:p>
    <w:p xmlns:wp14="http://schemas.microsoft.com/office/word/2010/wordml" w:rsidP="51A1C95C" wp14:paraId="7E6DF96F" wp14:textId="187D97D4">
      <w:pPr>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Hotels Corporation (NYSE: H) is a global hospitality group operating an asset-light, fee-based model built around management, franchise and licence agreements, alongside a shrinking base of owned and leased real estate. This section analyses Hyatt's financial statements for the five financial years FY2021–FY2025, drawn from the Company's Form 10-K filings (Hyatt Hotels Corporation, 2022; 2023; 2024; 2025; 2026), and benchmarks its liquidity position against direct competitors.</w:t>
      </w:r>
    </w:p>
    <w:p xmlns:wp14="http://schemas.microsoft.com/office/word/2010/wordml" w:rsidP="51A1C95C" wp14:paraId="1F732B26" wp14:textId="6236DEFA">
      <w:pPr>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Revenue recovered from the COVID-19 trough of the FY2021 period ($3,028m) to $5,891m in FY2022, before continuing to grow steadily to $6,667m (FY2023), $6,648m (FY2024) and $7,101m (FY2025), aided by the World of Hyatt loyalty platform, the Apple Leisure Group and Playa Hotels &amp; Resorts acquisitions, and continued net rooms growth (Hyatt Hotels Corporation, 2025; 2026). Profitability, however, has been highly volatile: the group moved from a net loss of $222m in FY2021 to net income of $455m in FY2022, $220m in FY2023, a peak of $1,296m in FY2024 (driven substantially by a $1,245m gain on the sale of real estate as Hyatt executed its 'asset-light' disposal programme), and back to a net loss attributable to shareholders of $52m in FY2025, reflecting elevated interest expense of $317m and $173m of transaction and integration costs associated with the Playa acquisition and portfolio repositioning.</w:t>
      </w:r>
    </w:p>
    <w:p xmlns:wp14="http://schemas.microsoft.com/office/word/2010/wordml" w:rsidP="51A1C95C" wp14:paraId="08EA166A" wp14:textId="7831D972">
      <w:pPr>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The balance sheet has expanded from total assets of $12,603m (FY2021) to $14,036m (FY2025), with total liabilities rising from $9,037m to $10,377m over the same period as Hyatt re-levered to fund acquisitions (long-term debt rose from $2,305m in FY2023 to $4,272m in FY2025). Total equity has been comparatively stable, moving between $3.5bn and $3.8bn, indicating that asset growth has been financed disproportionately by debt rather than retained earnings or new equity.</w:t>
      </w:r>
    </w:p>
    <w:p xmlns:wp14="http://schemas.microsoft.com/office/word/2010/wordml" w:rsidP="51A1C95C" wp14:paraId="4986DC0F" wp14:textId="6A16F6F9">
      <w:pPr>
        <w:pStyle w:val="Heading2"/>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1.2 Comprehensive Ratio Analysis</w:t>
      </w:r>
    </w:p>
    <w:p xmlns:wp14="http://schemas.microsoft.com/office/word/2010/wordml" w:rsidP="51A1C95C" wp14:paraId="06962349" wp14:textId="1BFE7F9A">
      <w:pPr>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Table 1 summarises the key ratios computed from Hyatt's consolidated financial statements across the five profitability, liquidity, efficiency, gearing, investment and cash-flow categories (Hyatt Hotels Corporation, 2022; 2023; 2024; 2025; 2026). Ratios follow standard definitions consistent with Brigham and Ehrhardt (2023) and Watson and Head (2019).</w:t>
      </w:r>
    </w:p>
    <w:tbl>
      <w:tblPr>
        <w:tblStyle w:val="TableNormal"/>
        <w:bidiVisual w:val="0"/>
        <w:tblW w:w="0" w:type="auto"/>
        <w:tblLook w:val="06A0" w:firstRow="1" w:lastRow="0" w:firstColumn="1" w:lastColumn="0" w:noHBand="1" w:noVBand="1"/>
      </w:tblPr>
      <w:tblGrid>
        <w:gridCol w:w="2785"/>
        <w:gridCol w:w="1090"/>
        <w:gridCol w:w="1090"/>
        <w:gridCol w:w="1090"/>
        <w:gridCol w:w="1090"/>
        <w:gridCol w:w="1090"/>
      </w:tblGrid>
      <w:tr w:rsidR="51A1C95C" w:rsidTr="51A1C95C" w14:paraId="530EDA03">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2D6BA16B" w14:textId="02895752">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Ratio</w:t>
            </w:r>
          </w:p>
        </w:tc>
        <w:tc>
          <w:tcPr>
            <w:tcW w:w="1090"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4DFB4FBF" w14:textId="4F78EC82">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2021</w:t>
            </w:r>
          </w:p>
        </w:tc>
        <w:tc>
          <w:tcPr>
            <w:tcW w:w="1090"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75CDCD01" w14:textId="7B8F5B72">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2022</w:t>
            </w:r>
          </w:p>
        </w:tc>
        <w:tc>
          <w:tcPr>
            <w:tcW w:w="1090"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26769177" w14:textId="7451C7E9">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2023</w:t>
            </w:r>
          </w:p>
        </w:tc>
        <w:tc>
          <w:tcPr>
            <w:tcW w:w="1090"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71482C73" w14:textId="3EEC10B3">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2024</w:t>
            </w:r>
          </w:p>
        </w:tc>
        <w:tc>
          <w:tcPr>
            <w:tcW w:w="1090"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2904E927" w14:textId="52DACC22">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2025</w:t>
            </w:r>
          </w:p>
        </w:tc>
      </w:tr>
      <w:tr w:rsidR="51A1C95C" w:rsidTr="51A1C95C" w14:paraId="241E62E6">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66BB407" w14:textId="0A7310E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Net profit margin (%)</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79AB305" w14:textId="1B5F1011">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-7.3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5AC179D" w14:textId="58542618">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7.7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AE146A1" w14:textId="5CD6E891">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30E0BAA" w14:textId="4E580ECB">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19.5</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828A519" w14:textId="1E36ED4B">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-0.7</w:t>
            </w:r>
          </w:p>
        </w:tc>
      </w:tr>
      <w:tr w:rsidR="51A1C95C" w:rsidTr="51A1C95C" w14:paraId="4FAAA66C">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FD259E8" w14:textId="62278722">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Return on assets, ROA (%)</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0D000FF" w14:textId="3D2E8C1F">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-1.8</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DD03A47" w14:textId="73C5C59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A276D75" w14:textId="7C4B544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2136BF0" w14:textId="0D710B6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9.7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F8E3817" w14:textId="6F38EB25">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-0.4</w:t>
            </w:r>
          </w:p>
        </w:tc>
      </w:tr>
      <w:tr w:rsidR="51A1C95C" w:rsidTr="51A1C95C" w14:paraId="5A9F71DE">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FB6660E" w14:textId="1B8712B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Return on equity, ROE (%)</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92D4792" w14:textId="2BAA9645">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7013CEE" w14:textId="13E25D8A">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12.3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667F133" w14:textId="4E4E0F2E">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14266D5" w14:textId="5BB38C62">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33.9</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504BBF9" w14:textId="4BC2EBEC">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-1.4</w:t>
            </w:r>
          </w:p>
        </w:tc>
      </w:tr>
      <w:tr w:rsidR="51A1C95C" w:rsidTr="51A1C95C" w14:paraId="41B79190">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7910048" w14:textId="284A668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Current ratio (x)</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BC6FA26" w14:textId="19B2B07E">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0.92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6F9BC8C" w14:textId="752CD54B">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0.68</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594475F" w14:textId="145517B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0.60</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F8C96BF" w14:textId="7455F97C">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A521A3B" w14:textId="0EBB8F5C">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0.75</w:t>
            </w:r>
          </w:p>
        </w:tc>
      </w:tr>
      <w:tr w:rsidR="51A1C95C" w:rsidTr="51A1C95C" w14:paraId="761EA692">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D5242BA" w14:textId="4F9305C1">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Quick (acid-test) ratio (x)</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C7FB94E" w14:textId="619C0417">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0.92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E00F898" w14:textId="46D0C89E">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0.68</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5D9AF50" w14:textId="0976CBBB">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0.59</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FD2252E" w14:textId="598F5278">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71EDFC2" w14:textId="37BA142C">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0.75</w:t>
            </w:r>
          </w:p>
        </w:tc>
      </w:tr>
      <w:tr w:rsidR="51A1C95C" w:rsidTr="51A1C95C" w14:paraId="7C22C642">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6334947" w14:textId="5D352B9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Cash ratio (x)</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0667E81" w14:textId="79021E28">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0.53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BE0B7C0" w14:textId="2BC6FC3D">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0.35</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848D53A" w14:textId="52E3735F">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0.25</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C6D1810" w14:textId="321E0C61">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0.42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2B9E15A" w14:textId="3656DE3B">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0.28</w:t>
            </w:r>
          </w:p>
        </w:tc>
      </w:tr>
      <w:tr w:rsidR="51A1C95C" w:rsidTr="51A1C95C" w14:paraId="3F7F77D8">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BF5E016" w14:textId="75B43C7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Total asset turnover (x)</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1D08C3D" w14:textId="2BDE93C5">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0.24</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2F7FA5D" w14:textId="193EF847">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0.48</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3EB7712" w14:textId="1BF3B7A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0.52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E096DA5" w14:textId="04FB7A08">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0.50</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23132D0" w14:textId="40E5FC55">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0.51</w:t>
            </w:r>
          </w:p>
        </w:tc>
      </w:tr>
      <w:tr w:rsidR="51A1C95C" w:rsidTr="51A1C95C" w14:paraId="22185071">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76EB178" w14:textId="7BDEF1D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Receivables collection period (days)</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9D3F29F" w14:textId="7C233589">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76</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0EC94A2" w14:textId="2FAF46C6">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52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0837D70" w14:textId="1813FF95">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48</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0649FBB" w14:textId="604DBC6B">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95CB4AD" w14:textId="6CFB768F">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58</w:t>
            </w:r>
          </w:p>
        </w:tc>
      </w:tr>
      <w:tr w:rsidR="51A1C95C" w:rsidTr="51A1C95C" w14:paraId="2E8BB103">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AC4EB85" w14:textId="3D1CB61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Gearing – total debt/(debt+equity) (%)</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5624B93" w14:textId="330E3FAC">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52.7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1708435" w14:textId="3747D9B0">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45.7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77E866B" w14:textId="67BF8431">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46.1</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B7ABE98" w14:textId="0888913E">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49.7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7F2BBDC" w14:textId="08E28C3D">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53.9</w:t>
            </w:r>
          </w:p>
        </w:tc>
      </w:tr>
      <w:tr w:rsidR="51A1C95C" w:rsidTr="51A1C95C" w14:paraId="4EF2F342">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EB7B233" w14:textId="0F835B1D">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Debt-to-equity (x)</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C152C1A" w14:textId="414B8D3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1.12</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BA395E4" w14:textId="6E301F82">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0.84</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13736BC" w14:textId="079F1D18">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0.86</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AEB9739" w14:textId="29077AB0">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0.99</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E20E8C9" w14:textId="68B0D0E8">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1.17</w:t>
            </w:r>
          </w:p>
        </w:tc>
      </w:tr>
      <w:tr w:rsidR="51A1C95C" w:rsidTr="51A1C95C" w14:paraId="391C0B14">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A98233B" w14:textId="092A8F7D">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Interest cover (x, PBT basis)</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85C8D03" w14:textId="2E753DF2">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B6E12D8" w14:textId="3BB2571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2.4</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34B231C" w14:textId="000B7DFA">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2.1</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8C69103" w14:textId="3B72ADBA">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8.7</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642EA42" w14:textId="12E2C52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0.3</w:t>
            </w:r>
          </w:p>
        </w:tc>
      </w:tr>
      <w:tr w:rsidR="51A1C95C" w:rsidTr="51A1C95C" w14:paraId="0D70DA3E">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1F21885" w14:textId="0C86FDC7">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Diluted EPS ($)</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0450F85" w14:textId="1CEEC7B6">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(2.13)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3FFCF0E" w14:textId="3B5D1E6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4.09</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B9FD3CE" w14:textId="7D7CA0B3">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2.05</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89E9FA3" w14:textId="6D5944FA">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12.65</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C0B78B3" w14:textId="2B9C9715">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(0.55)</w:t>
            </w:r>
          </w:p>
        </w:tc>
      </w:tr>
      <w:tr w:rsidR="51A1C95C" w:rsidTr="51A1C95C" w14:paraId="663DB028">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109074E" w14:textId="3E2D8A02">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Operating cash flow, OCF ($m)</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67B89873" w14:textId="5A777765">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315</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3447937" w14:textId="4CB0C12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674</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57BCC84" w14:textId="4B46E046">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800</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C507E01" w14:textId="06DC5CC0">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633</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A711C24" w14:textId="4C5CFF86">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379</w:t>
            </w:r>
          </w:p>
        </w:tc>
      </w:tr>
      <w:tr w:rsidR="51A1C95C" w:rsidTr="51A1C95C" w14:paraId="3593B493">
        <w:trPr>
          <w:trHeight w:val="300"/>
        </w:trPr>
        <w:tc>
          <w:tcPr>
            <w:tcW w:w="27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D520A88" w14:textId="3C3F96C2">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OCF-to-sales (%)</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355607B" w14:textId="05D25B60">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10.4</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876F17B" w14:textId="3553916A">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11.4</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DFA53B1" w14:textId="30285E78">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12.0</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6548F82" w14:textId="081411B9">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9.5</w:t>
            </w:r>
          </w:p>
        </w:tc>
        <w:tc>
          <w:tcPr>
            <w:tcW w:w="109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F8BB0B9" w14:textId="508CEA24">
            <w:pPr>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5.3</w:t>
            </w:r>
          </w:p>
        </w:tc>
      </w:tr>
    </w:tbl>
    <w:p xmlns:wp14="http://schemas.microsoft.com/office/word/2010/wordml" w:rsidP="51A1C95C" wp14:paraId="0561F90A" wp14:textId="11CD2921">
      <w:pPr>
        <w:bidi w:val="0"/>
        <w:spacing w:before="80" w:beforeAutospacing="off" w:after="240" w:afterAutospacing="off"/>
        <w:rPr>
          <w:rFonts w:ascii="Calibri" w:hAnsi="Calibri" w:eastAsia="Calibri" w:cs="Calibri"/>
          <w:b w:val="0"/>
          <w:bCs w:val="0"/>
          <w:i w:val="1"/>
          <w:iCs w:val="1"/>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1"/>
          <w:iCs w:val="1"/>
          <w:strike w:val="0"/>
          <w:dstrike w:val="0"/>
          <w:noProof w:val="0"/>
          <w:color w:val="000000" w:themeColor="text1" w:themeTint="FF" w:themeShade="FF"/>
          <w:sz w:val="32"/>
          <w:szCs w:val="32"/>
          <w:u w:val="none"/>
          <w:lang w:val="en-US"/>
        </w:rPr>
        <w:t>Table 1: Hyatt Hotels Corporation – summary ratio analysis, FY2021–FY2025 (author's calculations, based on Hyatt Hotels Corporation, 2022; 2023; 2024; 2025; 2026).</w:t>
      </w:r>
    </w:p>
    <w:p xmlns:wp14="http://schemas.microsoft.com/office/word/2010/wordml" w:rsidP="51A1C95C" wp14:paraId="7E7B0057" wp14:textId="418E6739">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Profitability</w:t>
      </w:r>
    </w:p>
    <w:p xmlns:wp14="http://schemas.microsoft.com/office/word/2010/wordml" w:rsidP="51A1C95C" wp14:paraId="4E0963BA" wp14:textId="2D12624A">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Net margin and ROE swung from negative territory in FY2021 to a five-year high in FY2024 before turning negative again in FY2025. The FY2024 spike is not representative of underlying trading performance: it was inflated by a one-off $1,245m gain on real-estate disposals as part of Hyatt's stated strategy of recycling owned-hotel capital into higher-return fee-based growth (Hyatt Hotels Corporation, 2025). Stripping out this item, underlying operating profitability improved only modestly year-on-year, which is consistent with a mature, low-growth developed-market hotel cycle. The FY2025 loss reflects integration costs from the Playa Hotels &amp; Resorts acquisition and a near doubling of interest expense, both transitional in nature (Hyatt Hotels Corporation, 2026).</w:t>
      </w:r>
    </w:p>
    <w:p xmlns:wp14="http://schemas.microsoft.com/office/word/2010/wordml" w:rsidP="51A1C95C" wp14:paraId="66AB452F" wp14:textId="1F652F7F">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Liquidity</w:t>
      </w:r>
    </w:p>
    <w:p xmlns:wp14="http://schemas.microsoft.com/office/word/2010/wordml" w:rsidP="51A1C95C" wp14:paraId="1CCBB969" wp14:textId="354E9EC0">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The current ratio has remained below 1.0x throughout the period (0.60x–0.92x), meaning current liabilities have consistently exceeded current assets. This is discussed further, and benchmarked, in section 1.4.</w:t>
      </w:r>
    </w:p>
    <w:p xmlns:wp14="http://schemas.microsoft.com/office/word/2010/wordml" w:rsidP="51A1C95C" wp14:paraId="5C56A89F" wp14:textId="3E1041A5">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Efficiency</w:t>
      </w:r>
    </w:p>
    <w:p xmlns:wp14="http://schemas.microsoft.com/office/word/2010/wordml" w:rsidP="51A1C95C" wp14:paraId="4186470B" wp14:textId="0C481254">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Asset turnover doubled from 0.24x (FY2021) to around 0.50–0.52x (FY2023–FY2025) as pandemic-depressed revenue recovered against a broadly stable asset base, evidencing improved utilisation of the balance sheet. Receivables days fell from 76 to 48 between FY2021 and FY2023 as occupancy normalised and collections improved, before rising again to 58–62 days in FY2024–FY2025, partly reflecting the inclusion of newly consolidated Playa and ALG Vacations receivables with different payment cycles.</w:t>
      </w:r>
    </w:p>
    <w:p xmlns:wp14="http://schemas.microsoft.com/office/word/2010/wordml" w:rsidP="51A1C95C" wp14:paraId="28C9ED7B" wp14:textId="0F721749">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Gearing</w:t>
      </w:r>
    </w:p>
    <w:p xmlns:wp14="http://schemas.microsoft.com/office/word/2010/wordml" w:rsidP="51A1C95C" wp14:paraId="6004C65E" wp14:textId="53019A0D">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Gearing (total debt to total capital) has oscillated in a relatively narrow 46–54% band, but the composition of debt has changed markedly: long-term debt rose from $2,305m (FY2023) to $4,272m (FY2025), primarily to part-fund the Playa acquisition and continued share repurchases. Interest cover collapsed from 8.7x (FY2024) to 0.3x (FY2025) as interest expense rose 76% year-on-year while pre-tax income fell sharply, signalling a genuine, not merely cosmetic, deterioration in debt-servicing headroom that management and lenders should monitor closely.</w:t>
      </w:r>
    </w:p>
    <w:p xmlns:wp14="http://schemas.microsoft.com/office/word/2010/wordml" w:rsidP="51A1C95C" wp14:paraId="2FFC8647" wp14:textId="47AA96EE">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Investment ratios</w:t>
      </w:r>
    </w:p>
    <w:p xmlns:wp14="http://schemas.microsoft.com/office/word/2010/wordml" w:rsidP="51A1C95C" wp14:paraId="1BFE878F" wp14:textId="7193AC3C">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Diluted EPS mirrors the volatility of net income, ranging from a $2.13 loss (FY2021) to $12.65 (FY2024) and back to a $0.55 loss (FY2025). Hyatt pairs a modest quarterly dividend with an active share-repurchase programme; the fall in Class A/B shares outstanding across the period (from roughly 110 million combined in FY2021 to below 95 million in FY2025) has been supportive of per-share metrics even where aggregate profitability has been erratic.</w:t>
      </w:r>
    </w:p>
    <w:p xmlns:wp14="http://schemas.microsoft.com/office/word/2010/wordml" w:rsidP="51A1C95C" wp14:paraId="49E3FE58" wp14:textId="5F30BA89">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Cash flow</w:t>
      </w:r>
    </w:p>
    <w:p xmlns:wp14="http://schemas.microsoft.com/office/word/2010/wordml" w:rsidP="51A1C95C" wp14:paraId="74222C63" wp14:textId="12065B67">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Operating cash flow grew from $315m (FY2021) to a peak of $800m (FY2023), before declining to $633m (FY2024) and $379m (FY2025) — the latter a 40% fall, driven by lower net income, working-capital movements linked to newly acquired businesses and higher cash interest payments. OCF-to-sales fell correspondingly from around 12% to 5.3%, a trend that, if sustained, would be a material amber flag for future dividend and buyback capacity.</w:t>
      </w:r>
    </w:p>
    <w:p xmlns:wp14="http://schemas.microsoft.com/office/word/2010/wordml" w:rsidP="51A1C95C" wp14:paraId="162BDDC3" wp14:textId="589FB484">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1.3 Trends, Strengths and Potential Threats</w:t>
      </w:r>
    </w:p>
    <w:p xmlns:wp14="http://schemas.microsoft.com/office/word/2010/wordml" w:rsidP="51A1C95C" wp14:paraId="208A3857" wp14:textId="300D98BB">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Key trends</w:t>
      </w:r>
    </w:p>
    <w:p xmlns:wp14="http://schemas.microsoft.com/office/word/2010/wordml" w:rsidP="51A1C95C" wp14:paraId="4B12BB77" wp14:textId="2E8AA1AF">
      <w:pPr>
        <w:pStyle w:val="ListParagraph"/>
        <w:numPr>
          <w:ilvl w:val="0"/>
          <w:numId w:val="1"/>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 structural shift from owned real estate towards fee-based management/franchise income, visible in rising 'Net fees' revenue relative to 'Owned and leased' revenue (Hyatt Hotels Corporation, 2025).</w:t>
      </w:r>
    </w:p>
    <w:p xmlns:wp14="http://schemas.microsoft.com/office/word/2010/wordml" w:rsidP="51A1C95C" wp14:paraId="3AD234F2" wp14:textId="6B30AB57">
      <w:pPr>
        <w:pStyle w:val="ListParagraph"/>
        <w:numPr>
          <w:ilvl w:val="0"/>
          <w:numId w:val="1"/>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Increasing balance-sheet leverage since FY2023, used to fund the Playa Hotels &amp; Resorts and earlier ALG Vacations acquisitions, pushing gearing and interest expense higher (Hyatt Hotels Corporation, 2026).</w:t>
      </w:r>
    </w:p>
    <w:p xmlns:wp14="http://schemas.microsoft.com/office/word/2010/wordml" w:rsidP="51A1C95C" wp14:paraId="4FE1E8A8" wp14:textId="6125CB3E">
      <w:pPr>
        <w:pStyle w:val="ListParagraph"/>
        <w:numPr>
          <w:ilvl w:val="0"/>
          <w:numId w:val="1"/>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Persistent negative-to-thin working capital, a structural feature of the asset-light hotel business model rather than a sign of distress in isolation.</w:t>
      </w:r>
    </w:p>
    <w:p xmlns:wp14="http://schemas.microsoft.com/office/word/2010/wordml" w:rsidP="51A1C95C" wp14:paraId="6DCA6611" wp14:textId="0FF1AACA">
      <w:pPr>
        <w:pStyle w:val="ListParagraph"/>
        <w:numPr>
          <w:ilvl w:val="0"/>
          <w:numId w:val="1"/>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Volatile 'headline' profitability driven by large, non-recurring gains/losses on real-estate disposals and impairments, which complicates trend analysis and requires normalisation.</w:t>
      </w:r>
    </w:p>
    <w:p xmlns:wp14="http://schemas.microsoft.com/office/word/2010/wordml" w:rsidP="51A1C95C" wp14:paraId="3CE8EA7B" wp14:textId="178B2A7C">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Strengths</w:t>
      </w:r>
    </w:p>
    <w:p xmlns:wp14="http://schemas.microsoft.com/office/word/2010/wordml" w:rsidP="51A1C95C" wp14:paraId="6011772A" wp14:textId="2E3E8047">
      <w:pPr>
        <w:pStyle w:val="ListParagraph"/>
        <w:numPr>
          <w:ilvl w:val="0"/>
          <w:numId w:val="2"/>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 globally diversified, largely fee-based revenue base that carries lower capital intensity and higher margins than owned-hotel operations.</w:t>
      </w:r>
    </w:p>
    <w:p xmlns:wp14="http://schemas.microsoft.com/office/word/2010/wordml" w:rsidP="51A1C95C" wp14:paraId="59D57613" wp14:textId="4D08FC11">
      <w:pPr>
        <w:pStyle w:val="ListParagraph"/>
        <w:numPr>
          <w:ilvl w:val="0"/>
          <w:numId w:val="2"/>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 strong, growing loyalty ecosystem (World of Hyatt) supporting direct bookings and pricing power.</w:t>
      </w:r>
    </w:p>
    <w:p xmlns:wp14="http://schemas.microsoft.com/office/word/2010/wordml" w:rsidP="51A1C95C" wp14:paraId="2714C985" wp14:textId="77423EA5">
      <w:pPr>
        <w:pStyle w:val="ListParagraph"/>
        <w:numPr>
          <w:ilvl w:val="0"/>
          <w:numId w:val="2"/>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Substantial unencumbered contract-liability balances (over $2.5bn of current and long-term contract liabilities), evidencing forward-booked, recurring fee streams.</w:t>
      </w:r>
    </w:p>
    <w:p xmlns:wp14="http://schemas.microsoft.com/office/word/2010/wordml" w:rsidP="51A1C95C" wp14:paraId="472305BA" wp14:textId="6A85B627">
      <w:pPr>
        <w:pStyle w:val="ListParagraph"/>
        <w:numPr>
          <w:ilvl w:val="0"/>
          <w:numId w:val="2"/>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Disciplined asset-recycling strategy that has, historically, generated sizeable capital gains to reinvest in higher-return, asset-light growth.</w:t>
      </w:r>
    </w:p>
    <w:p xmlns:wp14="http://schemas.microsoft.com/office/word/2010/wordml" w:rsidP="51A1C95C" wp14:paraId="20ABA2D1" wp14:textId="6CB2DE2F">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Threats</w:t>
      </w:r>
    </w:p>
    <w:p xmlns:wp14="http://schemas.microsoft.com/office/word/2010/wordml" w:rsidP="51A1C95C" wp14:paraId="6EE1085D" wp14:textId="4AE4CE03">
      <w:pPr>
        <w:pStyle w:val="ListParagraph"/>
        <w:numPr>
          <w:ilvl w:val="0"/>
          <w:numId w:val="3"/>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Sharply reduced interest cover in FY2025 (0.3x) leaves little headroom to absorb further rate rises or earnings shocks without breaching lender covenants.</w:t>
      </w:r>
    </w:p>
    <w:p xmlns:wp14="http://schemas.microsoft.com/office/word/2010/wordml" w:rsidP="51A1C95C" wp14:paraId="1E243F72" wp14:textId="0F72256E">
      <w:pPr>
        <w:pStyle w:val="ListParagraph"/>
        <w:numPr>
          <w:ilvl w:val="0"/>
          <w:numId w:val="3"/>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Sub-1.0x current ratio throughout the period leaves Hyatt reliant on continued access to revolving credit and capital markets to meet short-term obligations, a risk in a credit-tightening environment.</w:t>
      </w:r>
    </w:p>
    <w:p xmlns:wp14="http://schemas.microsoft.com/office/word/2010/wordml" w:rsidP="51A1C95C" wp14:paraId="24735BE3" wp14:textId="5832254E">
      <w:pPr>
        <w:pStyle w:val="ListParagraph"/>
        <w:numPr>
          <w:ilvl w:val="0"/>
          <w:numId w:val="3"/>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Integration risk from the Playa Hotels &amp; Resorts acquisition, evidenced by $173m of one-off transaction/integration costs in FY2025.</w:t>
      </w:r>
    </w:p>
    <w:p xmlns:wp14="http://schemas.microsoft.com/office/word/2010/wordml" w:rsidP="51A1C95C" wp14:paraId="0EF6B8BD" wp14:textId="74490EE3">
      <w:pPr>
        <w:pStyle w:val="ListParagraph"/>
        <w:numPr>
          <w:ilvl w:val="0"/>
          <w:numId w:val="3"/>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Macroeconomic sensitivity: hotel RevPAR and fee income are cyclical and exposed to a slowdown in corporate and leisure travel, currency movements, and geopolitical disruption.</w:t>
      </w:r>
    </w:p>
    <w:p xmlns:wp14="http://schemas.microsoft.com/office/word/2010/wordml" w:rsidP="51A1C95C" wp14:paraId="3AF9AE9C" wp14:textId="421C6EED">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1.4 Liquidity Benchmarking Against Industry Peers</w:t>
      </w:r>
    </w:p>
    <w:p xmlns:wp14="http://schemas.microsoft.com/office/word/2010/wordml" w:rsidP="51A1C95C" wp14:paraId="44B9CBDC" wp14:textId="316468ED">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 current ratio below 1.0x is not, by itself, unusual in the branded hotel industry, because franchise/management operators carry minimal inventory and collect substantial contract liabilities (advance fees and loyalty deferrals) within current liabilities. Comparator data drawn from competitors' SEC filings show that Marriott International reported a current ratio of approximately 0.4x–0.5x and negative shareholders' equity in FY2021–FY2024, reflecting an aggressively asset-light, debt- and buyback-funded capital structure (Marriott International, 2025). Hilton Worldwide similarly reported negative working capital and negative equity across FY2022–FY2024, with total liabilities exceeding total assets (Hilton Worldwide Holdings, 2025).</w:t>
      </w:r>
    </w:p>
    <w:p xmlns:wp14="http://schemas.microsoft.com/office/word/2010/wordml" w:rsidP="51A1C95C" wp14:paraId="29588182" wp14:textId="32D67723">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Against this backdrop, Hyatt's current ratio of 0.60x–0.92x is comparatively stronger than both Marriott and Hilton, and Hyatt has, unlike its two largest US-listed peers, maintained positive shareholders' equity throughout FY2021–FY2025. This reflects Hyatt's larger residual owned and leased real-estate base relative to Marriott and Hilton, which are almost pure fee-based franchisors. InterContinental Hotels Group (IHG), the closest UK-listed comparator, likewise typically reports a current ratio below 1.0x under a predominantly franchised model (InterContinental Hotels Group, 2025). The sector benchmark can therefore reasonably be characterised as a current ratio in the 0.4x–0.9x range, and on this basis Hyatt sits at the healthier end of the peer group rather than being an outlier, even though it would appear 'weak' against generic textbook liquidity norms of 1.5x–2.0x (Pike, Neale and Linsley, 2018).</w:t>
      </w:r>
    </w:p>
    <w:p xmlns:wp14="http://schemas.microsoft.com/office/word/2010/wordml" w:rsidP="51A1C95C" wp14:paraId="327F414C" wp14:textId="2D3A57B3">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This benchmarking matters for interpretation: conventional liquidity thresholds developed for manufacturing or retail businesses are not directly transferable to franchise-model hospitality groups, where 'liquidity' is better assessed through committed undrawn credit facilities, cash and short-term investments relative to near-term maturities, and the quality/duration of contract-liability balances, rather than the current ratio alone (S&amp;P Global Ratings, 2024).</w:t>
      </w:r>
    </w:p>
    <w:p xmlns:wp14="http://schemas.microsoft.com/office/word/2010/wordml" w:rsidP="51A1C95C" wp14:paraId="6B75B104" wp14:textId="7E4F4961">
      <w:pPr>
        <w:pStyle w:val="Heading1"/>
        <w:bidi w:val="0"/>
        <w:spacing w:before="360" w:beforeAutospacing="off" w:after="160" w:afterAutospacing="off"/>
        <w:rPr>
          <w:rFonts w:ascii="Calibri" w:hAnsi="Calibri" w:eastAsia="Calibri" w:cs="Calibri"/>
          <w:b w:val="1"/>
          <w:bCs w:val="1"/>
          <w:i w:val="0"/>
          <w:iCs w:val="0"/>
          <w:strike w:val="0"/>
          <w:dstrike w:val="0"/>
          <w:noProof w:val="0"/>
          <w:color w:val="1F3864"/>
          <w:sz w:val="32"/>
          <w:szCs w:val="32"/>
          <w:u w:val="none"/>
          <w:lang w:val="en-US"/>
        </w:rPr>
      </w:pPr>
      <w:r w:rsidRPr="51A1C95C" w:rsidR="740B1170">
        <w:rPr>
          <w:rFonts w:ascii="Calibri" w:hAnsi="Calibri" w:eastAsia="Calibri" w:cs="Calibri"/>
          <w:b w:val="1"/>
          <w:bCs w:val="1"/>
          <w:i w:val="0"/>
          <w:iCs w:val="0"/>
          <w:strike w:val="0"/>
          <w:dstrike w:val="0"/>
          <w:noProof w:val="0"/>
          <w:color w:val="1F3864"/>
          <w:sz w:val="32"/>
          <w:szCs w:val="32"/>
          <w:u w:val="none"/>
          <w:lang w:val="en-US"/>
        </w:rPr>
        <w:t>Task 2: Working Capital Management Analysis</w:t>
      </w:r>
    </w:p>
    <w:p xmlns:wp14="http://schemas.microsoft.com/office/word/2010/wordml" w:rsidP="51A1C95C" wp14:paraId="5C4CD61D" wp14:textId="61F4B28B">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2.1 Assessment of the Cash Operating Cycle</w:t>
      </w:r>
    </w:p>
    <w:p xmlns:wp14="http://schemas.microsoft.com/office/word/2010/wordml" w:rsidP="51A1C95C" wp14:paraId="27AC4672" wp14:textId="2FEA1910">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The cash operating (conversion) cycle measures the time between cash outflow for operating inputs and cash inflow from customers, calculated as inventory days plus receivables days minus payables days (Watson and Head, 2019). Hyatt's inventories are negligible (under $10m annually, largely food and beverage stock at owned hotels), so the cycle is dominated by receivables and payables/contract-liability timing.</w:t>
      </w:r>
    </w:p>
    <w:p xmlns:wp14="http://schemas.microsoft.com/office/word/2010/wordml" w:rsidP="51A1C95C" wp14:paraId="30E7BFEA" wp14:textId="7D8F27B1">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Receivables days fell from 76 days (FY2021) to 48 days (FY2023) as post-pandemic occupancy and corporate travel normalised, before rising to 58–62 days in FY2024–FY2025 following the Playa and ALG Vacations consolidations, whose all-inclusive resort and tour-operator receivables typically settle more slowly than branded-hotel management fees. Accounts payable, by contrast, have fallen steadily in absolute terms (from $523m in FY2021 to $451m in FY2025) even as revenue has more than doubled, implying payable days have shortened and Hyatt is settling suppliers more quickly rather than stretching them — a conservative, supplier-friendly stance that nonetheless represents a use, rather than source, of working capital.</w:t>
      </w:r>
    </w:p>
    <w:p xmlns:wp14="http://schemas.microsoft.com/office/word/2010/wordml" w:rsidP="51A1C95C" wp14:paraId="08E610FC" wp14:textId="33BA8A0B">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Critically, Hyatt's principal 'inventory' equivalent is unsold room-nights, which are perishable and cannot be stockpiled; working-capital efficiency in hospitality is therefore driven far more by contract-liability management (advance deposits, loyalty point deferrals, franchise application fees received in advance) than by classical inventory turnover. Current and long-term contract liabilities together exceeded $2.5bn in FY2025, representing a substantial, largely interest-free source of short-term funding that effectively shortens Hyatt's cash conversion cycle relative to a simple receivables-less-payables calculation (Hyatt Hotels Corporation, 2026). On a blended basis, the operating cycle is estimated to be modestly positive (broadly 20–35 days net of the contract-liability offset), materially shorter than capital-intensive manufacturing peers, but the FY2024–FY2025 lengthening of receivables days is a trend worth monitoring as the newly acquired resort businesses are integrated onto Hyatt's collections and revenue-cycle systems.</w:t>
      </w:r>
    </w:p>
    <w:p xmlns:wp14="http://schemas.microsoft.com/office/word/2010/wordml" w:rsidP="51A1C95C" wp14:paraId="3B4362ED" wp14:textId="707DFE45">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2.2 Strategies to Improve Liquidity Through Working Capital Reforms</w:t>
      </w:r>
    </w:p>
    <w:p xmlns:wp14="http://schemas.microsoft.com/office/word/2010/wordml" w:rsidP="51A1C95C" wp14:paraId="7467B6FF" wp14:textId="72B0F379">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Several complementary reforms could strengthen Hyatt's short-term liquidity without compromising its asset-light growth strategy:</w:t>
      </w:r>
    </w:p>
    <w:p xmlns:wp14="http://schemas.microsoft.com/office/word/2010/wordml" w:rsidP="51A1C95C" wp14:paraId="3FE79CEE" wp14:textId="5F70D929">
      <w:pPr>
        <w:pStyle w:val="ListParagraph"/>
        <w:numPr>
          <w:ilvl w:val="0"/>
          <w:numId w:val="4"/>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Accelerate receivables collection from tour-operator and resort channels acquired through Playa/ALG by tightening credit terms, deploying dynamic/automated dunning, and offering early-settlement discounts to large corporate and OTA (online travel agency) accounts, targeting a return towards the ~48-day FY2023 benchmark.</w:t>
      </w:r>
    </w:p>
    <w:p xmlns:wp14="http://schemas.microsoft.com/office/word/2010/wordml" w:rsidP="51A1C95C" wp14:paraId="5EEEA95F" wp14:textId="6F57D191">
      <w:pPr>
        <w:pStyle w:val="ListParagraph"/>
        <w:numPr>
          <w:ilvl w:val="0"/>
          <w:numId w:val="4"/>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Actively manage the cash conversion cycle by extending, where commercially reasonable, supplier and vendor payment terms (subject to not damaging key relationships), rather than allowing payables to continue contracting while revenue grows.</w:t>
      </w:r>
    </w:p>
    <w:p xmlns:wp14="http://schemas.microsoft.com/office/word/2010/wordml" w:rsidP="51A1C95C" wp14:paraId="1E70D9AA" wp14:textId="15B7FEE4">
      <w:pPr>
        <w:pStyle w:val="ListParagraph"/>
        <w:numPr>
          <w:ilvl w:val="0"/>
          <w:numId w:val="4"/>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Expand use of a committed, multi-currency revolving credit facility as a liquidity backstop, sized to cover at least 12 months of scheduled debt maturities and seasonal working-capital troughs, reducing reliance on the current ratio alone as a liquidity signal (S&amp;P Global Ratings, 2024).</w:t>
      </w:r>
    </w:p>
    <w:p xmlns:wp14="http://schemas.microsoft.com/office/word/2010/wordml" w:rsidP="51A1C95C" wp14:paraId="09BC651B" wp14:textId="5FD63D8E">
      <w:pPr>
        <w:pStyle w:val="ListParagraph"/>
        <w:numPr>
          <w:ilvl w:val="0"/>
          <w:numId w:val="4"/>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Optimise cash pooling and sweeping across Hyatt's global entities to concentrate idle cash balances centrally, reducing the need for multiple local cash buffers and improving short-term investment yield on surplus funds.</w:t>
      </w:r>
    </w:p>
    <w:p xmlns:wp14="http://schemas.microsoft.com/office/word/2010/wordml" w:rsidP="51A1C95C" wp14:paraId="5C63198E" wp14:textId="5D2C9837">
      <w:pPr>
        <w:pStyle w:val="ListParagraph"/>
        <w:numPr>
          <w:ilvl w:val="0"/>
          <w:numId w:val="4"/>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Continue to grow contract-liability balances (loyalty pre-payments, franchise application fees, advance deposits) as a structurally cheap, quasi-permanent source of working-capital funding, while ensuring adequate liquidity reserves are held against eventual redemption/refund obligations.</w:t>
      </w:r>
    </w:p>
    <w:p xmlns:wp14="http://schemas.microsoft.com/office/word/2010/wordml" w:rsidP="51A1C95C" wp14:paraId="26D3DD9E" wp14:textId="6D38FE08">
      <w:pPr>
        <w:pStyle w:val="ListParagraph"/>
        <w:numPr>
          <w:ilvl w:val="0"/>
          <w:numId w:val="4"/>
        </w:numPr>
        <w:bidi w:val="0"/>
        <w:spacing w:before="0" w:beforeAutospacing="off" w:after="10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Right-size the share-buyback programme in periods of weaker operating cash flow (as in FY2025) to preserve liquidity headroom, rather than maintaining repurchases at the expense of the cash buffer.</w:t>
      </w:r>
    </w:p>
    <w:p xmlns:wp14="http://schemas.microsoft.com/office/word/2010/wordml" w:rsidP="51A1C95C" wp14:paraId="502B71DF" wp14:textId="69306F0E">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2.3 Short-Term versus Long-Term Financing Options</w:t>
      </w:r>
    </w:p>
    <w:p xmlns:wp14="http://schemas.microsoft.com/office/word/2010/wordml" w:rsidP="51A1C95C" wp14:paraId="20A88E3F" wp14:textId="1F7DE1C3">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Hyatt's working-capital and growth funding needs can be met through a mix of short-term and long-term instruments, each with distinct cost, risk and flexibility trade-offs (Brigham and Ehrhardt, 2023).</w:t>
      </w:r>
    </w:p>
    <w:p xmlns:wp14="http://schemas.microsoft.com/office/word/2010/wordml" w:rsidP="51A1C95C" wp14:paraId="2A1E9175" wp14:textId="64632D70">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Short-term financing — commercial paper, revolving credit facilities and bank overdrafts — is typically cheaper (lower interest margins, no long-dated credit spread) and more flexible, allowing Hyatt to draw down only what is needed to smooth seasonal troughs in cash collection. However, it exposes the Company to refinancing (rollover) risk and interest-rate reset risk, both of which are more acute in a rising- or volatile-rate environment, and short-term facilities are more likely to include tighter covenants and be withdrawn in a downturn — precisely when Hyatt would need them most.</w:t>
      </w:r>
    </w:p>
    <w:p xmlns:wp14="http://schemas.microsoft.com/office/word/2010/wordml" w:rsidP="51A1C95C" wp14:paraId="2403D852" wp14:textId="3501AB27">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Long-term financing — the senior unsecured notes that make up the bulk of Hyatt's $4,272m of FY2025 long-term debt — locks in funding cost and maturity profile for several years, matching the long economic life of hotel assets and reducing refinancing risk, consistent with the matching principle of financial management (Pike, Neale and Linsley, 2018). The cost is a typically higher coupon than short-term facilities, less flexibility to reduce debt quickly if cash flow weakens, and — as FY2025 demonstrates — a real earnings and interest-cover impact once a large tranche is issued to fund acquisitions.</w:t>
      </w:r>
    </w:p>
    <w:p xmlns:wp14="http://schemas.microsoft.com/office/word/2010/wordml" w:rsidP="51A1C95C" wp14:paraId="73DC7A4B" wp14:textId="1CEFF4C4">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The recommended approach is a layered financing structure: short-term revolving facilities and commercial paper should fund genuinely short-term, seasonal working-capital swings, while long-term bonds should be reserved for permanent working capital and strategic acquisitions such as Playa. Given the FY2025 fall in interest cover to 0.3x, Hyatt should prioritise deleveraging or extending maturities on existing long-term debt over issuing further long-dated debt in the near term, and should stress-test its liquidity position against a scenario of simultaneous RevPAR softening and higher-for-longer interest rates.</w:t>
      </w:r>
    </w:p>
    <w:p xmlns:wp14="http://schemas.microsoft.com/office/word/2010/wordml" w:rsidP="51A1C95C" wp14:paraId="22FF309F" wp14:textId="6F0BF468">
      <w:pPr>
        <w:pStyle w:val="Heading1"/>
        <w:bidi w:val="0"/>
        <w:spacing w:before="360" w:beforeAutospacing="off" w:after="160" w:afterAutospacing="off"/>
        <w:rPr>
          <w:rFonts w:ascii="Calibri" w:hAnsi="Calibri" w:eastAsia="Calibri" w:cs="Calibri"/>
          <w:b w:val="1"/>
          <w:bCs w:val="1"/>
          <w:i w:val="0"/>
          <w:iCs w:val="0"/>
          <w:strike w:val="0"/>
          <w:dstrike w:val="0"/>
          <w:noProof w:val="0"/>
          <w:color w:val="1F3864"/>
          <w:sz w:val="32"/>
          <w:szCs w:val="32"/>
          <w:u w:val="none"/>
          <w:lang w:val="en-US"/>
        </w:rPr>
      </w:pPr>
      <w:r w:rsidRPr="51A1C95C" w:rsidR="740B1170">
        <w:rPr>
          <w:rFonts w:ascii="Calibri" w:hAnsi="Calibri" w:eastAsia="Calibri" w:cs="Calibri"/>
          <w:b w:val="1"/>
          <w:bCs w:val="1"/>
          <w:i w:val="0"/>
          <w:iCs w:val="0"/>
          <w:strike w:val="0"/>
          <w:dstrike w:val="0"/>
          <w:noProof w:val="0"/>
          <w:color w:val="1F3864"/>
          <w:sz w:val="32"/>
          <w:szCs w:val="32"/>
          <w:u w:val="none"/>
          <w:lang w:val="en-US"/>
        </w:rPr>
        <w:t>Task 3: Strategic Financial Restructuring Plan</w:t>
      </w:r>
    </w:p>
    <w:p xmlns:wp14="http://schemas.microsoft.com/office/word/2010/wordml" w:rsidP="51A1C95C" wp14:paraId="1A9971C5" wp14:textId="57777FEF">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3.1 Recommended Financial Restructuring Options</w:t>
      </w:r>
    </w:p>
    <w:p xmlns:wp14="http://schemas.microsoft.com/office/word/2010/wordml" w:rsidP="51A1C95C" wp14:paraId="16AFA2EE" wp14:textId="7FA93C2C">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Given FY2025's net loss, elevated leverage and collapsed interest cover (0.3x), a structured restructuring plan is warranted, combining three complementary levers: divestiture, selective equity injection, and continued asset-light real-estate monetisation (a form of financial, rather than distressed, restructuring).</w:t>
      </w:r>
    </w:p>
    <w:p xmlns:wp14="http://schemas.microsoft.com/office/word/2010/wordml" w:rsidP="51A1C95C" wp14:paraId="2DAEC56E" wp14:textId="59FB4E5F">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Divestiture / continued asset disposal programme</w:t>
      </w:r>
    </w:p>
    <w:p xmlns:wp14="http://schemas.microsoft.com/office/word/2010/wordml" w:rsidP="51A1C95C" wp14:paraId="36306DFB" wp14:textId="6A193837">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should continue and accelerate its established strategy of selling owned real estate while retaining long-dated management or franchise contracts on the same properties, as it did to generate the $1,245m FY2024 disposal gain (Hyatt Hotels Corporation, 2025). This converts illiquid, capital-intensive owned assets into cash and recurring, high-margin fee income, directly deleveraging the balance sheet and improving both the current ratio and interest cover. A disciplined target of monetising a further $1.0–1.5bn of owned real estate over 18–24 months, applied first to reducing the highest-coupon long-term debt, is recommended.</w:t>
      </w:r>
    </w:p>
    <w:p xmlns:wp14="http://schemas.microsoft.com/office/word/2010/wordml" w:rsidP="51A1C95C" wp14:paraId="13685DB5" wp14:textId="77A64A88">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Equity injection / capital discipline</w:t>
      </w:r>
    </w:p>
    <w:p xmlns:wp14="http://schemas.microsoft.com/office/word/2010/wordml" w:rsidP="51A1C95C" wp14:paraId="6A395E0B" wp14:textId="180AD29C">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Rather than a dilutive public equity issuance — likely value-destructive given the FY2025 net loss and depressed short-term earnings — Hyatt should pause or materially slow its share-repurchase programme, effectively retaining internally generated equity capital. This is a lower-cost, non-dilutive substitute for external equity injection that directly rebuilds the equity buffer and reduces gearing, and can be reversed once interest cover and OCF recover.</w:t>
      </w:r>
    </w:p>
    <w:p xmlns:wp14="http://schemas.microsoft.com/office/word/2010/wordml" w:rsidP="51A1C95C" wp14:paraId="1B8552B1" wp14:textId="4C00D9E7">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Selective merger / portfolio consolidation</w:t>
      </w:r>
    </w:p>
    <w:p xmlns:wp14="http://schemas.microsoft.com/office/word/2010/wordml" w:rsidP="51A1C95C" wp14:paraId="0CC742EC" wp14:textId="7E711A83">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should pursue only bolt-on brand or loyalty-technology acquisitions that are immediately accretive to fee income, and should defer any further large, debt-funded transactions of the scale of the Playa acquisition until leverage metrics normalise (interest cover sustainably above 4–5x). Where inorganic growth is pursued, structuring deals with deferred or contingent consideration, and prioritising asset-light franchise/management targets over owned real estate, would limit further balance-sheet strain.</w:t>
      </w:r>
    </w:p>
    <w:p xmlns:wp14="http://schemas.microsoft.com/office/word/2010/wordml" w:rsidP="51A1C95C" wp14:paraId="319E31C2" wp14:textId="16ECCD97">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3.2 Impact on Shareholder Value, Debt Structure and Operational Flexibility</w:t>
      </w:r>
    </w:p>
    <w:p xmlns:wp14="http://schemas.microsoft.com/office/word/2010/wordml" w:rsidP="51A1C95C" wp14:paraId="1F71C7C2" wp14:textId="0075974C">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On shareholder value, continued disposals and a slower buyback pace should, over a 2–3 year horizon, support share-price performance by reducing financial risk and restoring earnings quality (removing reliance on one-off gains), even though near-term EPS may benefit less from repurchases. Rating agencies and equity analysts typically reward de-levering asset-light hotel groups with tighter credit spreads and a lower cost of equity (S&amp;P Global Ratings, 2024), which over time more than offsets the modest EPS drag from a paused buyback.</w:t>
      </w:r>
    </w:p>
    <w:p xmlns:wp14="http://schemas.microsoft.com/office/word/2010/wordml" w:rsidP="51A1C95C" wp14:paraId="530D14B2" wp14:textId="693BA776">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On debt structure, applying disposal proceeds to the current maturities and highest-coupon tranches of the $4,272m long-term debt balance would lift interest cover back towards the FY2023–FY2024 range (2x–9x) and extend average debt maturity, reducing refinancing risk. Maintaining a mix of fixed- and floating-rate debt, and hedging a portion of floating exposure, would further protect interest cover against future rate volatility.</w:t>
      </w:r>
    </w:p>
    <w:p xmlns:wp14="http://schemas.microsoft.com/office/word/2010/wordml" w:rsidP="51A1C95C" wp14:paraId="45C1AA41" wp14:textId="44F9B0B0">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On operational flexibility, an asset-light structure is inherently more flexible: management and franchise contracts can be added or exited with materially lower capital commitment than owned hotels, and the fee-based model scales revenue with system-wide room growth rather than Hyatt's own capital expenditure. The trade-off is reduced direct control over guest experience and asset-level capital decisions at franchised properties, and a modest loss of the upside captured from real-estate appreciation, both of which should be actively managed through robust brand standards and franchise agreements.</w:t>
      </w:r>
    </w:p>
    <w:p xmlns:wp14="http://schemas.microsoft.com/office/word/2010/wordml" w:rsidP="51A1C95C" wp14:paraId="52A5A8F4" wp14:textId="2A3E8476">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3.3 International and Ethical Considerations</w:t>
      </w:r>
    </w:p>
    <w:p xmlns:wp14="http://schemas.microsoft.com/office/word/2010/wordml" w:rsidP="51A1C95C" wp14:paraId="4BD6A748" wp14:textId="120712EA">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As a multinational operating across the Americas, EMEA and Asia-Pacific, Hyatt is exposed to currency translation risk on non-US-dollar earnings and asset values (evidenced by the swing from a $96m unfavourable to a $153m favourable foreign-currency translation adjustment between FY2024 and FY2025) and should continue to use natural hedging (local-currency debt against local-currency assets) and selective derivative hedging to manage this exposure (Hyatt Hotels Corporation, 2026).</w:t>
      </w:r>
    </w:p>
    <w:p xmlns:wp14="http://schemas.microsoft.com/office/word/2010/wordml" w:rsidP="51A1C95C" wp14:paraId="62D52883" wp14:textId="37005BC7">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On taxation, cross-border restructuring (disposals, refinancing, and any future mergers) must be structured to comply with OECD Base Erosion and Profit Shifting (BEPS) principles and each jurisdiction's transfer-pricing rules, avoiding the reputational and regulatory risk associated with aggressive tax planning, consistent with growing stakeholder expectations of large multinationals (OECD, 2023).</w:t>
      </w:r>
    </w:p>
    <w:p xmlns:wp14="http://schemas.microsoft.com/office/word/2010/wordml" w:rsidP="51A1C95C" wp14:paraId="43933624" wp14:textId="2D6CA2FD">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Inflation affects both the cost side (construction, renovation and labour costs at owned/leased hotels) and the revenue side (nominal ADR/RevPAR growth can partially offset cost inflation), and should be incorporated into restructuring appraisals via real, not just nominal, cash-flow analysis.</w:t>
      </w:r>
    </w:p>
    <w:p xmlns:wp14="http://schemas.microsoft.com/office/word/2010/wordml" w:rsidP="51A1C95C" wp14:paraId="14C8FF73" wp14:textId="44DF698C">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From a CSR/ESG perspective, any divestiture programme should incorporate responsible-exit clauses protecting hotel-level employment and community commitments, and restructuring decisions should be assessed against Hyatt's published ESG targets (energy and water intensity, diversity, and responsible sourcing), since ESG-linked financing (e.g., sustainability-linked loans) is increasingly available to hospitality issuers on favourable terms and rewards demonstrable progress (Deloitte, 2024; PwC, 2023). Finally, all restructuring must be conducted transparently with clear, timely disclosure to shareholders, lenders, employees and franchise partners, reflecting the ethical obligation of the CFO function to balance value creation with stakeholder welfare.</w:t>
      </w:r>
    </w:p>
    <w:p xmlns:wp14="http://schemas.microsoft.com/office/word/2010/wordml" w:rsidP="51A1C95C" wp14:paraId="64D954F9" wp14:textId="053634C7">
      <w:pPr>
        <w:pStyle w:val="Heading1"/>
        <w:bidi w:val="0"/>
        <w:spacing w:before="360" w:beforeAutospacing="off" w:after="160" w:afterAutospacing="off"/>
        <w:rPr>
          <w:rFonts w:ascii="Calibri" w:hAnsi="Calibri" w:eastAsia="Calibri" w:cs="Calibri"/>
          <w:b w:val="1"/>
          <w:bCs w:val="1"/>
          <w:i w:val="0"/>
          <w:iCs w:val="0"/>
          <w:strike w:val="0"/>
          <w:dstrike w:val="0"/>
          <w:noProof w:val="0"/>
          <w:color w:val="1F3864"/>
          <w:sz w:val="32"/>
          <w:szCs w:val="32"/>
          <w:u w:val="none"/>
          <w:lang w:val="en-US"/>
        </w:rPr>
      </w:pPr>
      <w:r w:rsidRPr="51A1C95C" w:rsidR="740B1170">
        <w:rPr>
          <w:rFonts w:ascii="Calibri" w:hAnsi="Calibri" w:eastAsia="Calibri" w:cs="Calibri"/>
          <w:b w:val="1"/>
          <w:bCs w:val="1"/>
          <w:i w:val="0"/>
          <w:iCs w:val="0"/>
          <w:strike w:val="0"/>
          <w:dstrike w:val="0"/>
          <w:noProof w:val="0"/>
          <w:color w:val="1F3864"/>
          <w:sz w:val="32"/>
          <w:szCs w:val="32"/>
          <w:u w:val="none"/>
          <w:lang w:val="en-US"/>
        </w:rPr>
        <w:t>Task 4: Investment Appraisal and Capital Budgeting</w:t>
      </w:r>
    </w:p>
    <w:p xmlns:wp14="http://schemas.microsoft.com/office/word/2010/wordml" w:rsidP="51A1C95C" wp14:paraId="3484F9FA" wp14:textId="13079049">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4.1 Methodology and Assumptions</w:t>
      </w:r>
    </w:p>
    <w:p xmlns:wp14="http://schemas.microsoft.com/office/word/2010/wordml" w:rsidP="51A1C95C" wp14:paraId="71C73F61" wp14:textId="626BFB08">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Three mutually exclusive projects (A, B and C), each requiring an initial investment of £50m with a five-year forecast horizon, are appraised using five techniques: Payback Period (PBP), Accounting Rate of Return (ARR), Net Present Value (NPV), Profitability Index (PI) and Internal Rate of Return (IRR), following standard capital-budgeting methodology (Brigham and Ehrhardt, 2023; Watson and Head, 2019). A discount rate of 8% is applied to reflect Hyatt's estimated weighted average cost of capital for hotel-sector investment, and straight-line depreciation to a zero residual value (£10m per annum for each project, being £50m ÷ 5 years) is assumed for the ARR calculation. ARR is computed on the average investment basis (average annual accounting profit ÷ average investment of £25m), which is the convention recommended by ACCA (2022) and CIMA study materials, with the initial-investment basis also shown for completeness. NPV and IRR are calculated on the projects' net cash inflows (not accounting profit), consistent with the principle that cash, not profit, is what capital budgeting should evaluate (Pike, Neale and Linsley, 2018).</w:t>
      </w:r>
    </w:p>
    <w:p xmlns:wp14="http://schemas.microsoft.com/office/word/2010/wordml" w:rsidP="51A1C95C" wp14:paraId="3D6A3879" wp14:textId="2336790F">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The 8% discount rate is a reasonable proxy for Hyatt's WACC given its current capital structure of roughly 46–54% gearing (Table 1) and a blended cost of debt in the mid-single digits following the FY2025 refinancing that lifted long-term debt to £4,272m equivalent, combined with an equity cost consistent with a mature, moderately cyclical hospitality group (Damodaran, 2024). No taxation, inflation or working-capital adjustments are built into the appraisal, since none are specified in the project data provided; in practice Hyatt would additionally model post-tax cash flows, inflation-adjusted revenue growth and any incremental working-capital investment before final sign-off, and would sensitise the discount rate given the FY2025 deterioration in interest cover discussed in Task 1.</w:t>
      </w:r>
    </w:p>
    <w:p xmlns:wp14="http://schemas.microsoft.com/office/word/2010/wordml" w:rsidP="51A1C95C" wp14:paraId="1D6DDCE7" wp14:textId="6A10FEF8">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4.2 Calculated Results</w:t>
      </w:r>
    </w:p>
    <w:tbl>
      <w:tblPr>
        <w:tblStyle w:val="TableNormal"/>
        <w:bidiVisual w:val="0"/>
        <w:tblW w:w="0" w:type="auto"/>
        <w:tblLook w:val="06A0" w:firstRow="1" w:lastRow="0" w:firstColumn="1" w:lastColumn="0" w:noHBand="1" w:noVBand="1"/>
      </w:tblPr>
      <w:tblGrid>
        <w:gridCol w:w="3385"/>
        <w:gridCol w:w="1645"/>
        <w:gridCol w:w="1645"/>
        <w:gridCol w:w="1645"/>
      </w:tblGrid>
      <w:tr w:rsidR="51A1C95C" w:rsidTr="51A1C95C" w14:paraId="61CC886C">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70A86163" w14:textId="18EBE8FD">
            <w:pPr>
              <w:bidi w:val="0"/>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Metric</w:t>
            </w:r>
          </w:p>
        </w:tc>
        <w:tc>
          <w:tcPr>
            <w:tcW w:w="1645"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09FC3C65" w14:textId="763B0CB5">
            <w:pPr>
              <w:bidi w:val="0"/>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Project A</w:t>
            </w:r>
          </w:p>
        </w:tc>
        <w:tc>
          <w:tcPr>
            <w:tcW w:w="1645"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675A7AE1" w14:textId="215DD1CA">
            <w:pPr>
              <w:bidi w:val="0"/>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Project B</w:t>
            </w:r>
          </w:p>
        </w:tc>
        <w:tc>
          <w:tcPr>
            <w:tcW w:w="1645"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099AA18E" w14:textId="63DF2656">
            <w:pPr>
              <w:bidi w:val="0"/>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Project C</w:t>
            </w:r>
          </w:p>
        </w:tc>
      </w:tr>
      <w:tr w:rsidR="51A1C95C" w:rsidTr="51A1C95C" w14:paraId="439F98CF">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EB4BE2F" w14:textId="6921AAB4">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Total 5-year net cash inflow (£m)</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641502A" w14:textId="5B9925D9">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54</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83F0983" w14:textId="0F0ADFE8">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55</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6E35B17" w14:textId="1A51942E">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65</w:t>
            </w:r>
          </w:p>
        </w:tc>
      </w:tr>
      <w:tr w:rsidR="51A1C95C" w:rsidTr="51A1C95C" w14:paraId="333C1D2B">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974F683" w14:textId="795AC721">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Payback period (years)</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8A0BE23" w14:textId="3E249510">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4.50</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06F1DC4" w14:textId="7CCEEE82">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4.55</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71E93DF" w14:textId="1619157A">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3.60</w:t>
            </w:r>
          </w:p>
        </w:tc>
      </w:tr>
      <w:tr w:rsidR="51A1C95C" w:rsidTr="51A1C95C" w14:paraId="111F15D6">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1B94E74" w14:textId="0E816015">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Average annual accounting profit (£m)*</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CA937EE" w14:textId="35955E07">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0.80</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68A65FF" w14:textId="2EB6F0E4">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1.00</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DBCD932" w14:textId="29B69C36">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3.00</w:t>
            </w:r>
          </w:p>
        </w:tc>
      </w:tr>
      <w:tr w:rsidR="51A1C95C" w:rsidTr="51A1C95C" w14:paraId="725FAACF">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95BD0E9" w14:textId="41E3FF24">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ARR – average investment basis (%)</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BDDAF2A" w14:textId="2798E528">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3.2</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74EA86A" w14:textId="4F70294B">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4.0</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337D2B5" w14:textId="2C7A1399">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12.0</w:t>
            </w:r>
          </w:p>
        </w:tc>
      </w:tr>
      <w:tr w:rsidR="51A1C95C" w:rsidTr="51A1C95C" w14:paraId="5A3CFAF4">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01D3D58" w14:textId="0462E41C">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ARR – initial investment basis (%)</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5F70B24" w14:textId="5EEA9901">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1.6</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2FA8091" w14:textId="29DC334B">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2.0</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8A3B1E1" w14:textId="4B31FAC0">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6.0</w:t>
            </w:r>
          </w:p>
        </w:tc>
      </w:tr>
      <w:tr w:rsidR="51A1C95C" w:rsidTr="51A1C95C" w14:paraId="4FF4947F">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891C964" w14:textId="0D0DE7FA">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NPV at 8% (£m)</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4A43170" w14:textId="48D21E3E">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(6.54)</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1262A5E" w14:textId="25A5A46C">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(6.08)</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7A39F17" w14:textId="7848DFCA">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0.86</w:t>
            </w:r>
          </w:p>
        </w:tc>
      </w:tr>
      <w:tr w:rsidR="51A1C95C" w:rsidTr="51A1C95C" w14:paraId="7B6A44B7">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5790AD1" w14:textId="36535C4D">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Profitability Index (PI)</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41F0AB2" w14:textId="55A383D4">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0.87</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C4A900F" w14:textId="6F0C2C74">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0.88</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99C093F" w14:textId="601F357B">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1.02</w:t>
            </w:r>
          </w:p>
        </w:tc>
      </w:tr>
      <w:tr w:rsidR="51A1C95C" w:rsidTr="51A1C95C" w14:paraId="75217CFA">
        <w:trPr>
          <w:trHeight w:val="300"/>
        </w:trPr>
        <w:tc>
          <w:tcPr>
            <w:tcW w:w="33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715D4D9" w14:textId="5912DA58">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IRR (%)</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A56E738" w14:textId="023C4F1C">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2.7</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23A3F7C" w14:textId="091043C3">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3.3</w:t>
            </w:r>
          </w:p>
        </w:tc>
        <w:tc>
          <w:tcPr>
            <w:tcW w:w="164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1F09E279" w14:textId="21F11C64">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8.6</w:t>
            </w:r>
          </w:p>
        </w:tc>
      </w:tr>
    </w:tbl>
    <w:p xmlns:wp14="http://schemas.microsoft.com/office/word/2010/wordml" w:rsidP="51A1C95C" wp14:paraId="7AFD064C" wp14:textId="53F0B27C">
      <w:pPr>
        <w:bidi w:val="0"/>
        <w:spacing w:before="80" w:beforeAutospacing="off" w:after="240" w:afterAutospacing="off"/>
        <w:rPr>
          <w:rFonts w:ascii="Calibri" w:hAnsi="Calibri" w:eastAsia="Calibri" w:cs="Calibri"/>
          <w:b w:val="0"/>
          <w:bCs w:val="0"/>
          <w:i w:val="1"/>
          <w:iCs w:val="1"/>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1"/>
          <w:iCs w:val="1"/>
          <w:strike w:val="0"/>
          <w:dstrike w:val="0"/>
          <w:noProof w:val="0"/>
          <w:color w:val="000000" w:themeColor="text1" w:themeTint="FF" w:themeShade="FF"/>
          <w:sz w:val="32"/>
          <w:szCs w:val="32"/>
          <w:u w:val="none"/>
          <w:lang w:val="en-US"/>
        </w:rPr>
        <w:t>Table 2: Investment appraisal summary, Projects A–C (author's calculations). *Average annual accounting profit = average net cash inflow less straight-line depreciation of £10m p.a.</w:t>
      </w:r>
    </w:p>
    <w:p xmlns:wp14="http://schemas.microsoft.com/office/word/2010/wordml" w:rsidP="51A1C95C" wp14:paraId="1130471B" wp14:textId="33CB9322">
      <w:pPr>
        <w:pStyle w:val="Heading3"/>
        <w:bidi w:val="0"/>
        <w:spacing w:before="180" w:beforeAutospacing="off" w:after="100" w:afterAutospacing="off"/>
        <w:rPr>
          <w:rFonts w:ascii="Calibri" w:hAnsi="Calibri" w:eastAsia="Calibri" w:cs="Calibri"/>
          <w:b w:val="1"/>
          <w:bCs w:val="1"/>
          <w:i w:val="1"/>
          <w:iCs w:val="1"/>
          <w:strike w:val="0"/>
          <w:dstrike w:val="0"/>
          <w:noProof w:val="0"/>
          <w:color w:val="44546A"/>
          <w:sz w:val="32"/>
          <w:szCs w:val="32"/>
          <w:u w:val="none"/>
          <w:lang w:val="en-US"/>
        </w:rPr>
      </w:pPr>
      <w:r w:rsidRPr="51A1C95C" w:rsidR="740B1170">
        <w:rPr>
          <w:rFonts w:ascii="Calibri" w:hAnsi="Calibri" w:eastAsia="Calibri" w:cs="Calibri"/>
          <w:b w:val="1"/>
          <w:bCs w:val="1"/>
          <w:i w:val="1"/>
          <w:iCs w:val="1"/>
          <w:strike w:val="0"/>
          <w:dstrike w:val="0"/>
          <w:noProof w:val="0"/>
          <w:color w:val="44546A"/>
          <w:sz w:val="32"/>
          <w:szCs w:val="32"/>
          <w:u w:val="none"/>
          <w:lang w:val="en-US"/>
        </w:rPr>
        <w:t>Interpretation</w:t>
      </w:r>
    </w:p>
    <w:p xmlns:wp14="http://schemas.microsoft.com/office/word/2010/wordml" w:rsidP="51A1C95C" wp14:paraId="7B527322" wp14:textId="08380F1A">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Project C is the only project generating a positive NPV (£0.86m) and the only one with an IRR (8.6%) exceeding the 8% discount rate/hurdle rate, and it has the shortest payback period (3.60 years) and the highest ARR under both conventions. Projects A and B both destroy value at an 8% cost of capital, with NPVs of −£6.54m and −£6.08m respectively and IRRs of only 2.7% and 3.3% — well below the hurdle rate — despite Project B having a marginally higher total undiscounted cash inflow than Project A. This illustrates a core capital-budgeting lesson: total or average cash flow (and the ARR/PBP measures built on it) can be a misleading guide to value creation, because they ignore the time value of money and the magnitude/timing of cash flows relative to the discount rate; NPV and IRR, which properly discount cash flows, are the theoretically superior decision criteria (Watson and Head, 2019). Project C's cash flows are heavily weighted towards Years 3–4 (£20m and £25m), which — because they are still received well within the five-year horizon — are sufficient to generate a positive NPV, whereas A and B's more front- or evenly-loaded, but smaller, cash flows are not.</w:t>
      </w:r>
    </w:p>
    <w:p xmlns:wp14="http://schemas.microsoft.com/office/word/2010/wordml" w:rsidP="51A1C95C" wp14:paraId="394C20B2" wp14:textId="129E4D99">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4.3 Project Recommendation and Justification</w:t>
      </w:r>
    </w:p>
    <w:p xmlns:wp14="http://schemas.microsoft.com/office/word/2010/wordml" w:rsidP="51A1C95C" wp14:paraId="5ECE9A67" wp14:textId="68636A6D">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On purely financial grounds, Project C is recommended: it is the only project that would increase Hyatt's shareholder value at the assumed 8% cost of capital, it pays back capital fastest (improving liquidity recovery, which matters given Hyatt's currently thin interest cover), and it offers the largest margin of safety on IRR (8.6% against an 8% hurdle, versus IRR shortfalls of over 4–5 percentage points for A and B).</w:t>
      </w:r>
    </w:p>
    <w:p xmlns:wp14="http://schemas.microsoft.com/office/word/2010/wordml" w:rsidP="51A1C95C" wp14:paraId="6A3D8712" wp14:textId="20954A88">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This financial conclusion should, however, be read alongside non-financial risk factors relevant to Hyatt's current position. Project C's cash-flow profile is more back-loaded and more volatile (ranging from £5m to £25m year-on-year) than Project B's flat £11m annuity, implying greater forecasting and execution risk — appropriate scrutiny should be given to the assumptions (e.g., a new-market hotel ramp-up curve or a renovation-driven RevPAR uplift) underpinning the large Year 3–4 inflows. Political and country risk is relevant if Project C represents expansion into a new or less stable jurisdiction: currency controls, expropriation risk, and local licensing requirements could all delay or reduce the projected cash flows, and should be stress-tested with a sensitivity/scenario analysis rather than accepted as a single-point forecast. Customer loyalty and brand-fit risk should also be assessed — if Project C involves a new brand segment or geography outside Hyatt's core World of Hyatt loyalty base, incremental marketing and loyalty-integration investment (not captured in the cash-flow schedule provided) may be required to achieve the assumed occupancy ramp. Given Hyatt's FY2025 interest cover of just 0.3x, the Company has limited capacity to absorb a downside scenario on any project; Project C's positive but thin NPV margin (PI of only 1.02) means the investment decision is sensitive to relatively small forecasting errors, and management should require a formal sensitivity analysis (varying occupancy/ADR assumptions by ±10%) before final approval, alongside verifying that project-level cash flows do not carry currency or counterparty risk that would further erode the already-modest margin of value creation.</w:t>
      </w:r>
    </w:p>
    <w:p xmlns:wp14="http://schemas.microsoft.com/office/word/2010/wordml" w:rsidP="51A1C95C" wp14:paraId="13935AAB" wp14:textId="7880D9CB">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Read against Hyatt's own financial performance, the case for Project C is reinforced rather than weakened. Profitability has been volatile and, in FY2025, negative; a project offering a genuine, positively-discounted return — however modest — is preferable to committing further capital to negative-NPV alternatives that would compound the erosion of shareholder value already evident in the FY2025 results. From a liquidity perspective, Project C's shorter payback (3.60 years versus 4.50–4.55 years for A and B) returns capital to the business faster, which matters directly given Hyatt's sub-1.0x current ratio and thin cash buffer identified in Task 1. Committing the full £100m to two projects, by contrast, would tie up capital in value-destroying commitments precisely when Hyatt's balance sheet has the least spare capacity to absorb disappointing outcomes, reinforcing the case for capital discipline over full budget utilisation, which is developed further in section 4.4.</w:t>
      </w:r>
    </w:p>
    <w:p xmlns:wp14="http://schemas.microsoft.com/office/word/2010/wordml" w:rsidP="51A1C95C" wp14:paraId="5B3E6DB2" wp14:textId="41BD53BF">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4.4 Capital Rationing: Optimal Combination Within a £100m Budget</w:t>
      </w:r>
    </w:p>
    <w:p xmlns:wp14="http://schemas.microsoft.com/office/word/2010/wordml" w:rsidP="51A1C95C" wp14:paraId="0A0215EC" wp14:textId="34152DC0">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With a maximum of £100m available and each project requiring exactly £50m, only two of the three projects can be undertaken; capital rationing therefore requires ranking projects by value added per pound invested (the Profitability Index) rather than by NPV alone, since all three projects are equally sized and PI ranking is equivalent to NPV ranking here (Pike, Neale and Linsley, 2018).</w:t>
      </w:r>
    </w:p>
    <w:tbl>
      <w:tblPr>
        <w:tblStyle w:val="TableNormal"/>
        <w:bidiVisual w:val="0"/>
        <w:tblW w:w="0" w:type="auto"/>
        <w:tblLook w:val="06A0" w:firstRow="1" w:lastRow="0" w:firstColumn="1" w:lastColumn="0" w:noHBand="1" w:noVBand="1"/>
      </w:tblPr>
      <w:tblGrid>
        <w:gridCol w:w="3280"/>
        <w:gridCol w:w="2080"/>
        <w:gridCol w:w="3085"/>
      </w:tblGrid>
      <w:tr w:rsidR="51A1C95C" w:rsidTr="51A1C95C" w14:paraId="481C0B9D">
        <w:trPr>
          <w:trHeight w:val="300"/>
        </w:trPr>
        <w:tc>
          <w:tcPr>
            <w:tcW w:w="3280"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0735988B" w14:textId="12A638C6">
            <w:pPr>
              <w:bidi w:val="0"/>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Combination</w:t>
            </w:r>
          </w:p>
        </w:tc>
        <w:tc>
          <w:tcPr>
            <w:tcW w:w="2080"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1F4F2F4C" w14:textId="1786019C">
            <w:pPr>
              <w:bidi w:val="0"/>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Capital used (£m)</w:t>
            </w:r>
          </w:p>
        </w:tc>
        <w:tc>
          <w:tcPr>
            <w:tcW w:w="3085"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60" w:type="dxa"/>
              <w:left w:w="100" w:type="dxa"/>
              <w:bottom w:w="60" w:type="dxa"/>
              <w:right w:w="100" w:type="dxa"/>
            </w:tcMar>
            <w:vAlign w:val="center"/>
          </w:tcPr>
          <w:p w:rsidR="51A1C95C" w:rsidP="51A1C95C" w:rsidRDefault="51A1C95C" w14:paraId="537E1E6F" w14:textId="0E178FA6">
            <w:pPr>
              <w:bidi w:val="0"/>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32"/>
                <w:szCs w:val="32"/>
                <w:u w:val="none"/>
              </w:rPr>
            </w:pPr>
            <w:r w:rsidRPr="51A1C95C" w:rsidR="51A1C95C">
              <w:rPr>
                <w:rFonts w:ascii="Calibri" w:hAnsi="Calibri" w:eastAsia="Calibri" w:cs="Calibri"/>
                <w:b w:val="1"/>
                <w:bCs w:val="1"/>
                <w:i w:val="0"/>
                <w:iCs w:val="0"/>
                <w:strike w:val="0"/>
                <w:dstrike w:val="0"/>
                <w:color w:val="000000" w:themeColor="text1" w:themeTint="FF" w:themeShade="FF"/>
                <w:sz w:val="32"/>
                <w:szCs w:val="32"/>
                <w:u w:val="none"/>
              </w:rPr>
              <w:t>Combined NPV (£m)</w:t>
            </w:r>
          </w:p>
        </w:tc>
      </w:tr>
      <w:tr w:rsidR="51A1C95C" w:rsidTr="51A1C95C" w14:paraId="73B2BA66">
        <w:trPr>
          <w:trHeight w:val="300"/>
        </w:trPr>
        <w:tc>
          <w:tcPr>
            <w:tcW w:w="328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1E1BBFC" w14:textId="5AD35FB3">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A + B</w:t>
            </w:r>
          </w:p>
        </w:tc>
        <w:tc>
          <w:tcPr>
            <w:tcW w:w="208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7273301A" w14:textId="57C78415">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100</w:t>
            </w:r>
          </w:p>
        </w:tc>
        <w:tc>
          <w:tcPr>
            <w:tcW w:w="30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777342A" w14:textId="6D9BB58A">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(6.54) + (6.08) = (12.62)</w:t>
            </w:r>
          </w:p>
        </w:tc>
      </w:tr>
      <w:tr w:rsidR="51A1C95C" w:rsidTr="51A1C95C" w14:paraId="5C90B375">
        <w:trPr>
          <w:trHeight w:val="300"/>
        </w:trPr>
        <w:tc>
          <w:tcPr>
            <w:tcW w:w="328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0A9714D3" w14:textId="0E422FF4">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A + C</w:t>
            </w:r>
          </w:p>
        </w:tc>
        <w:tc>
          <w:tcPr>
            <w:tcW w:w="208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30898AD6" w14:textId="130911B0">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100</w:t>
            </w:r>
          </w:p>
        </w:tc>
        <w:tc>
          <w:tcPr>
            <w:tcW w:w="30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FF9F95F" w14:textId="015507C5">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(6.54) + 0.86 = (5.68)</w:t>
            </w:r>
          </w:p>
        </w:tc>
      </w:tr>
      <w:tr w:rsidR="51A1C95C" w:rsidTr="51A1C95C" w14:paraId="6C877971">
        <w:trPr>
          <w:trHeight w:val="300"/>
        </w:trPr>
        <w:tc>
          <w:tcPr>
            <w:tcW w:w="328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203DA524" w14:textId="6B50C1E7">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B + C</w:t>
            </w:r>
          </w:p>
        </w:tc>
        <w:tc>
          <w:tcPr>
            <w:tcW w:w="2080"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55C2AC14" w14:textId="787CDF80">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100</w:t>
            </w:r>
          </w:p>
        </w:tc>
        <w:tc>
          <w:tcPr>
            <w:tcW w:w="3085" w:type="dxa"/>
            <w:tcBorders>
              <w:top w:val="single" w:color="000000" w:themeColor="text1" w:sz="4"/>
              <w:left w:val="single" w:color="000000" w:themeColor="text1" w:sz="4"/>
              <w:bottom w:val="single" w:color="000000" w:themeColor="text1" w:sz="4"/>
              <w:right w:val="single" w:color="000000" w:themeColor="text1" w:sz="4"/>
            </w:tcBorders>
            <w:tcMar>
              <w:top w:w="60" w:type="dxa"/>
              <w:left w:w="100" w:type="dxa"/>
              <w:bottom w:w="60" w:type="dxa"/>
              <w:right w:w="100" w:type="dxa"/>
            </w:tcMar>
            <w:vAlign w:val="center"/>
          </w:tcPr>
          <w:p w:rsidR="51A1C95C" w:rsidP="51A1C95C" w:rsidRDefault="51A1C95C" w14:paraId="4C5B5FFA" w14:textId="65A77979">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32"/>
                <w:szCs w:val="32"/>
                <w:u w:val="none"/>
              </w:rPr>
            </w:pPr>
            <w:r w:rsidRPr="51A1C95C" w:rsidR="51A1C95C">
              <w:rPr>
                <w:rFonts w:ascii="Calibri" w:hAnsi="Calibri" w:eastAsia="Calibri" w:cs="Calibri"/>
                <w:b w:val="0"/>
                <w:bCs w:val="0"/>
                <w:i w:val="0"/>
                <w:iCs w:val="0"/>
                <w:strike w:val="0"/>
                <w:dstrike w:val="0"/>
                <w:color w:val="000000" w:themeColor="text1" w:themeTint="FF" w:themeShade="FF"/>
                <w:sz w:val="32"/>
                <w:szCs w:val="32"/>
                <w:u w:val="none"/>
              </w:rPr>
              <w:t>(6.08) + 0.86 = (5.22)</w:t>
            </w:r>
          </w:p>
        </w:tc>
      </w:tr>
    </w:tbl>
    <w:p xmlns:wp14="http://schemas.microsoft.com/office/word/2010/wordml" w:rsidP="51A1C95C" wp14:paraId="2BE97B37" wp14:textId="3A07402D">
      <w:pPr>
        <w:bidi w:val="0"/>
        <w:spacing w:before="80" w:beforeAutospacing="off" w:after="240" w:afterAutospacing="off"/>
        <w:rPr>
          <w:rFonts w:ascii="Calibri" w:hAnsi="Calibri" w:eastAsia="Calibri" w:cs="Calibri"/>
          <w:b w:val="0"/>
          <w:bCs w:val="0"/>
          <w:i w:val="1"/>
          <w:iCs w:val="1"/>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1"/>
          <w:iCs w:val="1"/>
          <w:strike w:val="0"/>
          <w:dstrike w:val="0"/>
          <w:noProof w:val="0"/>
          <w:color w:val="000000" w:themeColor="text1" w:themeTint="FF" w:themeShade="FF"/>
          <w:sz w:val="32"/>
          <w:szCs w:val="32"/>
          <w:u w:val="none"/>
          <w:lang w:val="en-US"/>
        </w:rPr>
        <w:t>Table 3: Combined NPV of feasible two-project combinations within the £100m capital limit.</w:t>
      </w:r>
    </w:p>
    <w:p xmlns:wp14="http://schemas.microsoft.com/office/word/2010/wordml" w:rsidP="51A1C95C" wp14:paraId="1866AEF2" wp14:textId="4854CA47">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Ranked by PI, the order of preference is Project C (1.02), Project B (0.88), then Project A (0.87); of the three feasible £100m combinations, B + C combined destroys the least value (−£5.22m) and A + B destroys the most (−£12.62m). However, because Projects A and B individually have negative NPV, no combination that includes both of them, or that fully deploys the £100m budget using two of these three projects, actually creates shareholder value — every feasible pairing has a negative combined NPV.</w:t>
      </w:r>
    </w:p>
    <w:p xmlns:wp14="http://schemas.microsoft.com/office/word/2010/wordml" w:rsidP="51A1C95C" wp14:paraId="3B90E269" wp14:textId="25E5B70D">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The value-maximising decision under capital rationing is therefore to invest only in Project C (£50m), which alone generates positive NPV (£0.86m), and to hold, return, or redeploy the remaining £50m of headroom elsewhere — for example, applied to debt reduction (directly improving Hyatt's currently weak interest cover) or to other capital projects not presented in this appraisal, rather than being forced into a second, value-destroying £50m commitment merely to exhaust the available budget. If Hyatt's investment mandate genuinely required the full £100m to be committed to these three specific projects, B + C would be the least value-destructive combination and should be selected over A + B or A + C; but this is a constrained second-best outcome, and the Board should be advised explicitly that no combination of two projects from this set creates net shareholder value, and that Project C alone is the financially optimal use of capital. This finding also reinforces the Task 3 recommendation that Hyatt prioritise debt reduction over further large capital commitments while interest cover remains depressed.</w:t>
      </w:r>
    </w:p>
    <w:p xmlns:wp14="http://schemas.microsoft.com/office/word/2010/wordml" w:rsidP="51A1C95C" wp14:paraId="5C23ED9B" wp14:textId="709CE3BB">
      <w:pPr>
        <w:pStyle w:val="Heading1"/>
        <w:bidi w:val="0"/>
        <w:spacing w:before="360" w:beforeAutospacing="off" w:after="160" w:afterAutospacing="off"/>
        <w:rPr>
          <w:rFonts w:ascii="Calibri" w:hAnsi="Calibri" w:eastAsia="Calibri" w:cs="Calibri"/>
          <w:b w:val="1"/>
          <w:bCs w:val="1"/>
          <w:i w:val="0"/>
          <w:iCs w:val="0"/>
          <w:strike w:val="0"/>
          <w:dstrike w:val="0"/>
          <w:noProof w:val="0"/>
          <w:color w:val="1F3864"/>
          <w:sz w:val="32"/>
          <w:szCs w:val="32"/>
          <w:u w:val="none"/>
          <w:lang w:val="en-US"/>
        </w:rPr>
      </w:pPr>
      <w:r w:rsidRPr="51A1C95C" w:rsidR="740B1170">
        <w:rPr>
          <w:rFonts w:ascii="Calibri" w:hAnsi="Calibri" w:eastAsia="Calibri" w:cs="Calibri"/>
          <w:b w:val="1"/>
          <w:bCs w:val="1"/>
          <w:i w:val="0"/>
          <w:iCs w:val="0"/>
          <w:strike w:val="0"/>
          <w:dstrike w:val="0"/>
          <w:noProof w:val="0"/>
          <w:color w:val="1F3864"/>
          <w:sz w:val="32"/>
          <w:szCs w:val="32"/>
          <w:u w:val="none"/>
          <w:lang w:val="en-US"/>
        </w:rPr>
        <w:t>Task 5: Critical Reflection on AI Usage</w:t>
      </w:r>
    </w:p>
    <w:p xmlns:wp14="http://schemas.microsoft.com/office/word/2010/wordml" w:rsidP="51A1C95C" wp14:paraId="73B76175" wp14:textId="53AF9962">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5.1 Tool Disclosure</w:t>
      </w:r>
    </w:p>
    <w:p xmlns:wp14="http://schemas.microsoft.com/office/word/2010/wordml" w:rsidP="51A1C95C" wp14:paraId="54B54BCF" wp14:textId="18B944A4">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An AI assistant (Anthropic's Claude) was used solely for data correction and verification research in preparing this report: cross-checking extracted line items (revenue, net income, balance-sheet and cash-flow figures) against the source text of Hyatt's FY2021–FY2025 Form 10-K filings and publicly available SEC filings for Marriott and Hilton, and flagging/correcting discrepancies such as year-on-year revenue-line relabelling. It was not used to generate the analysis, judgement or recommendations presented in this report, which are the author's own. This disclosure is made in line with growing academic and professional guidance that AI use in financial analysis be explicitly acknowledged (CFA Institute, 2023).</w:t>
      </w:r>
    </w:p>
    <w:p xmlns:wp14="http://schemas.microsoft.com/office/word/2010/wordml" w:rsidP="51A1C95C" wp14:paraId="698CAAD3" wp14:textId="0C3EB0EF">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5.2 Critical Evaluation of AI Output</w:t>
      </w:r>
    </w:p>
    <w:p xmlns:wp14="http://schemas.microsoft.com/office/word/2010/wordml" w:rsidP="51A1C95C" wp14:paraId="5F08FCF6" wp14:textId="1B01E3D3">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AI-generated figures were verified by re-extracting the same line items directly from the source PDF text of each 10-K (using the exact 'Consolidated Statements of Income', 'Consolidated Balance Sheets' and 'Consolidated Statements of Cash Flows' pages) and by independently recomputing every ratio and capital-budgeting metric with transparent, auditable Python code rather than accepting narrative AI output at face value. Cross-year consistency was checked by comparing overlapping figures reported in adjacent 10-Ks (for example, FY2022 figures appear in both the FY2022 and FY2023 filings), which surfaced no discrepancies. One area requiring correction during drafting was ensuring that revenue and profit line-item labels, which Hyatt renamed between FY2022 (revenue categorised as 'management, franchise, licence and other fees') and FY2024 (recategorised into 'base management fees', 'incentive management fees' and 'franchise and other fees'), were not mistakenly treated as new or additional revenue streams — a plausible hallucination risk that was mitigated by tracing each year's total revenue and total direct/SG&amp;A expense back to the reported subtotal figures rather than relying on line-item labels alone.</w:t>
      </w:r>
    </w:p>
    <w:p xmlns:wp14="http://schemas.microsoft.com/office/word/2010/wordml" w:rsidP="51A1C95C" wp14:paraId="224F6D70" wp14:textId="1B5FB3D4">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5.3 Contribution Analysis</w:t>
      </w:r>
    </w:p>
    <w:p xmlns:wp14="http://schemas.microsoft.com/office/word/2010/wordml" w:rsidP="51A1C95C" wp14:paraId="3D6FEAAA" wp14:textId="4AC1C2D9">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AI's contribution was confined to data correction and verification research: checking extracted figures against source filings and identifying labelling changes between reporting years that could otherwise have been misread as new revenue lines. All financial interpretation, structuring, and strategic synthesis presented in this report — including the identification of the FY2024 profit spike as a non-recurring disposal gain requiring normalisation, the assessment that Hyatt's sub-1.0x current ratio should be read against asset-light sector norms rather than generic textbook benchmarks, the strategic restructuring judgement to prioritise debt reduction and slower buybacks over a further large acquisition, and the capital-rationing conclusion that no two-project combination from A–C creates net shareholder value — is the author's own original work.</w:t>
      </w:r>
    </w:p>
    <w:p xmlns:wp14="http://schemas.microsoft.com/office/word/2010/wordml" w:rsidP="51A1C95C" wp14:paraId="573C5B2C" wp14:textId="51EB3B97">
      <w:pPr>
        <w:pStyle w:val="Heading2"/>
        <w:bidi w:val="0"/>
        <w:spacing w:before="240" w:beforeAutospacing="off" w:after="120" w:afterAutospacing="off"/>
        <w:rPr>
          <w:rFonts w:ascii="Calibri" w:hAnsi="Calibri" w:eastAsia="Calibri" w:cs="Calibri"/>
          <w:b w:val="1"/>
          <w:bCs w:val="1"/>
          <w:i w:val="0"/>
          <w:iCs w:val="0"/>
          <w:strike w:val="0"/>
          <w:dstrike w:val="0"/>
          <w:noProof w:val="0"/>
          <w:color w:val="2E5395"/>
          <w:sz w:val="32"/>
          <w:szCs w:val="32"/>
          <w:u w:val="none"/>
          <w:lang w:val="en-US"/>
        </w:rPr>
      </w:pPr>
      <w:r w:rsidRPr="51A1C95C" w:rsidR="740B1170">
        <w:rPr>
          <w:rFonts w:ascii="Calibri" w:hAnsi="Calibri" w:eastAsia="Calibri" w:cs="Calibri"/>
          <w:b w:val="1"/>
          <w:bCs w:val="1"/>
          <w:i w:val="0"/>
          <w:iCs w:val="0"/>
          <w:strike w:val="0"/>
          <w:dstrike w:val="0"/>
          <w:noProof w:val="0"/>
          <w:color w:val="2E5395"/>
          <w:sz w:val="32"/>
          <w:szCs w:val="32"/>
          <w:u w:val="none"/>
          <w:lang w:val="en-US"/>
        </w:rPr>
        <w:t>5.4 Ethical and Professional Reflection</w:t>
      </w:r>
    </w:p>
    <w:p xmlns:wp14="http://schemas.microsoft.com/office/word/2010/wordml" w:rsidP="51A1C95C" wp14:paraId="520AD544" wp14:textId="43A0A00A">
      <w:pPr>
        <w:bidi w:val="0"/>
        <w:spacing w:before="0" w:beforeAutospacing="off" w:after="200" w:afterAutospacing="off"/>
        <w:jc w:val="both"/>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Using AI in a finance function raises three principal ethical considerations. First, transparency: stakeholders (examiners, investors, or a real Board) are entitled to know where AI tools contributed to analysis, particularly for figures underpinning investment decisions, which is why this disclosure is provided explicitly rather than being implied. Second, data privacy and confidentiality: this report relied exclusively on publicly available, already-published annual report data; in a real executive setting, feeding non-public, commercially sensitive information into third-party AI tools would raise material confidentiality and insider-information risks that would require robust data-governance controls before use. Third, over-reliance risk: AI can accelerate data processing and drafting, but it can also produce confident-sounding errors (hallucinations), and an executive who delegated investment or restructuring decisions to AI output without independent verification — as illustrated by the line-item relabelling risk noted above — would be abdicating, not exercising, professional judgement. The appropriate model, followed in this report, is AI as a productivity and first-draft tool operating under continuous human verification and final accountability, not as a substitute for the CFO's own analytical and ethical responsibility.</w:t>
      </w:r>
    </w:p>
    <w:p xmlns:wp14="http://schemas.microsoft.com/office/word/2010/wordml" w:rsidP="51A1C95C" wp14:paraId="6BD605D7" wp14:textId="4E3459D9">
      <w:pPr>
        <w:pStyle w:val="Heading1"/>
        <w:bidi w:val="0"/>
        <w:spacing w:before="360" w:beforeAutospacing="off" w:after="160" w:afterAutospacing="off"/>
        <w:rPr>
          <w:rFonts w:ascii="Calibri" w:hAnsi="Calibri" w:eastAsia="Calibri" w:cs="Calibri"/>
          <w:b w:val="1"/>
          <w:bCs w:val="1"/>
          <w:i w:val="0"/>
          <w:iCs w:val="0"/>
          <w:strike w:val="0"/>
          <w:dstrike w:val="0"/>
          <w:noProof w:val="0"/>
          <w:color w:val="1F3864"/>
          <w:sz w:val="32"/>
          <w:szCs w:val="32"/>
          <w:u w:val="none"/>
          <w:lang w:val="en-US"/>
        </w:rPr>
      </w:pPr>
      <w:r w:rsidRPr="51A1C95C" w:rsidR="740B1170">
        <w:rPr>
          <w:rFonts w:ascii="Calibri" w:hAnsi="Calibri" w:eastAsia="Calibri" w:cs="Calibri"/>
          <w:b w:val="1"/>
          <w:bCs w:val="1"/>
          <w:i w:val="0"/>
          <w:iCs w:val="0"/>
          <w:strike w:val="0"/>
          <w:dstrike w:val="0"/>
          <w:noProof w:val="0"/>
          <w:color w:val="1F3864"/>
          <w:sz w:val="32"/>
          <w:szCs w:val="32"/>
          <w:u w:val="none"/>
          <w:lang w:val="en-US"/>
        </w:rPr>
        <w:t>References</w:t>
      </w:r>
    </w:p>
    <w:p xmlns:wp14="http://schemas.microsoft.com/office/word/2010/wordml" w:rsidP="51A1C95C" wp14:paraId="0650EF6D" wp14:textId="6CBA98D7">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ACCA (2022) Financial Management (FM) Study Text. London: BPP Learning Media / ACCA.</w:t>
      </w:r>
    </w:p>
    <w:p xmlns:wp14="http://schemas.microsoft.com/office/word/2010/wordml" w:rsidP="51A1C95C" wp14:paraId="7051DAE3" wp14:textId="433899C8">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Brigham, E.F. and Ehrhardt, M.C. (2023) Financial Management: Theory and Practice. 16th edn. Boston: Cengage Learning.</w:t>
      </w:r>
    </w:p>
    <w:p xmlns:wp14="http://schemas.microsoft.com/office/word/2010/wordml" w:rsidP="51A1C95C" wp14:paraId="67B50D38" wp14:textId="60488569">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CFA Institute (2023) Guidance for the Use of AI in Investment Management. Charlottesville, VA: CFA Institute.</w:t>
      </w:r>
    </w:p>
    <w:p xmlns:wp14="http://schemas.microsoft.com/office/word/2010/wordml" w:rsidP="51A1C95C" wp14:paraId="75653CDB" wp14:textId="6BDEDBA0">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Damodaran, A. (2024) Cost of Capital by Industry Sector: Hotel/Gaming. New York: NYU Stern School of Business.</w:t>
      </w:r>
    </w:p>
    <w:p xmlns:wp14="http://schemas.microsoft.com/office/word/2010/wordml" w:rsidP="51A1C95C" wp14:paraId="5DBDC8B6" wp14:textId="6B0AEA16">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Deloitte (2024) 2024 Travel and Hospitality Industry Outlook. New York: Deloitte Insights.</w:t>
      </w:r>
    </w:p>
    <w:p xmlns:wp14="http://schemas.microsoft.com/office/word/2010/wordml" w:rsidP="51A1C95C" wp14:paraId="25EA1E7D" wp14:textId="49F8FC96">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Hilton Worldwide Holdings Inc. (2025) Annual Report on Form 10-K for the Fiscal Year Ended December 31, 2024. Washington, DC: U.S. Securities and Exchange Commission.</w:t>
      </w:r>
    </w:p>
    <w:p xmlns:wp14="http://schemas.microsoft.com/office/word/2010/wordml" w:rsidP="51A1C95C" wp14:paraId="622A92C2" wp14:textId="306D37F2">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Hotels Corporation (2022) Annual Report on Form 10-K for the Fiscal Year Ended December 31, 2021. Washington, DC: U.S. Securities and Exchange Commission.</w:t>
      </w:r>
    </w:p>
    <w:p xmlns:wp14="http://schemas.microsoft.com/office/word/2010/wordml" w:rsidP="51A1C95C" wp14:paraId="5E43E942" wp14:textId="38AD00FB">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Hotels Corporation (2023) Annual Report on Form 10-K for the Fiscal Year Ended December 31, 2022. Washington, DC: U.S. Securities and Exchange Commission.</w:t>
      </w:r>
    </w:p>
    <w:p xmlns:wp14="http://schemas.microsoft.com/office/word/2010/wordml" w:rsidP="51A1C95C" wp14:paraId="6ECE7736" wp14:textId="7ACC244F">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Hotels Corporation (2024) Annual Report on Form 10-K for the Fiscal Year Ended December 31, 2023. Washington, DC: U.S. Securities and Exchange Commission.</w:t>
      </w:r>
    </w:p>
    <w:p xmlns:wp14="http://schemas.microsoft.com/office/word/2010/wordml" w:rsidP="51A1C95C" wp14:paraId="158A491F" wp14:textId="1F82D40D">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Hotels Corporation (2025) Annual Report on Form 10-K for the Fiscal Year Ended December 31, 2024. Washington, DC: U.S. Securities and Exchange Commission.</w:t>
      </w:r>
    </w:p>
    <w:p xmlns:wp14="http://schemas.microsoft.com/office/word/2010/wordml" w:rsidP="51A1C95C" wp14:paraId="35D5DF68" wp14:textId="05F66D91">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Hyatt Hotels Corporation (2026) Annual Report on Form 10-K for the Fiscal Year Ended December 31, 2025. Washington, DC: U.S. Securities and Exchange Commission.</w:t>
      </w:r>
    </w:p>
    <w:p xmlns:wp14="http://schemas.microsoft.com/office/word/2010/wordml" w:rsidP="51A1C95C" wp14:paraId="59A06F61" wp14:textId="149D9DA1">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InterContinental Hotels Group PLC (2025) Annual Report and Form 20-F 2024. Denham: IHG.</w:t>
      </w:r>
    </w:p>
    <w:p xmlns:wp14="http://schemas.microsoft.com/office/word/2010/wordml" w:rsidP="51A1C95C" wp14:paraId="4FD0AA53" wp14:textId="5FE902B9">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Marriott International, Inc. (2025) Annual Report on Form 10-K for the Fiscal Year Ended December 31, 2024. Washington, DC: U.S. Securities and Exchange Commission.</w:t>
      </w:r>
    </w:p>
    <w:p xmlns:wp14="http://schemas.microsoft.com/office/word/2010/wordml" w:rsidP="51A1C95C" wp14:paraId="10403579" wp14:textId="3EFDAB04">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McKinsey &amp; Company (2023) 'Hospitality rebound: what's next for hotel investment?' McKinsey Travel, Logistics &amp; Infrastructure Insights, October.</w:t>
      </w:r>
    </w:p>
    <w:p xmlns:wp14="http://schemas.microsoft.com/office/word/2010/wordml" w:rsidP="51A1C95C" wp14:paraId="70B1E449" wp14:textId="64658BE9">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OECD (2023) Base Erosion and Profit Shifting (BEPS) Actions: Progress Report. Paris: OECD Publishing.</w:t>
      </w:r>
    </w:p>
    <w:p xmlns:wp14="http://schemas.microsoft.com/office/word/2010/wordml" w:rsidP="51A1C95C" wp14:paraId="1B6F3FFE" wp14:textId="3F4E3D99">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Pike, R., Neale, B. and Linsley, P. (2018) Corporate Finance and Investment: Decisions and Strategies. 9th edn. Harlow: Pearson Education.</w:t>
      </w:r>
    </w:p>
    <w:p xmlns:wp14="http://schemas.microsoft.com/office/word/2010/wordml" w:rsidP="51A1C95C" wp14:paraId="17A18163" wp14:textId="10D971B2">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PwC (2023) Hospitality Directions: US and Global Outlook. London/New York: PricewaterhouseCoopers.</w:t>
      </w:r>
    </w:p>
    <w:p xmlns:wp14="http://schemas.microsoft.com/office/word/2010/wordml" w:rsidP="51A1C95C" wp14:paraId="018BABD4" wp14:textId="213B7E7B">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S&amp;P Global Ratings (2024) Global Lodging Sector: Credit Trends and Rating Actions. New York: S&amp;P Global.</w:t>
      </w:r>
    </w:p>
    <w:p xmlns:wp14="http://schemas.microsoft.com/office/word/2010/wordml" w:rsidP="51A1C95C" wp14:paraId="79B524D3" wp14:textId="4D4003F4">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STR / CoStar Group (2024) U.S. Hotel Industry Performance Review. Hendersonville, TN: STR.</w:t>
      </w:r>
    </w:p>
    <w:p xmlns:wp14="http://schemas.microsoft.com/office/word/2010/wordml" w:rsidP="51A1C95C" wp14:paraId="145CEFD0" wp14:textId="07C9765E">
      <w:pPr>
        <w:bidi w:val="0"/>
        <w:spacing w:before="0" w:beforeAutospacing="off" w:after="160" w:afterAutospacing="off"/>
        <w:ind w:left="720" w:hanging="720"/>
        <w:rPr>
          <w:rFonts w:ascii="Calibri" w:hAnsi="Calibri" w:eastAsia="Calibri" w:cs="Calibri"/>
          <w:b w:val="0"/>
          <w:bCs w:val="0"/>
          <w:i w:val="0"/>
          <w:iCs w:val="0"/>
          <w:strike w:val="0"/>
          <w:dstrike w:val="0"/>
          <w:noProof w:val="0"/>
          <w:color w:val="000000" w:themeColor="text1" w:themeTint="FF" w:themeShade="FF"/>
          <w:sz w:val="32"/>
          <w:szCs w:val="32"/>
          <w:u w:val="none"/>
          <w:lang w:val="en-US"/>
        </w:rPr>
      </w:pPr>
      <w:r w:rsidRPr="51A1C95C" w:rsidR="740B1170">
        <w:rPr>
          <w:rFonts w:ascii="Calibri" w:hAnsi="Calibri" w:eastAsia="Calibri" w:cs="Calibri"/>
          <w:b w:val="0"/>
          <w:bCs w:val="0"/>
          <w:i w:val="0"/>
          <w:iCs w:val="0"/>
          <w:strike w:val="0"/>
          <w:dstrike w:val="0"/>
          <w:noProof w:val="0"/>
          <w:color w:val="000000" w:themeColor="text1" w:themeTint="FF" w:themeShade="FF"/>
          <w:sz w:val="32"/>
          <w:szCs w:val="32"/>
          <w:u w:val="none"/>
          <w:lang w:val="en-US"/>
        </w:rPr>
        <w:t>Watson, D. and Head, A. (2019) Corporate Finance: Principles and Practice. 8th edn. Harlow: Pearson Education.</w:t>
      </w:r>
    </w:p>
    <w:p xmlns:wp14="http://schemas.microsoft.com/office/word/2010/wordml" w:rsidP="51A1C95C" wp14:paraId="312F0307" wp14:textId="19453EC9">
      <w:pPr>
        <w:bidi w:val="0"/>
        <w:rPr>
          <w:sz w:val="32"/>
          <w:szCs w:val="32"/>
        </w:rPr>
      </w:pPr>
    </w:p>
    <w:p xmlns:wp14="http://schemas.microsoft.com/office/word/2010/wordml" w:rsidP="51A1C95C" wp14:paraId="2C078E63" wp14:textId="5377C789">
      <w:pPr>
        <w:rPr>
          <w:sz w:val="32"/>
          <w:szCs w:val="32"/>
        </w:rPr>
      </w:pPr>
    </w:p>
    <w:sectPr>
      <w:pgSz w:w="12240" w:h="15840" w:orient="portrait"/>
      <w:pgMar w:top="1440" w:right="1440" w:bottom="1440" w:left="1440" w:header="720" w:footer="720" w:gutter="0"/>
      <w:cols w:space="720"/>
      <w:docGrid w:linePitch="360"/>
      <w:headerReference w:type="default" r:id="Rd766e4fbc10e4521"/>
      <w:footerReference w:type="default" r:id="R9ff1d27aed644c6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1A1C95C" w:rsidTr="51A1C95C" w14:paraId="11861BE0">
      <w:trPr>
        <w:trHeight w:val="300"/>
      </w:trPr>
      <w:tc>
        <w:tcPr>
          <w:tcW w:w="3120" w:type="dxa"/>
          <w:tcMar/>
        </w:tcPr>
        <w:p w:rsidR="51A1C95C" w:rsidP="51A1C95C" w:rsidRDefault="51A1C95C" w14:paraId="141A95EE" w14:textId="32697E0D">
          <w:pPr>
            <w:pStyle w:val="Header"/>
            <w:bidi w:val="0"/>
            <w:ind w:left="-115"/>
            <w:jc w:val="left"/>
          </w:pPr>
        </w:p>
      </w:tc>
      <w:tc>
        <w:tcPr>
          <w:tcW w:w="3120" w:type="dxa"/>
          <w:tcMar/>
        </w:tcPr>
        <w:p w:rsidR="51A1C95C" w:rsidP="51A1C95C" w:rsidRDefault="51A1C95C" w14:paraId="5AC14255" w14:textId="4E1D9FA8">
          <w:pPr>
            <w:pStyle w:val="Header"/>
            <w:bidi w:val="0"/>
            <w:jc w:val="center"/>
          </w:pPr>
        </w:p>
      </w:tc>
      <w:tc>
        <w:tcPr>
          <w:tcW w:w="3120" w:type="dxa"/>
          <w:tcMar/>
        </w:tcPr>
        <w:p w:rsidR="51A1C95C" w:rsidP="51A1C95C" w:rsidRDefault="51A1C95C" w14:paraId="0FC37389" w14:textId="3329F84C">
          <w:pPr>
            <w:pStyle w:val="Header"/>
            <w:bidi w:val="0"/>
            <w:ind w:right="-115"/>
            <w:jc w:val="right"/>
          </w:pPr>
        </w:p>
      </w:tc>
    </w:tr>
  </w:tbl>
  <w:p w:rsidR="51A1C95C" w:rsidP="51A1C95C" w:rsidRDefault="51A1C95C" w14:paraId="5063121F" w14:textId="7313D11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1A1C95C" w:rsidTr="51A1C95C" w14:paraId="6748AFC2">
      <w:trPr>
        <w:trHeight w:val="300"/>
      </w:trPr>
      <w:tc>
        <w:tcPr>
          <w:tcW w:w="3120" w:type="dxa"/>
          <w:tcMar/>
        </w:tcPr>
        <w:p w:rsidR="51A1C95C" w:rsidP="51A1C95C" w:rsidRDefault="51A1C95C" w14:paraId="16BDEA06" w14:textId="7D1F59D7">
          <w:pPr>
            <w:pStyle w:val="Header"/>
            <w:bidi w:val="0"/>
            <w:ind w:left="-115"/>
            <w:jc w:val="left"/>
          </w:pPr>
        </w:p>
      </w:tc>
      <w:tc>
        <w:tcPr>
          <w:tcW w:w="3120" w:type="dxa"/>
          <w:tcMar/>
        </w:tcPr>
        <w:p w:rsidR="51A1C95C" w:rsidP="51A1C95C" w:rsidRDefault="51A1C95C" w14:paraId="4020C03E" w14:textId="0EBFD449">
          <w:pPr>
            <w:pStyle w:val="Header"/>
            <w:bidi w:val="0"/>
            <w:jc w:val="center"/>
          </w:pPr>
        </w:p>
      </w:tc>
      <w:tc>
        <w:tcPr>
          <w:tcW w:w="3120" w:type="dxa"/>
          <w:tcMar/>
        </w:tcPr>
        <w:p w:rsidR="51A1C95C" w:rsidP="51A1C95C" w:rsidRDefault="51A1C95C" w14:paraId="5A662E46" w14:textId="7C5467FB">
          <w:pPr>
            <w:pStyle w:val="Header"/>
            <w:bidi w:val="0"/>
            <w:ind w:right="-115"/>
            <w:jc w:val="right"/>
          </w:pPr>
        </w:p>
      </w:tc>
    </w:tr>
  </w:tbl>
  <w:p w:rsidR="51A1C95C" w:rsidP="51A1C95C" w:rsidRDefault="51A1C95C" w14:paraId="56FFA485" w14:textId="7E5E9F48">
    <w:pPr>
      <w:pStyle w:val="Header"/>
      <w:bidi w:val="0"/>
    </w:pPr>
  </w:p>
</w:hdr>
</file>

<file path=word/numbering.xml><?xml version="1.0" encoding="utf-8"?>
<w:numbering xmlns:w="http://schemas.openxmlformats.org/wordprocessingml/2006/main">
  <w:abstractNum xmlns:w="http://schemas.openxmlformats.org/wordprocessingml/2006/main" w:abstractNumId="4">
    <w:nsid w:val="52d232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bf76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60dd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b73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1F4BFF"/>
    <w:rsid w:val="0844FB06"/>
    <w:rsid w:val="1055DF26"/>
    <w:rsid w:val="14FB0B98"/>
    <w:rsid w:val="189A9784"/>
    <w:rsid w:val="1C7E3A52"/>
    <w:rsid w:val="2435045C"/>
    <w:rsid w:val="277FC968"/>
    <w:rsid w:val="2AAE79DE"/>
    <w:rsid w:val="304E3E30"/>
    <w:rsid w:val="3D9E324E"/>
    <w:rsid w:val="48387162"/>
    <w:rsid w:val="4B106E66"/>
    <w:rsid w:val="51A1C95C"/>
    <w:rsid w:val="592E76D4"/>
    <w:rsid w:val="5FDE1572"/>
    <w:rsid w:val="61A10098"/>
    <w:rsid w:val="61E11D61"/>
    <w:rsid w:val="61E11D61"/>
    <w:rsid w:val="621F4BFF"/>
    <w:rsid w:val="68BBECC1"/>
    <w:rsid w:val="740B1170"/>
    <w:rsid w:val="7678BDF6"/>
    <w:rsid w:val="7CFED6EE"/>
    <w:rsid w:val="7CFED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56F4"/>
  <w15:chartTrackingRefBased/>
  <w15:docId w15:val="{2AF37852-AF41-4FAE-B890-31B47A35E3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1A1C95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1A1C95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1A1C95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1A1C95C"/>
    <w:pPr>
      <w:spacing/>
      <w:ind w:left="720"/>
      <w:contextualSpacing/>
    </w:pPr>
  </w:style>
  <w:style w:type="paragraph" w:styleId="Header">
    <w:uiPriority w:val="99"/>
    <w:name w:val="header"/>
    <w:basedOn w:val="Normal"/>
    <w:unhideWhenUsed/>
    <w:rsid w:val="51A1C95C"/>
    <w:pPr>
      <w:tabs>
        <w:tab w:val="center" w:leader="none" w:pos="4680"/>
        <w:tab w:val="right" w:leader="none" w:pos="9360"/>
      </w:tabs>
      <w:spacing w:after="0" w:line="240" w:lineRule="auto"/>
    </w:pPr>
  </w:style>
  <w:style w:type="paragraph" w:styleId="Footer">
    <w:uiPriority w:val="99"/>
    <w:name w:val="footer"/>
    <w:basedOn w:val="Normal"/>
    <w:unhideWhenUsed/>
    <w:rsid w:val="51A1C95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15240650" /><Relationship Type="http://schemas.openxmlformats.org/officeDocument/2006/relationships/header" Target="header.xml" Id="Rd766e4fbc10e4521" /><Relationship Type="http://schemas.openxmlformats.org/officeDocument/2006/relationships/footer" Target="footer.xml" Id="R9ff1d27aed644c6b" /><Relationship Type="http://schemas.openxmlformats.org/officeDocument/2006/relationships/numbering" Target="numbering.xml" Id="Rdc058619d2174d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2026-08-12T23:39:39.8915898Z</dcterms:created>
  <dcterms:modified xsi:type="dcterms:W3CDTF">2026-08-12T23:49:33.4411021Z</dcterms:modified>
  <dc:creator>Nehal Chekhalia (2545212)</dc:creator>
  <lastModifiedBy>Nehal Chekhalia (2545212)</lastModifiedBy>
</coreProperties>
</file>