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4A8553" w14:textId="51C778AE" w:rsidR="00AA10EA" w:rsidRPr="001C7124" w:rsidRDefault="00AA10EA" w:rsidP="00AA10EA">
      <w:pPr>
        <w:jc w:val="center"/>
        <w:rPr>
          <w:b/>
          <w:sz w:val="36"/>
          <w:szCs w:val="36"/>
        </w:rPr>
      </w:pPr>
      <w:r w:rsidRPr="001C7124">
        <w:rPr>
          <w:b/>
          <w:sz w:val="36"/>
          <w:szCs w:val="36"/>
        </w:rPr>
        <w:t>University of Wales Trinity Saint David</w:t>
      </w:r>
    </w:p>
    <w:p w14:paraId="3C0940B2" w14:textId="25448C4F" w:rsidR="00AA10EA" w:rsidRDefault="00AA10EA" w:rsidP="00AA10EA">
      <w:pPr>
        <w:jc w:val="center"/>
        <w:rPr>
          <w:b/>
          <w:sz w:val="36"/>
          <w:szCs w:val="36"/>
        </w:rPr>
      </w:pPr>
      <w:r w:rsidRPr="001C7124">
        <w:rPr>
          <w:b/>
          <w:sz w:val="36"/>
          <w:szCs w:val="36"/>
        </w:rPr>
        <w:t>School of Engineering</w:t>
      </w:r>
    </w:p>
    <w:p w14:paraId="1FCE8C04" w14:textId="77777777" w:rsidR="00AA10EA" w:rsidRPr="00AA10EA" w:rsidRDefault="00AA10EA"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9264" behindDoc="1" locked="0" layoutInCell="1" allowOverlap="1" wp14:anchorId="54F1CFFA" wp14:editId="5BC493EB">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444CF029" w:rsidR="00AA10EA" w:rsidRDefault="00311D7B" w:rsidP="00AA10EA">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p>
    <w:p w14:paraId="5A6DF409" w14:textId="5E48BD12" w:rsidR="00311D7B" w:rsidRDefault="00311D7B" w:rsidP="00AA10EA">
      <w:pPr>
        <w:jc w:val="center"/>
        <w:rPr>
          <w:b/>
          <w:sz w:val="36"/>
          <w:szCs w:val="36"/>
        </w:rPr>
      </w:pPr>
      <w:r w:rsidRPr="00311D7B">
        <w:rPr>
          <w:b/>
          <w:sz w:val="36"/>
          <w:szCs w:val="36"/>
          <w:u w:val="single"/>
        </w:rPr>
        <w:t>Module Name &amp; Code:</w:t>
      </w:r>
      <w:r w:rsidR="00692D8E">
        <w:rPr>
          <w:b/>
          <w:sz w:val="36"/>
          <w:szCs w:val="36"/>
        </w:rPr>
        <w:t xml:space="preserve"> </w:t>
      </w:r>
      <w:r w:rsidR="00884349" w:rsidRPr="00884349">
        <w:rPr>
          <w:b/>
          <w:sz w:val="36"/>
          <w:szCs w:val="36"/>
        </w:rPr>
        <w:t>Plant Flow Diagrams and Pipe and Instrument Diagrams</w:t>
      </w:r>
      <w:r w:rsidR="00884349">
        <w:rPr>
          <w:b/>
          <w:sz w:val="36"/>
          <w:szCs w:val="36"/>
        </w:rPr>
        <w:t xml:space="preserve"> </w:t>
      </w:r>
      <w:r w:rsidR="009417D7">
        <w:rPr>
          <w:b/>
          <w:sz w:val="36"/>
          <w:szCs w:val="36"/>
        </w:rPr>
        <w:t xml:space="preserve">– </w:t>
      </w:r>
      <w:r w:rsidR="00884349" w:rsidRPr="00884349">
        <w:rPr>
          <w:b/>
          <w:sz w:val="36"/>
          <w:szCs w:val="36"/>
        </w:rPr>
        <w:t>ACEA4000</w:t>
      </w:r>
    </w:p>
    <w:p w14:paraId="029ACE74" w14:textId="77777777" w:rsidR="00C83088" w:rsidRPr="00692D8E" w:rsidRDefault="00C83088" w:rsidP="00AA10EA">
      <w:pPr>
        <w:jc w:val="center"/>
        <w:rPr>
          <w:b/>
          <w:sz w:val="36"/>
          <w:szCs w:val="36"/>
        </w:rPr>
      </w:pP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40D6C24" w14:textId="6D538DE3" w:rsidR="00A4502C" w:rsidRDefault="00AA10EA" w:rsidP="00053348">
      <w:pPr>
        <w:jc w:val="center"/>
      </w:pPr>
      <w:r w:rsidRPr="001C7124">
        <w:rPr>
          <w:b/>
          <w:sz w:val="36"/>
          <w:szCs w:val="36"/>
          <w:u w:val="single"/>
        </w:rPr>
        <w:t>Date</w:t>
      </w:r>
      <w:r w:rsidRPr="001C7124">
        <w:rPr>
          <w:b/>
          <w:sz w:val="36"/>
          <w:szCs w:val="36"/>
        </w:rPr>
        <w:t xml:space="preserve">: </w:t>
      </w:r>
      <w:r w:rsidR="007543A2" w:rsidRPr="007543A2">
        <w:rPr>
          <w:b/>
          <w:sz w:val="36"/>
          <w:szCs w:val="36"/>
        </w:rPr>
        <w:t>19/07/2024</w:t>
      </w:r>
      <w:r w:rsidR="00A4502C">
        <w:br w:type="page"/>
      </w:r>
    </w:p>
    <w:sdt>
      <w:sdtPr>
        <w:rPr>
          <w:rFonts w:asciiTheme="minorHAnsi" w:eastAsiaTheme="minorHAnsi" w:hAnsiTheme="minorHAnsi" w:cstheme="minorBidi"/>
          <w:color w:val="auto"/>
          <w:sz w:val="22"/>
          <w:szCs w:val="22"/>
          <w:lang w:val="en-GB"/>
        </w:rPr>
        <w:id w:val="1382750048"/>
        <w:docPartObj>
          <w:docPartGallery w:val="Table of Contents"/>
          <w:docPartUnique/>
        </w:docPartObj>
      </w:sdtPr>
      <w:sdtEndPr>
        <w:rPr>
          <w:b/>
          <w:bCs/>
          <w:noProof/>
        </w:rPr>
      </w:sdtEndPr>
      <w:sdtContent>
        <w:p w14:paraId="239EC69A" w14:textId="255AD8A3" w:rsidR="00A4502C" w:rsidRDefault="00A4502C">
          <w:pPr>
            <w:pStyle w:val="TOCHeading"/>
          </w:pPr>
          <w:r>
            <w:t>Contents</w:t>
          </w:r>
        </w:p>
        <w:p w14:paraId="218EA753" w14:textId="197689EF" w:rsidR="004621B1" w:rsidRDefault="00A4502C">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2146819" w:history="1">
            <w:r w:rsidR="004621B1" w:rsidRPr="009C16CF">
              <w:rPr>
                <w:rStyle w:val="Hyperlink"/>
                <w:noProof/>
              </w:rPr>
              <w:t>1</w:t>
            </w:r>
            <w:r w:rsidR="004621B1">
              <w:rPr>
                <w:rFonts w:eastAsiaTheme="minorEastAsia"/>
                <w:noProof/>
                <w:kern w:val="2"/>
                <w:sz w:val="24"/>
                <w:szCs w:val="24"/>
                <w:lang w:eastAsia="en-GB"/>
                <w14:ligatures w14:val="standardContextual"/>
              </w:rPr>
              <w:tab/>
            </w:r>
            <w:r w:rsidR="004621B1" w:rsidRPr="009C16CF">
              <w:rPr>
                <w:rStyle w:val="Hyperlink"/>
                <w:noProof/>
              </w:rPr>
              <w:t>Introduction</w:t>
            </w:r>
            <w:r w:rsidR="004621B1">
              <w:rPr>
                <w:noProof/>
                <w:webHidden/>
              </w:rPr>
              <w:tab/>
            </w:r>
            <w:r w:rsidR="004621B1">
              <w:rPr>
                <w:noProof/>
                <w:webHidden/>
              </w:rPr>
              <w:fldChar w:fldCharType="begin"/>
            </w:r>
            <w:r w:rsidR="004621B1">
              <w:rPr>
                <w:noProof/>
                <w:webHidden/>
              </w:rPr>
              <w:instrText xml:space="preserve"> PAGEREF _Toc172146819 \h </w:instrText>
            </w:r>
            <w:r w:rsidR="004621B1">
              <w:rPr>
                <w:noProof/>
                <w:webHidden/>
              </w:rPr>
            </w:r>
            <w:r w:rsidR="004621B1">
              <w:rPr>
                <w:noProof/>
                <w:webHidden/>
              </w:rPr>
              <w:fldChar w:fldCharType="separate"/>
            </w:r>
            <w:r w:rsidR="004621B1">
              <w:rPr>
                <w:noProof/>
                <w:webHidden/>
              </w:rPr>
              <w:t>1</w:t>
            </w:r>
            <w:r w:rsidR="004621B1">
              <w:rPr>
                <w:noProof/>
                <w:webHidden/>
              </w:rPr>
              <w:fldChar w:fldCharType="end"/>
            </w:r>
          </w:hyperlink>
        </w:p>
        <w:p w14:paraId="78B5D8AA" w14:textId="41BC4847" w:rsidR="004621B1"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72146820" w:history="1">
            <w:r w:rsidR="004621B1" w:rsidRPr="009C16CF">
              <w:rPr>
                <w:rStyle w:val="Hyperlink"/>
                <w:noProof/>
              </w:rPr>
              <w:t>1.1</w:t>
            </w:r>
            <w:r w:rsidR="004621B1">
              <w:rPr>
                <w:rFonts w:eastAsiaTheme="minorEastAsia"/>
                <w:noProof/>
                <w:kern w:val="2"/>
                <w:sz w:val="24"/>
                <w:szCs w:val="24"/>
                <w:lang w:eastAsia="en-GB"/>
                <w14:ligatures w14:val="standardContextual"/>
              </w:rPr>
              <w:tab/>
            </w:r>
            <w:r w:rsidR="004621B1" w:rsidRPr="009C16CF">
              <w:rPr>
                <w:rStyle w:val="Hyperlink"/>
                <w:noProof/>
              </w:rPr>
              <w:t>Aims</w:t>
            </w:r>
            <w:r w:rsidR="004621B1">
              <w:rPr>
                <w:noProof/>
                <w:webHidden/>
              </w:rPr>
              <w:tab/>
            </w:r>
            <w:r w:rsidR="004621B1">
              <w:rPr>
                <w:noProof/>
                <w:webHidden/>
              </w:rPr>
              <w:fldChar w:fldCharType="begin"/>
            </w:r>
            <w:r w:rsidR="004621B1">
              <w:rPr>
                <w:noProof/>
                <w:webHidden/>
              </w:rPr>
              <w:instrText xml:space="preserve"> PAGEREF _Toc172146820 \h </w:instrText>
            </w:r>
            <w:r w:rsidR="004621B1">
              <w:rPr>
                <w:noProof/>
                <w:webHidden/>
              </w:rPr>
            </w:r>
            <w:r w:rsidR="004621B1">
              <w:rPr>
                <w:noProof/>
                <w:webHidden/>
              </w:rPr>
              <w:fldChar w:fldCharType="separate"/>
            </w:r>
            <w:r w:rsidR="004621B1">
              <w:rPr>
                <w:noProof/>
                <w:webHidden/>
              </w:rPr>
              <w:t>1</w:t>
            </w:r>
            <w:r w:rsidR="004621B1">
              <w:rPr>
                <w:noProof/>
                <w:webHidden/>
              </w:rPr>
              <w:fldChar w:fldCharType="end"/>
            </w:r>
          </w:hyperlink>
        </w:p>
        <w:p w14:paraId="7345F6D4" w14:textId="3F444809" w:rsidR="004621B1"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72146821" w:history="1">
            <w:r w:rsidR="004621B1" w:rsidRPr="009C16CF">
              <w:rPr>
                <w:rStyle w:val="Hyperlink"/>
                <w:noProof/>
              </w:rPr>
              <w:t>1.2</w:t>
            </w:r>
            <w:r w:rsidR="004621B1">
              <w:rPr>
                <w:rFonts w:eastAsiaTheme="minorEastAsia"/>
                <w:noProof/>
                <w:kern w:val="2"/>
                <w:sz w:val="24"/>
                <w:szCs w:val="24"/>
                <w:lang w:eastAsia="en-GB"/>
                <w14:ligatures w14:val="standardContextual"/>
              </w:rPr>
              <w:tab/>
            </w:r>
            <w:r w:rsidR="004621B1" w:rsidRPr="009C16CF">
              <w:rPr>
                <w:rStyle w:val="Hyperlink"/>
                <w:noProof/>
              </w:rPr>
              <w:t>Objectives</w:t>
            </w:r>
            <w:r w:rsidR="004621B1">
              <w:rPr>
                <w:noProof/>
                <w:webHidden/>
              </w:rPr>
              <w:tab/>
            </w:r>
            <w:r w:rsidR="004621B1">
              <w:rPr>
                <w:noProof/>
                <w:webHidden/>
              </w:rPr>
              <w:fldChar w:fldCharType="begin"/>
            </w:r>
            <w:r w:rsidR="004621B1">
              <w:rPr>
                <w:noProof/>
                <w:webHidden/>
              </w:rPr>
              <w:instrText xml:space="preserve"> PAGEREF _Toc172146821 \h </w:instrText>
            </w:r>
            <w:r w:rsidR="004621B1">
              <w:rPr>
                <w:noProof/>
                <w:webHidden/>
              </w:rPr>
            </w:r>
            <w:r w:rsidR="004621B1">
              <w:rPr>
                <w:noProof/>
                <w:webHidden/>
              </w:rPr>
              <w:fldChar w:fldCharType="separate"/>
            </w:r>
            <w:r w:rsidR="004621B1">
              <w:rPr>
                <w:noProof/>
                <w:webHidden/>
              </w:rPr>
              <w:t>1</w:t>
            </w:r>
            <w:r w:rsidR="004621B1">
              <w:rPr>
                <w:noProof/>
                <w:webHidden/>
              </w:rPr>
              <w:fldChar w:fldCharType="end"/>
            </w:r>
          </w:hyperlink>
        </w:p>
        <w:p w14:paraId="5E1B13A2" w14:textId="559BD5A7" w:rsidR="004621B1"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72146822" w:history="1">
            <w:r w:rsidR="004621B1" w:rsidRPr="009C16CF">
              <w:rPr>
                <w:rStyle w:val="Hyperlink"/>
                <w:noProof/>
              </w:rPr>
              <w:t>2</w:t>
            </w:r>
            <w:r w:rsidR="004621B1">
              <w:rPr>
                <w:rFonts w:eastAsiaTheme="minorEastAsia"/>
                <w:noProof/>
                <w:kern w:val="2"/>
                <w:sz w:val="24"/>
                <w:szCs w:val="24"/>
                <w:lang w:eastAsia="en-GB"/>
                <w14:ligatures w14:val="standardContextual"/>
              </w:rPr>
              <w:tab/>
            </w:r>
            <w:r w:rsidR="004621B1" w:rsidRPr="009C16CF">
              <w:rPr>
                <w:rStyle w:val="Hyperlink"/>
                <w:noProof/>
              </w:rPr>
              <w:t>Literature Review</w:t>
            </w:r>
            <w:r w:rsidR="004621B1">
              <w:rPr>
                <w:noProof/>
                <w:webHidden/>
              </w:rPr>
              <w:tab/>
            </w:r>
            <w:r w:rsidR="004621B1">
              <w:rPr>
                <w:noProof/>
                <w:webHidden/>
              </w:rPr>
              <w:fldChar w:fldCharType="begin"/>
            </w:r>
            <w:r w:rsidR="004621B1">
              <w:rPr>
                <w:noProof/>
                <w:webHidden/>
              </w:rPr>
              <w:instrText xml:space="preserve"> PAGEREF _Toc172146822 \h </w:instrText>
            </w:r>
            <w:r w:rsidR="004621B1">
              <w:rPr>
                <w:noProof/>
                <w:webHidden/>
              </w:rPr>
            </w:r>
            <w:r w:rsidR="004621B1">
              <w:rPr>
                <w:noProof/>
                <w:webHidden/>
              </w:rPr>
              <w:fldChar w:fldCharType="separate"/>
            </w:r>
            <w:r w:rsidR="004621B1">
              <w:rPr>
                <w:noProof/>
                <w:webHidden/>
              </w:rPr>
              <w:t>2</w:t>
            </w:r>
            <w:r w:rsidR="004621B1">
              <w:rPr>
                <w:noProof/>
                <w:webHidden/>
              </w:rPr>
              <w:fldChar w:fldCharType="end"/>
            </w:r>
          </w:hyperlink>
        </w:p>
        <w:p w14:paraId="4FCD07FD" w14:textId="431103E3" w:rsidR="004621B1"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72146823" w:history="1">
            <w:r w:rsidR="004621B1" w:rsidRPr="009C16CF">
              <w:rPr>
                <w:rStyle w:val="Hyperlink"/>
                <w:noProof/>
              </w:rPr>
              <w:t>3</w:t>
            </w:r>
            <w:r w:rsidR="004621B1">
              <w:rPr>
                <w:rFonts w:eastAsiaTheme="minorEastAsia"/>
                <w:noProof/>
                <w:kern w:val="2"/>
                <w:sz w:val="24"/>
                <w:szCs w:val="24"/>
                <w:lang w:eastAsia="en-GB"/>
                <w14:ligatures w14:val="standardContextual"/>
              </w:rPr>
              <w:tab/>
            </w:r>
            <w:r w:rsidR="004621B1" w:rsidRPr="009C16CF">
              <w:rPr>
                <w:rStyle w:val="Hyperlink"/>
                <w:noProof/>
              </w:rPr>
              <w:t>Analysis and Discussion</w:t>
            </w:r>
            <w:r w:rsidR="004621B1">
              <w:rPr>
                <w:noProof/>
                <w:webHidden/>
              </w:rPr>
              <w:tab/>
            </w:r>
            <w:r w:rsidR="004621B1">
              <w:rPr>
                <w:noProof/>
                <w:webHidden/>
              </w:rPr>
              <w:fldChar w:fldCharType="begin"/>
            </w:r>
            <w:r w:rsidR="004621B1">
              <w:rPr>
                <w:noProof/>
                <w:webHidden/>
              </w:rPr>
              <w:instrText xml:space="preserve"> PAGEREF _Toc172146823 \h </w:instrText>
            </w:r>
            <w:r w:rsidR="004621B1">
              <w:rPr>
                <w:noProof/>
                <w:webHidden/>
              </w:rPr>
            </w:r>
            <w:r w:rsidR="004621B1">
              <w:rPr>
                <w:noProof/>
                <w:webHidden/>
              </w:rPr>
              <w:fldChar w:fldCharType="separate"/>
            </w:r>
            <w:r w:rsidR="004621B1">
              <w:rPr>
                <w:noProof/>
                <w:webHidden/>
              </w:rPr>
              <w:t>5</w:t>
            </w:r>
            <w:r w:rsidR="004621B1">
              <w:rPr>
                <w:noProof/>
                <w:webHidden/>
              </w:rPr>
              <w:fldChar w:fldCharType="end"/>
            </w:r>
          </w:hyperlink>
        </w:p>
        <w:p w14:paraId="07B86276" w14:textId="11B01DD4" w:rsidR="004621B1"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72146824" w:history="1">
            <w:r w:rsidR="004621B1" w:rsidRPr="009C16CF">
              <w:rPr>
                <w:rStyle w:val="Hyperlink"/>
                <w:noProof/>
              </w:rPr>
              <w:t>4</w:t>
            </w:r>
            <w:r w:rsidR="004621B1">
              <w:rPr>
                <w:rFonts w:eastAsiaTheme="minorEastAsia"/>
                <w:noProof/>
                <w:kern w:val="2"/>
                <w:sz w:val="24"/>
                <w:szCs w:val="24"/>
                <w:lang w:eastAsia="en-GB"/>
                <w14:ligatures w14:val="standardContextual"/>
              </w:rPr>
              <w:tab/>
            </w:r>
            <w:r w:rsidR="004621B1" w:rsidRPr="009C16CF">
              <w:rPr>
                <w:rStyle w:val="Hyperlink"/>
                <w:noProof/>
              </w:rPr>
              <w:t>Conclusions</w:t>
            </w:r>
            <w:r w:rsidR="004621B1">
              <w:rPr>
                <w:noProof/>
                <w:webHidden/>
              </w:rPr>
              <w:tab/>
            </w:r>
            <w:r w:rsidR="004621B1">
              <w:rPr>
                <w:noProof/>
                <w:webHidden/>
              </w:rPr>
              <w:fldChar w:fldCharType="begin"/>
            </w:r>
            <w:r w:rsidR="004621B1">
              <w:rPr>
                <w:noProof/>
                <w:webHidden/>
              </w:rPr>
              <w:instrText xml:space="preserve"> PAGEREF _Toc172146824 \h </w:instrText>
            </w:r>
            <w:r w:rsidR="004621B1">
              <w:rPr>
                <w:noProof/>
                <w:webHidden/>
              </w:rPr>
            </w:r>
            <w:r w:rsidR="004621B1">
              <w:rPr>
                <w:noProof/>
                <w:webHidden/>
              </w:rPr>
              <w:fldChar w:fldCharType="separate"/>
            </w:r>
            <w:r w:rsidR="004621B1">
              <w:rPr>
                <w:noProof/>
                <w:webHidden/>
              </w:rPr>
              <w:t>8</w:t>
            </w:r>
            <w:r w:rsidR="004621B1">
              <w:rPr>
                <w:noProof/>
                <w:webHidden/>
              </w:rPr>
              <w:fldChar w:fldCharType="end"/>
            </w:r>
          </w:hyperlink>
        </w:p>
        <w:p w14:paraId="47A5EB69" w14:textId="40BA8CC9" w:rsidR="004621B1"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72146825" w:history="1">
            <w:r w:rsidR="004621B1" w:rsidRPr="009C16CF">
              <w:rPr>
                <w:rStyle w:val="Hyperlink"/>
                <w:noProof/>
              </w:rPr>
              <w:t>5</w:t>
            </w:r>
            <w:r w:rsidR="004621B1">
              <w:rPr>
                <w:rFonts w:eastAsiaTheme="minorEastAsia"/>
                <w:noProof/>
                <w:kern w:val="2"/>
                <w:sz w:val="24"/>
                <w:szCs w:val="24"/>
                <w:lang w:eastAsia="en-GB"/>
                <w14:ligatures w14:val="standardContextual"/>
              </w:rPr>
              <w:tab/>
            </w:r>
            <w:r w:rsidR="004621B1" w:rsidRPr="009C16CF">
              <w:rPr>
                <w:rStyle w:val="Hyperlink"/>
                <w:noProof/>
              </w:rPr>
              <w:t>References</w:t>
            </w:r>
            <w:r w:rsidR="004621B1">
              <w:rPr>
                <w:noProof/>
                <w:webHidden/>
              </w:rPr>
              <w:tab/>
            </w:r>
            <w:r w:rsidR="004621B1">
              <w:rPr>
                <w:noProof/>
                <w:webHidden/>
              </w:rPr>
              <w:fldChar w:fldCharType="begin"/>
            </w:r>
            <w:r w:rsidR="004621B1">
              <w:rPr>
                <w:noProof/>
                <w:webHidden/>
              </w:rPr>
              <w:instrText xml:space="preserve"> PAGEREF _Toc172146825 \h </w:instrText>
            </w:r>
            <w:r w:rsidR="004621B1">
              <w:rPr>
                <w:noProof/>
                <w:webHidden/>
              </w:rPr>
            </w:r>
            <w:r w:rsidR="004621B1">
              <w:rPr>
                <w:noProof/>
                <w:webHidden/>
              </w:rPr>
              <w:fldChar w:fldCharType="separate"/>
            </w:r>
            <w:r w:rsidR="004621B1">
              <w:rPr>
                <w:noProof/>
                <w:webHidden/>
              </w:rPr>
              <w:t>9</w:t>
            </w:r>
            <w:r w:rsidR="004621B1">
              <w:rPr>
                <w:noProof/>
                <w:webHidden/>
              </w:rPr>
              <w:fldChar w:fldCharType="end"/>
            </w:r>
          </w:hyperlink>
        </w:p>
        <w:p w14:paraId="1D35C502" w14:textId="4344EADE" w:rsidR="00A4502C" w:rsidRDefault="00A4502C">
          <w:r>
            <w:rPr>
              <w:b/>
              <w:bCs/>
              <w:noProof/>
            </w:rPr>
            <w:fldChar w:fldCharType="end"/>
          </w:r>
        </w:p>
      </w:sdtContent>
    </w:sdt>
    <w:p w14:paraId="7D15A0B3" w14:textId="1817B69B" w:rsidR="004621B1" w:rsidRDefault="00AA10EA">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72146808" w:history="1">
        <w:r w:rsidR="004621B1" w:rsidRPr="00502ABD">
          <w:rPr>
            <w:rStyle w:val="Hyperlink"/>
            <w:noProof/>
          </w:rPr>
          <w:t>Figure 1 - P&amp;ID Symbols (Johnson, 2024)</w:t>
        </w:r>
        <w:r w:rsidR="004621B1">
          <w:rPr>
            <w:noProof/>
            <w:webHidden/>
          </w:rPr>
          <w:tab/>
        </w:r>
        <w:r w:rsidR="004621B1">
          <w:rPr>
            <w:noProof/>
            <w:webHidden/>
          </w:rPr>
          <w:fldChar w:fldCharType="begin"/>
        </w:r>
        <w:r w:rsidR="004621B1">
          <w:rPr>
            <w:noProof/>
            <w:webHidden/>
          </w:rPr>
          <w:instrText xml:space="preserve"> PAGEREF _Toc172146808 \h </w:instrText>
        </w:r>
        <w:r w:rsidR="004621B1">
          <w:rPr>
            <w:noProof/>
            <w:webHidden/>
          </w:rPr>
        </w:r>
        <w:r w:rsidR="004621B1">
          <w:rPr>
            <w:noProof/>
            <w:webHidden/>
          </w:rPr>
          <w:fldChar w:fldCharType="separate"/>
        </w:r>
        <w:r w:rsidR="004621B1">
          <w:rPr>
            <w:noProof/>
            <w:webHidden/>
          </w:rPr>
          <w:t>2</w:t>
        </w:r>
        <w:r w:rsidR="004621B1">
          <w:rPr>
            <w:noProof/>
            <w:webHidden/>
          </w:rPr>
          <w:fldChar w:fldCharType="end"/>
        </w:r>
      </w:hyperlink>
    </w:p>
    <w:p w14:paraId="41C2ED63" w14:textId="27CD7D30" w:rsidR="004621B1"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2146809" w:history="1">
        <w:r w:rsidR="004621B1" w:rsidRPr="00502ABD">
          <w:rPr>
            <w:rStyle w:val="Hyperlink"/>
            <w:noProof/>
          </w:rPr>
          <w:t>Figure 2 - Risk Assessment Template ((HSE), 2024)</w:t>
        </w:r>
        <w:r w:rsidR="004621B1">
          <w:rPr>
            <w:noProof/>
            <w:webHidden/>
          </w:rPr>
          <w:tab/>
        </w:r>
        <w:r w:rsidR="004621B1">
          <w:rPr>
            <w:noProof/>
            <w:webHidden/>
          </w:rPr>
          <w:fldChar w:fldCharType="begin"/>
        </w:r>
        <w:r w:rsidR="004621B1">
          <w:rPr>
            <w:noProof/>
            <w:webHidden/>
          </w:rPr>
          <w:instrText xml:space="preserve"> PAGEREF _Toc172146809 \h </w:instrText>
        </w:r>
        <w:r w:rsidR="004621B1">
          <w:rPr>
            <w:noProof/>
            <w:webHidden/>
          </w:rPr>
        </w:r>
        <w:r w:rsidR="004621B1">
          <w:rPr>
            <w:noProof/>
            <w:webHidden/>
          </w:rPr>
          <w:fldChar w:fldCharType="separate"/>
        </w:r>
        <w:r w:rsidR="004621B1">
          <w:rPr>
            <w:noProof/>
            <w:webHidden/>
          </w:rPr>
          <w:t>4</w:t>
        </w:r>
        <w:r w:rsidR="004621B1">
          <w:rPr>
            <w:noProof/>
            <w:webHidden/>
          </w:rPr>
          <w:fldChar w:fldCharType="end"/>
        </w:r>
      </w:hyperlink>
    </w:p>
    <w:p w14:paraId="6E19BA44" w14:textId="0F6D9F38" w:rsidR="004621B1"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2146810" w:history="1">
        <w:r w:rsidR="004621B1" w:rsidRPr="00502ABD">
          <w:rPr>
            <w:rStyle w:val="Hyperlink"/>
            <w:noProof/>
          </w:rPr>
          <w:t>Figure 3 - P&amp;ID Diagram</w:t>
        </w:r>
        <w:r w:rsidR="004621B1">
          <w:rPr>
            <w:noProof/>
            <w:webHidden/>
          </w:rPr>
          <w:tab/>
        </w:r>
        <w:r w:rsidR="004621B1">
          <w:rPr>
            <w:noProof/>
            <w:webHidden/>
          </w:rPr>
          <w:fldChar w:fldCharType="begin"/>
        </w:r>
        <w:r w:rsidR="004621B1">
          <w:rPr>
            <w:noProof/>
            <w:webHidden/>
          </w:rPr>
          <w:instrText xml:space="preserve"> PAGEREF _Toc172146810 \h </w:instrText>
        </w:r>
        <w:r w:rsidR="004621B1">
          <w:rPr>
            <w:noProof/>
            <w:webHidden/>
          </w:rPr>
        </w:r>
        <w:r w:rsidR="004621B1">
          <w:rPr>
            <w:noProof/>
            <w:webHidden/>
          </w:rPr>
          <w:fldChar w:fldCharType="separate"/>
        </w:r>
        <w:r w:rsidR="004621B1">
          <w:rPr>
            <w:noProof/>
            <w:webHidden/>
          </w:rPr>
          <w:t>6</w:t>
        </w:r>
        <w:r w:rsidR="004621B1">
          <w:rPr>
            <w:noProof/>
            <w:webHidden/>
          </w:rPr>
          <w:fldChar w:fldCharType="end"/>
        </w:r>
      </w:hyperlink>
    </w:p>
    <w:p w14:paraId="52629274" w14:textId="6C0BB198" w:rsidR="00CC691E" w:rsidRDefault="00AA10EA">
      <w:pPr>
        <w:sectPr w:rsidR="00CC691E" w:rsidSect="00A4502C">
          <w:footerReference w:type="default" r:id="rId10"/>
          <w:pgSz w:w="11906" w:h="16838"/>
          <w:pgMar w:top="1440" w:right="1440" w:bottom="1440" w:left="1440" w:header="708" w:footer="708" w:gutter="0"/>
          <w:pgNumType w:fmt="lowerRoman"/>
          <w:cols w:space="708"/>
          <w:titlePg/>
          <w:docGrid w:linePitch="360"/>
        </w:sectPr>
      </w:pPr>
      <w:r>
        <w:fldChar w:fldCharType="end"/>
      </w:r>
    </w:p>
    <w:p w14:paraId="70AA4AE4" w14:textId="702BA953" w:rsidR="00CC691E" w:rsidRDefault="00CC691E" w:rsidP="00CC691E">
      <w:pPr>
        <w:pStyle w:val="Heading1"/>
      </w:pPr>
      <w:bookmarkStart w:id="0" w:name="_Toc172146819"/>
      <w:r w:rsidRPr="00CC691E">
        <w:lastRenderedPageBreak/>
        <w:t>Introduction</w:t>
      </w:r>
      <w:bookmarkEnd w:id="0"/>
    </w:p>
    <w:p w14:paraId="7332029F" w14:textId="3A996F4C" w:rsidR="00A4502C" w:rsidRDefault="00A4502C" w:rsidP="00A4502C">
      <w:pPr>
        <w:pStyle w:val="Heading2"/>
      </w:pPr>
      <w:bookmarkStart w:id="1" w:name="_Toc172146820"/>
      <w:r>
        <w:t>Aims</w:t>
      </w:r>
      <w:bookmarkEnd w:id="1"/>
    </w:p>
    <w:p w14:paraId="786EF78C" w14:textId="7AF60867" w:rsidR="00884349" w:rsidRDefault="00911699" w:rsidP="00884349">
      <w:r w:rsidRPr="00911699">
        <w:t>The primary aim of this assignment is to construct and analyse a Pipe and Instrument Diagram (P&amp;ID) for a critical subsystem within the Aston Martin Lagonda facility in St Athan. This analysis will focus on understanding the operational requirements and performance metrics of the chosen subsystem, ensuring alignment with business and operational needs.</w:t>
      </w:r>
    </w:p>
    <w:p w14:paraId="423642D3" w14:textId="77777777" w:rsidR="00884349" w:rsidRPr="00884349" w:rsidRDefault="00884349" w:rsidP="00884349"/>
    <w:p w14:paraId="5432139D" w14:textId="2FD51469" w:rsidR="00AA1543" w:rsidRDefault="00A4502C" w:rsidP="00AA1543">
      <w:pPr>
        <w:pStyle w:val="Heading2"/>
      </w:pPr>
      <w:bookmarkStart w:id="2" w:name="_Toc172146821"/>
      <w:r>
        <w:t>Objectives</w:t>
      </w:r>
      <w:bookmarkEnd w:id="2"/>
    </w:p>
    <w:p w14:paraId="4B726AF6" w14:textId="66CDB49D" w:rsidR="001F383F" w:rsidRPr="001F383F" w:rsidRDefault="00AA1543" w:rsidP="00AA1543">
      <w:r>
        <w:t xml:space="preserve">The objective of this assignment </w:t>
      </w:r>
      <w:r w:rsidR="005744D8">
        <w:t>is</w:t>
      </w:r>
      <w:r>
        <w:t xml:space="preserve"> to develop a comprehensive Piping and Instrumentation Diagram (P&amp;ID) for a specified section of the Aston Martin Lagonda plant, and to provide a detailed operational analysis of the chosen subsystem. Additionally, it aims to identify and assess health and safety concerns, ensuring compliance with COSHH (Control of Substances Hazardous to Health) and COMAH (Control of Major Accident Hazards) regulations. </w:t>
      </w:r>
      <w:r w:rsidR="000B5F18">
        <w:t>Whilst s</w:t>
      </w:r>
      <w:r w:rsidR="001C0937">
        <w:t xml:space="preserve">howing a </w:t>
      </w:r>
      <w:r>
        <w:t xml:space="preserve">high standard of literature </w:t>
      </w:r>
      <w:r w:rsidR="001C0937">
        <w:t xml:space="preserve">engagement and </w:t>
      </w:r>
      <w:r>
        <w:t>demonstrating a profound understanding and application of relevant concepts.</w:t>
      </w:r>
    </w:p>
    <w:p w14:paraId="330B9945" w14:textId="77777777" w:rsidR="00A4502C" w:rsidRPr="00A4502C" w:rsidRDefault="00A4502C" w:rsidP="00A4502C"/>
    <w:p w14:paraId="09137908" w14:textId="4C3F7E08" w:rsidR="00CC691E" w:rsidRDefault="00CC691E">
      <w:r>
        <w:br w:type="page"/>
      </w:r>
    </w:p>
    <w:p w14:paraId="5BDDEC35" w14:textId="416CAEA7" w:rsidR="00CC691E" w:rsidRDefault="00CC691E" w:rsidP="00CC691E">
      <w:pPr>
        <w:pStyle w:val="Heading1"/>
      </w:pPr>
      <w:bookmarkStart w:id="3" w:name="_Toc172146822"/>
      <w:r w:rsidRPr="00CC691E">
        <w:lastRenderedPageBreak/>
        <w:t>Literature Review</w:t>
      </w:r>
      <w:bookmarkEnd w:id="3"/>
    </w:p>
    <w:p w14:paraId="7C1FC497" w14:textId="2068A1DE" w:rsidR="00097311" w:rsidRDefault="00EE2628" w:rsidP="00097311">
      <w:r>
        <w:t>Piping and Instrumentation Diagram</w:t>
      </w:r>
      <w:r w:rsidR="002C7336">
        <w:t>s</w:t>
      </w:r>
      <w:r>
        <w:t xml:space="preserve"> (</w:t>
      </w:r>
      <w:r w:rsidR="00097311">
        <w:t>P&amp;IDs</w:t>
      </w:r>
      <w:r>
        <w:t>)</w:t>
      </w:r>
      <w:r w:rsidR="00097311">
        <w:t xml:space="preserve"> are critical tools in the design, operation, and maintenance of industrial plants</w:t>
      </w:r>
      <w:r w:rsidR="009F172C">
        <w:t xml:space="preserve">, they can be often mistaken for </w:t>
      </w:r>
      <w:r w:rsidR="00C17CFE">
        <w:t>f</w:t>
      </w:r>
      <w:r w:rsidR="00097311">
        <w:t>low diagrams</w:t>
      </w:r>
      <w:r w:rsidR="00C17CFE">
        <w:t xml:space="preserve"> </w:t>
      </w:r>
      <w:r w:rsidR="009F172C">
        <w:t xml:space="preserve">that </w:t>
      </w:r>
      <w:r w:rsidR="00676D74">
        <w:t xml:space="preserve">only </w:t>
      </w:r>
      <w:r w:rsidR="00097311">
        <w:t xml:space="preserve">provide a simplified visual representation of the process flow, </w:t>
      </w:r>
      <w:r w:rsidR="00E8088B">
        <w:t>highlighting</w:t>
      </w:r>
      <w:r w:rsidR="00097311">
        <w:t xml:space="preserve"> the sequence of operations and the movement of materials through the system</w:t>
      </w:r>
      <w:r w:rsidR="00D32212">
        <w:t xml:space="preserve"> </w:t>
      </w:r>
      <w:sdt>
        <w:sdtPr>
          <w:id w:val="-2062006391"/>
          <w:citation/>
        </w:sdtPr>
        <w:sdtContent>
          <w:r w:rsidR="00D32212">
            <w:fldChar w:fldCharType="begin"/>
          </w:r>
          <w:r w:rsidR="00D32212">
            <w:instrText xml:space="preserve"> CITATION Tog19 \l 2057 </w:instrText>
          </w:r>
          <w:r w:rsidR="00D32212">
            <w:fldChar w:fldCharType="separate"/>
          </w:r>
          <w:r w:rsidR="00283446" w:rsidRPr="00283446">
            <w:rPr>
              <w:noProof/>
            </w:rPr>
            <w:t>(Toghraei, 2019)</w:t>
          </w:r>
          <w:r w:rsidR="00D32212">
            <w:fldChar w:fldCharType="end"/>
          </w:r>
        </w:sdtContent>
      </w:sdt>
      <w:r w:rsidR="00097311">
        <w:t>. P&amp;IDs offer a more detailed and technical perspective, illustrating the piping, instrumentation, and control devices used in the process. They include information about pipe sizes, flow directions, and types of instrumentation, such as sensors and transmitters</w:t>
      </w:r>
      <w:r w:rsidR="00A161D9">
        <w:t xml:space="preserve">, </w:t>
      </w:r>
      <w:r w:rsidR="00AA3975">
        <w:t xml:space="preserve">however </w:t>
      </w:r>
      <w:r w:rsidR="00A161D9">
        <w:t>b</w:t>
      </w:r>
      <w:r w:rsidR="00097311">
        <w:t>oth types of diagrams help in identifying bottlenecks, optimizing process flows, and ensuring that the system operates efficiently</w:t>
      </w:r>
      <w:sdt>
        <w:sdtPr>
          <w:id w:val="-1740324213"/>
          <w:citation/>
        </w:sdtPr>
        <w:sdtContent>
          <w:r w:rsidR="00D32212">
            <w:fldChar w:fldCharType="begin"/>
          </w:r>
          <w:r w:rsidR="00D32212">
            <w:instrText xml:space="preserve"> CITATION Seb11 \l 2057 </w:instrText>
          </w:r>
          <w:r w:rsidR="00D32212">
            <w:fldChar w:fldCharType="separate"/>
          </w:r>
          <w:r w:rsidR="00283446">
            <w:rPr>
              <w:noProof/>
            </w:rPr>
            <w:t xml:space="preserve"> </w:t>
          </w:r>
          <w:r w:rsidR="00283446" w:rsidRPr="00283446">
            <w:rPr>
              <w:noProof/>
            </w:rPr>
            <w:t>(Seborg, 2011)</w:t>
          </w:r>
          <w:r w:rsidR="00D32212">
            <w:fldChar w:fldCharType="end"/>
          </w:r>
        </w:sdtContent>
      </w:sdt>
      <w:r w:rsidR="00097311">
        <w:t>.</w:t>
      </w:r>
      <w:r w:rsidR="00A161D9">
        <w:t xml:space="preserve"> </w:t>
      </w:r>
      <w:r w:rsidR="00097311">
        <w:t>They are crucial for ensuring safety and regulatory compliance, as they help in planning and implement</w:t>
      </w:r>
      <w:r w:rsidR="00AA3975">
        <w:t xml:space="preserve">ation of </w:t>
      </w:r>
      <w:r w:rsidR="00097311">
        <w:t>safety measures</w:t>
      </w:r>
      <w:r w:rsidR="00A161D9">
        <w:t>.</w:t>
      </w:r>
    </w:p>
    <w:p w14:paraId="71D1A1AB" w14:textId="77777777" w:rsidR="008B2620" w:rsidRDefault="00520D2A" w:rsidP="000C5132">
      <w:r w:rsidRPr="00520D2A">
        <w:rPr>
          <w:noProof/>
        </w:rPr>
        <w:t xml:space="preserve">Seborg </w:t>
      </w:r>
      <w:r>
        <w:rPr>
          <w:noProof/>
        </w:rPr>
        <w:t>(</w:t>
      </w:r>
      <w:r w:rsidRPr="00520D2A">
        <w:rPr>
          <w:noProof/>
        </w:rPr>
        <w:t>2011)</w:t>
      </w:r>
      <w:r>
        <w:rPr>
          <w:noProof/>
        </w:rPr>
        <w:t xml:space="preserve"> </w:t>
      </w:r>
      <w:r w:rsidR="00AA3975">
        <w:t>states that a</w:t>
      </w:r>
      <w:r w:rsidR="00097311">
        <w:t xml:space="preserve"> typical P&amp;ID includes the following components</w:t>
      </w:r>
      <w:r w:rsidR="00AA3975">
        <w:t>, p</w:t>
      </w:r>
      <w:r w:rsidR="00097311">
        <w:t>iping</w:t>
      </w:r>
      <w:r w:rsidR="004C2065">
        <w:t xml:space="preserve"> is d</w:t>
      </w:r>
      <w:r w:rsidR="00097311">
        <w:t>enoted by various lines representing different types of pipes (e.g., process lines, utility lines)</w:t>
      </w:r>
      <w:r w:rsidR="00DF17C2">
        <w:t>, i</w:t>
      </w:r>
      <w:r w:rsidR="00097311">
        <w:t>nstrumentation</w:t>
      </w:r>
      <w:r w:rsidR="00DF743B">
        <w:t xml:space="preserve"> s</w:t>
      </w:r>
      <w:r w:rsidR="00097311">
        <w:t>ymbols represent instruments like sensors, transmitters, and controllers</w:t>
      </w:r>
      <w:r w:rsidR="00DF17C2">
        <w:t>, e</w:t>
      </w:r>
      <w:r w:rsidR="00097311">
        <w:t xml:space="preserve">quipment </w:t>
      </w:r>
      <w:r w:rsidR="00DF743B">
        <w:t>i</w:t>
      </w:r>
      <w:r w:rsidR="00097311">
        <w:t>cons representing major equipment such as pumps, compressors, and heat exchangers</w:t>
      </w:r>
      <w:r w:rsidR="00DF17C2">
        <w:t>, d</w:t>
      </w:r>
      <w:r w:rsidR="00097311">
        <w:t>ifferent types of valves (e.g., gate, globe, check) represented by unique symbols</w:t>
      </w:r>
      <w:r w:rsidR="00B73790">
        <w:t>, f</w:t>
      </w:r>
      <w:r w:rsidR="00097311">
        <w:t xml:space="preserve">low </w:t>
      </w:r>
      <w:r w:rsidR="00B73790">
        <w:t>d</w:t>
      </w:r>
      <w:r w:rsidR="00097311">
        <w:t>irection</w:t>
      </w:r>
      <w:r w:rsidR="00B73790">
        <w:t xml:space="preserve"> a</w:t>
      </w:r>
      <w:r w:rsidR="00097311">
        <w:t>rrows indicating the direction of flow for fluids and gases</w:t>
      </w:r>
      <w:r w:rsidR="000C5132">
        <w:t xml:space="preserve"> in Fig</w:t>
      </w:r>
      <w:r w:rsidR="008B2620">
        <w:t xml:space="preserve">ure </w:t>
      </w:r>
      <w:r w:rsidR="000C5132">
        <w:t>1.</w:t>
      </w:r>
    </w:p>
    <w:p w14:paraId="08C3865A" w14:textId="4EAA2EC9" w:rsidR="00A75AA7" w:rsidRDefault="00A74C50" w:rsidP="000C5132">
      <w:r w:rsidRPr="00A74C50">
        <w:rPr>
          <w:noProof/>
        </w:rPr>
        <w:drawing>
          <wp:inline distT="0" distB="0" distL="0" distR="0" wp14:anchorId="69CF6A87" wp14:editId="0CB7C012">
            <wp:extent cx="4950440" cy="3714750"/>
            <wp:effectExtent l="0" t="0" r="3175" b="0"/>
            <wp:docPr id="787336380" name="Picture 1" descr="A diagram of various types of electrical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36380" name="Picture 1" descr="A diagram of various types of electrical symbols&#10;&#10;Description automatically generated"/>
                    <pic:cNvPicPr/>
                  </pic:nvPicPr>
                  <pic:blipFill>
                    <a:blip r:embed="rId11"/>
                    <a:stretch>
                      <a:fillRect/>
                    </a:stretch>
                  </pic:blipFill>
                  <pic:spPr>
                    <a:xfrm>
                      <a:off x="0" y="0"/>
                      <a:ext cx="4960278" cy="3722132"/>
                    </a:xfrm>
                    <a:prstGeom prst="rect">
                      <a:avLst/>
                    </a:prstGeom>
                  </pic:spPr>
                </pic:pic>
              </a:graphicData>
            </a:graphic>
          </wp:inline>
        </w:drawing>
      </w:r>
    </w:p>
    <w:p w14:paraId="2785D1AA" w14:textId="2BC70DBE" w:rsidR="00EE396A" w:rsidRDefault="00A75AA7" w:rsidP="00A75AA7">
      <w:pPr>
        <w:pStyle w:val="Caption"/>
      </w:pPr>
      <w:bookmarkStart w:id="4" w:name="_Toc172146808"/>
      <w:r>
        <w:t xml:space="preserve">Figure </w:t>
      </w:r>
      <w:r>
        <w:fldChar w:fldCharType="begin"/>
      </w:r>
      <w:r>
        <w:instrText xml:space="preserve"> SEQ Figure \* ARABIC </w:instrText>
      </w:r>
      <w:r>
        <w:fldChar w:fldCharType="separate"/>
      </w:r>
      <w:r w:rsidR="001B6ACC">
        <w:rPr>
          <w:noProof/>
        </w:rPr>
        <w:t>1</w:t>
      </w:r>
      <w:r>
        <w:fldChar w:fldCharType="end"/>
      </w:r>
      <w:r>
        <w:t xml:space="preserve"> - P&amp;ID Symbols</w:t>
      </w:r>
      <w:r w:rsidR="000C5132">
        <w:t xml:space="preserve"> </w:t>
      </w:r>
      <w:sdt>
        <w:sdtPr>
          <w:id w:val="-1044057617"/>
          <w:citation/>
        </w:sdtPr>
        <w:sdtContent>
          <w:r w:rsidR="000C5132">
            <w:fldChar w:fldCharType="begin"/>
          </w:r>
          <w:r w:rsidR="000C5132">
            <w:instrText xml:space="preserve"> CITATION Cli24 \l 2057 </w:instrText>
          </w:r>
          <w:r w:rsidR="000C5132">
            <w:fldChar w:fldCharType="separate"/>
          </w:r>
          <w:r w:rsidR="00283446" w:rsidRPr="00283446">
            <w:rPr>
              <w:noProof/>
            </w:rPr>
            <w:t>(Johnson, 2024)</w:t>
          </w:r>
          <w:r w:rsidR="000C5132">
            <w:fldChar w:fldCharType="end"/>
          </w:r>
        </w:sdtContent>
      </w:sdt>
      <w:bookmarkEnd w:id="4"/>
    </w:p>
    <w:p w14:paraId="6841DBF6" w14:textId="77777777" w:rsidR="00EE396A" w:rsidRDefault="00EE396A" w:rsidP="00097311"/>
    <w:p w14:paraId="3D90EC41" w14:textId="41A9AA27" w:rsidR="00097311" w:rsidRDefault="00AA3975" w:rsidP="00097311">
      <w:r>
        <w:t>P&amp;IDs are heavily relied upon during c</w:t>
      </w:r>
      <w:r w:rsidR="00097311">
        <w:t>ommissioning</w:t>
      </w:r>
      <w:r>
        <w:t>, which</w:t>
      </w:r>
      <w:r w:rsidR="00097311">
        <w:t xml:space="preserve"> is a critical phase in the lifecycle of an industrial plant, involving the testing, calibration, and validation of all systems and components to ensure they meet design specifications and operational requirements </w:t>
      </w:r>
      <w:sdt>
        <w:sdtPr>
          <w:id w:val="-1395656979"/>
          <w:citation/>
        </w:sdtPr>
        <w:sdtContent>
          <w:r w:rsidR="000C5132">
            <w:fldChar w:fldCharType="begin"/>
          </w:r>
          <w:r w:rsidR="000C5132">
            <w:instrText xml:space="preserve"> CITATION Ben13 \l 2057 </w:instrText>
          </w:r>
          <w:r w:rsidR="000C5132">
            <w:fldChar w:fldCharType="separate"/>
          </w:r>
          <w:r w:rsidR="00283446" w:rsidRPr="00283446">
            <w:rPr>
              <w:noProof/>
            </w:rPr>
            <w:t>(Benjamin Blanchard, 2013)</w:t>
          </w:r>
          <w:r w:rsidR="000C5132">
            <w:fldChar w:fldCharType="end"/>
          </w:r>
        </w:sdtContent>
      </w:sdt>
      <w:r w:rsidR="000C5132">
        <w:t xml:space="preserve">. </w:t>
      </w:r>
      <w:r w:rsidR="00097311">
        <w:t xml:space="preserve">Proper commissioning ensures that the plant performs as intended and identifies any issues that </w:t>
      </w:r>
      <w:r w:rsidR="009D3AFA">
        <w:t xml:space="preserve">will </w:t>
      </w:r>
      <w:r w:rsidR="00097311">
        <w:t xml:space="preserve">need to </w:t>
      </w:r>
      <w:r w:rsidR="004B1FFE">
        <w:t xml:space="preserve">be </w:t>
      </w:r>
      <w:r>
        <w:t>correct</w:t>
      </w:r>
      <w:r w:rsidR="00753129">
        <w:t xml:space="preserve">ed </w:t>
      </w:r>
      <w:r w:rsidR="00097311">
        <w:t>before full-scale operation</w:t>
      </w:r>
      <w:r w:rsidR="00F00AC7">
        <w:t xml:space="preserve"> can commence</w:t>
      </w:r>
      <w:r w:rsidR="00097311">
        <w:t>.</w:t>
      </w:r>
      <w:r>
        <w:t xml:space="preserve"> </w:t>
      </w:r>
      <w:r w:rsidR="00F976E6">
        <w:t>T</w:t>
      </w:r>
      <w:r w:rsidR="00E94035">
        <w:t>he ke</w:t>
      </w:r>
      <w:r w:rsidR="00097311">
        <w:t xml:space="preserve">y </w:t>
      </w:r>
      <w:r w:rsidR="00E94035">
        <w:t>s</w:t>
      </w:r>
      <w:r w:rsidR="00097311">
        <w:t xml:space="preserve">teps in </w:t>
      </w:r>
      <w:r w:rsidR="00E94035">
        <w:t>c</w:t>
      </w:r>
      <w:r w:rsidR="00097311">
        <w:t>ommissioning</w:t>
      </w:r>
      <w:r w:rsidR="00E94035">
        <w:t xml:space="preserve"> can include </w:t>
      </w:r>
      <w:r w:rsidR="00097311">
        <w:t>Pre-commissioning</w:t>
      </w:r>
      <w:r w:rsidR="00AE37D2">
        <w:t>, which i</w:t>
      </w:r>
      <w:r w:rsidR="00097311">
        <w:t>nvolves preliminary checks and tests, such as verifying equipment installation, checking for leaks, and ensuring that all components are connected</w:t>
      </w:r>
      <w:r w:rsidR="004B1FFE">
        <w:t xml:space="preserve"> correctly</w:t>
      </w:r>
      <w:r w:rsidR="00A14FD8">
        <w:t xml:space="preserve"> and that no errors are found</w:t>
      </w:r>
      <w:r w:rsidR="00097311">
        <w:t>.</w:t>
      </w:r>
      <w:r w:rsidR="00AE37D2">
        <w:t xml:space="preserve"> </w:t>
      </w:r>
      <w:r w:rsidR="003A3544">
        <w:t xml:space="preserve">Once the Pre-commissioning checks </w:t>
      </w:r>
      <w:r w:rsidR="007F4BD4">
        <w:t>are</w:t>
      </w:r>
      <w:r w:rsidR="003A3544">
        <w:t xml:space="preserve"> complete the next step is to conduct Functional Testing. </w:t>
      </w:r>
      <w:r w:rsidR="00097311">
        <w:t>Functional Testing</w:t>
      </w:r>
      <w:r w:rsidR="00AE37D2">
        <w:t xml:space="preserve"> i</w:t>
      </w:r>
      <w:r w:rsidR="00097311">
        <w:t>ncludes testing individual components and systems to ensure they operate correctly. This step often involves simulating normal and emergency conditions to verify system responses.</w:t>
      </w:r>
      <w:r w:rsidR="008D2621">
        <w:t xml:space="preserve"> Post </w:t>
      </w:r>
      <w:r w:rsidR="002F36DE">
        <w:t>competition</w:t>
      </w:r>
      <w:r w:rsidR="00B2081A">
        <w:t xml:space="preserve"> of </w:t>
      </w:r>
      <w:r w:rsidR="0017373D">
        <w:t xml:space="preserve">all </w:t>
      </w:r>
      <w:r w:rsidR="002F36DE">
        <w:t>f</w:t>
      </w:r>
      <w:r w:rsidR="008D2621">
        <w:t>unctional testing</w:t>
      </w:r>
      <w:r w:rsidR="0017373D">
        <w:t>,</w:t>
      </w:r>
      <w:r w:rsidR="008D2621">
        <w:t xml:space="preserve"> Performance testing </w:t>
      </w:r>
      <w:r w:rsidR="00A12F12">
        <w:t>will</w:t>
      </w:r>
      <w:r w:rsidR="007B5D1F">
        <w:t xml:space="preserve"> need to be conducted to </w:t>
      </w:r>
      <w:r w:rsidR="008D2621">
        <w:t>e</w:t>
      </w:r>
      <w:r w:rsidR="00097311">
        <w:t xml:space="preserve">nsure that the plant operates efficiently under </w:t>
      </w:r>
      <w:r w:rsidR="007B5D1F">
        <w:t xml:space="preserve">all </w:t>
      </w:r>
      <w:r w:rsidR="00097311">
        <w:t>load conditions. This may involve running the plant at various capacities and monitoring key performance indicators (KPIs).</w:t>
      </w:r>
    </w:p>
    <w:p w14:paraId="16908FBD" w14:textId="0419E555" w:rsidR="00097311" w:rsidRDefault="00097311" w:rsidP="00097311">
      <w:r>
        <w:t>Installation Best Practices</w:t>
      </w:r>
      <w:r w:rsidR="007B5D1F">
        <w:t xml:space="preserve"> </w:t>
      </w:r>
      <w:r w:rsidR="00AA276E">
        <w:t>are often defined by remembering that an e</w:t>
      </w:r>
      <w:r>
        <w:t xml:space="preserve">ffective installation is essential for minimizing operational issues and ensuring long-term reliability. Best practices include </w:t>
      </w:r>
      <w:r w:rsidR="00F976E6">
        <w:t>three</w:t>
      </w:r>
      <w:r w:rsidR="007F207B">
        <w:t xml:space="preserve"> key stages</w:t>
      </w:r>
      <w:r w:rsidR="008B3227">
        <w:t>, t</w:t>
      </w:r>
      <w:r w:rsidR="007F207B">
        <w:t>hese are defined by conducting d</w:t>
      </w:r>
      <w:r>
        <w:t>etailed Planning</w:t>
      </w:r>
      <w:r w:rsidR="00073E35">
        <w:t>, d</w:t>
      </w:r>
      <w:r>
        <w:t>eveloping comprehensive installation plans that include timelines, resource allocation, and risk assessments</w:t>
      </w:r>
      <w:r w:rsidR="008B3227">
        <w:t xml:space="preserve"> </w:t>
      </w:r>
      <w:sdt>
        <w:sdtPr>
          <w:id w:val="368580639"/>
          <w:citation/>
        </w:sdtPr>
        <w:sdtContent>
          <w:r w:rsidR="005613E0">
            <w:fldChar w:fldCharType="begin"/>
          </w:r>
          <w:r w:rsidR="005613E0">
            <w:instrText xml:space="preserve"> CITATION Pau20 \l 2057 </w:instrText>
          </w:r>
          <w:r w:rsidR="005613E0">
            <w:fldChar w:fldCharType="separate"/>
          </w:r>
          <w:r w:rsidR="00283446" w:rsidRPr="00283446">
            <w:rPr>
              <w:noProof/>
            </w:rPr>
            <w:t>(Turner, 2020)</w:t>
          </w:r>
          <w:r w:rsidR="005613E0">
            <w:fldChar w:fldCharType="end"/>
          </w:r>
        </w:sdtContent>
      </w:sdt>
      <w:r>
        <w:t>.</w:t>
      </w:r>
      <w:r w:rsidR="00073E35">
        <w:t xml:space="preserve"> </w:t>
      </w:r>
      <w:r w:rsidR="008B3227">
        <w:t>B</w:t>
      </w:r>
      <w:r w:rsidR="00073E35">
        <w:t>y i</w:t>
      </w:r>
      <w:r>
        <w:t>mplementing rigorous quality control measures</w:t>
      </w:r>
      <w:r w:rsidR="000A1A38">
        <w:t xml:space="preserve"> </w:t>
      </w:r>
      <w:r w:rsidR="00191A47">
        <w:t>into the facility will</w:t>
      </w:r>
      <w:r>
        <w:t xml:space="preserve"> ensure that all components meet specifications and are installed correctly</w:t>
      </w:r>
      <w:r w:rsidR="007D3CAF">
        <w:t>, and by p</w:t>
      </w:r>
      <w:r>
        <w:t>roviding thorough training for installation personnel to ensure they are familiar with the plant's systems and safety procedures</w:t>
      </w:r>
      <w:r w:rsidR="007D3CAF">
        <w:t>, we can ensure that the best practices are being followed and adh</w:t>
      </w:r>
      <w:r w:rsidR="00307F6B">
        <w:t>ered to.</w:t>
      </w:r>
    </w:p>
    <w:p w14:paraId="169ED0EB" w14:textId="791AF902" w:rsidR="00097311" w:rsidRDefault="00097311" w:rsidP="00097311">
      <w:r>
        <w:t xml:space="preserve">Performance monitoring is vital for maintaining plant efficiency, reliability, and safety. It involves the continuous assessment of equipment and system performance to detect anomalies, predict failures, and optimize operations </w:t>
      </w:r>
      <w:sdt>
        <w:sdtPr>
          <w:id w:val="1209225278"/>
          <w:citation/>
        </w:sdtPr>
        <w:sdtContent>
          <w:r w:rsidR="00375A4C">
            <w:fldChar w:fldCharType="begin"/>
          </w:r>
          <w:r w:rsidR="00375A4C">
            <w:instrText xml:space="preserve"> CITATION HMH11 \l 2057 </w:instrText>
          </w:r>
          <w:r w:rsidR="00375A4C">
            <w:fldChar w:fldCharType="separate"/>
          </w:r>
          <w:r w:rsidR="00283446" w:rsidRPr="00283446">
            <w:rPr>
              <w:noProof/>
            </w:rPr>
            <w:t>(Hashemian, 2011)</w:t>
          </w:r>
          <w:r w:rsidR="00375A4C">
            <w:fldChar w:fldCharType="end"/>
          </w:r>
        </w:sdtContent>
      </w:sdt>
      <w:r w:rsidR="00375A4C">
        <w:t xml:space="preserve">. </w:t>
      </w:r>
      <w:r>
        <w:t>Techniques for Performance Monitoring</w:t>
      </w:r>
      <w:r w:rsidR="00307F6B">
        <w:t xml:space="preserve"> include</w:t>
      </w:r>
      <w:r w:rsidR="000D3BEE">
        <w:t xml:space="preserve"> Condition Monitoring, Predictive Maintenance, &amp; Real time data analysis</w:t>
      </w:r>
      <w:r w:rsidR="00775855">
        <w:t xml:space="preserve">. </w:t>
      </w:r>
      <w:r w:rsidR="000432EC">
        <w:t>T</w:t>
      </w:r>
      <w:r w:rsidR="00AF582F">
        <w:t>he method</w:t>
      </w:r>
      <w:r w:rsidR="000432EC">
        <w:t>ology</w:t>
      </w:r>
      <w:r w:rsidR="00AF582F">
        <w:t xml:space="preserve"> used to conduct </w:t>
      </w:r>
      <w:r w:rsidR="000432EC">
        <w:t>the above</w:t>
      </w:r>
      <w:r w:rsidR="00E6070E">
        <w:t xml:space="preserve"> techniques are </w:t>
      </w:r>
      <w:proofErr w:type="gramStart"/>
      <w:r w:rsidR="004C11D3">
        <w:t xml:space="preserve">through </w:t>
      </w:r>
      <w:r w:rsidR="00E6070E">
        <w:t>the use of</w:t>
      </w:r>
      <w:proofErr w:type="gramEnd"/>
      <w:r>
        <w:t xml:space="preserve"> sensors and diagnostic tools</w:t>
      </w:r>
      <w:r w:rsidR="004C11D3">
        <w:t>, each</w:t>
      </w:r>
      <w:r>
        <w:t xml:space="preserve"> to monitor the condition of equipment in real time.</w:t>
      </w:r>
      <w:r w:rsidR="00E6070E">
        <w:t xml:space="preserve"> These sensors </w:t>
      </w:r>
      <w:r w:rsidR="00E655E2">
        <w:t>can monitor c</w:t>
      </w:r>
      <w:r>
        <w:t>ommon parameters includ</w:t>
      </w:r>
      <w:r w:rsidR="00E655E2">
        <w:t>ing</w:t>
      </w:r>
      <w:r>
        <w:t xml:space="preserve"> vibration, temperature, and pressure</w:t>
      </w:r>
      <w:r w:rsidR="00D95655">
        <w:t>, b</w:t>
      </w:r>
      <w:r w:rsidR="0017328A">
        <w:t>y a</w:t>
      </w:r>
      <w:r w:rsidR="009647ED">
        <w:t>nalysing</w:t>
      </w:r>
      <w:r>
        <w:t xml:space="preserve"> </w:t>
      </w:r>
      <w:r w:rsidR="00D95655">
        <w:t xml:space="preserve">condition monitoring </w:t>
      </w:r>
      <w:r>
        <w:t xml:space="preserve">data to predict when maintenance should be performed, </w:t>
      </w:r>
      <w:r w:rsidR="00545743">
        <w:t xml:space="preserve">therefore </w:t>
      </w:r>
      <w:r>
        <w:t>reducing the likelihood of unexpected failures</w:t>
      </w:r>
      <w:r w:rsidR="00545743">
        <w:t>. B</w:t>
      </w:r>
      <w:r w:rsidR="0017328A">
        <w:t xml:space="preserve">y </w:t>
      </w:r>
      <w:r w:rsidR="006E262A">
        <w:t>using</w:t>
      </w:r>
      <w:r w:rsidR="0017328A">
        <w:t xml:space="preserve"> </w:t>
      </w:r>
      <w:r w:rsidR="00545743">
        <w:t xml:space="preserve">these </w:t>
      </w:r>
      <w:r>
        <w:t>advanced data analytic</w:t>
      </w:r>
      <w:r w:rsidR="00545743">
        <w:t xml:space="preserve"> techniques</w:t>
      </w:r>
      <w:r>
        <w:t xml:space="preserve"> to process real-time data and provide insights into equipment performance. This approach enables </w:t>
      </w:r>
      <w:r w:rsidR="00FB606A">
        <w:t>initiative-taking</w:t>
      </w:r>
      <w:r>
        <w:t xml:space="preserve"> decision-making and improves overall </w:t>
      </w:r>
      <w:r w:rsidR="00EA7A47">
        <w:t xml:space="preserve">plant </w:t>
      </w:r>
      <w:r>
        <w:t>efficiency</w:t>
      </w:r>
      <w:r w:rsidR="00EA7A47">
        <w:t>.</w:t>
      </w:r>
    </w:p>
    <w:p w14:paraId="269F51E4" w14:textId="79AB7075" w:rsidR="00097311" w:rsidRDefault="00097311" w:rsidP="00097311">
      <w:r>
        <w:lastRenderedPageBreak/>
        <w:t>COSHH (Control of Substances Hazardous to Health) regulations are designed to protect workers from the risks associated with hazardous substances. They require employers to</w:t>
      </w:r>
      <w:r w:rsidR="00EA7A47">
        <w:t xml:space="preserve"> create and maintain r</w:t>
      </w:r>
      <w:r>
        <w:t xml:space="preserve">isk </w:t>
      </w:r>
      <w:r w:rsidR="00EA7A47">
        <w:t>a</w:t>
      </w:r>
      <w:r>
        <w:t>ssessments</w:t>
      </w:r>
      <w:r w:rsidR="00EA7A47">
        <w:t xml:space="preserve"> by c</w:t>
      </w:r>
      <w:r>
        <w:t>onduct thorough risk assessments to identify potential hazards and implement appropriate control measures.</w:t>
      </w:r>
      <w:r w:rsidR="00A63509">
        <w:t xml:space="preserve"> Risk assessments</w:t>
      </w:r>
      <w:r w:rsidR="00607F9B">
        <w:t xml:space="preserve"> </w:t>
      </w:r>
      <w:r w:rsidR="00F67295">
        <w:t>as seen in Figure 2,</w:t>
      </w:r>
      <w:r w:rsidR="00A63509">
        <w:t xml:space="preserve"> will</w:t>
      </w:r>
      <w:r w:rsidR="00F67295">
        <w:t xml:space="preserve"> be used to</w:t>
      </w:r>
      <w:r w:rsidR="00A63509">
        <w:t xml:space="preserve"> </w:t>
      </w:r>
      <w:r w:rsidR="00776F64">
        <w:t>review if e</w:t>
      </w:r>
      <w:r>
        <w:t xml:space="preserve">xposure </w:t>
      </w:r>
      <w:r w:rsidR="00776F64">
        <w:t>l</w:t>
      </w:r>
      <w:r>
        <w:t>imits</w:t>
      </w:r>
      <w:r w:rsidR="00776F64">
        <w:t xml:space="preserve"> are sufficient to e</w:t>
      </w:r>
      <w:r>
        <w:t xml:space="preserve">nsure that exposure to hazardous substances does not exceed specified </w:t>
      </w:r>
      <w:r w:rsidR="00A12F12">
        <w:t>limits and</w:t>
      </w:r>
      <w:r w:rsidR="008F5947">
        <w:t xml:space="preserve"> will also cover things such as t</w:t>
      </w:r>
      <w:r>
        <w:t>raining and PPE</w:t>
      </w:r>
      <w:r w:rsidR="008F5947">
        <w:t>, employers are legally required to p</w:t>
      </w:r>
      <w:r>
        <w:t xml:space="preserve">rovide adequate training for workers and supply necessary personal protective equipment (PPE) </w:t>
      </w:r>
      <w:sdt>
        <w:sdtPr>
          <w:id w:val="909504997"/>
          <w:citation/>
        </w:sdtPr>
        <w:sdtContent>
          <w:r w:rsidR="00F67295">
            <w:fldChar w:fldCharType="begin"/>
          </w:r>
          <w:r w:rsidR="00F67295">
            <w:instrText xml:space="preserve"> CITATION Hea24 \l 2057 </w:instrText>
          </w:r>
          <w:r w:rsidR="00F67295">
            <w:fldChar w:fldCharType="separate"/>
          </w:r>
          <w:r w:rsidR="00283446" w:rsidRPr="00283446">
            <w:rPr>
              <w:noProof/>
            </w:rPr>
            <w:t>((HSE), 2024)</w:t>
          </w:r>
          <w:r w:rsidR="00F67295">
            <w:fldChar w:fldCharType="end"/>
          </w:r>
        </w:sdtContent>
      </w:sdt>
      <w:r w:rsidR="00F67295">
        <w:t>.</w:t>
      </w:r>
      <w:r w:rsidR="00B03531">
        <w:t xml:space="preserve"> </w:t>
      </w:r>
    </w:p>
    <w:p w14:paraId="13A57E3C" w14:textId="04AA250C" w:rsidR="009F1F7D" w:rsidRDefault="00097311" w:rsidP="008B2620">
      <w:r>
        <w:t>COMAH (Control of Major Accident Hazards) regulations aim to prevent major accidents involving dangerous substances and limit their impact on people and the environment</w:t>
      </w:r>
      <w:r w:rsidR="00450915">
        <w:t xml:space="preserve">. </w:t>
      </w:r>
      <w:r>
        <w:t>Management Systems</w:t>
      </w:r>
      <w:r w:rsidR="00450915">
        <w:t xml:space="preserve"> are used to i</w:t>
      </w:r>
      <w:r>
        <w:t>mplement comprehensive safety management that include regular risk assessments and emergency response plans.</w:t>
      </w:r>
      <w:r w:rsidR="00A12F12">
        <w:t xml:space="preserve"> They should also n</w:t>
      </w:r>
      <w:r>
        <w:t>otify</w:t>
      </w:r>
      <w:r w:rsidR="00A12F12">
        <w:t xml:space="preserve"> the</w:t>
      </w:r>
      <w:r>
        <w:t xml:space="preserve"> relevant authorities about the presence of hazardous substances</w:t>
      </w:r>
      <w:r w:rsidR="001A1E3B">
        <w:t xml:space="preserve">, </w:t>
      </w:r>
      <w:r>
        <w:t xml:space="preserve">report any major </w:t>
      </w:r>
      <w:r w:rsidR="00A12F12">
        <w:t>accidents</w:t>
      </w:r>
      <w:r w:rsidR="001A1E3B">
        <w:t>,</w:t>
      </w:r>
      <w:r w:rsidR="00A12F12">
        <w:t xml:space="preserve"> and ensure </w:t>
      </w:r>
      <w:r>
        <w:t>that information about</w:t>
      </w:r>
      <w:r w:rsidR="001A1E3B" w:rsidRPr="001A1E3B">
        <w:t xml:space="preserve"> </w:t>
      </w:r>
      <w:r w:rsidR="001A1E3B">
        <w:t>safety measures &amp;</w:t>
      </w:r>
      <w:r>
        <w:t xml:space="preserve"> potential hazards is readily available to the public </w:t>
      </w:r>
      <w:sdt>
        <w:sdtPr>
          <w:id w:val="-117458683"/>
          <w:citation/>
        </w:sdtPr>
        <w:sdtContent>
          <w:r w:rsidR="00F67295">
            <w:fldChar w:fldCharType="begin"/>
          </w:r>
          <w:r w:rsidR="00F67295">
            <w:instrText xml:space="preserve"> CITATION Hea241 \l 2057 </w:instrText>
          </w:r>
          <w:r w:rsidR="00F67295">
            <w:fldChar w:fldCharType="separate"/>
          </w:r>
          <w:r w:rsidR="00283446" w:rsidRPr="00283446">
            <w:rPr>
              <w:noProof/>
            </w:rPr>
            <w:t>((HSE), 2024)</w:t>
          </w:r>
          <w:r w:rsidR="00F67295">
            <w:fldChar w:fldCharType="end"/>
          </w:r>
        </w:sdtContent>
      </w:sdt>
      <w:r>
        <w:t>.</w:t>
      </w:r>
    </w:p>
    <w:p w14:paraId="6819BF35" w14:textId="794D0F36" w:rsidR="008B2620" w:rsidRDefault="008B2620" w:rsidP="008B2620">
      <w:r w:rsidRPr="00EE396A">
        <w:rPr>
          <w:noProof/>
        </w:rPr>
        <w:drawing>
          <wp:anchor distT="0" distB="0" distL="114300" distR="114300" simplePos="0" relativeHeight="251660288" behindDoc="1" locked="0" layoutInCell="1" allowOverlap="1" wp14:anchorId="7C122034" wp14:editId="5B77BAD4">
            <wp:simplePos x="0" y="0"/>
            <wp:positionH relativeFrom="column">
              <wp:posOffset>-318770</wp:posOffset>
            </wp:positionH>
            <wp:positionV relativeFrom="paragraph">
              <wp:posOffset>282892</wp:posOffset>
            </wp:positionV>
            <wp:extent cx="6122937" cy="3709987"/>
            <wp:effectExtent l="0" t="0" r="0" b="5080"/>
            <wp:wrapTight wrapText="bothSides">
              <wp:wrapPolygon edited="0">
                <wp:start x="0" y="0"/>
                <wp:lineTo x="0" y="21519"/>
                <wp:lineTo x="21506" y="21519"/>
                <wp:lineTo x="21506" y="0"/>
                <wp:lineTo x="0" y="0"/>
              </wp:wrapPolygon>
            </wp:wrapTight>
            <wp:docPr id="1739618336" name="Picture 1" descr="A red and white assessment tem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18336" name="Picture 1" descr="A red and white assessment templa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22937" cy="3709987"/>
                    </a:xfrm>
                    <a:prstGeom prst="rect">
                      <a:avLst/>
                    </a:prstGeom>
                  </pic:spPr>
                </pic:pic>
              </a:graphicData>
            </a:graphic>
          </wp:anchor>
        </w:drawing>
      </w:r>
    </w:p>
    <w:p w14:paraId="4EE87938" w14:textId="7B750B2E" w:rsidR="009F1F7D" w:rsidRDefault="009F1F7D" w:rsidP="009F1F7D">
      <w:pPr>
        <w:pStyle w:val="Caption"/>
      </w:pPr>
      <w:bookmarkStart w:id="5" w:name="_Toc172146809"/>
      <w:r>
        <w:t xml:space="preserve">Figure </w:t>
      </w:r>
      <w:r>
        <w:fldChar w:fldCharType="begin"/>
      </w:r>
      <w:r>
        <w:instrText xml:space="preserve"> SEQ Figure \* ARABIC </w:instrText>
      </w:r>
      <w:r>
        <w:fldChar w:fldCharType="separate"/>
      </w:r>
      <w:r w:rsidR="001B6ACC">
        <w:rPr>
          <w:noProof/>
        </w:rPr>
        <w:t>2</w:t>
      </w:r>
      <w:r>
        <w:fldChar w:fldCharType="end"/>
      </w:r>
      <w:r>
        <w:t xml:space="preserve"> - Risk Assessment Template</w:t>
      </w:r>
      <w:sdt>
        <w:sdtPr>
          <w:id w:val="782923255"/>
          <w:citation/>
        </w:sdtPr>
        <w:sdtContent>
          <w:r>
            <w:fldChar w:fldCharType="begin"/>
          </w:r>
          <w:r>
            <w:instrText xml:space="preserve"> CITATION Hea242 \l 2057 </w:instrText>
          </w:r>
          <w:r>
            <w:fldChar w:fldCharType="separate"/>
          </w:r>
          <w:r w:rsidR="00283446">
            <w:rPr>
              <w:noProof/>
            </w:rPr>
            <w:t xml:space="preserve"> </w:t>
          </w:r>
          <w:r w:rsidR="00283446" w:rsidRPr="00283446">
            <w:rPr>
              <w:noProof/>
            </w:rPr>
            <w:t>((HSE), 2024)</w:t>
          </w:r>
          <w:r>
            <w:fldChar w:fldCharType="end"/>
          </w:r>
        </w:sdtContent>
      </w:sdt>
      <w:bookmarkEnd w:id="5"/>
    </w:p>
    <w:p w14:paraId="612A07A7" w14:textId="4E2065A6" w:rsidR="00CC691E" w:rsidRDefault="00CC691E" w:rsidP="00216F51">
      <w:r>
        <w:br w:type="page"/>
      </w:r>
    </w:p>
    <w:p w14:paraId="78A78654" w14:textId="34761A4C" w:rsidR="00CC691E" w:rsidRDefault="00C8589F" w:rsidP="00CC691E">
      <w:pPr>
        <w:pStyle w:val="Heading1"/>
      </w:pPr>
      <w:bookmarkStart w:id="6" w:name="_Toc172146823"/>
      <w:r>
        <w:lastRenderedPageBreak/>
        <w:t xml:space="preserve">Analysis and </w:t>
      </w:r>
      <w:r w:rsidR="00CC691E" w:rsidRPr="00CC691E">
        <w:t>Discussion</w:t>
      </w:r>
      <w:bookmarkEnd w:id="6"/>
    </w:p>
    <w:p w14:paraId="7862B753" w14:textId="4F98D975" w:rsidR="00F51751" w:rsidRDefault="00F51751" w:rsidP="00F51751">
      <w:r>
        <w:t xml:space="preserve">Data for constructing the P&amp;ID </w:t>
      </w:r>
      <w:r w:rsidR="001A1E3B">
        <w:t>was</w:t>
      </w:r>
      <w:r>
        <w:t xml:space="preserve"> collected through multiple channels to ensure comprehensive and accurate representation</w:t>
      </w:r>
      <w:r w:rsidR="001A1E3B">
        <w:t xml:space="preserve"> m</w:t>
      </w:r>
      <w:r>
        <w:t>ultiple visits to the Aston Martin Lagonda plant in St Athan were conducted. These visits allowed for direct observation of the coolant circulation system, noting its physical layout, components, and operational conditions. Structured interviews were held with plant engineers and technical staff</w:t>
      </w:r>
      <w:r w:rsidR="001F7AB0">
        <w:t xml:space="preserve"> in numerus departments</w:t>
      </w:r>
      <w:r>
        <w:t>. These interviews provided insights into the operational requirements, performance metrics, and specific safety protocols associated with the subsystem. Existing technical documents, including design specifications, operational manuals, and maintenance logs, were reviewed. This review helped in identifying key components, understanding their functions, and gathering detailed technical specifications.</w:t>
      </w:r>
    </w:p>
    <w:p w14:paraId="2B1042BC" w14:textId="4B620769" w:rsidR="00F51751" w:rsidRDefault="00F51751" w:rsidP="00F51751">
      <w:r>
        <w:t>Using industry-standard software</w:t>
      </w:r>
      <w:r w:rsidR="00DB1019">
        <w:t xml:space="preserve"> Visual Paradigm </w:t>
      </w:r>
      <w:sdt>
        <w:sdtPr>
          <w:id w:val="-1906292192"/>
          <w:citation/>
        </w:sdtPr>
        <w:sdtContent>
          <w:r w:rsidR="00410614">
            <w:fldChar w:fldCharType="begin"/>
          </w:r>
          <w:r w:rsidR="00410614">
            <w:instrText xml:space="preserve">CITATION vis24 \l 2057 </w:instrText>
          </w:r>
          <w:r w:rsidR="00410614">
            <w:fldChar w:fldCharType="separate"/>
          </w:r>
          <w:r w:rsidR="00283446" w:rsidRPr="00283446">
            <w:rPr>
              <w:noProof/>
            </w:rPr>
            <w:t>(paradigm, 2024)</w:t>
          </w:r>
          <w:r w:rsidR="00410614">
            <w:fldChar w:fldCharType="end"/>
          </w:r>
        </w:sdtContent>
      </w:sdt>
      <w:r w:rsidR="00410614">
        <w:t>,</w:t>
      </w:r>
      <w:r>
        <w:t xml:space="preserve"> the P&amp;ID </w:t>
      </w:r>
      <w:r w:rsidR="00DB1019">
        <w:t>was</w:t>
      </w:r>
      <w:r>
        <w:t xml:space="preserve"> developed through the following steps:</w:t>
      </w:r>
    </w:p>
    <w:p w14:paraId="29DCFFD6" w14:textId="77777777" w:rsidR="00F51751" w:rsidRDefault="00F51751" w:rsidP="00F51751">
      <w:r>
        <w:t>1. Component Identification: Key components of the coolant circulation system, including pumps, valves, heat exchangers, and instrumentation devices, were identified from the collected data.</w:t>
      </w:r>
    </w:p>
    <w:p w14:paraId="1E4F90E8" w14:textId="77777777" w:rsidR="00F51751" w:rsidRDefault="00F51751" w:rsidP="00F51751">
      <w:r>
        <w:t>2. System Layout: The physical layout of the system was mapped out, ensuring accurate representation of the spatial arrangement and connectivity of components.</w:t>
      </w:r>
    </w:p>
    <w:p w14:paraId="6D76D7CA" w14:textId="208926F6" w:rsidR="00F51751" w:rsidRDefault="00F51751" w:rsidP="00F51751">
      <w:r>
        <w:t>3. Symbol Standardization: Standardized symbols and notation, as per International Society of Automation</w:t>
      </w:r>
      <w:r w:rsidR="001B6ACC">
        <w:t xml:space="preserve"> </w:t>
      </w:r>
      <w:sdt>
        <w:sdtPr>
          <w:id w:val="-1851780442"/>
          <w:citation/>
        </w:sdtPr>
        <w:sdtContent>
          <w:r w:rsidR="001B6ACC">
            <w:fldChar w:fldCharType="begin"/>
          </w:r>
          <w:r w:rsidR="001B6ACC">
            <w:instrText xml:space="preserve"> CITATION Int22 \l 2057 </w:instrText>
          </w:r>
          <w:r w:rsidR="001B6ACC">
            <w:fldChar w:fldCharType="separate"/>
          </w:r>
          <w:r w:rsidR="00283446" w:rsidRPr="00283446">
            <w:rPr>
              <w:noProof/>
            </w:rPr>
            <w:t>((ISA), 2022)</w:t>
          </w:r>
          <w:r w:rsidR="001B6ACC">
            <w:fldChar w:fldCharType="end"/>
          </w:r>
        </w:sdtContent>
      </w:sdt>
      <w:r>
        <w:t xml:space="preserve"> standards, were used to represent different components and instrumentation on the diagrams.</w:t>
      </w:r>
    </w:p>
    <w:p w14:paraId="0341537A" w14:textId="77777777" w:rsidR="00F51751" w:rsidRDefault="00F51751" w:rsidP="00F51751">
      <w:r>
        <w:t>4. Flow Path Illustration: The flow paths of the coolant through the system were clearly illustrated, indicating the direction of flow and points of temperature and pressure monitoring.</w:t>
      </w:r>
    </w:p>
    <w:p w14:paraId="02417ACE" w14:textId="77777777" w:rsidR="00EC5666" w:rsidRDefault="00F51751" w:rsidP="00F51751">
      <w:r>
        <w:t>5. Validation: The developed diagrams were reviewed by plant engineers for accuracy and completeness. Feedback was incorporated, and necessary revisions were made to ensure the diagrams accurately represent the subsystem.</w:t>
      </w:r>
    </w:p>
    <w:p w14:paraId="426496A9" w14:textId="77777777" w:rsidR="001B6ACC" w:rsidRDefault="00EC5666" w:rsidP="001B6ACC">
      <w:pPr>
        <w:keepNext/>
      </w:pPr>
      <w:r w:rsidRPr="007962BA">
        <w:rPr>
          <w:noProof/>
        </w:rPr>
        <w:lastRenderedPageBreak/>
        <w:drawing>
          <wp:inline distT="0" distB="0" distL="0" distR="0" wp14:anchorId="4D76C09D" wp14:editId="2C752958">
            <wp:extent cx="5189517" cy="4217274"/>
            <wp:effectExtent l="0" t="0" r="0" b="0"/>
            <wp:docPr id="1680404880" name="Picture 6" descr="A diagram of a machine&#10;&#10;Description automatically generated">
              <a:extLst xmlns:a="http://schemas.openxmlformats.org/drawingml/2006/main">
                <a:ext uri="{FF2B5EF4-FFF2-40B4-BE49-F238E27FC236}">
                  <a16:creationId xmlns:a16="http://schemas.microsoft.com/office/drawing/2014/main" id="{440C0A64-C905-6658-A9E7-F1C2B2F668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404880" name="Picture 6" descr="A diagram of a machine&#10;&#10;Description automatically generated">
                      <a:extLst>
                        <a:ext uri="{FF2B5EF4-FFF2-40B4-BE49-F238E27FC236}">
                          <a16:creationId xmlns:a16="http://schemas.microsoft.com/office/drawing/2014/main" id="{440C0A64-C905-6658-A9E7-F1C2B2F668A6}"/>
                        </a:ext>
                      </a:extLst>
                    </pic:cNvPr>
                    <pic:cNvPicPr>
                      <a:picLocks noChangeAspect="1"/>
                    </pic:cNvPicPr>
                  </pic:nvPicPr>
                  <pic:blipFill>
                    <a:blip r:embed="rId13"/>
                    <a:stretch>
                      <a:fillRect/>
                    </a:stretch>
                  </pic:blipFill>
                  <pic:spPr>
                    <a:xfrm>
                      <a:off x="0" y="0"/>
                      <a:ext cx="5214070" cy="4237227"/>
                    </a:xfrm>
                    <a:prstGeom prst="rect">
                      <a:avLst/>
                    </a:prstGeom>
                  </pic:spPr>
                </pic:pic>
              </a:graphicData>
            </a:graphic>
          </wp:inline>
        </w:drawing>
      </w:r>
    </w:p>
    <w:p w14:paraId="768EA2A4" w14:textId="0E6AB3CC" w:rsidR="00EC5666" w:rsidRDefault="001B6ACC" w:rsidP="001B6ACC">
      <w:pPr>
        <w:pStyle w:val="Caption"/>
      </w:pPr>
      <w:bookmarkStart w:id="7" w:name="_Toc172146810"/>
      <w:r>
        <w:t xml:space="preserve">Figure </w:t>
      </w:r>
      <w:r>
        <w:fldChar w:fldCharType="begin"/>
      </w:r>
      <w:r>
        <w:instrText xml:space="preserve"> SEQ Figure \* ARABIC </w:instrText>
      </w:r>
      <w:r>
        <w:fldChar w:fldCharType="separate"/>
      </w:r>
      <w:r>
        <w:rPr>
          <w:noProof/>
        </w:rPr>
        <w:t>3</w:t>
      </w:r>
      <w:r>
        <w:fldChar w:fldCharType="end"/>
      </w:r>
      <w:r>
        <w:t xml:space="preserve"> - P&amp;ID Diagram</w:t>
      </w:r>
      <w:bookmarkEnd w:id="7"/>
    </w:p>
    <w:p w14:paraId="2D315004" w14:textId="77777777" w:rsidR="00117FC8" w:rsidRPr="00117FC8" w:rsidRDefault="00117FC8" w:rsidP="00117FC8"/>
    <w:p w14:paraId="45EA2BB0" w14:textId="00CAF73F" w:rsidR="00F51751" w:rsidRDefault="00F51751" w:rsidP="00F51751">
      <w:r>
        <w:t xml:space="preserve">The operational aspects of the coolant circulation system were </w:t>
      </w:r>
      <w:r w:rsidR="0037087B">
        <w:t>analysed</w:t>
      </w:r>
      <w:r>
        <w:t xml:space="preserve"> through</w:t>
      </w:r>
      <w:r w:rsidR="002A0478">
        <w:t xml:space="preserve"> i</w:t>
      </w:r>
      <w:r>
        <w:t>dentification of service requirements, such as the types and specifications of utilities (gas, air, electricity) needed for the subsystem's operation.</w:t>
      </w:r>
      <w:r w:rsidR="002A0478">
        <w:t xml:space="preserve"> Ensuring that</w:t>
      </w:r>
      <w:r w:rsidR="00ED1915">
        <w:t xml:space="preserve"> d</w:t>
      </w:r>
      <w:r w:rsidR="0037087B">
        <w:t>etailed</w:t>
      </w:r>
      <w:r>
        <w:t xml:space="preserve"> analysis of key components (e.g., pumps, heat exchangers, valves), including their operational parameters, performance characteristics, and maintenance needs</w:t>
      </w:r>
      <w:r w:rsidR="00ED1915">
        <w:t>.</w:t>
      </w:r>
      <w:r>
        <w:t xml:space="preserve"> Evaluation of </w:t>
      </w:r>
      <w:r w:rsidR="00ED1915">
        <w:t xml:space="preserve">the </w:t>
      </w:r>
      <w:r>
        <w:t>performance monitoring techniques</w:t>
      </w:r>
      <w:r w:rsidR="00ED1915">
        <w:t xml:space="preserve"> in plant</w:t>
      </w:r>
      <w:r>
        <w:t>, focusing on the use of indicators and transmitters to track key parameters like temperature, pressure, and flow rate in real time</w:t>
      </w:r>
      <w:r w:rsidR="00182CCC">
        <w:t xml:space="preserve">, this can be seen in figure 3. </w:t>
      </w:r>
    </w:p>
    <w:p w14:paraId="0FA3016B" w14:textId="1D6F6829" w:rsidR="00F51751" w:rsidRDefault="00F51751" w:rsidP="00F51751">
      <w:r>
        <w:t>Health and safety issues were identified through</w:t>
      </w:r>
      <w:r w:rsidR="00DC74A0">
        <w:t xml:space="preserve"> c</w:t>
      </w:r>
      <w:r>
        <w:t>onducting</w:t>
      </w:r>
      <w:r w:rsidR="00DC74A0">
        <w:t xml:space="preserve"> and reviewing current</w:t>
      </w:r>
      <w:r>
        <w:t xml:space="preserve"> risk assessments to identify potential hazards associated with the coolant and system operation.</w:t>
      </w:r>
      <w:r w:rsidR="00F05D81">
        <w:t xml:space="preserve"> The review e</w:t>
      </w:r>
      <w:r>
        <w:t>nsur</w:t>
      </w:r>
      <w:r w:rsidR="00F05D81">
        <w:t>ed</w:t>
      </w:r>
      <w:r>
        <w:t xml:space="preserve"> compliance with COSHH regulations by maintaining safety data sheets, providing appropriate PPE, and implementing control measures to limit exposure to hazardous substances</w:t>
      </w:r>
      <w:r w:rsidR="00595334">
        <w:t xml:space="preserve"> of </w:t>
      </w:r>
      <w:r>
        <w:t>the subsystem's role within the overall plant</w:t>
      </w:r>
      <w:r w:rsidR="00595334">
        <w:t>, using the</w:t>
      </w:r>
      <w:r>
        <w:t xml:space="preserve"> safety management framework, including regular risk assessments and emergency response planning</w:t>
      </w:r>
      <w:r w:rsidR="00B10C8E">
        <w:t xml:space="preserve"> documents</w:t>
      </w:r>
      <w:r>
        <w:t>.</w:t>
      </w:r>
    </w:p>
    <w:p w14:paraId="58118F26" w14:textId="6EBA1E88" w:rsidR="00F51751" w:rsidRDefault="00F51751" w:rsidP="00F51751">
      <w:r>
        <w:lastRenderedPageBreak/>
        <w:t>The coolant circulation system at the Aston Martin Lagonda plant was chosen for its critical role in maintaining optimal temperatures within various parts of the plant. The coolant circulation system operates by pumping coolant from the reservoir through the heat exchanger, where it absorbs heat from the plant's equipment. The cooled fluid then returns to the reservoir to complete the cycle.</w:t>
      </w:r>
      <w:r w:rsidR="00595334">
        <w:t xml:space="preserve"> </w:t>
      </w:r>
      <w:r>
        <w:t>The system includes a pump for moving the coolant, a heat exchanger for heat transfer, valves for flow and pressure control, and indicators and transmitters for real-time performance monitoring</w:t>
      </w:r>
      <w:r w:rsidR="00595334">
        <w:t xml:space="preserve"> via PLC and at the equipment level.</w:t>
      </w:r>
      <w:r>
        <w:t xml:space="preserve"> Regular inspection and </w:t>
      </w:r>
      <w:r w:rsidR="00595334">
        <w:t xml:space="preserve">planned </w:t>
      </w:r>
      <w:r>
        <w:t>maintenance of the pump, heat exchanger, and control devices are conducted</w:t>
      </w:r>
      <w:r w:rsidR="00595334">
        <w:t xml:space="preserve"> </w:t>
      </w:r>
      <w:r w:rsidR="00196E40">
        <w:t>during</w:t>
      </w:r>
      <w:r w:rsidR="00595334">
        <w:t xml:space="preserve"> factory shutdowns, to minimise production loss through down time</w:t>
      </w:r>
      <w:r>
        <w:t>.</w:t>
      </w:r>
      <w:r w:rsidR="00196E40">
        <w:t xml:space="preserve"> The r</w:t>
      </w:r>
      <w:r>
        <w:t xml:space="preserve">eal-time data from indicators and transmitters </w:t>
      </w:r>
      <w:r w:rsidR="00196E40">
        <w:t>is</w:t>
      </w:r>
      <w:r>
        <w:t xml:space="preserve"> analysed to detect deviations from optimal performance</w:t>
      </w:r>
      <w:r w:rsidR="00196E40">
        <w:t xml:space="preserve">, </w:t>
      </w:r>
      <w:r w:rsidR="0040072C">
        <w:t>using</w:t>
      </w:r>
      <w:r w:rsidR="00196E40">
        <w:t xml:space="preserve"> p</w:t>
      </w:r>
      <w:r>
        <w:t>redictive maintenance techniques to prevent equipment failure and ensure continuous operation</w:t>
      </w:r>
      <w:sdt>
        <w:sdtPr>
          <w:id w:val="1145317917"/>
          <w:citation/>
        </w:sdtPr>
        <w:sdtContent>
          <w:r w:rsidR="00D32212">
            <w:fldChar w:fldCharType="begin"/>
          </w:r>
          <w:r w:rsidR="00D32212">
            <w:instrText xml:space="preserve"> CITATION Fed17 \l 2057 </w:instrText>
          </w:r>
          <w:r w:rsidR="00D32212">
            <w:fldChar w:fldCharType="separate"/>
          </w:r>
          <w:r w:rsidR="00283446">
            <w:rPr>
              <w:noProof/>
            </w:rPr>
            <w:t xml:space="preserve"> </w:t>
          </w:r>
          <w:r w:rsidR="00283446" w:rsidRPr="00283446">
            <w:rPr>
              <w:noProof/>
            </w:rPr>
            <w:t>(Federico Civerchia, 2017)</w:t>
          </w:r>
          <w:r w:rsidR="00D32212">
            <w:fldChar w:fldCharType="end"/>
          </w:r>
        </w:sdtContent>
      </w:sdt>
      <w:r>
        <w:t>.</w:t>
      </w:r>
    </w:p>
    <w:p w14:paraId="66DA1EBC" w14:textId="51682D4C" w:rsidR="00F51751" w:rsidRDefault="00F14C48" w:rsidP="00F51751">
      <w:r>
        <w:t xml:space="preserve">The </w:t>
      </w:r>
      <w:r w:rsidR="00E41B91">
        <w:t>risk assessments have shown that t</w:t>
      </w:r>
      <w:r w:rsidR="00F51751">
        <w:t xml:space="preserve">he coolant used in the system must be </w:t>
      </w:r>
      <w:r w:rsidR="006E262A">
        <w:t>managed</w:t>
      </w:r>
      <w:r w:rsidR="00F51751">
        <w:t xml:space="preserve"> according to COSHH regulations. Safety data sheets are </w:t>
      </w:r>
      <w:r w:rsidR="00E41B91">
        <w:t xml:space="preserve">required to be </w:t>
      </w:r>
      <w:r w:rsidR="00F51751">
        <w:t xml:space="preserve">maintained, and appropriate PPE is </w:t>
      </w:r>
      <w:r w:rsidR="00E41B91">
        <w:t xml:space="preserve">needed to be </w:t>
      </w:r>
      <w:r w:rsidR="00F51751">
        <w:t xml:space="preserve">provided to workers to prevent exposure to </w:t>
      </w:r>
      <w:r w:rsidR="00E41B91">
        <w:t xml:space="preserve">the </w:t>
      </w:r>
      <w:r w:rsidR="00F51751">
        <w:t>hazardous substances.</w:t>
      </w:r>
      <w:r w:rsidR="00E41B91">
        <w:t xml:space="preserve"> Risk mitigation </w:t>
      </w:r>
      <w:r w:rsidR="00B81CCA">
        <w:t>m</w:t>
      </w:r>
      <w:r w:rsidR="00F51751">
        <w:t xml:space="preserve">easures are implemented to </w:t>
      </w:r>
      <w:r w:rsidR="00B81CCA">
        <w:t>decrease</w:t>
      </w:r>
      <w:r w:rsidR="00F51751">
        <w:t xml:space="preserve"> these risks, including the use of safety barriers, emergency shutdown systems, and regular training for staff.</w:t>
      </w:r>
      <w:r w:rsidR="00B81CCA">
        <w:t xml:space="preserve"> </w:t>
      </w:r>
      <w:r w:rsidR="00F51751">
        <w:t>Although the coolant circulation system itself may not be subject to COMAH regulations, it is integrated into the overall plant safety management</w:t>
      </w:r>
      <w:r w:rsidR="00B81CCA">
        <w:t xml:space="preserve"> and e</w:t>
      </w:r>
      <w:r w:rsidR="00F51751">
        <w:t>mergency response plans are in place to address potential incidents involving the coolant system.</w:t>
      </w:r>
    </w:p>
    <w:p w14:paraId="606607E0" w14:textId="2C236432" w:rsidR="00F51751" w:rsidRDefault="00F51751" w:rsidP="00F51751">
      <w:r>
        <w:t>The performance and efficiency of the coolant circulation system are critical to the plant's overall operation.</w:t>
      </w:r>
      <w:r w:rsidR="00B81CCA">
        <w:t xml:space="preserve"> </w:t>
      </w:r>
      <w:r>
        <w:t>Continuous monitoring of temperature, pressure, and flow rate using indicators and transmitters</w:t>
      </w:r>
      <w:r w:rsidR="00F9706A">
        <w:t xml:space="preserve"> to collect </w:t>
      </w:r>
      <w:r>
        <w:t>data</w:t>
      </w:r>
      <w:r w:rsidR="00F9706A">
        <w:t>,</w:t>
      </w:r>
      <w:r>
        <w:t xml:space="preserve"> is</w:t>
      </w:r>
      <w:r w:rsidR="00F9706A">
        <w:t xml:space="preserve"> then</w:t>
      </w:r>
      <w:r>
        <w:t xml:space="preserve"> </w:t>
      </w:r>
      <w:r w:rsidR="0037087B">
        <w:t>analysed</w:t>
      </w:r>
      <w:r>
        <w:t xml:space="preserve"> to ensure the system operates within optimal parameters.</w:t>
      </w:r>
      <w:r w:rsidR="00F9706A">
        <w:t xml:space="preserve"> </w:t>
      </w:r>
      <w:r>
        <w:t>This approach helps in identifying potential issues before they lead to system failures, thereby minimizing downtime and maintenance costs.</w:t>
      </w:r>
      <w:r w:rsidR="009405B3">
        <w:t xml:space="preserve"> </w:t>
      </w:r>
      <w:r>
        <w:t>The system is designed to</w:t>
      </w:r>
      <w:r w:rsidR="009405B3">
        <w:t xml:space="preserve"> </w:t>
      </w:r>
      <w:r w:rsidR="0067695E">
        <w:t>achieve</w:t>
      </w:r>
      <w:r>
        <w:t xml:space="preserve"> maximize efficiency by ensuring consistent coolant flow and effective heat transfer</w:t>
      </w:r>
      <w:r w:rsidR="009405B3">
        <w:t xml:space="preserve"> by </w:t>
      </w:r>
      <w:r>
        <w:t xml:space="preserve">maintaining optimal operating temperatures for plant equipment, reducing the risk of </w:t>
      </w:r>
      <w:r w:rsidR="00F976E6">
        <w:t>overheating,</w:t>
      </w:r>
      <w:r>
        <w:t xml:space="preserve"> and improving overall plant performance.</w:t>
      </w:r>
    </w:p>
    <w:p w14:paraId="5C3DBC8D" w14:textId="5A70D599" w:rsidR="00CC691E" w:rsidRDefault="00CC691E">
      <w:r>
        <w:br w:type="page"/>
      </w:r>
    </w:p>
    <w:p w14:paraId="22F49B2E" w14:textId="576E2D1A" w:rsidR="00CC691E" w:rsidRDefault="00CC691E" w:rsidP="00CC691E">
      <w:pPr>
        <w:pStyle w:val="Heading1"/>
      </w:pPr>
      <w:bookmarkStart w:id="8" w:name="_Toc172146824"/>
      <w:r w:rsidRPr="00CC691E">
        <w:lastRenderedPageBreak/>
        <w:t>Conclusions</w:t>
      </w:r>
      <w:bookmarkEnd w:id="8"/>
    </w:p>
    <w:p w14:paraId="76074117" w14:textId="77777777" w:rsidR="00C35D17" w:rsidRDefault="008E1280" w:rsidP="008E1280">
      <w:r>
        <w:t xml:space="preserve">The analysis of the coolant circulation system at Aston Martin Lagonda underscores the importance of </w:t>
      </w:r>
      <w:r w:rsidR="0067695E">
        <w:t xml:space="preserve">detailed </w:t>
      </w:r>
      <w:r>
        <w:t>P&amp;IDs</w:t>
      </w:r>
      <w:r w:rsidR="0067695E">
        <w:t>,</w:t>
      </w:r>
      <w:r>
        <w:t xml:space="preserve"> in understanding and optimizing industrial processes. </w:t>
      </w:r>
      <w:r w:rsidR="00892C92">
        <w:t>By using f</w:t>
      </w:r>
      <w:r>
        <w:t xml:space="preserve">low diagrams and P&amp;IDs </w:t>
      </w:r>
      <w:r w:rsidR="00892C92">
        <w:t>to</w:t>
      </w:r>
      <w:r>
        <w:t xml:space="preserve"> </w:t>
      </w:r>
      <w:r w:rsidR="00892C92">
        <w:t>visualise</w:t>
      </w:r>
      <w:r>
        <w:t xml:space="preserve"> the process flow, identifying </w:t>
      </w:r>
      <w:r w:rsidR="00892C92">
        <w:t xml:space="preserve">any </w:t>
      </w:r>
      <w:r>
        <w:t>potential bottlenecks, and ensuring efficient system operation</w:t>
      </w:r>
      <w:r w:rsidR="001156BE">
        <w:t xml:space="preserve"> can ensure that the factory can run at an optimum state. </w:t>
      </w:r>
      <w:r w:rsidR="002A2E90">
        <w:t>By</w:t>
      </w:r>
      <w:r w:rsidR="0026010E">
        <w:t xml:space="preserve"> conducting </w:t>
      </w:r>
      <w:r w:rsidR="002A2E90">
        <w:t xml:space="preserve">thorough </w:t>
      </w:r>
      <w:r>
        <w:t xml:space="preserve">commissioning, </w:t>
      </w:r>
      <w:r w:rsidR="00C679DF">
        <w:t xml:space="preserve">adhering to </w:t>
      </w:r>
      <w:r>
        <w:t>installation</w:t>
      </w:r>
      <w:r w:rsidR="0026010E">
        <w:t xml:space="preserve"> standards</w:t>
      </w:r>
      <w:r>
        <w:t>, and</w:t>
      </w:r>
      <w:r w:rsidR="00C679DF">
        <w:t xml:space="preserve"> using</w:t>
      </w:r>
      <w:r>
        <w:t xml:space="preserve"> performance monitoring</w:t>
      </w:r>
      <w:r w:rsidR="0026010E">
        <w:t xml:space="preserve"> techniques</w:t>
      </w:r>
      <w:r w:rsidR="002A2E90">
        <w:t xml:space="preserve">, it can be </w:t>
      </w:r>
      <w:r w:rsidR="00C35D17">
        <w:t>seen to ensure</w:t>
      </w:r>
      <w:r>
        <w:t xml:space="preserve"> that the coolant circulation system</w:t>
      </w:r>
      <w:r w:rsidR="002A2E90">
        <w:t xml:space="preserve"> will</w:t>
      </w:r>
      <w:r>
        <w:t xml:space="preserve"> meet</w:t>
      </w:r>
      <w:r w:rsidR="00C679DF">
        <w:t xml:space="preserve"> all</w:t>
      </w:r>
      <w:r>
        <w:t xml:space="preserve"> operational requirements. This </w:t>
      </w:r>
      <w:r w:rsidR="002A2E90">
        <w:t xml:space="preserve">also </w:t>
      </w:r>
      <w:r>
        <w:t>includes</w:t>
      </w:r>
      <w:r w:rsidR="00C35D17">
        <w:t xml:space="preserve"> the reliance of</w:t>
      </w:r>
      <w:r>
        <w:t xml:space="preserve"> regular maintenance, real-time monitoring, and predictive maintenance techniques.</w:t>
      </w:r>
    </w:p>
    <w:p w14:paraId="0B1133BE" w14:textId="4DBDA5D8" w:rsidR="008E1280" w:rsidRDefault="008E1280" w:rsidP="008E1280">
      <w:r>
        <w:t>Compliance with health and safety regulations, such as COSHH and COMAH, is crucial to protecting workers and the environment. Regular risk assessments, proper handling of hazardous substances, and effective emergency response planning are essential components of the plant's safety management.</w:t>
      </w:r>
      <w:r w:rsidR="00EC5666">
        <w:t xml:space="preserve"> However, o</w:t>
      </w:r>
      <w:r>
        <w:t xml:space="preserve">ngoing evaluation and improvement of the coolant circulation system </w:t>
      </w:r>
      <w:r w:rsidR="00EC5666">
        <w:t>is</w:t>
      </w:r>
      <w:r>
        <w:t xml:space="preserve"> necessary to maintain optimal performance. This includes incorporating </w:t>
      </w:r>
      <w:r w:rsidR="00E92934">
        <w:t>innovative technologies</w:t>
      </w:r>
      <w:r>
        <w:t>, refining maintenance practices, and enhancing safety measures to address emerging risks and operational challenges.</w:t>
      </w:r>
    </w:p>
    <w:p w14:paraId="670CF8BC" w14:textId="443B0773" w:rsidR="0046481A" w:rsidRDefault="0046481A" w:rsidP="008E1280">
      <w:r>
        <w:t xml:space="preserve">To enhance the coolant circulation system at Aston Martin Lagonda, future work should focus on integrating advanced technologies such as IoT sensors and machine learning algorithms to boost real-time monitoring, predictive maintenance, and operational efficiency. Enhancing safety measures through the development of advanced safety protocols and automated emergency response systems will further mitigate risks. </w:t>
      </w:r>
      <w:r w:rsidR="00256023">
        <w:t xml:space="preserve">Also, by </w:t>
      </w:r>
      <w:r>
        <w:t>adopting green technologies and staying ahead of regulatory changes by exceeding current environmental and safety standards will help maintain the system’s efficiency and compliance. By embracing these initiatives, Aston Martin Lagonda can ensure the coolant circulation system remains state-of-the-art, safe, and environmentally responsible.</w:t>
      </w:r>
    </w:p>
    <w:p w14:paraId="4999517C" w14:textId="77777777" w:rsidR="00B21E09" w:rsidRDefault="00B21E09" w:rsidP="00B21E09"/>
    <w:p w14:paraId="2515FBEB" w14:textId="153E5F2C" w:rsidR="00CC691E" w:rsidRDefault="00CC691E" w:rsidP="00B21E09"/>
    <w:p w14:paraId="5980937F" w14:textId="77777777" w:rsidR="00EE396A" w:rsidRDefault="00EE396A" w:rsidP="00B21E09"/>
    <w:p w14:paraId="5CFC82E8" w14:textId="77777777" w:rsidR="004621B1" w:rsidRDefault="004621B1" w:rsidP="00B21E09"/>
    <w:bookmarkStart w:id="9" w:name="_Toc172146825" w:displacedByCustomXml="next"/>
    <w:sdt>
      <w:sdtPr>
        <w:rPr>
          <w:rFonts w:asciiTheme="minorHAnsi" w:eastAsiaTheme="minorHAnsi" w:hAnsiTheme="minorHAnsi" w:cstheme="minorBidi"/>
          <w:color w:val="auto"/>
          <w:sz w:val="22"/>
          <w:szCs w:val="22"/>
        </w:rPr>
        <w:id w:val="-2139634809"/>
        <w:docPartObj>
          <w:docPartGallery w:val="Bibliographies"/>
          <w:docPartUnique/>
        </w:docPartObj>
      </w:sdtPr>
      <w:sdtContent>
        <w:p w14:paraId="2BDB53DC" w14:textId="0298F002" w:rsidR="00182CCC" w:rsidRDefault="00182CCC">
          <w:pPr>
            <w:pStyle w:val="Heading1"/>
          </w:pPr>
          <w:r>
            <w:t>References</w:t>
          </w:r>
          <w:bookmarkEnd w:id="9"/>
        </w:p>
        <w:sdt>
          <w:sdtPr>
            <w:id w:val="-573587230"/>
            <w:bibliography/>
          </w:sdtPr>
          <w:sdtContent>
            <w:p w14:paraId="61D21C02" w14:textId="77777777" w:rsidR="00283446" w:rsidRDefault="00182CCC" w:rsidP="00283446">
              <w:pPr>
                <w:pStyle w:val="Bibliography"/>
                <w:rPr>
                  <w:noProof/>
                  <w:sz w:val="24"/>
                  <w:szCs w:val="24"/>
                </w:rPr>
              </w:pPr>
              <w:r>
                <w:fldChar w:fldCharType="begin"/>
              </w:r>
              <w:r>
                <w:instrText xml:space="preserve"> BIBLIOGRAPHY </w:instrText>
              </w:r>
              <w:r>
                <w:fldChar w:fldCharType="separate"/>
              </w:r>
              <w:r w:rsidR="00283446">
                <w:rPr>
                  <w:noProof/>
                </w:rPr>
                <w:t xml:space="preserve">(HSE), H. a. S. E., 2024. </w:t>
              </w:r>
              <w:r w:rsidR="00283446">
                <w:rPr>
                  <w:i/>
                  <w:iCs/>
                  <w:noProof/>
                </w:rPr>
                <w:t xml:space="preserve">Control of Major Accident Hazards (COMAH) – Guidance. </w:t>
              </w:r>
              <w:r w:rsidR="00283446">
                <w:rPr>
                  <w:noProof/>
                </w:rPr>
                <w:t xml:space="preserve">[Online] </w:t>
              </w:r>
              <w:r w:rsidR="00283446">
                <w:rPr>
                  <w:noProof/>
                </w:rPr>
                <w:br/>
                <w:t xml:space="preserve">Available at: </w:t>
              </w:r>
              <w:r w:rsidR="00283446">
                <w:rPr>
                  <w:noProof/>
                  <w:u w:val="single"/>
                </w:rPr>
                <w:t>https://www.hse.gov.uk/comah/guidance.htm</w:t>
              </w:r>
            </w:p>
            <w:p w14:paraId="548963A6" w14:textId="77777777" w:rsidR="00283446" w:rsidRDefault="00283446" w:rsidP="00283446">
              <w:pPr>
                <w:pStyle w:val="Bibliography"/>
                <w:rPr>
                  <w:noProof/>
                </w:rPr>
              </w:pPr>
              <w:r>
                <w:rPr>
                  <w:noProof/>
                </w:rPr>
                <w:t xml:space="preserve">(HSE), H. a. S. E., 2024. </w:t>
              </w:r>
              <w:r>
                <w:rPr>
                  <w:i/>
                  <w:iCs/>
                  <w:noProof/>
                </w:rPr>
                <w:t xml:space="preserve">Control of Substances Hazardous to Health (COSHH). </w:t>
              </w:r>
              <w:r>
                <w:rPr>
                  <w:noProof/>
                </w:rPr>
                <w:t xml:space="preserve">[Online] </w:t>
              </w:r>
              <w:r>
                <w:rPr>
                  <w:noProof/>
                </w:rPr>
                <w:br/>
                <w:t xml:space="preserve">Available at: </w:t>
              </w:r>
              <w:r>
                <w:rPr>
                  <w:noProof/>
                  <w:u w:val="single"/>
                </w:rPr>
                <w:t>https://www.hse.gov.uk/coshh/</w:t>
              </w:r>
            </w:p>
            <w:p w14:paraId="35C0B8DD" w14:textId="77777777" w:rsidR="00283446" w:rsidRDefault="00283446" w:rsidP="00283446">
              <w:pPr>
                <w:pStyle w:val="Bibliography"/>
                <w:rPr>
                  <w:noProof/>
                </w:rPr>
              </w:pPr>
              <w:r>
                <w:rPr>
                  <w:noProof/>
                </w:rPr>
                <w:t xml:space="preserve">(HSE), H. a. S. E., 2024. </w:t>
              </w:r>
              <w:r>
                <w:rPr>
                  <w:i/>
                  <w:iCs/>
                  <w:noProof/>
                </w:rPr>
                <w:t xml:space="preserve">Risk Assessment: Template and Examples.. </w:t>
              </w:r>
              <w:r>
                <w:rPr>
                  <w:noProof/>
                </w:rPr>
                <w:t xml:space="preserve">[Online] </w:t>
              </w:r>
              <w:r>
                <w:rPr>
                  <w:noProof/>
                </w:rPr>
                <w:br/>
                <w:t xml:space="preserve">Available at: </w:t>
              </w:r>
              <w:r>
                <w:rPr>
                  <w:noProof/>
                  <w:u w:val="single"/>
                </w:rPr>
                <w:t>https://www.hse.gov.uk/simple-health-safety/risk/risk-assessment-template-and-examples.htm</w:t>
              </w:r>
            </w:p>
            <w:p w14:paraId="3D80BCCB" w14:textId="77777777" w:rsidR="00283446" w:rsidRDefault="00283446" w:rsidP="00283446">
              <w:pPr>
                <w:pStyle w:val="Bibliography"/>
                <w:rPr>
                  <w:noProof/>
                </w:rPr>
              </w:pPr>
              <w:r>
                <w:rPr>
                  <w:noProof/>
                </w:rPr>
                <w:t xml:space="preserve">(ISA), I. S. o. A., 2022. </w:t>
              </w:r>
              <w:r>
                <w:rPr>
                  <w:i/>
                  <w:iCs/>
                  <w:noProof/>
                </w:rPr>
                <w:t xml:space="preserve">ANSI/ISA-5.1-2022, Instrumentation Symbols and Identification. </w:t>
              </w:r>
              <w:r>
                <w:rPr>
                  <w:noProof/>
                </w:rPr>
                <w:t xml:space="preserve">[Online] </w:t>
              </w:r>
              <w:r>
                <w:rPr>
                  <w:noProof/>
                </w:rPr>
                <w:br/>
                <w:t xml:space="preserve">Available at: </w:t>
              </w:r>
              <w:r>
                <w:rPr>
                  <w:noProof/>
                  <w:u w:val="single"/>
                </w:rPr>
                <w:t>https://www.isa.org/products/ansi-isa-5-1-2022-instrumentation-symbols-and-iden</w:t>
              </w:r>
            </w:p>
            <w:p w14:paraId="0ED78EAB" w14:textId="77777777" w:rsidR="00283446" w:rsidRDefault="00283446" w:rsidP="00283446">
              <w:pPr>
                <w:pStyle w:val="Bibliography"/>
                <w:rPr>
                  <w:noProof/>
                </w:rPr>
              </w:pPr>
              <w:r>
                <w:rPr>
                  <w:noProof/>
                </w:rPr>
                <w:t xml:space="preserve">Benjamin Blanchard, W. F., 2013. </w:t>
              </w:r>
              <w:r>
                <w:rPr>
                  <w:i/>
                  <w:iCs/>
                  <w:noProof/>
                </w:rPr>
                <w:t xml:space="preserve">Systems Engineering and Analysis: Pearson New International Edition. </w:t>
              </w:r>
              <w:r>
                <w:rPr>
                  <w:noProof/>
                </w:rPr>
                <w:t>5th ed. s.l.:Pearson.</w:t>
              </w:r>
            </w:p>
            <w:p w14:paraId="7E88DE34" w14:textId="77777777" w:rsidR="00283446" w:rsidRDefault="00283446" w:rsidP="00283446">
              <w:pPr>
                <w:pStyle w:val="Bibliography"/>
                <w:rPr>
                  <w:noProof/>
                </w:rPr>
              </w:pPr>
              <w:r>
                <w:rPr>
                  <w:noProof/>
                </w:rPr>
                <w:t xml:space="preserve">Federico Civerchia, 2017. Industrial Internet of Things monitoring solution for advanced predictive maintenance applications. </w:t>
              </w:r>
              <w:r>
                <w:rPr>
                  <w:i/>
                  <w:iCs/>
                  <w:noProof/>
                </w:rPr>
                <w:t xml:space="preserve">Journal of Industrial Information Integration, </w:t>
              </w:r>
              <w:r>
                <w:rPr>
                  <w:noProof/>
                </w:rPr>
                <w:t>Volume 7, pp. 4-12.</w:t>
              </w:r>
            </w:p>
            <w:p w14:paraId="63C177E9" w14:textId="77777777" w:rsidR="00283446" w:rsidRDefault="00283446" w:rsidP="00283446">
              <w:pPr>
                <w:pStyle w:val="Bibliography"/>
                <w:rPr>
                  <w:noProof/>
                </w:rPr>
              </w:pPr>
              <w:r>
                <w:rPr>
                  <w:noProof/>
                </w:rPr>
                <w:t xml:space="preserve">Hashemian, H. M., 2011. State-of-the-Art Predictive Maintenance Techniques. </w:t>
              </w:r>
              <w:r>
                <w:rPr>
                  <w:i/>
                  <w:iCs/>
                  <w:noProof/>
                </w:rPr>
                <w:t xml:space="preserve">IEEE Transactions on Instrumentation and Measurement, </w:t>
              </w:r>
              <w:r>
                <w:rPr>
                  <w:noProof/>
                </w:rPr>
                <w:t>60(1), pp. 226-236.</w:t>
              </w:r>
            </w:p>
            <w:p w14:paraId="10220BC6" w14:textId="77777777" w:rsidR="00283446" w:rsidRDefault="00283446" w:rsidP="00283446">
              <w:pPr>
                <w:pStyle w:val="Bibliography"/>
                <w:rPr>
                  <w:noProof/>
                </w:rPr>
              </w:pPr>
              <w:r>
                <w:rPr>
                  <w:noProof/>
                </w:rPr>
                <w:t xml:space="preserve">Johnson, C. T., 2024. </w:t>
              </w:r>
              <w:r>
                <w:rPr>
                  <w:i/>
                  <w:iCs/>
                  <w:noProof/>
                </w:rPr>
                <w:t xml:space="preserve">Instrumentation &amp; Controls: Instrument CAD Symbols and Specification Sheets. </w:t>
              </w:r>
              <w:r>
                <w:rPr>
                  <w:noProof/>
                </w:rPr>
                <w:t xml:space="preserve">[Online] </w:t>
              </w:r>
              <w:r>
                <w:rPr>
                  <w:noProof/>
                </w:rPr>
                <w:br/>
                <w:t xml:space="preserve">Available at: </w:t>
              </w:r>
              <w:r>
                <w:rPr>
                  <w:noProof/>
                  <w:u w:val="single"/>
                </w:rPr>
                <w:t>https://www.ctjohnson.com/Instruments.html</w:t>
              </w:r>
              <w:r>
                <w:rPr>
                  <w:noProof/>
                </w:rPr>
                <w:br/>
                <w:t>[Accessed 2024].</w:t>
              </w:r>
            </w:p>
            <w:p w14:paraId="052A7483" w14:textId="77777777" w:rsidR="00283446" w:rsidRDefault="00283446" w:rsidP="00283446">
              <w:pPr>
                <w:pStyle w:val="Bibliography"/>
                <w:rPr>
                  <w:noProof/>
                </w:rPr>
              </w:pPr>
              <w:r>
                <w:rPr>
                  <w:noProof/>
                </w:rPr>
                <w:t xml:space="preserve">paradigm, v., 2024. </w:t>
              </w:r>
              <w:r>
                <w:rPr>
                  <w:i/>
                  <w:iCs/>
                  <w:noProof/>
                </w:rPr>
                <w:t xml:space="preserve">visual paradigm online. </w:t>
              </w:r>
              <w:r>
                <w:rPr>
                  <w:noProof/>
                </w:rPr>
                <w:t xml:space="preserve">[Online] </w:t>
              </w:r>
              <w:r>
                <w:rPr>
                  <w:noProof/>
                </w:rPr>
                <w:br/>
                <w:t xml:space="preserve">Available at: </w:t>
              </w:r>
              <w:r>
                <w:rPr>
                  <w:noProof/>
                  <w:u w:val="single"/>
                </w:rPr>
                <w:t>https://online.visual-paradigm.com/drive/#diagramlist:proj=0&amp;diagram=list</w:t>
              </w:r>
            </w:p>
            <w:p w14:paraId="48C4874D" w14:textId="77777777" w:rsidR="00283446" w:rsidRDefault="00283446" w:rsidP="00283446">
              <w:pPr>
                <w:pStyle w:val="Bibliography"/>
                <w:rPr>
                  <w:noProof/>
                </w:rPr>
              </w:pPr>
              <w:r>
                <w:rPr>
                  <w:noProof/>
                </w:rPr>
                <w:t xml:space="preserve">Seborg, D., 2011. </w:t>
              </w:r>
              <w:r>
                <w:rPr>
                  <w:i/>
                  <w:iCs/>
                  <w:noProof/>
                </w:rPr>
                <w:t xml:space="preserve">Process dynamics and control. </w:t>
              </w:r>
              <w:r>
                <w:rPr>
                  <w:noProof/>
                </w:rPr>
                <w:t>3rd ed. s.l.:Wiley.</w:t>
              </w:r>
            </w:p>
            <w:p w14:paraId="36877A47" w14:textId="77777777" w:rsidR="00283446" w:rsidRDefault="00283446" w:rsidP="00283446">
              <w:pPr>
                <w:pStyle w:val="Bibliography"/>
                <w:rPr>
                  <w:noProof/>
                </w:rPr>
              </w:pPr>
              <w:r>
                <w:rPr>
                  <w:noProof/>
                </w:rPr>
                <w:t xml:space="preserve">Toghraei, M., 2019. </w:t>
              </w:r>
              <w:r>
                <w:rPr>
                  <w:i/>
                  <w:iCs/>
                  <w:noProof/>
                </w:rPr>
                <w:t xml:space="preserve">Piping and Instrumentation Diagram Development. </w:t>
              </w:r>
              <w:r>
                <w:rPr>
                  <w:noProof/>
                </w:rPr>
                <w:t>1st ed. s.l.:Wiley-AIChE.</w:t>
              </w:r>
            </w:p>
            <w:p w14:paraId="066ABF74" w14:textId="77777777" w:rsidR="00283446" w:rsidRDefault="00283446" w:rsidP="00283446">
              <w:pPr>
                <w:pStyle w:val="Bibliography"/>
                <w:rPr>
                  <w:noProof/>
                </w:rPr>
              </w:pPr>
              <w:r>
                <w:rPr>
                  <w:noProof/>
                </w:rPr>
                <w:t xml:space="preserve">Turner, P., 2020. </w:t>
              </w:r>
              <w:r>
                <w:rPr>
                  <w:i/>
                  <w:iCs/>
                  <w:noProof/>
                </w:rPr>
                <w:t xml:space="preserve">The Commissioning Process: A Step-by-Step Guide. </w:t>
              </w:r>
              <w:r>
                <w:rPr>
                  <w:noProof/>
                </w:rPr>
                <w:t xml:space="preserve">[Online] </w:t>
              </w:r>
              <w:r>
                <w:rPr>
                  <w:noProof/>
                </w:rPr>
                <w:br/>
                <w:t>[Accessed 2024].</w:t>
              </w:r>
            </w:p>
            <w:p w14:paraId="2548E737" w14:textId="201FC657" w:rsidR="0078191D" w:rsidRDefault="00182CCC" w:rsidP="00283446">
              <w:r>
                <w:rPr>
                  <w:b/>
                  <w:bCs/>
                  <w:noProof/>
                </w:rPr>
                <w:fldChar w:fldCharType="end"/>
              </w:r>
            </w:p>
          </w:sdtContent>
        </w:sdt>
      </w:sdtContent>
    </w:sdt>
    <w:p w14:paraId="356CDEBF" w14:textId="77777777" w:rsidR="00B21E09" w:rsidRPr="00B21E09" w:rsidRDefault="00B21E09" w:rsidP="00B21E09"/>
    <w:sectPr w:rsidR="00B21E09" w:rsidRPr="00B21E09"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0B9648" w14:textId="77777777" w:rsidR="005660FA" w:rsidRDefault="005660FA" w:rsidP="00A4502C">
      <w:pPr>
        <w:spacing w:after="0" w:line="240" w:lineRule="auto"/>
      </w:pPr>
      <w:r>
        <w:separator/>
      </w:r>
    </w:p>
  </w:endnote>
  <w:endnote w:type="continuationSeparator" w:id="0">
    <w:p w14:paraId="139C4152" w14:textId="77777777" w:rsidR="005660FA" w:rsidRDefault="005660FA"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EC081E" w14:textId="77777777" w:rsidR="005660FA" w:rsidRDefault="005660FA" w:rsidP="00A4502C">
      <w:pPr>
        <w:spacing w:after="0" w:line="240" w:lineRule="auto"/>
      </w:pPr>
      <w:r>
        <w:separator/>
      </w:r>
    </w:p>
  </w:footnote>
  <w:footnote w:type="continuationSeparator" w:id="0">
    <w:p w14:paraId="27B204FB" w14:textId="77777777" w:rsidR="005660FA" w:rsidRDefault="005660FA"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58428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3256E"/>
    <w:rsid w:val="000432EC"/>
    <w:rsid w:val="00053348"/>
    <w:rsid w:val="00073E35"/>
    <w:rsid w:val="00085D2B"/>
    <w:rsid w:val="00097311"/>
    <w:rsid w:val="000A152D"/>
    <w:rsid w:val="000A1A38"/>
    <w:rsid w:val="000A6AA5"/>
    <w:rsid w:val="000B5F18"/>
    <w:rsid w:val="000C5132"/>
    <w:rsid w:val="000D3BEE"/>
    <w:rsid w:val="001146B2"/>
    <w:rsid w:val="001156BE"/>
    <w:rsid w:val="00117FC8"/>
    <w:rsid w:val="0017328A"/>
    <w:rsid w:val="0017373D"/>
    <w:rsid w:val="00182CCC"/>
    <w:rsid w:val="00191A47"/>
    <w:rsid w:val="00196E40"/>
    <w:rsid w:val="001A1E3B"/>
    <w:rsid w:val="001A2086"/>
    <w:rsid w:val="001B2D66"/>
    <w:rsid w:val="001B6ACC"/>
    <w:rsid w:val="001C0937"/>
    <w:rsid w:val="001F383F"/>
    <w:rsid w:val="001F73FD"/>
    <w:rsid w:val="001F7AB0"/>
    <w:rsid w:val="00216F51"/>
    <w:rsid w:val="0022046D"/>
    <w:rsid w:val="0024208C"/>
    <w:rsid w:val="00256023"/>
    <w:rsid w:val="0026010E"/>
    <w:rsid w:val="00283446"/>
    <w:rsid w:val="002A0478"/>
    <w:rsid w:val="002A2E90"/>
    <w:rsid w:val="002C099B"/>
    <w:rsid w:val="002C7336"/>
    <w:rsid w:val="002F36DE"/>
    <w:rsid w:val="002F3A71"/>
    <w:rsid w:val="00307F6B"/>
    <w:rsid w:val="00311D7B"/>
    <w:rsid w:val="0037087B"/>
    <w:rsid w:val="00375A4C"/>
    <w:rsid w:val="003A3544"/>
    <w:rsid w:val="0040072C"/>
    <w:rsid w:val="00410614"/>
    <w:rsid w:val="00445953"/>
    <w:rsid w:val="00450915"/>
    <w:rsid w:val="00461B3E"/>
    <w:rsid w:val="004621B1"/>
    <w:rsid w:val="00463AA4"/>
    <w:rsid w:val="0046481A"/>
    <w:rsid w:val="0046622E"/>
    <w:rsid w:val="00485D49"/>
    <w:rsid w:val="004B1FFE"/>
    <w:rsid w:val="004C11D3"/>
    <w:rsid w:val="004C2065"/>
    <w:rsid w:val="00520D2A"/>
    <w:rsid w:val="00545743"/>
    <w:rsid w:val="005613E0"/>
    <w:rsid w:val="005660FA"/>
    <w:rsid w:val="005744D8"/>
    <w:rsid w:val="00593E45"/>
    <w:rsid w:val="00594893"/>
    <w:rsid w:val="00595334"/>
    <w:rsid w:val="005F258F"/>
    <w:rsid w:val="00603098"/>
    <w:rsid w:val="00607F9B"/>
    <w:rsid w:val="0067695E"/>
    <w:rsid w:val="00676D74"/>
    <w:rsid w:val="00692D8E"/>
    <w:rsid w:val="006A10BB"/>
    <w:rsid w:val="006D0FC2"/>
    <w:rsid w:val="006E262A"/>
    <w:rsid w:val="00753129"/>
    <w:rsid w:val="007543A2"/>
    <w:rsid w:val="00765127"/>
    <w:rsid w:val="007679BF"/>
    <w:rsid w:val="00775855"/>
    <w:rsid w:val="00776F64"/>
    <w:rsid w:val="0078191D"/>
    <w:rsid w:val="007962BA"/>
    <w:rsid w:val="007A48CC"/>
    <w:rsid w:val="007B5D1F"/>
    <w:rsid w:val="007D3CAF"/>
    <w:rsid w:val="007E459B"/>
    <w:rsid w:val="007F207B"/>
    <w:rsid w:val="007F4BD4"/>
    <w:rsid w:val="008572E6"/>
    <w:rsid w:val="00864DB4"/>
    <w:rsid w:val="008839B1"/>
    <w:rsid w:val="00884349"/>
    <w:rsid w:val="00892C92"/>
    <w:rsid w:val="00896854"/>
    <w:rsid w:val="008B0B39"/>
    <w:rsid w:val="008B2620"/>
    <w:rsid w:val="008B3227"/>
    <w:rsid w:val="008D2621"/>
    <w:rsid w:val="008D3A37"/>
    <w:rsid w:val="008E1280"/>
    <w:rsid w:val="008E13C8"/>
    <w:rsid w:val="008E45EE"/>
    <w:rsid w:val="008F5947"/>
    <w:rsid w:val="00907EEB"/>
    <w:rsid w:val="00911699"/>
    <w:rsid w:val="009405B3"/>
    <w:rsid w:val="009417D7"/>
    <w:rsid w:val="009647ED"/>
    <w:rsid w:val="009738BE"/>
    <w:rsid w:val="009847D0"/>
    <w:rsid w:val="009D3AFA"/>
    <w:rsid w:val="009F172C"/>
    <w:rsid w:val="009F1F7D"/>
    <w:rsid w:val="009F3CE3"/>
    <w:rsid w:val="00A12F12"/>
    <w:rsid w:val="00A14FD8"/>
    <w:rsid w:val="00A161D9"/>
    <w:rsid w:val="00A4502C"/>
    <w:rsid w:val="00A504F9"/>
    <w:rsid w:val="00A63509"/>
    <w:rsid w:val="00A64E7B"/>
    <w:rsid w:val="00A74C50"/>
    <w:rsid w:val="00A75AA7"/>
    <w:rsid w:val="00A94F3B"/>
    <w:rsid w:val="00AA10EA"/>
    <w:rsid w:val="00AA1543"/>
    <w:rsid w:val="00AA276E"/>
    <w:rsid w:val="00AA3975"/>
    <w:rsid w:val="00AC47D1"/>
    <w:rsid w:val="00AE37D2"/>
    <w:rsid w:val="00AF49EA"/>
    <w:rsid w:val="00AF582F"/>
    <w:rsid w:val="00B03531"/>
    <w:rsid w:val="00B10C8E"/>
    <w:rsid w:val="00B2081A"/>
    <w:rsid w:val="00B21E09"/>
    <w:rsid w:val="00B22FA1"/>
    <w:rsid w:val="00B34EC4"/>
    <w:rsid w:val="00B506B3"/>
    <w:rsid w:val="00B73790"/>
    <w:rsid w:val="00B81CCA"/>
    <w:rsid w:val="00BB03AD"/>
    <w:rsid w:val="00BB0CE2"/>
    <w:rsid w:val="00C17CFE"/>
    <w:rsid w:val="00C2415E"/>
    <w:rsid w:val="00C35D17"/>
    <w:rsid w:val="00C66A26"/>
    <w:rsid w:val="00C679DF"/>
    <w:rsid w:val="00C7372A"/>
    <w:rsid w:val="00C83088"/>
    <w:rsid w:val="00C8589F"/>
    <w:rsid w:val="00C90683"/>
    <w:rsid w:val="00C921C6"/>
    <w:rsid w:val="00C95583"/>
    <w:rsid w:val="00CC691E"/>
    <w:rsid w:val="00CF701B"/>
    <w:rsid w:val="00CF79F0"/>
    <w:rsid w:val="00D00FD6"/>
    <w:rsid w:val="00D32212"/>
    <w:rsid w:val="00D95655"/>
    <w:rsid w:val="00D975F2"/>
    <w:rsid w:val="00DA1C17"/>
    <w:rsid w:val="00DB1019"/>
    <w:rsid w:val="00DC74A0"/>
    <w:rsid w:val="00DD2A03"/>
    <w:rsid w:val="00DF17C2"/>
    <w:rsid w:val="00DF743B"/>
    <w:rsid w:val="00E41B91"/>
    <w:rsid w:val="00E6070E"/>
    <w:rsid w:val="00E6307E"/>
    <w:rsid w:val="00E655E2"/>
    <w:rsid w:val="00E8088B"/>
    <w:rsid w:val="00E92934"/>
    <w:rsid w:val="00E94035"/>
    <w:rsid w:val="00EA7A47"/>
    <w:rsid w:val="00EA7C5F"/>
    <w:rsid w:val="00EC46BD"/>
    <w:rsid w:val="00EC5666"/>
    <w:rsid w:val="00ED0DB6"/>
    <w:rsid w:val="00ED1915"/>
    <w:rsid w:val="00ED6B24"/>
    <w:rsid w:val="00EE2628"/>
    <w:rsid w:val="00EE396A"/>
    <w:rsid w:val="00F00AC7"/>
    <w:rsid w:val="00F05D81"/>
    <w:rsid w:val="00F14C48"/>
    <w:rsid w:val="00F43805"/>
    <w:rsid w:val="00F51751"/>
    <w:rsid w:val="00F67295"/>
    <w:rsid w:val="00F9706A"/>
    <w:rsid w:val="00F976E6"/>
    <w:rsid w:val="00FB6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F12"/>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character" w:styleId="CommentReference">
    <w:name w:val="annotation reference"/>
    <w:basedOn w:val="DefaultParagraphFont"/>
    <w:uiPriority w:val="99"/>
    <w:semiHidden/>
    <w:unhideWhenUsed/>
    <w:rsid w:val="00EA7C5F"/>
    <w:rPr>
      <w:sz w:val="16"/>
      <w:szCs w:val="16"/>
    </w:rPr>
  </w:style>
  <w:style w:type="paragraph" w:styleId="CommentText">
    <w:name w:val="annotation text"/>
    <w:basedOn w:val="Normal"/>
    <w:link w:val="CommentTextChar"/>
    <w:uiPriority w:val="99"/>
    <w:unhideWhenUsed/>
    <w:rsid w:val="00EA7C5F"/>
    <w:pPr>
      <w:spacing w:line="240" w:lineRule="auto"/>
    </w:pPr>
    <w:rPr>
      <w:sz w:val="20"/>
      <w:szCs w:val="20"/>
    </w:rPr>
  </w:style>
  <w:style w:type="character" w:customStyle="1" w:styleId="CommentTextChar">
    <w:name w:val="Comment Text Char"/>
    <w:basedOn w:val="DefaultParagraphFont"/>
    <w:link w:val="CommentText"/>
    <w:uiPriority w:val="99"/>
    <w:rsid w:val="00EA7C5F"/>
    <w:rPr>
      <w:sz w:val="20"/>
      <w:szCs w:val="20"/>
    </w:rPr>
  </w:style>
  <w:style w:type="paragraph" w:styleId="CommentSubject">
    <w:name w:val="annotation subject"/>
    <w:basedOn w:val="CommentText"/>
    <w:next w:val="CommentText"/>
    <w:link w:val="CommentSubjectChar"/>
    <w:uiPriority w:val="99"/>
    <w:semiHidden/>
    <w:unhideWhenUsed/>
    <w:rsid w:val="00EA7C5F"/>
    <w:rPr>
      <w:b/>
      <w:bCs/>
    </w:rPr>
  </w:style>
  <w:style w:type="character" w:customStyle="1" w:styleId="CommentSubjectChar">
    <w:name w:val="Comment Subject Char"/>
    <w:basedOn w:val="CommentTextChar"/>
    <w:link w:val="CommentSubject"/>
    <w:uiPriority w:val="99"/>
    <w:semiHidden/>
    <w:rsid w:val="00EA7C5F"/>
    <w:rPr>
      <w:b/>
      <w:bCs/>
      <w:sz w:val="20"/>
      <w:szCs w:val="20"/>
    </w:rPr>
  </w:style>
  <w:style w:type="character" w:styleId="FollowedHyperlink">
    <w:name w:val="FollowedHyperlink"/>
    <w:basedOn w:val="DefaultParagraphFont"/>
    <w:uiPriority w:val="99"/>
    <w:semiHidden/>
    <w:unhideWhenUsed/>
    <w:rsid w:val="008E13C8"/>
    <w:rPr>
      <w:color w:val="954F72" w:themeColor="followedHyperlink"/>
      <w:u w:val="single"/>
    </w:rPr>
  </w:style>
  <w:style w:type="paragraph" w:styleId="Bibliography">
    <w:name w:val="Bibliography"/>
    <w:basedOn w:val="Normal"/>
    <w:next w:val="Normal"/>
    <w:uiPriority w:val="37"/>
    <w:unhideWhenUsed/>
    <w:rsid w:val="00182C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8292">
      <w:bodyDiv w:val="1"/>
      <w:marLeft w:val="0"/>
      <w:marRight w:val="0"/>
      <w:marTop w:val="0"/>
      <w:marBottom w:val="0"/>
      <w:divBdr>
        <w:top w:val="none" w:sz="0" w:space="0" w:color="auto"/>
        <w:left w:val="none" w:sz="0" w:space="0" w:color="auto"/>
        <w:bottom w:val="none" w:sz="0" w:space="0" w:color="auto"/>
        <w:right w:val="none" w:sz="0" w:space="0" w:color="auto"/>
      </w:divBdr>
    </w:div>
    <w:div w:id="53436885">
      <w:bodyDiv w:val="1"/>
      <w:marLeft w:val="0"/>
      <w:marRight w:val="0"/>
      <w:marTop w:val="0"/>
      <w:marBottom w:val="0"/>
      <w:divBdr>
        <w:top w:val="none" w:sz="0" w:space="0" w:color="auto"/>
        <w:left w:val="none" w:sz="0" w:space="0" w:color="auto"/>
        <w:bottom w:val="none" w:sz="0" w:space="0" w:color="auto"/>
        <w:right w:val="none" w:sz="0" w:space="0" w:color="auto"/>
      </w:divBdr>
    </w:div>
    <w:div w:id="95370167">
      <w:bodyDiv w:val="1"/>
      <w:marLeft w:val="0"/>
      <w:marRight w:val="0"/>
      <w:marTop w:val="0"/>
      <w:marBottom w:val="0"/>
      <w:divBdr>
        <w:top w:val="none" w:sz="0" w:space="0" w:color="auto"/>
        <w:left w:val="none" w:sz="0" w:space="0" w:color="auto"/>
        <w:bottom w:val="none" w:sz="0" w:space="0" w:color="auto"/>
        <w:right w:val="none" w:sz="0" w:space="0" w:color="auto"/>
      </w:divBdr>
    </w:div>
    <w:div w:id="169292453">
      <w:bodyDiv w:val="1"/>
      <w:marLeft w:val="0"/>
      <w:marRight w:val="0"/>
      <w:marTop w:val="0"/>
      <w:marBottom w:val="0"/>
      <w:divBdr>
        <w:top w:val="none" w:sz="0" w:space="0" w:color="auto"/>
        <w:left w:val="none" w:sz="0" w:space="0" w:color="auto"/>
        <w:bottom w:val="none" w:sz="0" w:space="0" w:color="auto"/>
        <w:right w:val="none" w:sz="0" w:space="0" w:color="auto"/>
      </w:divBdr>
    </w:div>
    <w:div w:id="170071333">
      <w:bodyDiv w:val="1"/>
      <w:marLeft w:val="0"/>
      <w:marRight w:val="0"/>
      <w:marTop w:val="0"/>
      <w:marBottom w:val="0"/>
      <w:divBdr>
        <w:top w:val="none" w:sz="0" w:space="0" w:color="auto"/>
        <w:left w:val="none" w:sz="0" w:space="0" w:color="auto"/>
        <w:bottom w:val="none" w:sz="0" w:space="0" w:color="auto"/>
        <w:right w:val="none" w:sz="0" w:space="0" w:color="auto"/>
      </w:divBdr>
    </w:div>
    <w:div w:id="284850304">
      <w:bodyDiv w:val="1"/>
      <w:marLeft w:val="0"/>
      <w:marRight w:val="0"/>
      <w:marTop w:val="0"/>
      <w:marBottom w:val="0"/>
      <w:divBdr>
        <w:top w:val="none" w:sz="0" w:space="0" w:color="auto"/>
        <w:left w:val="none" w:sz="0" w:space="0" w:color="auto"/>
        <w:bottom w:val="none" w:sz="0" w:space="0" w:color="auto"/>
        <w:right w:val="none" w:sz="0" w:space="0" w:color="auto"/>
      </w:divBdr>
    </w:div>
    <w:div w:id="326371361">
      <w:bodyDiv w:val="1"/>
      <w:marLeft w:val="0"/>
      <w:marRight w:val="0"/>
      <w:marTop w:val="0"/>
      <w:marBottom w:val="0"/>
      <w:divBdr>
        <w:top w:val="none" w:sz="0" w:space="0" w:color="auto"/>
        <w:left w:val="none" w:sz="0" w:space="0" w:color="auto"/>
        <w:bottom w:val="none" w:sz="0" w:space="0" w:color="auto"/>
        <w:right w:val="none" w:sz="0" w:space="0" w:color="auto"/>
      </w:divBdr>
    </w:div>
    <w:div w:id="357438236">
      <w:bodyDiv w:val="1"/>
      <w:marLeft w:val="0"/>
      <w:marRight w:val="0"/>
      <w:marTop w:val="0"/>
      <w:marBottom w:val="0"/>
      <w:divBdr>
        <w:top w:val="none" w:sz="0" w:space="0" w:color="auto"/>
        <w:left w:val="none" w:sz="0" w:space="0" w:color="auto"/>
        <w:bottom w:val="none" w:sz="0" w:space="0" w:color="auto"/>
        <w:right w:val="none" w:sz="0" w:space="0" w:color="auto"/>
      </w:divBdr>
    </w:div>
    <w:div w:id="365297687">
      <w:bodyDiv w:val="1"/>
      <w:marLeft w:val="0"/>
      <w:marRight w:val="0"/>
      <w:marTop w:val="0"/>
      <w:marBottom w:val="0"/>
      <w:divBdr>
        <w:top w:val="none" w:sz="0" w:space="0" w:color="auto"/>
        <w:left w:val="none" w:sz="0" w:space="0" w:color="auto"/>
        <w:bottom w:val="none" w:sz="0" w:space="0" w:color="auto"/>
        <w:right w:val="none" w:sz="0" w:space="0" w:color="auto"/>
      </w:divBdr>
      <w:divsChild>
        <w:div w:id="1833523874">
          <w:marLeft w:val="0"/>
          <w:marRight w:val="0"/>
          <w:marTop w:val="0"/>
          <w:marBottom w:val="0"/>
          <w:divBdr>
            <w:top w:val="none" w:sz="0" w:space="0" w:color="auto"/>
            <w:left w:val="none" w:sz="0" w:space="0" w:color="auto"/>
            <w:bottom w:val="none" w:sz="0" w:space="0" w:color="auto"/>
            <w:right w:val="none" w:sz="0" w:space="0" w:color="auto"/>
          </w:divBdr>
          <w:divsChild>
            <w:div w:id="64338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672364">
      <w:bodyDiv w:val="1"/>
      <w:marLeft w:val="0"/>
      <w:marRight w:val="0"/>
      <w:marTop w:val="0"/>
      <w:marBottom w:val="0"/>
      <w:divBdr>
        <w:top w:val="none" w:sz="0" w:space="0" w:color="auto"/>
        <w:left w:val="none" w:sz="0" w:space="0" w:color="auto"/>
        <w:bottom w:val="none" w:sz="0" w:space="0" w:color="auto"/>
        <w:right w:val="none" w:sz="0" w:space="0" w:color="auto"/>
      </w:divBdr>
    </w:div>
    <w:div w:id="479228588">
      <w:bodyDiv w:val="1"/>
      <w:marLeft w:val="0"/>
      <w:marRight w:val="0"/>
      <w:marTop w:val="0"/>
      <w:marBottom w:val="0"/>
      <w:divBdr>
        <w:top w:val="none" w:sz="0" w:space="0" w:color="auto"/>
        <w:left w:val="none" w:sz="0" w:space="0" w:color="auto"/>
        <w:bottom w:val="none" w:sz="0" w:space="0" w:color="auto"/>
        <w:right w:val="none" w:sz="0" w:space="0" w:color="auto"/>
      </w:divBdr>
    </w:div>
    <w:div w:id="493690613">
      <w:bodyDiv w:val="1"/>
      <w:marLeft w:val="0"/>
      <w:marRight w:val="0"/>
      <w:marTop w:val="0"/>
      <w:marBottom w:val="0"/>
      <w:divBdr>
        <w:top w:val="none" w:sz="0" w:space="0" w:color="auto"/>
        <w:left w:val="none" w:sz="0" w:space="0" w:color="auto"/>
        <w:bottom w:val="none" w:sz="0" w:space="0" w:color="auto"/>
        <w:right w:val="none" w:sz="0" w:space="0" w:color="auto"/>
      </w:divBdr>
    </w:div>
    <w:div w:id="543635060">
      <w:bodyDiv w:val="1"/>
      <w:marLeft w:val="0"/>
      <w:marRight w:val="0"/>
      <w:marTop w:val="0"/>
      <w:marBottom w:val="0"/>
      <w:divBdr>
        <w:top w:val="none" w:sz="0" w:space="0" w:color="auto"/>
        <w:left w:val="none" w:sz="0" w:space="0" w:color="auto"/>
        <w:bottom w:val="none" w:sz="0" w:space="0" w:color="auto"/>
        <w:right w:val="none" w:sz="0" w:space="0" w:color="auto"/>
      </w:divBdr>
    </w:div>
    <w:div w:id="604461283">
      <w:bodyDiv w:val="1"/>
      <w:marLeft w:val="0"/>
      <w:marRight w:val="0"/>
      <w:marTop w:val="0"/>
      <w:marBottom w:val="0"/>
      <w:divBdr>
        <w:top w:val="none" w:sz="0" w:space="0" w:color="auto"/>
        <w:left w:val="none" w:sz="0" w:space="0" w:color="auto"/>
        <w:bottom w:val="none" w:sz="0" w:space="0" w:color="auto"/>
        <w:right w:val="none" w:sz="0" w:space="0" w:color="auto"/>
      </w:divBdr>
    </w:div>
    <w:div w:id="656228608">
      <w:bodyDiv w:val="1"/>
      <w:marLeft w:val="0"/>
      <w:marRight w:val="0"/>
      <w:marTop w:val="0"/>
      <w:marBottom w:val="0"/>
      <w:divBdr>
        <w:top w:val="none" w:sz="0" w:space="0" w:color="auto"/>
        <w:left w:val="none" w:sz="0" w:space="0" w:color="auto"/>
        <w:bottom w:val="none" w:sz="0" w:space="0" w:color="auto"/>
        <w:right w:val="none" w:sz="0" w:space="0" w:color="auto"/>
      </w:divBdr>
    </w:div>
    <w:div w:id="673384643">
      <w:bodyDiv w:val="1"/>
      <w:marLeft w:val="0"/>
      <w:marRight w:val="0"/>
      <w:marTop w:val="0"/>
      <w:marBottom w:val="0"/>
      <w:divBdr>
        <w:top w:val="none" w:sz="0" w:space="0" w:color="auto"/>
        <w:left w:val="none" w:sz="0" w:space="0" w:color="auto"/>
        <w:bottom w:val="none" w:sz="0" w:space="0" w:color="auto"/>
        <w:right w:val="none" w:sz="0" w:space="0" w:color="auto"/>
      </w:divBdr>
    </w:div>
    <w:div w:id="733237137">
      <w:bodyDiv w:val="1"/>
      <w:marLeft w:val="0"/>
      <w:marRight w:val="0"/>
      <w:marTop w:val="0"/>
      <w:marBottom w:val="0"/>
      <w:divBdr>
        <w:top w:val="none" w:sz="0" w:space="0" w:color="auto"/>
        <w:left w:val="none" w:sz="0" w:space="0" w:color="auto"/>
        <w:bottom w:val="none" w:sz="0" w:space="0" w:color="auto"/>
        <w:right w:val="none" w:sz="0" w:space="0" w:color="auto"/>
      </w:divBdr>
    </w:div>
    <w:div w:id="767893886">
      <w:bodyDiv w:val="1"/>
      <w:marLeft w:val="0"/>
      <w:marRight w:val="0"/>
      <w:marTop w:val="0"/>
      <w:marBottom w:val="0"/>
      <w:divBdr>
        <w:top w:val="none" w:sz="0" w:space="0" w:color="auto"/>
        <w:left w:val="none" w:sz="0" w:space="0" w:color="auto"/>
        <w:bottom w:val="none" w:sz="0" w:space="0" w:color="auto"/>
        <w:right w:val="none" w:sz="0" w:space="0" w:color="auto"/>
      </w:divBdr>
    </w:div>
    <w:div w:id="773329618">
      <w:bodyDiv w:val="1"/>
      <w:marLeft w:val="0"/>
      <w:marRight w:val="0"/>
      <w:marTop w:val="0"/>
      <w:marBottom w:val="0"/>
      <w:divBdr>
        <w:top w:val="none" w:sz="0" w:space="0" w:color="auto"/>
        <w:left w:val="none" w:sz="0" w:space="0" w:color="auto"/>
        <w:bottom w:val="none" w:sz="0" w:space="0" w:color="auto"/>
        <w:right w:val="none" w:sz="0" w:space="0" w:color="auto"/>
      </w:divBdr>
    </w:div>
    <w:div w:id="831415398">
      <w:bodyDiv w:val="1"/>
      <w:marLeft w:val="0"/>
      <w:marRight w:val="0"/>
      <w:marTop w:val="0"/>
      <w:marBottom w:val="0"/>
      <w:divBdr>
        <w:top w:val="none" w:sz="0" w:space="0" w:color="auto"/>
        <w:left w:val="none" w:sz="0" w:space="0" w:color="auto"/>
        <w:bottom w:val="none" w:sz="0" w:space="0" w:color="auto"/>
        <w:right w:val="none" w:sz="0" w:space="0" w:color="auto"/>
      </w:divBdr>
    </w:div>
    <w:div w:id="832179707">
      <w:bodyDiv w:val="1"/>
      <w:marLeft w:val="0"/>
      <w:marRight w:val="0"/>
      <w:marTop w:val="0"/>
      <w:marBottom w:val="0"/>
      <w:divBdr>
        <w:top w:val="none" w:sz="0" w:space="0" w:color="auto"/>
        <w:left w:val="none" w:sz="0" w:space="0" w:color="auto"/>
        <w:bottom w:val="none" w:sz="0" w:space="0" w:color="auto"/>
        <w:right w:val="none" w:sz="0" w:space="0" w:color="auto"/>
      </w:divBdr>
    </w:div>
    <w:div w:id="843860785">
      <w:bodyDiv w:val="1"/>
      <w:marLeft w:val="0"/>
      <w:marRight w:val="0"/>
      <w:marTop w:val="0"/>
      <w:marBottom w:val="0"/>
      <w:divBdr>
        <w:top w:val="none" w:sz="0" w:space="0" w:color="auto"/>
        <w:left w:val="none" w:sz="0" w:space="0" w:color="auto"/>
        <w:bottom w:val="none" w:sz="0" w:space="0" w:color="auto"/>
        <w:right w:val="none" w:sz="0" w:space="0" w:color="auto"/>
      </w:divBdr>
    </w:div>
    <w:div w:id="863983618">
      <w:bodyDiv w:val="1"/>
      <w:marLeft w:val="0"/>
      <w:marRight w:val="0"/>
      <w:marTop w:val="0"/>
      <w:marBottom w:val="0"/>
      <w:divBdr>
        <w:top w:val="none" w:sz="0" w:space="0" w:color="auto"/>
        <w:left w:val="none" w:sz="0" w:space="0" w:color="auto"/>
        <w:bottom w:val="none" w:sz="0" w:space="0" w:color="auto"/>
        <w:right w:val="none" w:sz="0" w:space="0" w:color="auto"/>
      </w:divBdr>
    </w:div>
    <w:div w:id="979310326">
      <w:bodyDiv w:val="1"/>
      <w:marLeft w:val="0"/>
      <w:marRight w:val="0"/>
      <w:marTop w:val="0"/>
      <w:marBottom w:val="0"/>
      <w:divBdr>
        <w:top w:val="none" w:sz="0" w:space="0" w:color="auto"/>
        <w:left w:val="none" w:sz="0" w:space="0" w:color="auto"/>
        <w:bottom w:val="none" w:sz="0" w:space="0" w:color="auto"/>
        <w:right w:val="none" w:sz="0" w:space="0" w:color="auto"/>
      </w:divBdr>
    </w:div>
    <w:div w:id="1004016761">
      <w:bodyDiv w:val="1"/>
      <w:marLeft w:val="0"/>
      <w:marRight w:val="0"/>
      <w:marTop w:val="0"/>
      <w:marBottom w:val="0"/>
      <w:divBdr>
        <w:top w:val="none" w:sz="0" w:space="0" w:color="auto"/>
        <w:left w:val="none" w:sz="0" w:space="0" w:color="auto"/>
        <w:bottom w:val="none" w:sz="0" w:space="0" w:color="auto"/>
        <w:right w:val="none" w:sz="0" w:space="0" w:color="auto"/>
      </w:divBdr>
    </w:div>
    <w:div w:id="1039934610">
      <w:bodyDiv w:val="1"/>
      <w:marLeft w:val="0"/>
      <w:marRight w:val="0"/>
      <w:marTop w:val="0"/>
      <w:marBottom w:val="0"/>
      <w:divBdr>
        <w:top w:val="none" w:sz="0" w:space="0" w:color="auto"/>
        <w:left w:val="none" w:sz="0" w:space="0" w:color="auto"/>
        <w:bottom w:val="none" w:sz="0" w:space="0" w:color="auto"/>
        <w:right w:val="none" w:sz="0" w:space="0" w:color="auto"/>
      </w:divBdr>
    </w:div>
    <w:div w:id="1091511612">
      <w:bodyDiv w:val="1"/>
      <w:marLeft w:val="0"/>
      <w:marRight w:val="0"/>
      <w:marTop w:val="0"/>
      <w:marBottom w:val="0"/>
      <w:divBdr>
        <w:top w:val="none" w:sz="0" w:space="0" w:color="auto"/>
        <w:left w:val="none" w:sz="0" w:space="0" w:color="auto"/>
        <w:bottom w:val="none" w:sz="0" w:space="0" w:color="auto"/>
        <w:right w:val="none" w:sz="0" w:space="0" w:color="auto"/>
      </w:divBdr>
    </w:div>
    <w:div w:id="1135760340">
      <w:bodyDiv w:val="1"/>
      <w:marLeft w:val="0"/>
      <w:marRight w:val="0"/>
      <w:marTop w:val="0"/>
      <w:marBottom w:val="0"/>
      <w:divBdr>
        <w:top w:val="none" w:sz="0" w:space="0" w:color="auto"/>
        <w:left w:val="none" w:sz="0" w:space="0" w:color="auto"/>
        <w:bottom w:val="none" w:sz="0" w:space="0" w:color="auto"/>
        <w:right w:val="none" w:sz="0" w:space="0" w:color="auto"/>
      </w:divBdr>
    </w:div>
    <w:div w:id="1163011086">
      <w:bodyDiv w:val="1"/>
      <w:marLeft w:val="0"/>
      <w:marRight w:val="0"/>
      <w:marTop w:val="0"/>
      <w:marBottom w:val="0"/>
      <w:divBdr>
        <w:top w:val="none" w:sz="0" w:space="0" w:color="auto"/>
        <w:left w:val="none" w:sz="0" w:space="0" w:color="auto"/>
        <w:bottom w:val="none" w:sz="0" w:space="0" w:color="auto"/>
        <w:right w:val="none" w:sz="0" w:space="0" w:color="auto"/>
      </w:divBdr>
    </w:div>
    <w:div w:id="1170438637">
      <w:bodyDiv w:val="1"/>
      <w:marLeft w:val="0"/>
      <w:marRight w:val="0"/>
      <w:marTop w:val="0"/>
      <w:marBottom w:val="0"/>
      <w:divBdr>
        <w:top w:val="none" w:sz="0" w:space="0" w:color="auto"/>
        <w:left w:val="none" w:sz="0" w:space="0" w:color="auto"/>
        <w:bottom w:val="none" w:sz="0" w:space="0" w:color="auto"/>
        <w:right w:val="none" w:sz="0" w:space="0" w:color="auto"/>
      </w:divBdr>
    </w:div>
    <w:div w:id="1183588288">
      <w:bodyDiv w:val="1"/>
      <w:marLeft w:val="0"/>
      <w:marRight w:val="0"/>
      <w:marTop w:val="0"/>
      <w:marBottom w:val="0"/>
      <w:divBdr>
        <w:top w:val="none" w:sz="0" w:space="0" w:color="auto"/>
        <w:left w:val="none" w:sz="0" w:space="0" w:color="auto"/>
        <w:bottom w:val="none" w:sz="0" w:space="0" w:color="auto"/>
        <w:right w:val="none" w:sz="0" w:space="0" w:color="auto"/>
      </w:divBdr>
    </w:div>
    <w:div w:id="1196194576">
      <w:bodyDiv w:val="1"/>
      <w:marLeft w:val="0"/>
      <w:marRight w:val="0"/>
      <w:marTop w:val="0"/>
      <w:marBottom w:val="0"/>
      <w:divBdr>
        <w:top w:val="none" w:sz="0" w:space="0" w:color="auto"/>
        <w:left w:val="none" w:sz="0" w:space="0" w:color="auto"/>
        <w:bottom w:val="none" w:sz="0" w:space="0" w:color="auto"/>
        <w:right w:val="none" w:sz="0" w:space="0" w:color="auto"/>
      </w:divBdr>
    </w:div>
    <w:div w:id="1238831876">
      <w:bodyDiv w:val="1"/>
      <w:marLeft w:val="0"/>
      <w:marRight w:val="0"/>
      <w:marTop w:val="0"/>
      <w:marBottom w:val="0"/>
      <w:divBdr>
        <w:top w:val="none" w:sz="0" w:space="0" w:color="auto"/>
        <w:left w:val="none" w:sz="0" w:space="0" w:color="auto"/>
        <w:bottom w:val="none" w:sz="0" w:space="0" w:color="auto"/>
        <w:right w:val="none" w:sz="0" w:space="0" w:color="auto"/>
      </w:divBdr>
    </w:div>
    <w:div w:id="1243488334">
      <w:bodyDiv w:val="1"/>
      <w:marLeft w:val="0"/>
      <w:marRight w:val="0"/>
      <w:marTop w:val="0"/>
      <w:marBottom w:val="0"/>
      <w:divBdr>
        <w:top w:val="none" w:sz="0" w:space="0" w:color="auto"/>
        <w:left w:val="none" w:sz="0" w:space="0" w:color="auto"/>
        <w:bottom w:val="none" w:sz="0" w:space="0" w:color="auto"/>
        <w:right w:val="none" w:sz="0" w:space="0" w:color="auto"/>
      </w:divBdr>
    </w:div>
    <w:div w:id="1312948427">
      <w:bodyDiv w:val="1"/>
      <w:marLeft w:val="0"/>
      <w:marRight w:val="0"/>
      <w:marTop w:val="0"/>
      <w:marBottom w:val="0"/>
      <w:divBdr>
        <w:top w:val="none" w:sz="0" w:space="0" w:color="auto"/>
        <w:left w:val="none" w:sz="0" w:space="0" w:color="auto"/>
        <w:bottom w:val="none" w:sz="0" w:space="0" w:color="auto"/>
        <w:right w:val="none" w:sz="0" w:space="0" w:color="auto"/>
      </w:divBdr>
    </w:div>
    <w:div w:id="1338845011">
      <w:bodyDiv w:val="1"/>
      <w:marLeft w:val="0"/>
      <w:marRight w:val="0"/>
      <w:marTop w:val="0"/>
      <w:marBottom w:val="0"/>
      <w:divBdr>
        <w:top w:val="none" w:sz="0" w:space="0" w:color="auto"/>
        <w:left w:val="none" w:sz="0" w:space="0" w:color="auto"/>
        <w:bottom w:val="none" w:sz="0" w:space="0" w:color="auto"/>
        <w:right w:val="none" w:sz="0" w:space="0" w:color="auto"/>
      </w:divBdr>
    </w:div>
    <w:div w:id="1413116883">
      <w:bodyDiv w:val="1"/>
      <w:marLeft w:val="0"/>
      <w:marRight w:val="0"/>
      <w:marTop w:val="0"/>
      <w:marBottom w:val="0"/>
      <w:divBdr>
        <w:top w:val="none" w:sz="0" w:space="0" w:color="auto"/>
        <w:left w:val="none" w:sz="0" w:space="0" w:color="auto"/>
        <w:bottom w:val="none" w:sz="0" w:space="0" w:color="auto"/>
        <w:right w:val="none" w:sz="0" w:space="0" w:color="auto"/>
      </w:divBdr>
    </w:div>
    <w:div w:id="1417823626">
      <w:bodyDiv w:val="1"/>
      <w:marLeft w:val="0"/>
      <w:marRight w:val="0"/>
      <w:marTop w:val="0"/>
      <w:marBottom w:val="0"/>
      <w:divBdr>
        <w:top w:val="none" w:sz="0" w:space="0" w:color="auto"/>
        <w:left w:val="none" w:sz="0" w:space="0" w:color="auto"/>
        <w:bottom w:val="none" w:sz="0" w:space="0" w:color="auto"/>
        <w:right w:val="none" w:sz="0" w:space="0" w:color="auto"/>
      </w:divBdr>
    </w:div>
    <w:div w:id="1436632932">
      <w:bodyDiv w:val="1"/>
      <w:marLeft w:val="0"/>
      <w:marRight w:val="0"/>
      <w:marTop w:val="0"/>
      <w:marBottom w:val="0"/>
      <w:divBdr>
        <w:top w:val="none" w:sz="0" w:space="0" w:color="auto"/>
        <w:left w:val="none" w:sz="0" w:space="0" w:color="auto"/>
        <w:bottom w:val="none" w:sz="0" w:space="0" w:color="auto"/>
        <w:right w:val="none" w:sz="0" w:space="0" w:color="auto"/>
      </w:divBdr>
    </w:div>
    <w:div w:id="1485702847">
      <w:bodyDiv w:val="1"/>
      <w:marLeft w:val="0"/>
      <w:marRight w:val="0"/>
      <w:marTop w:val="0"/>
      <w:marBottom w:val="0"/>
      <w:divBdr>
        <w:top w:val="none" w:sz="0" w:space="0" w:color="auto"/>
        <w:left w:val="none" w:sz="0" w:space="0" w:color="auto"/>
        <w:bottom w:val="none" w:sz="0" w:space="0" w:color="auto"/>
        <w:right w:val="none" w:sz="0" w:space="0" w:color="auto"/>
      </w:divBdr>
    </w:div>
    <w:div w:id="1509713287">
      <w:bodyDiv w:val="1"/>
      <w:marLeft w:val="0"/>
      <w:marRight w:val="0"/>
      <w:marTop w:val="0"/>
      <w:marBottom w:val="0"/>
      <w:divBdr>
        <w:top w:val="none" w:sz="0" w:space="0" w:color="auto"/>
        <w:left w:val="none" w:sz="0" w:space="0" w:color="auto"/>
        <w:bottom w:val="none" w:sz="0" w:space="0" w:color="auto"/>
        <w:right w:val="none" w:sz="0" w:space="0" w:color="auto"/>
      </w:divBdr>
    </w:div>
    <w:div w:id="1547788897">
      <w:bodyDiv w:val="1"/>
      <w:marLeft w:val="0"/>
      <w:marRight w:val="0"/>
      <w:marTop w:val="0"/>
      <w:marBottom w:val="0"/>
      <w:divBdr>
        <w:top w:val="none" w:sz="0" w:space="0" w:color="auto"/>
        <w:left w:val="none" w:sz="0" w:space="0" w:color="auto"/>
        <w:bottom w:val="none" w:sz="0" w:space="0" w:color="auto"/>
        <w:right w:val="none" w:sz="0" w:space="0" w:color="auto"/>
      </w:divBdr>
    </w:div>
    <w:div w:id="1596942312">
      <w:bodyDiv w:val="1"/>
      <w:marLeft w:val="0"/>
      <w:marRight w:val="0"/>
      <w:marTop w:val="0"/>
      <w:marBottom w:val="0"/>
      <w:divBdr>
        <w:top w:val="none" w:sz="0" w:space="0" w:color="auto"/>
        <w:left w:val="none" w:sz="0" w:space="0" w:color="auto"/>
        <w:bottom w:val="none" w:sz="0" w:space="0" w:color="auto"/>
        <w:right w:val="none" w:sz="0" w:space="0" w:color="auto"/>
      </w:divBdr>
    </w:div>
    <w:div w:id="1602030019">
      <w:bodyDiv w:val="1"/>
      <w:marLeft w:val="0"/>
      <w:marRight w:val="0"/>
      <w:marTop w:val="0"/>
      <w:marBottom w:val="0"/>
      <w:divBdr>
        <w:top w:val="none" w:sz="0" w:space="0" w:color="auto"/>
        <w:left w:val="none" w:sz="0" w:space="0" w:color="auto"/>
        <w:bottom w:val="none" w:sz="0" w:space="0" w:color="auto"/>
        <w:right w:val="none" w:sz="0" w:space="0" w:color="auto"/>
      </w:divBdr>
    </w:div>
    <w:div w:id="1694453441">
      <w:bodyDiv w:val="1"/>
      <w:marLeft w:val="0"/>
      <w:marRight w:val="0"/>
      <w:marTop w:val="0"/>
      <w:marBottom w:val="0"/>
      <w:divBdr>
        <w:top w:val="none" w:sz="0" w:space="0" w:color="auto"/>
        <w:left w:val="none" w:sz="0" w:space="0" w:color="auto"/>
        <w:bottom w:val="none" w:sz="0" w:space="0" w:color="auto"/>
        <w:right w:val="none" w:sz="0" w:space="0" w:color="auto"/>
      </w:divBdr>
    </w:div>
    <w:div w:id="1718116813">
      <w:bodyDiv w:val="1"/>
      <w:marLeft w:val="0"/>
      <w:marRight w:val="0"/>
      <w:marTop w:val="0"/>
      <w:marBottom w:val="0"/>
      <w:divBdr>
        <w:top w:val="none" w:sz="0" w:space="0" w:color="auto"/>
        <w:left w:val="none" w:sz="0" w:space="0" w:color="auto"/>
        <w:bottom w:val="none" w:sz="0" w:space="0" w:color="auto"/>
        <w:right w:val="none" w:sz="0" w:space="0" w:color="auto"/>
      </w:divBdr>
    </w:div>
    <w:div w:id="1755474666">
      <w:bodyDiv w:val="1"/>
      <w:marLeft w:val="0"/>
      <w:marRight w:val="0"/>
      <w:marTop w:val="0"/>
      <w:marBottom w:val="0"/>
      <w:divBdr>
        <w:top w:val="none" w:sz="0" w:space="0" w:color="auto"/>
        <w:left w:val="none" w:sz="0" w:space="0" w:color="auto"/>
        <w:bottom w:val="none" w:sz="0" w:space="0" w:color="auto"/>
        <w:right w:val="none" w:sz="0" w:space="0" w:color="auto"/>
      </w:divBdr>
    </w:div>
    <w:div w:id="1772822945">
      <w:bodyDiv w:val="1"/>
      <w:marLeft w:val="0"/>
      <w:marRight w:val="0"/>
      <w:marTop w:val="0"/>
      <w:marBottom w:val="0"/>
      <w:divBdr>
        <w:top w:val="none" w:sz="0" w:space="0" w:color="auto"/>
        <w:left w:val="none" w:sz="0" w:space="0" w:color="auto"/>
        <w:bottom w:val="none" w:sz="0" w:space="0" w:color="auto"/>
        <w:right w:val="none" w:sz="0" w:space="0" w:color="auto"/>
      </w:divBdr>
    </w:div>
    <w:div w:id="1805734052">
      <w:bodyDiv w:val="1"/>
      <w:marLeft w:val="0"/>
      <w:marRight w:val="0"/>
      <w:marTop w:val="0"/>
      <w:marBottom w:val="0"/>
      <w:divBdr>
        <w:top w:val="none" w:sz="0" w:space="0" w:color="auto"/>
        <w:left w:val="none" w:sz="0" w:space="0" w:color="auto"/>
        <w:bottom w:val="none" w:sz="0" w:space="0" w:color="auto"/>
        <w:right w:val="none" w:sz="0" w:space="0" w:color="auto"/>
      </w:divBdr>
    </w:div>
    <w:div w:id="1862354696">
      <w:bodyDiv w:val="1"/>
      <w:marLeft w:val="0"/>
      <w:marRight w:val="0"/>
      <w:marTop w:val="0"/>
      <w:marBottom w:val="0"/>
      <w:divBdr>
        <w:top w:val="none" w:sz="0" w:space="0" w:color="auto"/>
        <w:left w:val="none" w:sz="0" w:space="0" w:color="auto"/>
        <w:bottom w:val="none" w:sz="0" w:space="0" w:color="auto"/>
        <w:right w:val="none" w:sz="0" w:space="0" w:color="auto"/>
      </w:divBdr>
    </w:div>
    <w:div w:id="1875655302">
      <w:bodyDiv w:val="1"/>
      <w:marLeft w:val="0"/>
      <w:marRight w:val="0"/>
      <w:marTop w:val="0"/>
      <w:marBottom w:val="0"/>
      <w:divBdr>
        <w:top w:val="none" w:sz="0" w:space="0" w:color="auto"/>
        <w:left w:val="none" w:sz="0" w:space="0" w:color="auto"/>
        <w:bottom w:val="none" w:sz="0" w:space="0" w:color="auto"/>
        <w:right w:val="none" w:sz="0" w:space="0" w:color="auto"/>
      </w:divBdr>
    </w:div>
    <w:div w:id="1910268352">
      <w:bodyDiv w:val="1"/>
      <w:marLeft w:val="0"/>
      <w:marRight w:val="0"/>
      <w:marTop w:val="0"/>
      <w:marBottom w:val="0"/>
      <w:divBdr>
        <w:top w:val="none" w:sz="0" w:space="0" w:color="auto"/>
        <w:left w:val="none" w:sz="0" w:space="0" w:color="auto"/>
        <w:bottom w:val="none" w:sz="0" w:space="0" w:color="auto"/>
        <w:right w:val="none" w:sz="0" w:space="0" w:color="auto"/>
      </w:divBdr>
    </w:div>
    <w:div w:id="1926912124">
      <w:bodyDiv w:val="1"/>
      <w:marLeft w:val="0"/>
      <w:marRight w:val="0"/>
      <w:marTop w:val="0"/>
      <w:marBottom w:val="0"/>
      <w:divBdr>
        <w:top w:val="none" w:sz="0" w:space="0" w:color="auto"/>
        <w:left w:val="none" w:sz="0" w:space="0" w:color="auto"/>
        <w:bottom w:val="none" w:sz="0" w:space="0" w:color="auto"/>
        <w:right w:val="none" w:sz="0" w:space="0" w:color="auto"/>
      </w:divBdr>
    </w:div>
    <w:div w:id="1937859651">
      <w:bodyDiv w:val="1"/>
      <w:marLeft w:val="0"/>
      <w:marRight w:val="0"/>
      <w:marTop w:val="0"/>
      <w:marBottom w:val="0"/>
      <w:divBdr>
        <w:top w:val="none" w:sz="0" w:space="0" w:color="auto"/>
        <w:left w:val="none" w:sz="0" w:space="0" w:color="auto"/>
        <w:bottom w:val="none" w:sz="0" w:space="0" w:color="auto"/>
        <w:right w:val="none" w:sz="0" w:space="0" w:color="auto"/>
      </w:divBdr>
    </w:div>
    <w:div w:id="2022313339">
      <w:bodyDiv w:val="1"/>
      <w:marLeft w:val="0"/>
      <w:marRight w:val="0"/>
      <w:marTop w:val="0"/>
      <w:marBottom w:val="0"/>
      <w:divBdr>
        <w:top w:val="none" w:sz="0" w:space="0" w:color="auto"/>
        <w:left w:val="none" w:sz="0" w:space="0" w:color="auto"/>
        <w:bottom w:val="none" w:sz="0" w:space="0" w:color="auto"/>
        <w:right w:val="none" w:sz="0" w:space="0" w:color="auto"/>
      </w:divBdr>
    </w:div>
    <w:div w:id="2044399544">
      <w:bodyDiv w:val="1"/>
      <w:marLeft w:val="0"/>
      <w:marRight w:val="0"/>
      <w:marTop w:val="0"/>
      <w:marBottom w:val="0"/>
      <w:divBdr>
        <w:top w:val="none" w:sz="0" w:space="0" w:color="auto"/>
        <w:left w:val="none" w:sz="0" w:space="0" w:color="auto"/>
        <w:bottom w:val="none" w:sz="0" w:space="0" w:color="auto"/>
        <w:right w:val="none" w:sz="0" w:space="0" w:color="auto"/>
      </w:divBdr>
    </w:div>
    <w:div w:id="2096977528">
      <w:bodyDiv w:val="1"/>
      <w:marLeft w:val="0"/>
      <w:marRight w:val="0"/>
      <w:marTop w:val="0"/>
      <w:marBottom w:val="0"/>
      <w:divBdr>
        <w:top w:val="none" w:sz="0" w:space="0" w:color="auto"/>
        <w:left w:val="none" w:sz="0" w:space="0" w:color="auto"/>
        <w:bottom w:val="none" w:sz="0" w:space="0" w:color="auto"/>
        <w:right w:val="none" w:sz="0" w:space="0" w:color="auto"/>
      </w:divBdr>
    </w:div>
    <w:div w:id="2140297481">
      <w:bodyDiv w:val="1"/>
      <w:marLeft w:val="0"/>
      <w:marRight w:val="0"/>
      <w:marTop w:val="0"/>
      <w:marBottom w:val="0"/>
      <w:divBdr>
        <w:top w:val="none" w:sz="0" w:space="0" w:color="auto"/>
        <w:left w:val="none" w:sz="0" w:space="0" w:color="auto"/>
        <w:bottom w:val="none" w:sz="0" w:space="0" w:color="auto"/>
        <w:right w:val="none" w:sz="0" w:space="0" w:color="auto"/>
      </w:divBdr>
    </w:div>
    <w:div w:id="2140299372">
      <w:bodyDiv w:val="1"/>
      <w:marLeft w:val="0"/>
      <w:marRight w:val="0"/>
      <w:marTop w:val="0"/>
      <w:marBottom w:val="0"/>
      <w:divBdr>
        <w:top w:val="none" w:sz="0" w:space="0" w:color="auto"/>
        <w:left w:val="none" w:sz="0" w:space="0" w:color="auto"/>
        <w:bottom w:val="none" w:sz="0" w:space="0" w:color="auto"/>
        <w:right w:val="none" w:sz="0" w:space="0" w:color="auto"/>
      </w:divBdr>
      <w:divsChild>
        <w:div w:id="812675156">
          <w:marLeft w:val="0"/>
          <w:marRight w:val="0"/>
          <w:marTop w:val="0"/>
          <w:marBottom w:val="0"/>
          <w:divBdr>
            <w:top w:val="none" w:sz="0" w:space="0" w:color="auto"/>
            <w:left w:val="none" w:sz="0" w:space="0" w:color="auto"/>
            <w:bottom w:val="none" w:sz="0" w:space="0" w:color="auto"/>
            <w:right w:val="none" w:sz="0" w:space="0" w:color="auto"/>
          </w:divBdr>
          <w:divsChild>
            <w:div w:id="154475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Tog19</b:Tag>
    <b:SourceType>Book</b:SourceType>
    <b:Guid>{648F3506-DCFB-4A00-AF47-48A77A39DD40}</b:Guid>
    <b:Title>Piping and Instrumentation Diagram Development</b:Title>
    <b:Year>2019</b:Year>
    <b:Author>
      <b:Author>
        <b:NameList>
          <b:Person>
            <b:Last>Toghraei</b:Last>
            <b:First>Moe</b:First>
          </b:Person>
        </b:NameList>
      </b:Author>
    </b:Author>
    <b:Publisher>Wiley-AIChE</b:Publisher>
    <b:Edition>1st</b:Edition>
    <b:RefOrder>1</b:RefOrder>
  </b:Source>
  <b:Source>
    <b:Tag>HMH11</b:Tag>
    <b:SourceType>JournalArticle</b:SourceType>
    <b:Guid>{19035B5B-105B-458F-8BA9-67E86086D952}</b:Guid>
    <b:Title>State-of-the-Art Predictive Maintenance Techniques</b:Title>
    <b:Year>2011</b:Year>
    <b:Author>
      <b:Author>
        <b:NameList>
          <b:Person>
            <b:Last>Hashemian</b:Last>
            <b:First>H.</b:First>
            <b:Middle>M.</b:Middle>
          </b:Person>
        </b:NameList>
      </b:Author>
    </b:Author>
    <b:JournalName>IEEE Transactions on Instrumentation and Measurement</b:JournalName>
    <b:Pages>226-236</b:Pages>
    <b:Volume>60</b:Volume>
    <b:Issue>1</b:Issue>
    <b:RefOrder>6</b:RefOrder>
  </b:Source>
  <b:Source>
    <b:Tag>Fed17</b:Tag>
    <b:SourceType>JournalArticle</b:SourceType>
    <b:Guid>{411337C6-26E7-407F-A10D-8F25784BEEC6}</b:Guid>
    <b:Author>
      <b:Author>
        <b:NameList>
          <b:Person>
            <b:Last>Federico Civerchia</b:Last>
          </b:Person>
        </b:NameList>
      </b:Author>
    </b:Author>
    <b:Title>Industrial Internet of Things monitoring solution for advanced predictive maintenance applications</b:Title>
    <b:JournalName>Journal of Industrial Information Integration</b:JournalName>
    <b:Year>2017</b:Year>
    <b:Pages>4-12</b:Pages>
    <b:Volume>7</b:Volume>
    <b:RefOrder>12</b:RefOrder>
  </b:Source>
  <b:Source>
    <b:Tag>Hea24</b:Tag>
    <b:SourceType>InternetSite</b:SourceType>
    <b:Guid>{EFAB5A19-3FE2-4188-BF6F-DA4F984E002A}</b:Guid>
    <b:Title>Control of Substances Hazardous to Health (COSHH)</b:Title>
    <b:Year>2024</b:Year>
    <b:Author>
      <b:Author>
        <b:NameList>
          <b:Person>
            <b:Last>(HSE)</b:Last>
            <b:First>Health</b:First>
            <b:Middle>and Safety Executive</b:Middle>
          </b:Person>
        </b:NameList>
      </b:Author>
    </b:Author>
    <b:URL>https://www.hse.gov.uk/coshh/</b:URL>
    <b:RefOrder>7</b:RefOrder>
  </b:Source>
  <b:Source>
    <b:Tag>Hea241</b:Tag>
    <b:SourceType>InternetSite</b:SourceType>
    <b:Guid>{04A39AA0-6928-4113-97AE-B83BE2C9EDE3}</b:Guid>
    <b:Author>
      <b:Author>
        <b:NameList>
          <b:Person>
            <b:Last>(HSE)</b:Last>
            <b:First>Health</b:First>
            <b:Middle>and Safety Executive</b:Middle>
          </b:Person>
        </b:NameList>
      </b:Author>
    </b:Author>
    <b:Title>Control of Major Accident Hazards (COMAH) – Guidance</b:Title>
    <b:Year>2024</b:Year>
    <b:URL>https://www.hse.gov.uk/comah/guidance.htm</b:URL>
    <b:RefOrder>8</b:RefOrder>
  </b:Source>
  <b:Source>
    <b:Tag>Pau20</b:Tag>
    <b:SourceType>InternetSite</b:SourceType>
    <b:Guid>{F2F0CA38-32BC-4E54-ADF3-A1DFA6A7B90A}</b:Guid>
    <b:Author>
      <b:Author>
        <b:NameList>
          <b:Person>
            <b:Last>Turner</b:Last>
            <b:First>Paul</b:First>
          </b:Person>
        </b:NameList>
      </b:Author>
    </b:Author>
    <b:Title>The Commissioning Process: A Step-by-Step Guide</b:Title>
    <b:Year>2020</b:Year>
    <b:YearAccessed>2024</b:YearAccessed>
    <b:RefOrder>5</b:RefOrder>
  </b:Source>
  <b:Source>
    <b:Tag>Ben13</b:Tag>
    <b:SourceType>Book</b:SourceType>
    <b:Guid>{CD737E37-B639-4954-B6C2-676D1BDC4D25}</b:Guid>
    <b:Title>Systems Engineering and Analysis: Pearson New International Edition</b:Title>
    <b:Year>2013</b:Year>
    <b:Author>
      <b:Author>
        <b:NameList>
          <b:Person>
            <b:Last>Benjamin Blanchard</b:Last>
            <b:First>Wolter</b:First>
            <b:Middle>Fabrycky</b:Middle>
          </b:Person>
        </b:NameList>
      </b:Author>
    </b:Author>
    <b:Publisher>Pearson</b:Publisher>
    <b:Edition>5th</b:Edition>
    <b:RefOrder>4</b:RefOrder>
  </b:Source>
  <b:Source>
    <b:Tag>Seb11</b:Tag>
    <b:SourceType>Book</b:SourceType>
    <b:Guid>{7D730A06-3F7E-46C9-B349-E1FAD261624F}</b:Guid>
    <b:Author>
      <b:Author>
        <b:NameList>
          <b:Person>
            <b:Last>Seborg</b:Last>
            <b:First>D.E.</b:First>
          </b:Person>
        </b:NameList>
      </b:Author>
    </b:Author>
    <b:Title>Process dynamics and control</b:Title>
    <b:Year>2011</b:Year>
    <b:Publisher>Wiley</b:Publisher>
    <b:Edition>3rd</b:Edition>
    <b:RefOrder>2</b:RefOrder>
  </b:Source>
  <b:Source>
    <b:Tag>Cli24</b:Tag>
    <b:SourceType>InternetSite</b:SourceType>
    <b:Guid>{691FC46E-2FC3-47A7-81D1-4988980E9C33}</b:Guid>
    <b:Author>
      <b:Author>
        <b:NameList>
          <b:Person>
            <b:Last>Johnson</b:Last>
            <b:First>Cliff</b:First>
            <b:Middle>T.</b:Middle>
          </b:Person>
        </b:NameList>
      </b:Author>
    </b:Author>
    <b:Title>Instrumentation &amp; Controls: Instrument CAD Symbols and Specification Sheets</b:Title>
    <b:Year>2024</b:Year>
    <b:YearAccessed>2024</b:YearAccessed>
    <b:URL>https://www.ctjohnson.com/Instruments.html</b:URL>
    <b:RefOrder>3</b:RefOrder>
  </b:Source>
  <b:Source>
    <b:Tag>Hea242</b:Tag>
    <b:SourceType>InternetSite</b:SourceType>
    <b:Guid>{E07F2DD5-F0BA-4306-98FA-4BD2A9F7FC35}</b:Guid>
    <b:Author>
      <b:Author>
        <b:NameList>
          <b:Person>
            <b:Last>(HSE)</b:Last>
            <b:First>Health</b:First>
            <b:Middle>and Safety Executive</b:Middle>
          </b:Person>
        </b:NameList>
      </b:Author>
    </b:Author>
    <b:Title>Risk Assessment: Template and Examples.</b:Title>
    <b:Year>2024</b:Year>
    <b:URL>https://www.hse.gov.uk/simple-health-safety/risk/risk-assessment-template-and-examples.htm</b:URL>
    <b:RefOrder>9</b:RefOrder>
  </b:Source>
  <b:Source>
    <b:Tag>vis24</b:Tag>
    <b:SourceType>InternetSite</b:SourceType>
    <b:Guid>{706FBC42-2354-4EA1-BC40-BF1E1D26DBED}</b:Guid>
    <b:Author>
      <b:Author>
        <b:NameList>
          <b:Person>
            <b:Last>paradigm</b:Last>
            <b:First>visual</b:First>
          </b:Person>
        </b:NameList>
      </b:Author>
    </b:Author>
    <b:Title>visual paradigm online</b:Title>
    <b:Year>2024</b:Year>
    <b:URL>https://online.visual-paradigm.com/drive/#diagramlist:proj=0&amp;diagram=list</b:URL>
    <b:RefOrder>10</b:RefOrder>
  </b:Source>
  <b:Source>
    <b:Tag>Int22</b:Tag>
    <b:SourceType>InternetSite</b:SourceType>
    <b:Guid>{B6B3290D-9D68-463A-BEA5-69B1F2908818}</b:Guid>
    <b:Author>
      <b:Author>
        <b:NameList>
          <b:Person>
            <b:Last>(ISA)</b:Last>
            <b:First>International</b:First>
            <b:Middle>Society of Automation</b:Middle>
          </b:Person>
        </b:NameList>
      </b:Author>
    </b:Author>
    <b:Title>ANSI/ISA-5.1-2022, Instrumentation Symbols and Identification</b:Title>
    <b:Year>2022</b:Year>
    <b:URL>https://www.isa.org/products/ansi-isa-5-1-2022-instrumentation-symbols-and-iden</b:URL>
    <b:RefOrder>11</b:RefOrder>
  </b:Source>
</b:Sources>
</file>

<file path=customXml/itemProps1.xml><?xml version="1.0" encoding="utf-8"?>
<ds:datastoreItem xmlns:ds="http://schemas.openxmlformats.org/officeDocument/2006/customXml" ds:itemID="{C3F79B96-BD20-476A-AD81-D109958B4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11</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177</cp:revision>
  <dcterms:created xsi:type="dcterms:W3CDTF">2022-12-28T12:07:00Z</dcterms:created>
  <dcterms:modified xsi:type="dcterms:W3CDTF">2024-07-18T20:42:00Z</dcterms:modified>
</cp:coreProperties>
</file>