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92773127"/>
        <w:docPartObj>
          <w:docPartGallery w:val="Cover Pages"/>
          <w:docPartUnique/>
        </w:docPartObj>
      </w:sdtPr>
      <w:sdtEndPr>
        <w:rPr>
          <w:rFonts w:asciiTheme="majorHAnsi" w:eastAsiaTheme="minorEastAsia" w:hAnsiTheme="majorHAnsi"/>
          <w:color w:val="454551" w:themeColor="text2"/>
          <w:spacing w:val="10"/>
          <w:sz w:val="36"/>
          <w:szCs w:val="36"/>
          <w:lang w:val="en-US" w:eastAsia="zh-CN"/>
        </w:rPr>
      </w:sdtEndPr>
      <w:sdtContent>
        <w:p w14:paraId="2E3F7750" w14:textId="12820ADE" w:rsidR="00470B93" w:rsidRDefault="00470B93">
          <w:r>
            <w:rPr>
              <w:noProof/>
            </w:rPr>
            <mc:AlternateContent>
              <mc:Choice Requires="wpg">
                <w:drawing>
                  <wp:anchor distT="0" distB="0" distL="114300" distR="114300" simplePos="0" relativeHeight="251660288" behindDoc="0" locked="0" layoutInCell="1" allowOverlap="1" wp14:anchorId="226C7D83" wp14:editId="0D9FA748">
                    <wp:simplePos x="0" y="0"/>
                    <wp:positionH relativeFrom="page">
                      <wp:align>left</wp:align>
                    </wp:positionH>
                    <wp:positionV relativeFrom="page">
                      <wp:align>top</wp:align>
                    </wp:positionV>
                    <wp:extent cx="6382385" cy="4746172"/>
                    <wp:effectExtent l="0" t="0" r="5715" b="381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4746172"/>
                              <a:chOff x="0" y="0"/>
                              <a:chExt cx="6381750" cy="347597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1970"/>
                                <a:ext cx="5610225" cy="2714008"/>
                              </a:xfrm>
                              <a:prstGeom prst="rect">
                                <a:avLst/>
                              </a:prstGeom>
                              <a:noFill/>
                              <a:ln w="6350">
                                <a:noFill/>
                              </a:ln>
                            </wps:spPr>
                            <wps:txbx>
                              <w:txbxContent>
                                <w:sdt>
                                  <w:sdtPr>
                                    <w:rPr>
                                      <w:rFonts w:asciiTheme="majorHAnsi" w:hAnsiTheme="majorHAnsi"/>
                                      <w:color w:val="45455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0078612" w14:textId="320099C6" w:rsidR="00470B93" w:rsidRDefault="00470B93">
                                      <w:pPr>
                                        <w:pStyle w:val="NoSpacing"/>
                                        <w:spacing w:after="240" w:line="216" w:lineRule="auto"/>
                                        <w:rPr>
                                          <w:rFonts w:asciiTheme="majorHAnsi" w:hAnsiTheme="majorHAnsi"/>
                                          <w:color w:val="454551" w:themeColor="text2"/>
                                          <w:spacing w:val="10"/>
                                          <w:sz w:val="36"/>
                                          <w:szCs w:val="36"/>
                                        </w:rPr>
                                      </w:pPr>
                                      <w:r>
                                        <w:rPr>
                                          <w:rFonts w:asciiTheme="majorHAnsi" w:hAnsiTheme="majorHAnsi"/>
                                          <w:color w:val="454551" w:themeColor="text2"/>
                                          <w:spacing w:val="10"/>
                                          <w:sz w:val="36"/>
                                          <w:szCs w:val="36"/>
                                        </w:rPr>
                                        <w:t>BMLW4005</w:t>
                                      </w:r>
                                    </w:p>
                                  </w:sdtContent>
                                </w:sdt>
                                <w:bookmarkStart w:id="0" w:name="_GoBack" w:displacedByCustomXml="next"/>
                                <w:sdt>
                                  <w:sdtPr>
                                    <w:rPr>
                                      <w:rFonts w:asciiTheme="majorHAnsi" w:hAnsiTheme="majorHAnsi"/>
                                      <w:caps/>
                                      <w:color w:val="4545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AF46E5" w14:textId="21E7A5BD" w:rsidR="00470B93" w:rsidRDefault="00470B93">
                                      <w:pPr>
                                        <w:pStyle w:val="NoSpacing"/>
                                        <w:spacing w:line="216" w:lineRule="auto"/>
                                        <w:rPr>
                                          <w:rFonts w:asciiTheme="majorHAnsi" w:hAnsiTheme="majorHAnsi"/>
                                          <w:caps/>
                                          <w:color w:val="454551" w:themeColor="text2"/>
                                          <w:sz w:val="96"/>
                                          <w:szCs w:val="96"/>
                                        </w:rPr>
                                      </w:pPr>
                                      <w:r>
                                        <w:rPr>
                                          <w:rFonts w:asciiTheme="majorHAnsi" w:hAnsiTheme="majorHAnsi"/>
                                          <w:caps/>
                                          <w:color w:val="454551" w:themeColor="text2"/>
                                          <w:sz w:val="96"/>
                                          <w:szCs w:val="96"/>
                                        </w:rPr>
                                        <w:t>Reformtion of the offences against the person act [1861]</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26C7D83" id="Group 459" o:spid="_x0000_s1026" alt="Title: Title and subtitle with crop mark graphic" style="position:absolute;margin-left:0;margin-top:0;width:502.55pt;height:373.7pt;z-index:251660288;mso-position-horizontal:left;mso-position-horizontal-relative:page;mso-position-vertical:top;mso-position-vertical-relative:page;mso-width-relative:margin;mso-height-relative:margin" coordsize="63817,3475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5455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9;width:56102;height:2714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54551"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60078612" w14:textId="320099C6" w:rsidR="00470B93" w:rsidRDefault="00470B93">
                                <w:pPr>
                                  <w:pStyle w:val="NoSpacing"/>
                                  <w:spacing w:after="240" w:line="216" w:lineRule="auto"/>
                                  <w:rPr>
                                    <w:rFonts w:asciiTheme="majorHAnsi" w:hAnsiTheme="majorHAnsi"/>
                                    <w:color w:val="454551" w:themeColor="text2"/>
                                    <w:spacing w:val="10"/>
                                    <w:sz w:val="36"/>
                                    <w:szCs w:val="36"/>
                                  </w:rPr>
                                </w:pPr>
                                <w:r>
                                  <w:rPr>
                                    <w:rFonts w:asciiTheme="majorHAnsi" w:hAnsiTheme="majorHAnsi"/>
                                    <w:color w:val="454551" w:themeColor="text2"/>
                                    <w:spacing w:val="10"/>
                                    <w:sz w:val="36"/>
                                    <w:szCs w:val="36"/>
                                  </w:rPr>
                                  <w:t>BMLW4005</w:t>
                                </w:r>
                              </w:p>
                            </w:sdtContent>
                          </w:sdt>
                          <w:bookmarkStart w:id="1" w:name="_GoBack" w:displacedByCustomXml="next"/>
                          <w:sdt>
                            <w:sdtPr>
                              <w:rPr>
                                <w:rFonts w:asciiTheme="majorHAnsi" w:hAnsiTheme="majorHAnsi"/>
                                <w:caps/>
                                <w:color w:val="454551"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BAF46E5" w14:textId="21E7A5BD" w:rsidR="00470B93" w:rsidRDefault="00470B93">
                                <w:pPr>
                                  <w:pStyle w:val="NoSpacing"/>
                                  <w:spacing w:line="216" w:lineRule="auto"/>
                                  <w:rPr>
                                    <w:rFonts w:asciiTheme="majorHAnsi" w:hAnsiTheme="majorHAnsi"/>
                                    <w:caps/>
                                    <w:color w:val="454551" w:themeColor="text2"/>
                                    <w:sz w:val="96"/>
                                    <w:szCs w:val="96"/>
                                  </w:rPr>
                                </w:pPr>
                                <w:r>
                                  <w:rPr>
                                    <w:rFonts w:asciiTheme="majorHAnsi" w:hAnsiTheme="majorHAnsi"/>
                                    <w:caps/>
                                    <w:color w:val="454551" w:themeColor="text2"/>
                                    <w:sz w:val="96"/>
                                    <w:szCs w:val="96"/>
                                  </w:rPr>
                                  <w:t>Reformtion of the offences against the person act [1861]</w:t>
                                </w:r>
                              </w:p>
                            </w:sdtContent>
                          </w:sdt>
                          <w:bookmarkEnd w:id="1"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53D113C6" wp14:editId="5CC2834B">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5455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1DCF5A" w14:textId="4E7D6D21" w:rsidR="00470B93" w:rsidRDefault="00470B93">
                                      <w:pPr>
                                        <w:pStyle w:val="NoSpacing"/>
                                        <w:spacing w:after="240"/>
                                        <w:jc w:val="right"/>
                                        <w:rPr>
                                          <w:color w:val="454551" w:themeColor="text2"/>
                                          <w:spacing w:val="10"/>
                                          <w:sz w:val="36"/>
                                          <w:szCs w:val="36"/>
                                        </w:rPr>
                                      </w:pPr>
                                      <w:r>
                                        <w:rPr>
                                          <w:color w:val="454551" w:themeColor="text2"/>
                                          <w:spacing w:val="10"/>
                                          <w:sz w:val="36"/>
                                          <w:szCs w:val="36"/>
                                        </w:rPr>
                                        <w:t>Ffion George</w:t>
                                      </w:r>
                                    </w:p>
                                  </w:sdtContent>
                                </w:sdt>
                                <w:p w14:paraId="54A8851D" w14:textId="6A5FCDE9" w:rsidR="00470B93" w:rsidRDefault="00470B93">
                                  <w:pPr>
                                    <w:pStyle w:val="NoSpacing"/>
                                    <w:jc w:val="right"/>
                                    <w:rPr>
                                      <w:color w:val="454551" w:themeColor="text2"/>
                                      <w:spacing w:val="10"/>
                                      <w:sz w:val="28"/>
                                      <w:szCs w:val="28"/>
                                    </w:rPr>
                                  </w:pPr>
                                  <w:sdt>
                                    <w:sdtPr>
                                      <w:rPr>
                                        <w:color w:val="45455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54551" w:themeColor="text2"/>
                                          <w:spacing w:val="10"/>
                                          <w:sz w:val="28"/>
                                          <w:szCs w:val="28"/>
                                        </w:rPr>
                                        <w:t>2103342</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D113C6"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5455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54551"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A1DCF5A" w14:textId="4E7D6D21" w:rsidR="00470B93" w:rsidRDefault="00470B93">
                                <w:pPr>
                                  <w:pStyle w:val="NoSpacing"/>
                                  <w:spacing w:after="240"/>
                                  <w:jc w:val="right"/>
                                  <w:rPr>
                                    <w:color w:val="454551" w:themeColor="text2"/>
                                    <w:spacing w:val="10"/>
                                    <w:sz w:val="36"/>
                                    <w:szCs w:val="36"/>
                                  </w:rPr>
                                </w:pPr>
                                <w:r>
                                  <w:rPr>
                                    <w:color w:val="454551" w:themeColor="text2"/>
                                    <w:spacing w:val="10"/>
                                    <w:sz w:val="36"/>
                                    <w:szCs w:val="36"/>
                                  </w:rPr>
                                  <w:t>Ffion George</w:t>
                                </w:r>
                              </w:p>
                            </w:sdtContent>
                          </w:sdt>
                          <w:p w14:paraId="54A8851D" w14:textId="6A5FCDE9" w:rsidR="00470B93" w:rsidRDefault="00470B93">
                            <w:pPr>
                              <w:pStyle w:val="NoSpacing"/>
                              <w:jc w:val="right"/>
                              <w:rPr>
                                <w:color w:val="454551" w:themeColor="text2"/>
                                <w:spacing w:val="10"/>
                                <w:sz w:val="28"/>
                                <w:szCs w:val="28"/>
                              </w:rPr>
                            </w:pPr>
                            <w:sdt>
                              <w:sdtPr>
                                <w:rPr>
                                  <w:color w:val="454551"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54551" w:themeColor="text2"/>
                                    <w:spacing w:val="10"/>
                                    <w:sz w:val="28"/>
                                    <w:szCs w:val="28"/>
                                  </w:rPr>
                                  <w:t>2103342</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A4CE584" wp14:editId="630DB485">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4A6731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d8d9dc [3214]" stroked="f">
                    <w10:wrap anchorx="page" anchory="page"/>
                  </v:rect>
                </w:pict>
              </mc:Fallback>
            </mc:AlternateContent>
          </w:r>
        </w:p>
        <w:p w14:paraId="2E811C0C" w14:textId="042119BC" w:rsidR="00470B93" w:rsidRDefault="00470B93">
          <w:pPr>
            <w:rPr>
              <w:rFonts w:asciiTheme="majorHAnsi" w:eastAsiaTheme="minorEastAsia" w:hAnsiTheme="majorHAnsi"/>
              <w:color w:val="454551" w:themeColor="text2"/>
              <w:spacing w:val="10"/>
              <w:sz w:val="36"/>
              <w:szCs w:val="36"/>
              <w:lang w:val="en-US" w:eastAsia="zh-CN"/>
            </w:rPr>
          </w:pPr>
          <w:r>
            <w:rPr>
              <w:rFonts w:asciiTheme="majorHAnsi" w:eastAsiaTheme="minorEastAsia" w:hAnsiTheme="majorHAnsi"/>
              <w:color w:val="454551" w:themeColor="text2"/>
              <w:spacing w:val="10"/>
              <w:sz w:val="36"/>
              <w:szCs w:val="36"/>
              <w:lang w:val="en-US" w:eastAsia="zh-CN"/>
            </w:rPr>
            <w:br w:type="page"/>
          </w:r>
        </w:p>
      </w:sdtContent>
    </w:sdt>
    <w:p w14:paraId="6D2CD24E" w14:textId="1BA1F001"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lastRenderedPageBreak/>
        <w:t>There are several different offences contained within the non-fatal offences against the person act [1861], however it is broken down into 4 main levels of offence. The least serious offence within the OAPA [1861] is assault and battery which is defined as a common law offence, meaning that they are judge</w:t>
      </w:r>
      <w:r w:rsidR="00726814" w:rsidRPr="002E414B">
        <w:rPr>
          <w:rStyle w:val="normaltextrun"/>
          <w:rFonts w:ascii="Arial" w:hAnsi="Arial" w:cs="Arial"/>
        </w:rPr>
        <w:t xml:space="preserve"> </w:t>
      </w:r>
      <w:r w:rsidRPr="002E414B">
        <w:rPr>
          <w:rStyle w:val="normaltextrun"/>
          <w:rFonts w:ascii="Arial" w:hAnsi="Arial" w:cs="Arial"/>
        </w:rPr>
        <w:t>made laws that have been derived through past case outcomes as well as historical customs</w:t>
      </w:r>
      <w:r w:rsidR="0092373B" w:rsidRPr="002E414B">
        <w:rPr>
          <w:rStyle w:val="normaltextrun"/>
          <w:rFonts w:ascii="Arial" w:hAnsi="Arial" w:cs="Arial"/>
        </w:rPr>
        <w:t xml:space="preserve"> (Study Smarter UK, no date). </w:t>
      </w:r>
      <w:r w:rsidRPr="002E414B">
        <w:rPr>
          <w:rStyle w:val="normaltextrun"/>
          <w:rFonts w:ascii="Arial" w:hAnsi="Arial" w:cs="Arial"/>
        </w:rPr>
        <w:t>Ascending in seriousness is assault occasioning actual bodily harm, malicious wounding or infliction of grievous bodily harm</w:t>
      </w:r>
      <w:r w:rsidR="00F163DC" w:rsidRPr="002E414B">
        <w:rPr>
          <w:rStyle w:val="normaltextrun"/>
          <w:rFonts w:ascii="Arial" w:hAnsi="Arial" w:cs="Arial"/>
        </w:rPr>
        <w:t>. T</w:t>
      </w:r>
      <w:r w:rsidRPr="002E414B">
        <w:rPr>
          <w:rStyle w:val="normaltextrun"/>
          <w:rFonts w:ascii="Arial" w:hAnsi="Arial" w:cs="Arial"/>
        </w:rPr>
        <w:t>he most serious of offences within this category is wounding or grievous bodily harm with intent. These three offences are known as statutory offences which refers to offences that have previously been created by Parliament through legislation. It is argued that the Offences Against the Person Act [1861] is outdated and not suitable for use within a modern society when considering non-fatal offences against the person and that it is in dire need of reform and replacement with newer current legislation which would address the following defects within the act created in 1861. </w:t>
      </w:r>
      <w:r w:rsidRPr="002E414B">
        <w:rPr>
          <w:rStyle w:val="eop"/>
          <w:rFonts w:ascii="Arial" w:hAnsi="Arial" w:cs="Arial"/>
        </w:rPr>
        <w:t> </w:t>
      </w:r>
    </w:p>
    <w:p w14:paraId="6B8CE123" w14:textId="77777777"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eop"/>
          <w:rFonts w:ascii="Arial" w:hAnsi="Arial" w:cs="Arial"/>
        </w:rPr>
        <w:t> </w:t>
      </w:r>
    </w:p>
    <w:p w14:paraId="16A5DDA6" w14:textId="3EB54273"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t xml:space="preserve">Changing any legislation comes with numerous advantages as well as disadvantages. According to </w:t>
      </w:r>
      <w:r w:rsidR="0092373B" w:rsidRPr="002E414B">
        <w:rPr>
          <w:rStyle w:val="normaltextrun"/>
          <w:rFonts w:ascii="Arial" w:hAnsi="Arial" w:cs="Arial"/>
        </w:rPr>
        <w:t xml:space="preserve">UOLLB (2023) </w:t>
      </w:r>
      <w:r w:rsidRPr="002E414B">
        <w:rPr>
          <w:rStyle w:val="normaltextrun"/>
          <w:rFonts w:ascii="Arial" w:hAnsi="Arial" w:cs="Arial"/>
        </w:rPr>
        <w:t xml:space="preserve">changing legislation is a costly process as it requires </w:t>
      </w:r>
      <w:proofErr w:type="gramStart"/>
      <w:r w:rsidRPr="002E414B">
        <w:rPr>
          <w:rStyle w:val="normaltextrun"/>
          <w:rFonts w:ascii="Arial" w:hAnsi="Arial" w:cs="Arial"/>
        </w:rPr>
        <w:t>a number of</w:t>
      </w:r>
      <w:proofErr w:type="gramEnd"/>
      <w:r w:rsidRPr="002E414B">
        <w:rPr>
          <w:rStyle w:val="normaltextrun"/>
          <w:rFonts w:ascii="Arial" w:hAnsi="Arial" w:cs="Arial"/>
        </w:rPr>
        <w:t xml:space="preserve"> different resources and abundance of staff time, cost of arranging public consultation as well as extensive research to ensure the best reformation of</w:t>
      </w:r>
      <w:r w:rsidR="001E5CAE" w:rsidRPr="002E414B">
        <w:rPr>
          <w:rStyle w:val="normaltextrun"/>
          <w:rFonts w:ascii="Arial" w:hAnsi="Arial" w:cs="Arial"/>
        </w:rPr>
        <w:t xml:space="preserve"> the</w:t>
      </w:r>
      <w:r w:rsidRPr="002E414B">
        <w:rPr>
          <w:rStyle w:val="normaltextrun"/>
          <w:rFonts w:ascii="Arial" w:hAnsi="Arial" w:cs="Arial"/>
        </w:rPr>
        <w:t xml:space="preserve"> legislation. It also states that it is a slow process due to the extensive research required, the time it takes to organise and evaluate public consultation, and</w:t>
      </w:r>
      <w:r w:rsidR="00481EAB" w:rsidRPr="002E414B">
        <w:rPr>
          <w:rStyle w:val="normaltextrun"/>
          <w:rFonts w:ascii="Arial" w:hAnsi="Arial" w:cs="Arial"/>
        </w:rPr>
        <w:t xml:space="preserve"> the</w:t>
      </w:r>
      <w:r w:rsidRPr="002E414B">
        <w:rPr>
          <w:rStyle w:val="normaltextrun"/>
          <w:rFonts w:ascii="Arial" w:hAnsi="Arial" w:cs="Arial"/>
        </w:rPr>
        <w:t xml:space="preserve"> detailed review of the proposed reform</w:t>
      </w:r>
      <w:r w:rsidR="00794C87" w:rsidRPr="002E414B">
        <w:rPr>
          <w:rStyle w:val="normaltextrun"/>
          <w:rFonts w:ascii="Arial" w:hAnsi="Arial" w:cs="Arial"/>
        </w:rPr>
        <w:t xml:space="preserve">s </w:t>
      </w:r>
      <w:r w:rsidRPr="002E414B">
        <w:rPr>
          <w:rStyle w:val="normaltextrun"/>
          <w:rFonts w:ascii="Arial" w:hAnsi="Arial" w:cs="Arial"/>
        </w:rPr>
        <w:t>which can ultimately cause many delays in implementing the updated legislation. Some of the advantages of reforming legislation include consistency, efficiency, expertise and objectivity as well as public consultation. When creating or reforming laws, the law commission is staffed by legal experts who possess extensive knowledge of the law and the legal system.  </w:t>
      </w:r>
      <w:r w:rsidRPr="002E414B">
        <w:rPr>
          <w:rStyle w:val="eop"/>
          <w:rFonts w:ascii="Arial" w:hAnsi="Arial" w:cs="Arial"/>
        </w:rPr>
        <w:t> </w:t>
      </w:r>
    </w:p>
    <w:p w14:paraId="7434EC5D" w14:textId="77777777"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t> </w:t>
      </w:r>
      <w:r w:rsidRPr="002E414B">
        <w:rPr>
          <w:rStyle w:val="eop"/>
          <w:rFonts w:ascii="Arial" w:hAnsi="Arial" w:cs="Arial"/>
        </w:rPr>
        <w:t> </w:t>
      </w:r>
    </w:p>
    <w:p w14:paraId="44AF2EBE" w14:textId="77777777" w:rsidR="001A4197" w:rsidRPr="002E414B" w:rsidRDefault="00726814" w:rsidP="002E414B">
      <w:pPr>
        <w:pStyle w:val="paragraph"/>
        <w:spacing w:before="0" w:beforeAutospacing="0" w:after="0" w:afterAutospacing="0" w:line="360" w:lineRule="auto"/>
        <w:textAlignment w:val="baseline"/>
        <w:rPr>
          <w:rStyle w:val="normaltextrun"/>
          <w:rFonts w:ascii="Arial" w:hAnsi="Arial" w:cs="Arial"/>
        </w:rPr>
      </w:pPr>
      <w:r w:rsidRPr="002E414B">
        <w:rPr>
          <w:rStyle w:val="normaltextrun"/>
          <w:rFonts w:ascii="Arial" w:hAnsi="Arial" w:cs="Arial"/>
        </w:rPr>
        <w:t xml:space="preserve">The Offences Against the Person Act [1861] is no longer representative within the modern society as it is phrased in an archaic manner. </w:t>
      </w:r>
      <w:r w:rsidR="00AB27F9" w:rsidRPr="002E414B">
        <w:rPr>
          <w:rStyle w:val="normaltextrun"/>
          <w:rFonts w:ascii="Arial" w:hAnsi="Arial" w:cs="Arial"/>
        </w:rPr>
        <w:t xml:space="preserve">The first point addressed within this essay is the use of </w:t>
      </w:r>
      <w:r w:rsidRPr="002E414B">
        <w:rPr>
          <w:rStyle w:val="normaltextrun"/>
          <w:rFonts w:ascii="Arial" w:hAnsi="Arial" w:cs="Arial"/>
        </w:rPr>
        <w:t xml:space="preserve">this </w:t>
      </w:r>
      <w:r w:rsidR="00AB27F9" w:rsidRPr="002E414B">
        <w:rPr>
          <w:rStyle w:val="normaltextrun"/>
          <w:rFonts w:ascii="Arial" w:hAnsi="Arial" w:cs="Arial"/>
        </w:rPr>
        <w:t xml:space="preserve">outdated language as well as the lack of detail carried throughout the Act [1861]. Throughout the legislation there is a consistent lack of definition of key words and phrases as these key words are to be established through case laws. The outdated terminology is constantly being redefined in </w:t>
      </w:r>
      <w:r w:rsidR="00AB27F9" w:rsidRPr="002E414B">
        <w:rPr>
          <w:rStyle w:val="normaltextrun"/>
          <w:rFonts w:ascii="Arial" w:hAnsi="Arial" w:cs="Arial"/>
        </w:rPr>
        <w:lastRenderedPageBreak/>
        <w:t>appeals which along with the lack of key word definitions leads to a lack of clear decision making within the modern society.</w:t>
      </w:r>
      <w:r w:rsidR="001A4197" w:rsidRPr="002E414B">
        <w:rPr>
          <w:rStyle w:val="normaltextrun"/>
          <w:rFonts w:ascii="Arial" w:hAnsi="Arial" w:cs="Arial"/>
        </w:rPr>
        <w:t xml:space="preserve"> </w:t>
      </w:r>
    </w:p>
    <w:p w14:paraId="2EDE0378" w14:textId="77777777" w:rsidR="001A4197" w:rsidRPr="002E414B" w:rsidRDefault="001A4197" w:rsidP="002E414B">
      <w:pPr>
        <w:pStyle w:val="paragraph"/>
        <w:spacing w:before="0" w:beforeAutospacing="0" w:after="0" w:afterAutospacing="0" w:line="360" w:lineRule="auto"/>
        <w:textAlignment w:val="baseline"/>
        <w:rPr>
          <w:rStyle w:val="normaltextrun"/>
          <w:rFonts w:ascii="Arial" w:hAnsi="Arial" w:cs="Arial"/>
        </w:rPr>
      </w:pPr>
    </w:p>
    <w:p w14:paraId="2D5C9B6E" w14:textId="474196A6"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t>As this law was passed in 1861, it is obvious that some of the definitions it makes are out of date and might not be applicable in contemporary circumstances</w:t>
      </w:r>
      <w:r w:rsidR="001A4197" w:rsidRPr="002E414B">
        <w:rPr>
          <w:rStyle w:val="normaltextrun"/>
          <w:rFonts w:ascii="Arial" w:hAnsi="Arial" w:cs="Arial"/>
        </w:rPr>
        <w:t xml:space="preserve"> which is stated within the Law Commission Report. </w:t>
      </w:r>
      <w:r w:rsidRPr="002E414B">
        <w:rPr>
          <w:rStyle w:val="normaltextrun"/>
          <w:rFonts w:ascii="Arial" w:hAnsi="Arial" w:cs="Arial"/>
        </w:rPr>
        <w:t xml:space="preserve">According to the </w:t>
      </w:r>
      <w:r w:rsidR="0092373B" w:rsidRPr="002E414B">
        <w:rPr>
          <w:rStyle w:val="normaltextrun"/>
          <w:rFonts w:ascii="Arial" w:hAnsi="Arial" w:cs="Arial"/>
        </w:rPr>
        <w:t>Law Commission Report (2015) f</w:t>
      </w:r>
      <w:r w:rsidRPr="002E414B">
        <w:rPr>
          <w:rStyle w:val="normaltextrun"/>
          <w:rFonts w:ascii="Arial" w:hAnsi="Arial" w:cs="Arial"/>
        </w:rPr>
        <w:t>or example, the term "bodily" is "old fashioned." The word ‘maliciously’, used under Section 18 and 20 of the Offences Against the Person Act 1861</w:t>
      </w:r>
      <w:r w:rsidR="002E414B" w:rsidRPr="002E414B">
        <w:rPr>
          <w:rStyle w:val="normaltextrun"/>
          <w:rFonts w:ascii="Arial" w:hAnsi="Arial" w:cs="Arial"/>
        </w:rPr>
        <w:t xml:space="preserve"> (</w:t>
      </w:r>
      <w:r w:rsidR="002E414B" w:rsidRPr="002E414B">
        <w:rPr>
          <w:rFonts w:ascii="Arial" w:hAnsi="Arial" w:cs="Arial"/>
        </w:rPr>
        <w:t>Offences Against the Person Act 1861)</w:t>
      </w:r>
      <w:r w:rsidRPr="002E414B">
        <w:rPr>
          <w:rStyle w:val="normaltextrun"/>
          <w:rFonts w:ascii="Arial" w:hAnsi="Arial" w:cs="Arial"/>
        </w:rPr>
        <w:t xml:space="preserve"> is an example of this as the term is not defined within the act itself. The term was interpreted as ‘recklessly’ in R v Cunningham (1957).</w:t>
      </w:r>
      <w:r w:rsidR="00B761F1">
        <w:rPr>
          <w:rStyle w:val="normaltextrun"/>
          <w:rFonts w:ascii="Arial" w:hAnsi="Arial" w:cs="Arial"/>
        </w:rPr>
        <w:t xml:space="preserve"> </w:t>
      </w:r>
      <w:r w:rsidRPr="002E414B">
        <w:rPr>
          <w:rStyle w:val="normaltextrun"/>
          <w:rFonts w:ascii="Arial" w:hAnsi="Arial" w:cs="Arial"/>
        </w:rPr>
        <w:t>According to a blog written by</w:t>
      </w:r>
      <w:r w:rsidR="007979DF" w:rsidRPr="002E414B">
        <w:rPr>
          <w:rStyle w:val="normaltextrun"/>
          <w:rFonts w:ascii="Arial" w:hAnsi="Arial" w:cs="Arial"/>
        </w:rPr>
        <w:t xml:space="preserve"> Private Law Tutor (2023),</w:t>
      </w:r>
      <w:r w:rsidRPr="002E414B">
        <w:rPr>
          <w:rStyle w:val="normaltextrun"/>
          <w:rFonts w:ascii="Arial" w:hAnsi="Arial" w:cs="Arial"/>
        </w:rPr>
        <w:t xml:space="preserve"> it was decided that the word "maliciously" presumes knowledge of the potential consequences. Therefore, it is insufficient to consider that the defendant would have known the risk had he given his decision another thought when prosecuting offences involving "malice." He needs to be aware that there is a "risk" and willingly accept it. Instead of looking at the state of mind of any reasonable person, the prosecution must demonstrate that the defendant was in a specific mental state when they committed the offence. Another inconsistency within the terminology and phrasing of the OAPA [1861] are the terms “cause” and “inflict”. Under Section 18 of the Offences against the Person Act [1861] it states, </w:t>
      </w:r>
      <w:r w:rsidRPr="002E414B">
        <w:rPr>
          <w:rStyle w:val="normaltextrun"/>
          <w:rFonts w:ascii="Arial" w:hAnsi="Arial" w:cs="Arial"/>
          <w:color w:val="1E1E1E"/>
        </w:rPr>
        <w:t>“cause any grievous bodily harm to any person” whereas under Section 20 of the Offences Against the Person act [1861] it states, “inflict any grievous bodily harm upon any other person”. </w:t>
      </w:r>
      <w:r w:rsidRPr="002E414B">
        <w:rPr>
          <w:rStyle w:val="eop"/>
          <w:rFonts w:ascii="Arial" w:hAnsi="Arial" w:cs="Arial"/>
          <w:color w:val="1E1E1E"/>
        </w:rPr>
        <w:t> </w:t>
      </w:r>
    </w:p>
    <w:p w14:paraId="408CD683" w14:textId="6B824B6E"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eop"/>
          <w:rFonts w:ascii="Arial" w:hAnsi="Arial" w:cs="Arial"/>
          <w:color w:val="1E1E1E"/>
        </w:rPr>
        <w:t> </w:t>
      </w:r>
    </w:p>
    <w:p w14:paraId="3FBCA72B" w14:textId="6576F959" w:rsidR="00101F97" w:rsidRDefault="00AB27F9" w:rsidP="002E414B">
      <w:pPr>
        <w:pStyle w:val="paragraph"/>
        <w:spacing w:before="0" w:beforeAutospacing="0" w:after="0" w:afterAutospacing="0" w:line="360" w:lineRule="auto"/>
        <w:textAlignment w:val="baseline"/>
        <w:rPr>
          <w:rStyle w:val="normaltextrun"/>
          <w:rFonts w:ascii="Arial" w:hAnsi="Arial" w:cs="Arial"/>
        </w:rPr>
      </w:pPr>
      <w:r w:rsidRPr="002E414B">
        <w:rPr>
          <w:rStyle w:val="normaltextrun"/>
          <w:rFonts w:ascii="Arial" w:hAnsi="Arial" w:cs="Arial"/>
        </w:rPr>
        <w:t>The Offences against the Person Act is also seen as outdated due to the number of unnecessary offences contained within the act, that are no longer encountered within the modern society. An example of this includes Section 17 and Section 26 of the OAPA [1861] Section 17 states that it is an offence to impede a person escaping a shipwreck</w:t>
      </w:r>
      <w:r w:rsidR="002E414B" w:rsidRPr="002E414B">
        <w:rPr>
          <w:rFonts w:ascii="Arial" w:hAnsi="Arial" w:cs="Arial"/>
        </w:rPr>
        <w:t xml:space="preserve"> (Offences Against the Person Act 1861).</w:t>
      </w:r>
      <w:r w:rsidRPr="002E414B">
        <w:rPr>
          <w:rStyle w:val="normaltextrun"/>
          <w:rFonts w:ascii="Arial" w:hAnsi="Arial" w:cs="Arial"/>
        </w:rPr>
        <w:t xml:space="preserve"> This is also supported by</w:t>
      </w:r>
      <w:r w:rsidR="007979DF" w:rsidRPr="002E414B">
        <w:rPr>
          <w:rStyle w:val="normaltextrun"/>
          <w:rFonts w:ascii="Arial" w:hAnsi="Arial" w:cs="Arial"/>
        </w:rPr>
        <w:t xml:space="preserve"> Jefferson, M (2012)</w:t>
      </w:r>
      <w:r w:rsidRPr="002E414B">
        <w:rPr>
          <w:rStyle w:val="normaltextrun"/>
          <w:rFonts w:ascii="Arial" w:hAnsi="Arial" w:cs="Arial"/>
        </w:rPr>
        <w:t xml:space="preserve"> where he also states that the act applies a Victorian approach by enumerating distinct factual scenarios, many of which are no longer relevant. Following this, Section 26 states that </w:t>
      </w:r>
      <w:r w:rsidRPr="002E414B">
        <w:rPr>
          <w:rStyle w:val="normaltextrun"/>
          <w:rFonts w:ascii="Arial" w:hAnsi="Arial" w:cs="Arial"/>
          <w:color w:val="000000"/>
        </w:rPr>
        <w:t>not providing apprentices or servants with food is an offence</w:t>
      </w:r>
      <w:r w:rsidR="00B761F1">
        <w:rPr>
          <w:rFonts w:ascii="Arial" w:hAnsi="Arial" w:cs="Arial"/>
        </w:rPr>
        <w:t xml:space="preserve"> (</w:t>
      </w:r>
      <w:r w:rsidR="002E414B" w:rsidRPr="002E414B">
        <w:rPr>
          <w:rFonts w:ascii="Arial" w:hAnsi="Arial" w:cs="Arial"/>
        </w:rPr>
        <w:t xml:space="preserve">Offences Against the Person Act 1861). </w:t>
      </w:r>
      <w:r w:rsidRPr="002E414B">
        <w:rPr>
          <w:rStyle w:val="normaltextrun"/>
          <w:rFonts w:ascii="Arial" w:hAnsi="Arial" w:cs="Arial"/>
          <w:color w:val="000000"/>
        </w:rPr>
        <w:t>These offences are rarely seen and therefore would merit being updated to reflect the norms of our contemporary society.</w:t>
      </w:r>
      <w:r w:rsidR="00B761F1">
        <w:rPr>
          <w:rStyle w:val="normaltextrun"/>
          <w:rFonts w:ascii="Arial" w:hAnsi="Arial" w:cs="Arial"/>
          <w:color w:val="000000"/>
        </w:rPr>
        <w:t xml:space="preserve"> </w:t>
      </w:r>
      <w:r w:rsidRPr="002E414B">
        <w:rPr>
          <w:rStyle w:val="normaltextrun"/>
          <w:rFonts w:ascii="Arial" w:hAnsi="Arial" w:cs="Arial"/>
        </w:rPr>
        <w:t xml:space="preserve">The Act is also subject to criticism because it ignores certain </w:t>
      </w:r>
      <w:r w:rsidRPr="002E414B">
        <w:rPr>
          <w:rStyle w:val="normaltextrun"/>
          <w:rFonts w:ascii="Arial" w:hAnsi="Arial" w:cs="Arial"/>
        </w:rPr>
        <w:lastRenderedPageBreak/>
        <w:t xml:space="preserve">injuries that are now deemed to be equally significant, such as psychological injuries, which are now more widely acknowledged in contemporary society. </w:t>
      </w:r>
      <w:proofErr w:type="gramStart"/>
      <w:r w:rsidRPr="002E414B">
        <w:rPr>
          <w:rStyle w:val="normaltextrun"/>
          <w:rFonts w:ascii="Arial" w:hAnsi="Arial" w:cs="Arial"/>
        </w:rPr>
        <w:t>Despite the fact that</w:t>
      </w:r>
      <w:proofErr w:type="gramEnd"/>
      <w:r w:rsidRPr="002E414B">
        <w:rPr>
          <w:rStyle w:val="normaltextrun"/>
          <w:rFonts w:ascii="Arial" w:hAnsi="Arial" w:cs="Arial"/>
        </w:rPr>
        <w:t xml:space="preserve"> recognised psychological trauma is now considered to be actual bodily harm. This was the case in R v. Chan-Fook [1993], where the court determined that psychological injury would fall under the definition of "actual bodily harm"</w:t>
      </w:r>
      <w:r w:rsidR="00635FE7">
        <w:rPr>
          <w:rStyle w:val="normaltextrun"/>
          <w:rFonts w:ascii="Arial" w:hAnsi="Arial" w:cs="Arial"/>
        </w:rPr>
        <w:t xml:space="preserve"> </w:t>
      </w:r>
      <w:r w:rsidR="007979DF" w:rsidRPr="002E414B">
        <w:rPr>
          <w:rStyle w:val="normaltextrun"/>
          <w:rFonts w:ascii="Arial" w:hAnsi="Arial" w:cs="Arial"/>
        </w:rPr>
        <w:t xml:space="preserve">(Law Teacher, 2013). </w:t>
      </w:r>
      <w:r w:rsidRPr="002E414B">
        <w:rPr>
          <w:rStyle w:val="normaltextrun"/>
          <w:rFonts w:ascii="Arial" w:hAnsi="Arial" w:cs="Arial"/>
        </w:rPr>
        <w:t>The law does not make this clear and classifying it as a "bodily" injury seems out of date</w:t>
      </w:r>
      <w:r w:rsidR="007979DF" w:rsidRPr="002E414B">
        <w:rPr>
          <w:rStyle w:val="normaltextrun"/>
          <w:rFonts w:ascii="Arial" w:hAnsi="Arial" w:cs="Arial"/>
        </w:rPr>
        <w:t xml:space="preserve"> (Oxford Royale, no date).</w:t>
      </w:r>
    </w:p>
    <w:p w14:paraId="13CFF078" w14:textId="77777777" w:rsidR="00B761F1" w:rsidRPr="00B761F1" w:rsidRDefault="00B761F1" w:rsidP="002E414B">
      <w:pPr>
        <w:pStyle w:val="paragraph"/>
        <w:spacing w:before="0" w:beforeAutospacing="0" w:after="0" w:afterAutospacing="0" w:line="360" w:lineRule="auto"/>
        <w:textAlignment w:val="baseline"/>
        <w:rPr>
          <w:rStyle w:val="normaltextrun"/>
          <w:rFonts w:ascii="Arial" w:hAnsi="Arial" w:cs="Arial"/>
          <w:color w:val="000000"/>
        </w:rPr>
      </w:pPr>
    </w:p>
    <w:p w14:paraId="760E372E" w14:textId="041DFD11"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t xml:space="preserve">Another </w:t>
      </w:r>
      <w:r w:rsidR="00290A0B" w:rsidRPr="002E414B">
        <w:rPr>
          <w:rStyle w:val="normaltextrun"/>
          <w:rFonts w:ascii="Arial" w:hAnsi="Arial" w:cs="Arial"/>
        </w:rPr>
        <w:t xml:space="preserve">argument </w:t>
      </w:r>
      <w:r w:rsidRPr="002E414B">
        <w:rPr>
          <w:rStyle w:val="normaltextrun"/>
          <w:rFonts w:ascii="Arial" w:hAnsi="Arial" w:cs="Arial"/>
        </w:rPr>
        <w:t xml:space="preserve">as to why the Offences Against the Person Act 1861 should be reformed </w:t>
      </w:r>
      <w:r w:rsidR="007E5E9F" w:rsidRPr="002E414B">
        <w:rPr>
          <w:rStyle w:val="normaltextrun"/>
          <w:rFonts w:ascii="Arial" w:hAnsi="Arial" w:cs="Arial"/>
        </w:rPr>
        <w:t>derives from its</w:t>
      </w:r>
      <w:r w:rsidRPr="002E414B">
        <w:rPr>
          <w:rStyle w:val="normaltextrun"/>
          <w:rFonts w:ascii="Arial" w:hAnsi="Arial" w:cs="Arial"/>
        </w:rPr>
        <w:t> failure to establish a structured hierarchy of offences within the hierarchy of fundamental non-fatal offences.</w:t>
      </w:r>
      <w:r w:rsidR="00635FE7">
        <w:rPr>
          <w:rStyle w:val="normaltextrun"/>
          <w:rFonts w:ascii="Arial" w:hAnsi="Arial" w:cs="Arial"/>
        </w:rPr>
        <w:t xml:space="preserve"> </w:t>
      </w:r>
      <w:r w:rsidRPr="002E414B">
        <w:rPr>
          <w:rStyle w:val="normaltextrun"/>
          <w:rFonts w:ascii="Arial" w:hAnsi="Arial" w:cs="Arial"/>
        </w:rPr>
        <w:t>The hierarchy of offences, which starts with common assault</w:t>
      </w:r>
      <w:r w:rsidR="001A4197" w:rsidRPr="002E414B">
        <w:rPr>
          <w:rStyle w:val="normaltextrun"/>
          <w:rFonts w:ascii="Arial" w:hAnsi="Arial" w:cs="Arial"/>
        </w:rPr>
        <w:t xml:space="preserve"> </w:t>
      </w:r>
      <w:r w:rsidRPr="002E414B">
        <w:rPr>
          <w:rStyle w:val="normaltextrun"/>
          <w:rFonts w:ascii="Arial" w:hAnsi="Arial" w:cs="Arial"/>
        </w:rPr>
        <w:t xml:space="preserve">commonly referred to as the least serious offence, </w:t>
      </w:r>
      <w:r w:rsidR="00803880" w:rsidRPr="002E414B">
        <w:rPr>
          <w:rStyle w:val="normaltextrun"/>
          <w:rFonts w:ascii="Arial" w:hAnsi="Arial" w:cs="Arial"/>
        </w:rPr>
        <w:t xml:space="preserve">escalating </w:t>
      </w:r>
      <w:r w:rsidRPr="002E414B">
        <w:rPr>
          <w:rStyle w:val="normaltextrun"/>
          <w:rFonts w:ascii="Arial" w:hAnsi="Arial" w:cs="Arial"/>
        </w:rPr>
        <w:t xml:space="preserve">to the offence of actual bodily harm under Section 47 and concludes with </w:t>
      </w:r>
      <w:r w:rsidR="00E02EF1" w:rsidRPr="002E414B">
        <w:rPr>
          <w:rStyle w:val="normaltextrun"/>
          <w:rFonts w:ascii="Arial" w:hAnsi="Arial" w:cs="Arial"/>
        </w:rPr>
        <w:t xml:space="preserve">grievous bodily harm </w:t>
      </w:r>
      <w:r w:rsidRPr="002E414B">
        <w:rPr>
          <w:rStyle w:val="normaltextrun"/>
          <w:rFonts w:ascii="Arial" w:hAnsi="Arial" w:cs="Arial"/>
        </w:rPr>
        <w:t>offences under Section 20 and Section 18 of the Offences Against the Person Act.</w:t>
      </w:r>
      <w:r w:rsidR="00B761F1">
        <w:rPr>
          <w:rStyle w:val="normaltextrun"/>
          <w:rFonts w:ascii="Arial" w:hAnsi="Arial" w:cs="Arial"/>
        </w:rPr>
        <w:t xml:space="preserve"> </w:t>
      </w:r>
      <w:r w:rsidRPr="002E414B">
        <w:rPr>
          <w:rStyle w:val="normaltextrun"/>
          <w:rFonts w:ascii="Arial" w:hAnsi="Arial" w:cs="Arial"/>
        </w:rPr>
        <w:t>In an article written by</w:t>
      </w:r>
      <w:r w:rsidR="007979DF" w:rsidRPr="002E414B">
        <w:rPr>
          <w:rFonts w:ascii="Arial" w:hAnsi="Arial" w:cs="Arial"/>
        </w:rPr>
        <w:t xml:space="preserve"> Demetriou, S. (2016)</w:t>
      </w:r>
      <w:r w:rsidR="007979DF" w:rsidRPr="002E414B">
        <w:rPr>
          <w:rStyle w:val="normaltextrun"/>
          <w:rFonts w:ascii="Arial" w:hAnsi="Arial" w:cs="Arial"/>
        </w:rPr>
        <w:t xml:space="preserve"> </w:t>
      </w:r>
      <w:r w:rsidRPr="002E414B">
        <w:rPr>
          <w:rStyle w:val="normaltextrun"/>
          <w:rFonts w:ascii="Arial" w:hAnsi="Arial" w:cs="Arial"/>
        </w:rPr>
        <w:t xml:space="preserve">he </w:t>
      </w:r>
      <w:r w:rsidR="006D597E" w:rsidRPr="002E414B">
        <w:rPr>
          <w:rStyle w:val="normaltextrun"/>
          <w:rFonts w:ascii="Arial" w:hAnsi="Arial" w:cs="Arial"/>
        </w:rPr>
        <w:t>states</w:t>
      </w:r>
      <w:r w:rsidRPr="002E414B">
        <w:rPr>
          <w:rStyle w:val="normaltextrun"/>
          <w:rFonts w:ascii="Arial" w:hAnsi="Arial" w:cs="Arial"/>
        </w:rPr>
        <w:t xml:space="preserve"> that it had been proposed that the two primary issues contributing to this deficiency are the broad application of constructive liability and the absence of a clear differentiation between the offences committed by this group.</w:t>
      </w:r>
      <w:r w:rsidRPr="002E414B">
        <w:rPr>
          <w:rStyle w:val="eop"/>
          <w:rFonts w:ascii="Arial" w:hAnsi="Arial" w:cs="Arial"/>
        </w:rPr>
        <w:t> </w:t>
      </w:r>
    </w:p>
    <w:p w14:paraId="1A67C684" w14:textId="77777777"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eop"/>
          <w:rFonts w:ascii="Arial" w:hAnsi="Arial" w:cs="Arial"/>
        </w:rPr>
        <w:t> </w:t>
      </w:r>
    </w:p>
    <w:p w14:paraId="1A377186" w14:textId="32DDD2B1" w:rsidR="00AB27F9" w:rsidRPr="00A049CD" w:rsidRDefault="00F24BD5" w:rsidP="002E414B">
      <w:pPr>
        <w:pStyle w:val="paragraph"/>
        <w:spacing w:before="0" w:beforeAutospacing="0" w:after="0" w:afterAutospacing="0" w:line="360" w:lineRule="auto"/>
        <w:textAlignment w:val="baseline"/>
        <w:rPr>
          <w:rFonts w:ascii="Arial" w:hAnsi="Arial" w:cs="Arial"/>
        </w:rPr>
      </w:pPr>
      <w:r w:rsidRPr="002E414B">
        <w:rPr>
          <w:rStyle w:val="normaltextrun"/>
          <w:rFonts w:ascii="Arial" w:hAnsi="Arial" w:cs="Arial"/>
        </w:rPr>
        <w:t xml:space="preserve">Furthermore, </w:t>
      </w:r>
      <w:r w:rsidR="00AB27F9" w:rsidRPr="002E414B">
        <w:rPr>
          <w:rStyle w:val="normaltextrun"/>
          <w:rFonts w:ascii="Arial" w:hAnsi="Arial" w:cs="Arial"/>
        </w:rPr>
        <w:t xml:space="preserve">the Offences Against the Person Act [1861] overlaps with the Serious </w:t>
      </w:r>
      <w:r w:rsidR="005F3665" w:rsidRPr="002E414B">
        <w:rPr>
          <w:rStyle w:val="normaltextrun"/>
          <w:rFonts w:ascii="Arial" w:hAnsi="Arial" w:cs="Arial"/>
        </w:rPr>
        <w:t>C</w:t>
      </w:r>
      <w:r w:rsidR="00AB27F9" w:rsidRPr="002E414B">
        <w:rPr>
          <w:rStyle w:val="normaltextrun"/>
          <w:rFonts w:ascii="Arial" w:hAnsi="Arial" w:cs="Arial"/>
        </w:rPr>
        <w:t xml:space="preserve">rimes </w:t>
      </w:r>
      <w:r w:rsidR="005F3665" w:rsidRPr="002E414B">
        <w:rPr>
          <w:rStyle w:val="normaltextrun"/>
          <w:rFonts w:ascii="Arial" w:hAnsi="Arial" w:cs="Arial"/>
        </w:rPr>
        <w:t>A</w:t>
      </w:r>
      <w:r w:rsidR="00AB27F9" w:rsidRPr="002E414B">
        <w:rPr>
          <w:rStyle w:val="normaltextrun"/>
          <w:rFonts w:ascii="Arial" w:hAnsi="Arial" w:cs="Arial"/>
        </w:rPr>
        <w:t xml:space="preserve">ct [2015] </w:t>
      </w:r>
      <w:r w:rsidR="007979DF" w:rsidRPr="002E414B">
        <w:rPr>
          <w:rStyle w:val="normaltextrun"/>
          <w:rFonts w:ascii="Arial" w:hAnsi="Arial" w:cs="Arial"/>
        </w:rPr>
        <w:t>(</w:t>
      </w:r>
      <w:proofErr w:type="spellStart"/>
      <w:r w:rsidR="007979DF" w:rsidRPr="002E414B">
        <w:rPr>
          <w:rFonts w:ascii="Arial" w:hAnsi="Arial" w:cs="Arial"/>
        </w:rPr>
        <w:t>Dzwairo</w:t>
      </w:r>
      <w:proofErr w:type="spellEnd"/>
      <w:r w:rsidR="007979DF" w:rsidRPr="002E414B">
        <w:rPr>
          <w:rFonts w:ascii="Arial" w:hAnsi="Arial" w:cs="Arial"/>
        </w:rPr>
        <w:t xml:space="preserve">, R. 2018). </w:t>
      </w:r>
      <w:r w:rsidR="00AB27F9" w:rsidRPr="002E414B">
        <w:rPr>
          <w:rStyle w:val="normaltextrun"/>
          <w:rFonts w:ascii="Arial" w:hAnsi="Arial" w:cs="Arial"/>
        </w:rPr>
        <w:t>The offence of controlling or coercive behaviour in an intimate or family relationship is introduced in Section 76 of the Serious Crime Act [2015] where it states under subsection 1 (a, b) t</w:t>
      </w:r>
      <w:r w:rsidR="00AB27F9" w:rsidRPr="002E414B">
        <w:rPr>
          <w:rStyle w:val="normaltextrun"/>
          <w:rFonts w:ascii="Arial" w:hAnsi="Arial" w:cs="Arial"/>
          <w:color w:val="1E1E1E"/>
        </w:rPr>
        <w:t>hat a person commits an offence if they repeatedly or continuously engage in behaviour towards another person that is controlling or coercive</w:t>
      </w:r>
      <w:r w:rsidR="002E414B" w:rsidRPr="002E414B">
        <w:rPr>
          <w:rFonts w:ascii="Arial" w:hAnsi="Arial" w:cs="Arial"/>
        </w:rPr>
        <w:t xml:space="preserve"> (Serious Crime Act 2015).</w:t>
      </w:r>
      <w:r w:rsidR="00AB27F9" w:rsidRPr="002E414B">
        <w:rPr>
          <w:rStyle w:val="normaltextrun"/>
          <w:rFonts w:ascii="Arial" w:hAnsi="Arial" w:cs="Arial"/>
          <w:color w:val="1E1E1E"/>
        </w:rPr>
        <w:t xml:space="preserve"> </w:t>
      </w:r>
      <w:r w:rsidR="00AB27F9" w:rsidRPr="002E414B">
        <w:rPr>
          <w:rStyle w:val="normaltextrun"/>
          <w:rFonts w:ascii="Arial" w:hAnsi="Arial" w:cs="Arial"/>
        </w:rPr>
        <w:t>This offence aims to make actions that may harm another person in a domestic context like manipulation illegal. It is suggested the offence was carried out as a response to the R v. Dhaliwal 2006 ruling where a woman chose to take her own life after experiencing psychological abuse at the hands of her former partner</w:t>
      </w:r>
      <w:r w:rsidR="007979DF" w:rsidRPr="002E414B">
        <w:rPr>
          <w:rStyle w:val="normaltextrun"/>
          <w:rFonts w:ascii="Arial" w:hAnsi="Arial" w:cs="Arial"/>
        </w:rPr>
        <w:t xml:space="preserve"> (</w:t>
      </w:r>
      <w:r w:rsidR="007979DF" w:rsidRPr="002E414B">
        <w:rPr>
          <w:rFonts w:ascii="Arial" w:hAnsi="Arial" w:cs="Arial"/>
        </w:rPr>
        <w:t>Child, J. and Ormerod, D. 2017).</w:t>
      </w:r>
      <w:r w:rsidR="00A049CD">
        <w:rPr>
          <w:rStyle w:val="normaltextrun"/>
          <w:rFonts w:ascii="Arial" w:hAnsi="Arial" w:cs="Arial"/>
        </w:rPr>
        <w:t xml:space="preserve"> </w:t>
      </w:r>
      <w:r w:rsidR="00AB27F9" w:rsidRPr="002E414B">
        <w:rPr>
          <w:rStyle w:val="normaltextrun"/>
          <w:rFonts w:ascii="Arial" w:hAnsi="Arial" w:cs="Arial"/>
        </w:rPr>
        <w:t>Using psychological harm as the foundation for the charge, the police chose to prosecute the offence under section 20 of the Offences Against the Person Act [1861] instead of the offence stated under the S</w:t>
      </w:r>
      <w:r w:rsidR="007E255A" w:rsidRPr="002E414B">
        <w:rPr>
          <w:rStyle w:val="normaltextrun"/>
          <w:rFonts w:ascii="Arial" w:hAnsi="Arial" w:cs="Arial"/>
        </w:rPr>
        <w:t xml:space="preserve">erios </w:t>
      </w:r>
      <w:r w:rsidR="00AB27F9" w:rsidRPr="002E414B">
        <w:rPr>
          <w:rStyle w:val="normaltextrun"/>
          <w:rFonts w:ascii="Arial" w:hAnsi="Arial" w:cs="Arial"/>
        </w:rPr>
        <w:t>C</w:t>
      </w:r>
      <w:r w:rsidR="007E255A" w:rsidRPr="002E414B">
        <w:rPr>
          <w:rStyle w:val="normaltextrun"/>
          <w:rFonts w:ascii="Arial" w:hAnsi="Arial" w:cs="Arial"/>
        </w:rPr>
        <w:t xml:space="preserve">rimes </w:t>
      </w:r>
      <w:r w:rsidR="00AB27F9" w:rsidRPr="002E414B">
        <w:rPr>
          <w:rStyle w:val="normaltextrun"/>
          <w:rFonts w:ascii="Arial" w:hAnsi="Arial" w:cs="Arial"/>
        </w:rPr>
        <w:t>A</w:t>
      </w:r>
      <w:r w:rsidR="007E255A" w:rsidRPr="002E414B">
        <w:rPr>
          <w:rStyle w:val="normaltextrun"/>
          <w:rFonts w:ascii="Arial" w:hAnsi="Arial" w:cs="Arial"/>
        </w:rPr>
        <w:t>ct</w:t>
      </w:r>
      <w:r w:rsidR="00AB27F9" w:rsidRPr="002E414B">
        <w:rPr>
          <w:rStyle w:val="normaltextrun"/>
          <w:rFonts w:ascii="Arial" w:hAnsi="Arial" w:cs="Arial"/>
        </w:rPr>
        <w:t xml:space="preserve"> [2015]</w:t>
      </w:r>
      <w:r w:rsidR="005F3665" w:rsidRPr="002E414B">
        <w:rPr>
          <w:rStyle w:val="normaltextrun"/>
          <w:rFonts w:ascii="Arial" w:hAnsi="Arial" w:cs="Arial"/>
        </w:rPr>
        <w:t>.</w:t>
      </w:r>
      <w:r w:rsidR="00AB27F9" w:rsidRPr="002E414B">
        <w:rPr>
          <w:rStyle w:val="normaltextrun"/>
          <w:rFonts w:ascii="Arial" w:hAnsi="Arial" w:cs="Arial"/>
        </w:rPr>
        <w:t xml:space="preserve"> </w:t>
      </w:r>
      <w:r w:rsidR="00715BF6" w:rsidRPr="002E414B">
        <w:rPr>
          <w:rStyle w:val="normaltextrun"/>
          <w:rFonts w:ascii="Arial" w:hAnsi="Arial" w:cs="Arial"/>
        </w:rPr>
        <w:t xml:space="preserve">This clearly showing </w:t>
      </w:r>
      <w:r w:rsidR="00855D40" w:rsidRPr="002E414B">
        <w:rPr>
          <w:rStyle w:val="normaltextrun"/>
          <w:rFonts w:ascii="Arial" w:hAnsi="Arial" w:cs="Arial"/>
        </w:rPr>
        <w:t xml:space="preserve">an </w:t>
      </w:r>
      <w:r w:rsidR="00AB27F9" w:rsidRPr="002E414B">
        <w:rPr>
          <w:rStyle w:val="normaltextrun"/>
          <w:rFonts w:ascii="Arial" w:hAnsi="Arial" w:cs="Arial"/>
        </w:rPr>
        <w:t xml:space="preserve">overlap </w:t>
      </w:r>
      <w:r w:rsidR="00855D40" w:rsidRPr="002E414B">
        <w:rPr>
          <w:rStyle w:val="normaltextrun"/>
          <w:rFonts w:ascii="Arial" w:hAnsi="Arial" w:cs="Arial"/>
        </w:rPr>
        <w:t xml:space="preserve">between </w:t>
      </w:r>
      <w:r w:rsidR="000C5BD7" w:rsidRPr="002E414B">
        <w:rPr>
          <w:rStyle w:val="normaltextrun"/>
          <w:rFonts w:ascii="Arial" w:hAnsi="Arial" w:cs="Arial"/>
        </w:rPr>
        <w:t xml:space="preserve">these two key pieces of </w:t>
      </w:r>
      <w:r w:rsidR="001A4197" w:rsidRPr="002E414B">
        <w:rPr>
          <w:rStyle w:val="normaltextrun"/>
          <w:rFonts w:ascii="Arial" w:hAnsi="Arial" w:cs="Arial"/>
        </w:rPr>
        <w:t>legislation.</w:t>
      </w:r>
    </w:p>
    <w:p w14:paraId="5C0AE4AA" w14:textId="77777777" w:rsidR="00AB27F9" w:rsidRPr="002E414B" w:rsidRDefault="00AB27F9" w:rsidP="002E414B">
      <w:pPr>
        <w:pStyle w:val="paragraph"/>
        <w:spacing w:before="0" w:beforeAutospacing="0" w:after="0" w:afterAutospacing="0" w:line="360" w:lineRule="auto"/>
        <w:textAlignment w:val="baseline"/>
        <w:rPr>
          <w:rFonts w:ascii="Arial" w:hAnsi="Arial" w:cs="Arial"/>
        </w:rPr>
      </w:pPr>
      <w:r w:rsidRPr="002E414B">
        <w:rPr>
          <w:rStyle w:val="eop"/>
          <w:rFonts w:ascii="Arial" w:hAnsi="Arial" w:cs="Arial"/>
        </w:rPr>
        <w:t> </w:t>
      </w:r>
    </w:p>
    <w:p w14:paraId="7EE03775" w14:textId="44FEE10E" w:rsidR="00D3054E" w:rsidRPr="002E414B" w:rsidRDefault="00AB27F9" w:rsidP="002E414B">
      <w:pPr>
        <w:pStyle w:val="paragraph"/>
        <w:spacing w:before="0" w:beforeAutospacing="0" w:after="0" w:afterAutospacing="0" w:line="360" w:lineRule="auto"/>
        <w:textAlignment w:val="baseline"/>
        <w:rPr>
          <w:rStyle w:val="normaltextrun"/>
          <w:rFonts w:ascii="Arial" w:hAnsi="Arial" w:cs="Arial"/>
        </w:rPr>
      </w:pPr>
      <w:r w:rsidRPr="002E414B">
        <w:rPr>
          <w:rStyle w:val="normaltextrun"/>
          <w:rFonts w:ascii="Arial" w:hAnsi="Arial" w:cs="Arial"/>
        </w:rPr>
        <w:lastRenderedPageBreak/>
        <w:t xml:space="preserve">To conclude, the Offences Against the Person Act [1861] is in dire need of reformation in order </w:t>
      </w:r>
      <w:r w:rsidR="001E42F6" w:rsidRPr="002E414B">
        <w:rPr>
          <w:rStyle w:val="normaltextrun"/>
          <w:rFonts w:ascii="Arial" w:hAnsi="Arial" w:cs="Arial"/>
        </w:rPr>
        <w:t>to reflect</w:t>
      </w:r>
      <w:r w:rsidR="00C93FBA" w:rsidRPr="002E414B">
        <w:rPr>
          <w:rStyle w:val="normaltextrun"/>
          <w:rFonts w:ascii="Arial" w:hAnsi="Arial" w:cs="Arial"/>
        </w:rPr>
        <w:t xml:space="preserve"> modern society whilst ensuring </w:t>
      </w:r>
      <w:r w:rsidR="001E42F6" w:rsidRPr="002E414B">
        <w:rPr>
          <w:rStyle w:val="normaltextrun"/>
          <w:rFonts w:ascii="Arial" w:hAnsi="Arial" w:cs="Arial"/>
        </w:rPr>
        <w:t>the offences can be prosecuted in a more efficient manner.</w:t>
      </w:r>
      <w:r w:rsidR="001A4197" w:rsidRPr="002E414B">
        <w:rPr>
          <w:rStyle w:val="normaltextrun"/>
          <w:rFonts w:ascii="Arial" w:hAnsi="Arial" w:cs="Arial"/>
        </w:rPr>
        <w:t xml:space="preserve"> </w:t>
      </w:r>
      <w:r w:rsidRPr="002E414B">
        <w:rPr>
          <w:rStyle w:val="normaltextrun"/>
          <w:rFonts w:ascii="Arial" w:hAnsi="Arial" w:cs="Arial"/>
        </w:rPr>
        <w:t>The main recognised issues as addressed within this essay are the outdated language and terminology as well as the unnecessary offences within the act.</w:t>
      </w:r>
      <w:r w:rsidR="001A4197" w:rsidRPr="002E414B">
        <w:rPr>
          <w:rStyle w:val="normaltextrun"/>
          <w:rFonts w:ascii="Arial" w:hAnsi="Arial" w:cs="Arial"/>
        </w:rPr>
        <w:t xml:space="preserve"> </w:t>
      </w:r>
      <w:r w:rsidR="00DE5B00" w:rsidRPr="002E414B">
        <w:rPr>
          <w:rStyle w:val="normaltextrun"/>
          <w:rFonts w:ascii="Arial" w:hAnsi="Arial" w:cs="Arial"/>
        </w:rPr>
        <w:t xml:space="preserve">A key point to be included within any </w:t>
      </w:r>
      <w:r w:rsidRPr="002E414B">
        <w:rPr>
          <w:rStyle w:val="normaltextrun"/>
          <w:rFonts w:ascii="Arial" w:hAnsi="Arial" w:cs="Arial"/>
        </w:rPr>
        <w:t xml:space="preserve">reformation would be to include offences such as psychological harm instead of categorising </w:t>
      </w:r>
      <w:r w:rsidR="00B93DA7" w:rsidRPr="002E414B">
        <w:rPr>
          <w:rStyle w:val="normaltextrun"/>
          <w:rFonts w:ascii="Arial" w:hAnsi="Arial" w:cs="Arial"/>
        </w:rPr>
        <w:t xml:space="preserve">these </w:t>
      </w:r>
      <w:r w:rsidRPr="002E414B">
        <w:rPr>
          <w:rStyle w:val="normaltextrun"/>
          <w:rFonts w:ascii="Arial" w:hAnsi="Arial" w:cs="Arial"/>
        </w:rPr>
        <w:t>under Section 47</w:t>
      </w:r>
      <w:r w:rsidR="00D3054E" w:rsidRPr="002E414B">
        <w:rPr>
          <w:rStyle w:val="normaltextrun"/>
          <w:rFonts w:ascii="Arial" w:hAnsi="Arial" w:cs="Arial"/>
        </w:rPr>
        <w:t xml:space="preserve"> and that of </w:t>
      </w:r>
      <w:r w:rsidRPr="002E414B">
        <w:rPr>
          <w:rStyle w:val="normaltextrun"/>
          <w:rFonts w:ascii="Arial" w:hAnsi="Arial" w:cs="Arial"/>
        </w:rPr>
        <w:t xml:space="preserve">actual bodily harm. </w:t>
      </w:r>
    </w:p>
    <w:p w14:paraId="28F3366F" w14:textId="549CD2F9" w:rsidR="00AB27F9" w:rsidRDefault="00AB27F9" w:rsidP="002E414B">
      <w:pPr>
        <w:pStyle w:val="paragraph"/>
        <w:spacing w:before="0" w:beforeAutospacing="0" w:after="0" w:afterAutospacing="0" w:line="360" w:lineRule="auto"/>
        <w:textAlignment w:val="baseline"/>
        <w:rPr>
          <w:rStyle w:val="normaltextrun"/>
          <w:rFonts w:ascii="Arial" w:hAnsi="Arial" w:cs="Arial"/>
        </w:rPr>
      </w:pPr>
      <w:r w:rsidRPr="002E414B">
        <w:rPr>
          <w:rStyle w:val="normaltextrun"/>
          <w:rFonts w:ascii="Arial" w:hAnsi="Arial" w:cs="Arial"/>
        </w:rPr>
        <w:t>According to</w:t>
      </w:r>
      <w:r w:rsidR="007979DF" w:rsidRPr="002E414B">
        <w:rPr>
          <w:rStyle w:val="normaltextrun"/>
          <w:rFonts w:ascii="Arial" w:hAnsi="Arial" w:cs="Arial"/>
        </w:rPr>
        <w:t xml:space="preserve"> Law Commission UK (no date)</w:t>
      </w:r>
      <w:r w:rsidRPr="002E414B">
        <w:rPr>
          <w:rStyle w:val="normaltextrun"/>
          <w:rFonts w:ascii="Arial" w:hAnsi="Arial" w:cs="Arial"/>
        </w:rPr>
        <w:t xml:space="preserve"> </w:t>
      </w:r>
      <w:r w:rsidR="00D3054E" w:rsidRPr="002E414B">
        <w:rPr>
          <w:rStyle w:val="normaltextrun"/>
          <w:rFonts w:ascii="Arial" w:hAnsi="Arial" w:cs="Arial"/>
        </w:rPr>
        <w:t xml:space="preserve">its </w:t>
      </w:r>
      <w:r w:rsidRPr="002E414B">
        <w:rPr>
          <w:rStyle w:val="normaltextrun"/>
          <w:rFonts w:ascii="Arial" w:hAnsi="Arial" w:cs="Arial"/>
        </w:rPr>
        <w:t>recommendation for reformation is to replace the Offences Against the Person Act with more recent legislation, which will be heavily based on a Bill that was drafted as part of a previous reform attempt</w:t>
      </w:r>
      <w:r w:rsidRPr="002E414B">
        <w:rPr>
          <w:rStyle w:val="normaltextrun"/>
          <w:rFonts w:ascii="Arial" w:hAnsi="Arial" w:cs="Arial"/>
          <w:color w:val="FF0000"/>
        </w:rPr>
        <w:t xml:space="preserve"> </w:t>
      </w:r>
      <w:r w:rsidRPr="002E414B">
        <w:rPr>
          <w:rStyle w:val="normaltextrun"/>
          <w:rFonts w:ascii="Arial" w:hAnsi="Arial" w:cs="Arial"/>
        </w:rPr>
        <w:t xml:space="preserve">by the Home Office. The proposed reform would also ensure that the offences are more clearly defined and arranged in a more sensible order. </w:t>
      </w:r>
      <w:r w:rsidR="000476EF" w:rsidRPr="002E414B">
        <w:rPr>
          <w:rStyle w:val="normaltextrun"/>
          <w:rFonts w:ascii="Arial" w:hAnsi="Arial" w:cs="Arial"/>
        </w:rPr>
        <w:t>A</w:t>
      </w:r>
      <w:r w:rsidR="004A755C" w:rsidRPr="002E414B">
        <w:rPr>
          <w:rStyle w:val="normaltextrun"/>
          <w:rFonts w:ascii="Arial" w:hAnsi="Arial" w:cs="Arial"/>
        </w:rPr>
        <w:t xml:space="preserve">ny such reform would </w:t>
      </w:r>
      <w:r w:rsidR="0008124B" w:rsidRPr="002E414B">
        <w:rPr>
          <w:rStyle w:val="normaltextrun"/>
          <w:rFonts w:ascii="Arial" w:hAnsi="Arial" w:cs="Arial"/>
        </w:rPr>
        <w:t xml:space="preserve">also </w:t>
      </w:r>
      <w:r w:rsidR="004A755C" w:rsidRPr="002E414B">
        <w:rPr>
          <w:rStyle w:val="normaltextrun"/>
          <w:rFonts w:ascii="Arial" w:hAnsi="Arial" w:cs="Arial"/>
        </w:rPr>
        <w:t xml:space="preserve">help </w:t>
      </w:r>
      <w:r w:rsidRPr="002E414B">
        <w:rPr>
          <w:rStyle w:val="normaltextrun"/>
          <w:rFonts w:ascii="Arial" w:hAnsi="Arial" w:cs="Arial"/>
        </w:rPr>
        <w:t xml:space="preserve">to ensure that sentencing </w:t>
      </w:r>
      <w:r w:rsidR="0008124B" w:rsidRPr="002E414B">
        <w:rPr>
          <w:rStyle w:val="normaltextrun"/>
          <w:rFonts w:ascii="Arial" w:hAnsi="Arial" w:cs="Arial"/>
        </w:rPr>
        <w:t>remains</w:t>
      </w:r>
      <w:r w:rsidRPr="002E414B">
        <w:rPr>
          <w:rStyle w:val="normaltextrun"/>
          <w:rFonts w:ascii="Arial" w:hAnsi="Arial" w:cs="Arial"/>
        </w:rPr>
        <w:t xml:space="preserve"> consistent</w:t>
      </w:r>
      <w:r w:rsidR="000476EF" w:rsidRPr="002E414B">
        <w:rPr>
          <w:rStyle w:val="normaltextrun"/>
          <w:rFonts w:ascii="Arial" w:hAnsi="Arial" w:cs="Arial"/>
        </w:rPr>
        <w:t>. In addition</w:t>
      </w:r>
      <w:r w:rsidR="004970F7" w:rsidRPr="002E414B">
        <w:rPr>
          <w:rStyle w:val="normaltextrun"/>
          <w:rFonts w:ascii="Arial" w:hAnsi="Arial" w:cs="Arial"/>
        </w:rPr>
        <w:t xml:space="preserve"> to the points highlighted above</w:t>
      </w:r>
      <w:r w:rsidR="000476EF" w:rsidRPr="002E414B">
        <w:rPr>
          <w:rStyle w:val="normaltextrun"/>
          <w:rFonts w:ascii="Arial" w:hAnsi="Arial" w:cs="Arial"/>
        </w:rPr>
        <w:t xml:space="preserve">, </w:t>
      </w:r>
      <w:r w:rsidRPr="002E414B">
        <w:rPr>
          <w:rStyle w:val="normaltextrun"/>
          <w:rFonts w:ascii="Arial" w:hAnsi="Arial" w:cs="Arial"/>
        </w:rPr>
        <w:t xml:space="preserve">the reform would also assist in addressing some procedural issues within the act. Reformation would </w:t>
      </w:r>
      <w:r w:rsidR="004970F7" w:rsidRPr="002E414B">
        <w:rPr>
          <w:rStyle w:val="normaltextrun"/>
          <w:rFonts w:ascii="Arial" w:hAnsi="Arial" w:cs="Arial"/>
        </w:rPr>
        <w:t xml:space="preserve">further assist the legal system in </w:t>
      </w:r>
      <w:r w:rsidR="004670F9" w:rsidRPr="002E414B">
        <w:rPr>
          <w:rStyle w:val="normaltextrun"/>
          <w:rFonts w:ascii="Arial" w:hAnsi="Arial" w:cs="Arial"/>
        </w:rPr>
        <w:t xml:space="preserve">ensuring </w:t>
      </w:r>
      <w:r w:rsidRPr="002E414B">
        <w:rPr>
          <w:rStyle w:val="normaltextrun"/>
          <w:rFonts w:ascii="Arial" w:hAnsi="Arial" w:cs="Arial"/>
        </w:rPr>
        <w:t xml:space="preserve">here was no widespread application of constructive liability and that the offences were organised in a clear hierarchy. </w:t>
      </w:r>
      <w:r w:rsidR="00191D10" w:rsidRPr="002E414B">
        <w:rPr>
          <w:rStyle w:val="normaltextrun"/>
          <w:rFonts w:ascii="Arial" w:hAnsi="Arial" w:cs="Arial"/>
        </w:rPr>
        <w:t>Finally, t</w:t>
      </w:r>
      <w:r w:rsidRPr="002E414B">
        <w:rPr>
          <w:rStyle w:val="normaltextrun"/>
          <w:rFonts w:ascii="Arial" w:hAnsi="Arial" w:cs="Arial"/>
        </w:rPr>
        <w:t xml:space="preserve">rimming unnecessary and obsolete offences as well as minimising the overlap with other acts would be beneficial </w:t>
      </w:r>
      <w:r w:rsidR="00642FBF" w:rsidRPr="002E414B">
        <w:rPr>
          <w:rStyle w:val="normaltextrun"/>
          <w:rFonts w:ascii="Arial" w:hAnsi="Arial" w:cs="Arial"/>
          <w:color w:val="000000" w:themeColor="text1"/>
        </w:rPr>
        <w:t xml:space="preserve">to </w:t>
      </w:r>
      <w:r w:rsidRPr="002E414B">
        <w:rPr>
          <w:rStyle w:val="normaltextrun"/>
          <w:rFonts w:ascii="Arial" w:hAnsi="Arial" w:cs="Arial"/>
        </w:rPr>
        <w:t>the act</w:t>
      </w:r>
      <w:r w:rsidR="00FB6481" w:rsidRPr="002E414B">
        <w:rPr>
          <w:rStyle w:val="normaltextrun"/>
          <w:rFonts w:ascii="Arial" w:hAnsi="Arial" w:cs="Arial"/>
        </w:rPr>
        <w:t xml:space="preserve"> simplifying and aiding in the efficient prosecution of related offences.</w:t>
      </w:r>
    </w:p>
    <w:p w14:paraId="1F566F81" w14:textId="5200618F"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73AB7F8A" w14:textId="1548D41C"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25FDFD22" w14:textId="1BE4B55B"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300E19C9" w14:textId="27FFF090"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20BC952A" w14:textId="7DB31F5B"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5BC6E19D" w14:textId="77CA321A"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22F10922" w14:textId="13F8103B"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2E9367B9" w14:textId="67FEF833"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3B84AE1F" w14:textId="02E894DD" w:rsidR="002E414B" w:rsidRDefault="002E414B" w:rsidP="002E414B">
      <w:pPr>
        <w:pStyle w:val="paragraph"/>
        <w:spacing w:before="0" w:beforeAutospacing="0" w:after="0" w:afterAutospacing="0" w:line="360" w:lineRule="auto"/>
        <w:textAlignment w:val="baseline"/>
        <w:rPr>
          <w:rStyle w:val="normaltextrun"/>
          <w:rFonts w:ascii="Arial" w:hAnsi="Arial" w:cs="Arial"/>
        </w:rPr>
      </w:pPr>
    </w:p>
    <w:p w14:paraId="2FA39D7B" w14:textId="32DD3E32"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6CA7CBB8" w14:textId="7C3F3D96"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212AAB7D" w14:textId="7D01A7F5"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43956222" w14:textId="54E27D34"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0FEA1F57" w14:textId="23C11237"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40E49801" w14:textId="77777777" w:rsidR="00A049CD" w:rsidRDefault="00A049CD" w:rsidP="002E414B">
      <w:pPr>
        <w:pStyle w:val="paragraph"/>
        <w:spacing w:before="0" w:beforeAutospacing="0" w:after="0" w:afterAutospacing="0" w:line="360" w:lineRule="auto"/>
        <w:textAlignment w:val="baseline"/>
        <w:rPr>
          <w:rStyle w:val="normaltextrun"/>
          <w:rFonts w:ascii="Arial" w:hAnsi="Arial" w:cs="Arial"/>
        </w:rPr>
      </w:pPr>
    </w:p>
    <w:p w14:paraId="0236EBDE" w14:textId="77777777" w:rsidR="002E414B" w:rsidRPr="009F16E6" w:rsidRDefault="002E414B" w:rsidP="002E414B">
      <w:pPr>
        <w:spacing w:line="360" w:lineRule="auto"/>
        <w:rPr>
          <w:rFonts w:cstheme="minorHAnsi"/>
          <w:b/>
          <w:bCs/>
          <w:u w:val="single"/>
        </w:rPr>
      </w:pPr>
      <w:r w:rsidRPr="009F16E6">
        <w:rPr>
          <w:rFonts w:cstheme="minorHAnsi"/>
          <w:b/>
          <w:bCs/>
          <w:u w:val="single"/>
        </w:rPr>
        <w:lastRenderedPageBreak/>
        <w:t>References</w:t>
      </w:r>
    </w:p>
    <w:p w14:paraId="10035328" w14:textId="77777777" w:rsidR="002E414B" w:rsidRPr="009F16E6" w:rsidRDefault="002E414B" w:rsidP="002E414B">
      <w:pPr>
        <w:spacing w:line="360" w:lineRule="auto"/>
        <w:rPr>
          <w:rFonts w:cstheme="minorHAnsi"/>
        </w:rPr>
      </w:pPr>
    </w:p>
    <w:p w14:paraId="6A99DF27" w14:textId="77777777" w:rsidR="002E414B" w:rsidRPr="009F16E6" w:rsidRDefault="002E414B" w:rsidP="002E414B">
      <w:pPr>
        <w:spacing w:line="360" w:lineRule="auto"/>
        <w:rPr>
          <w:rFonts w:cstheme="minorHAnsi"/>
        </w:rPr>
      </w:pPr>
      <w:r w:rsidRPr="009F16E6">
        <w:rPr>
          <w:rFonts w:cstheme="minorHAnsi"/>
        </w:rPr>
        <w:t>Child, J. and Ormerod, D. (2017) Essentials of criminal Law. 2</w:t>
      </w:r>
      <w:r w:rsidRPr="009F16E6">
        <w:rPr>
          <w:rFonts w:cstheme="minorHAnsi"/>
          <w:vertAlign w:val="superscript"/>
        </w:rPr>
        <w:t>nd</w:t>
      </w:r>
      <w:r w:rsidRPr="009F16E6">
        <w:rPr>
          <w:rFonts w:cstheme="minorHAnsi"/>
        </w:rPr>
        <w:t xml:space="preserve"> </w:t>
      </w:r>
      <w:proofErr w:type="spellStart"/>
      <w:r w:rsidRPr="009F16E6">
        <w:rPr>
          <w:rFonts w:cstheme="minorHAnsi"/>
        </w:rPr>
        <w:t>edn</w:t>
      </w:r>
      <w:proofErr w:type="spellEnd"/>
      <w:r w:rsidRPr="009F16E6">
        <w:rPr>
          <w:rFonts w:cstheme="minorHAnsi"/>
        </w:rPr>
        <w:t>. Oxford UK: Oxford University Press</w:t>
      </w:r>
    </w:p>
    <w:p w14:paraId="6654CCC6" w14:textId="77777777" w:rsidR="002E414B" w:rsidRPr="009F16E6" w:rsidRDefault="002E414B" w:rsidP="002E414B">
      <w:pPr>
        <w:spacing w:line="360" w:lineRule="auto"/>
        <w:rPr>
          <w:rFonts w:cstheme="minorHAnsi"/>
        </w:rPr>
      </w:pPr>
    </w:p>
    <w:p w14:paraId="5E40B5B3" w14:textId="77777777" w:rsidR="002E414B" w:rsidRPr="009F16E6" w:rsidRDefault="002E414B" w:rsidP="002E414B">
      <w:pPr>
        <w:spacing w:line="360" w:lineRule="auto"/>
        <w:rPr>
          <w:rFonts w:cstheme="minorHAnsi"/>
        </w:rPr>
      </w:pPr>
      <w:r w:rsidRPr="009F16E6">
        <w:rPr>
          <w:rFonts w:cstheme="minorHAnsi"/>
        </w:rPr>
        <w:t xml:space="preserve">Demetriou, S. (2016) Not Giving Up the Fight: A Review of the Law Commissions Scoping Report on Non-Fatal Offences Against the Person. Available at: </w:t>
      </w:r>
      <w:hyperlink r:id="rId4" w:history="1">
        <w:r w:rsidRPr="009F16E6">
          <w:rPr>
            <w:rStyle w:val="Hyperlink"/>
            <w:rFonts w:cstheme="minorHAnsi"/>
          </w:rPr>
          <w:t>https://journals.sagepub.com/doi/abs/10.1177/0022018316646656</w:t>
        </w:r>
      </w:hyperlink>
      <w:r w:rsidRPr="009F16E6">
        <w:rPr>
          <w:rFonts w:cstheme="minorHAnsi"/>
        </w:rPr>
        <w:t xml:space="preserve"> [Accessed; 21/2/24]</w:t>
      </w:r>
    </w:p>
    <w:p w14:paraId="2E270878" w14:textId="77777777" w:rsidR="002E414B" w:rsidRPr="009F16E6" w:rsidRDefault="002E414B" w:rsidP="002E414B">
      <w:pPr>
        <w:spacing w:line="360" w:lineRule="auto"/>
        <w:rPr>
          <w:rFonts w:cstheme="minorHAnsi"/>
        </w:rPr>
      </w:pPr>
    </w:p>
    <w:p w14:paraId="2A7CA276" w14:textId="77777777" w:rsidR="002E414B" w:rsidRPr="009F16E6" w:rsidRDefault="002E414B" w:rsidP="002E414B">
      <w:pPr>
        <w:spacing w:line="360" w:lineRule="auto"/>
        <w:rPr>
          <w:rFonts w:cstheme="minorHAnsi"/>
        </w:rPr>
      </w:pPr>
      <w:proofErr w:type="spellStart"/>
      <w:r w:rsidRPr="009F16E6">
        <w:rPr>
          <w:rFonts w:cstheme="minorHAnsi"/>
        </w:rPr>
        <w:t>Dzwairo</w:t>
      </w:r>
      <w:proofErr w:type="spellEnd"/>
      <w:r w:rsidRPr="009F16E6">
        <w:rPr>
          <w:rFonts w:cstheme="minorHAnsi"/>
        </w:rPr>
        <w:t xml:space="preserve">, R. (2018) Does the law adequately protect victims of domestic abuse. Available at: </w:t>
      </w:r>
      <w:hyperlink r:id="rId5" w:history="1">
        <w:r w:rsidRPr="009F16E6">
          <w:rPr>
            <w:rStyle w:val="Hyperlink"/>
            <w:rFonts w:cstheme="minorHAnsi"/>
          </w:rPr>
          <w:t>https://www.legalcheek.com/lc-journal-posts/does-the-law-adequately-protect-victims-of-domestic-abuse/</w:t>
        </w:r>
      </w:hyperlink>
      <w:r w:rsidRPr="009F16E6">
        <w:rPr>
          <w:rFonts w:cstheme="minorHAnsi"/>
        </w:rPr>
        <w:t xml:space="preserve"> [Accessed; 25/2/24] </w:t>
      </w:r>
    </w:p>
    <w:p w14:paraId="376C5363" w14:textId="77777777" w:rsidR="002E414B" w:rsidRPr="009F16E6" w:rsidRDefault="002E414B" w:rsidP="002E414B">
      <w:pPr>
        <w:spacing w:line="360" w:lineRule="auto"/>
        <w:rPr>
          <w:rFonts w:cstheme="minorHAnsi"/>
        </w:rPr>
      </w:pPr>
    </w:p>
    <w:p w14:paraId="51C7DDC5" w14:textId="77777777" w:rsidR="002E414B" w:rsidRPr="009F16E6" w:rsidRDefault="002E414B" w:rsidP="002E414B">
      <w:pPr>
        <w:spacing w:line="360" w:lineRule="auto"/>
        <w:rPr>
          <w:rFonts w:cstheme="minorHAnsi"/>
        </w:rPr>
      </w:pPr>
      <w:r w:rsidRPr="009F16E6">
        <w:rPr>
          <w:rFonts w:cstheme="minorHAnsi"/>
        </w:rPr>
        <w:t>Jefferson, M. (2012) Offences Against the Person: Into the 21</w:t>
      </w:r>
      <w:r w:rsidRPr="009F16E6">
        <w:rPr>
          <w:rFonts w:cstheme="minorHAnsi"/>
          <w:vertAlign w:val="superscript"/>
        </w:rPr>
        <w:t>st</w:t>
      </w:r>
      <w:r w:rsidRPr="009F16E6">
        <w:rPr>
          <w:rFonts w:cstheme="minorHAnsi"/>
        </w:rPr>
        <w:t xml:space="preserve"> Century. Available at: </w:t>
      </w:r>
      <w:hyperlink r:id="rId6" w:history="1">
        <w:r w:rsidRPr="009F16E6">
          <w:rPr>
            <w:rStyle w:val="Hyperlink"/>
            <w:rFonts w:cstheme="minorHAnsi"/>
          </w:rPr>
          <w:t>https://vlex.co.uk/vid/offences-against-the-person-874276853</w:t>
        </w:r>
      </w:hyperlink>
      <w:r w:rsidRPr="009F16E6">
        <w:rPr>
          <w:rFonts w:cstheme="minorHAnsi"/>
        </w:rPr>
        <w:t xml:space="preserve"> [Accessed; 28/1/24]</w:t>
      </w:r>
    </w:p>
    <w:p w14:paraId="6E98C272" w14:textId="77777777" w:rsidR="002E414B" w:rsidRPr="009F16E6" w:rsidRDefault="002E414B" w:rsidP="002E414B">
      <w:pPr>
        <w:spacing w:line="360" w:lineRule="auto"/>
        <w:rPr>
          <w:rFonts w:cstheme="minorHAnsi"/>
        </w:rPr>
      </w:pPr>
    </w:p>
    <w:p w14:paraId="756880A1" w14:textId="77777777" w:rsidR="002E414B" w:rsidRPr="009F16E6" w:rsidRDefault="002E414B" w:rsidP="002E414B">
      <w:pPr>
        <w:spacing w:line="360" w:lineRule="auto"/>
        <w:rPr>
          <w:rFonts w:cstheme="minorHAnsi"/>
        </w:rPr>
      </w:pPr>
      <w:r w:rsidRPr="009F16E6">
        <w:rPr>
          <w:rFonts w:cstheme="minorHAnsi"/>
        </w:rPr>
        <w:t xml:space="preserve">Law Commission (2015) Reform of Offences Against the Person. Available at: </w:t>
      </w:r>
      <w:hyperlink r:id="rId7" w:history="1">
        <w:r w:rsidRPr="009F16E6">
          <w:rPr>
            <w:rStyle w:val="Hyperlink"/>
            <w:rFonts w:cstheme="minorHAnsi"/>
          </w:rPr>
          <w:t>https://lawcom.gov.uk/project/offences-against-the-person/</w:t>
        </w:r>
      </w:hyperlink>
      <w:r w:rsidRPr="009F16E6">
        <w:rPr>
          <w:rFonts w:cstheme="minorHAnsi"/>
        </w:rPr>
        <w:t xml:space="preserve"> [Accessed; 7/1/24]</w:t>
      </w:r>
    </w:p>
    <w:p w14:paraId="4CD71BBE" w14:textId="77777777" w:rsidR="002E414B" w:rsidRPr="009F16E6" w:rsidRDefault="002E414B" w:rsidP="002E414B">
      <w:pPr>
        <w:spacing w:line="360" w:lineRule="auto"/>
        <w:rPr>
          <w:rFonts w:cstheme="minorHAnsi"/>
        </w:rPr>
      </w:pPr>
    </w:p>
    <w:p w14:paraId="73501AE4" w14:textId="77777777" w:rsidR="002E414B" w:rsidRPr="009F16E6" w:rsidRDefault="002E414B" w:rsidP="002E414B">
      <w:pPr>
        <w:spacing w:line="360" w:lineRule="auto"/>
        <w:rPr>
          <w:rFonts w:cstheme="minorHAnsi"/>
        </w:rPr>
      </w:pPr>
      <w:r w:rsidRPr="009F16E6">
        <w:rPr>
          <w:rStyle w:val="normaltextrun"/>
          <w:rFonts w:cstheme="minorHAnsi"/>
        </w:rPr>
        <w:t xml:space="preserve">Law Commission UK (2015) Reform of Offences Against the Person. p 6. Available at: </w:t>
      </w:r>
      <w:hyperlink r:id="rId8" w:history="1">
        <w:r w:rsidRPr="009F16E6">
          <w:rPr>
            <w:rStyle w:val="Hyperlink"/>
            <w:rFonts w:cstheme="minorHAnsi"/>
          </w:rPr>
          <w:t>https://lawcom.gov.uk/document/offences-against-the-person-report/</w:t>
        </w:r>
      </w:hyperlink>
      <w:r w:rsidRPr="009F16E6">
        <w:rPr>
          <w:rStyle w:val="normaltextrun"/>
          <w:rFonts w:cstheme="minorHAnsi"/>
        </w:rPr>
        <w:t xml:space="preserve"> [Accessed; 2/3/24] </w:t>
      </w:r>
    </w:p>
    <w:p w14:paraId="0E0DD4A4" w14:textId="7CB2ED57" w:rsidR="002E414B" w:rsidRPr="009F16E6" w:rsidRDefault="002E414B" w:rsidP="002E414B">
      <w:pPr>
        <w:spacing w:line="360" w:lineRule="auto"/>
        <w:rPr>
          <w:rFonts w:cstheme="minorHAnsi"/>
        </w:rPr>
      </w:pPr>
      <w:r w:rsidRPr="009F16E6">
        <w:rPr>
          <w:rFonts w:cstheme="minorHAnsi"/>
        </w:rPr>
        <w:t xml:space="preserve"> </w:t>
      </w:r>
    </w:p>
    <w:p w14:paraId="43A349EE" w14:textId="77777777" w:rsidR="002E414B" w:rsidRPr="009F16E6" w:rsidRDefault="002E414B" w:rsidP="002E414B">
      <w:pPr>
        <w:spacing w:line="360" w:lineRule="auto"/>
        <w:rPr>
          <w:rFonts w:cstheme="minorHAnsi"/>
        </w:rPr>
      </w:pPr>
      <w:r w:rsidRPr="009F16E6">
        <w:rPr>
          <w:rFonts w:cstheme="minorHAnsi"/>
        </w:rPr>
        <w:t xml:space="preserve">Law Teacher (2013) R v Chan-Fook [1994]. Available at: </w:t>
      </w:r>
      <w:hyperlink r:id="rId9" w:anchor="citethis" w:history="1">
        <w:r w:rsidRPr="009F16E6">
          <w:rPr>
            <w:rStyle w:val="Hyperlink"/>
            <w:rFonts w:cstheme="minorHAnsi"/>
          </w:rPr>
          <w:t>https://www.lawteacher.net/cases/r-v-chan-fook.php#citethis</w:t>
        </w:r>
      </w:hyperlink>
      <w:r w:rsidRPr="009F16E6">
        <w:rPr>
          <w:rFonts w:cstheme="minorHAnsi"/>
        </w:rPr>
        <w:t xml:space="preserve"> [Accessed; 7/2/24]</w:t>
      </w:r>
    </w:p>
    <w:p w14:paraId="4EC59C81" w14:textId="77777777" w:rsidR="002E414B" w:rsidRPr="009F16E6" w:rsidRDefault="002E414B" w:rsidP="002E414B">
      <w:pPr>
        <w:spacing w:line="360" w:lineRule="auto"/>
        <w:rPr>
          <w:rFonts w:cstheme="minorHAnsi"/>
        </w:rPr>
      </w:pPr>
    </w:p>
    <w:p w14:paraId="0E11EFD6" w14:textId="77777777" w:rsidR="002E414B" w:rsidRPr="009F16E6" w:rsidRDefault="002E414B" w:rsidP="002E414B">
      <w:pPr>
        <w:spacing w:line="360" w:lineRule="auto"/>
        <w:rPr>
          <w:rFonts w:cstheme="minorHAnsi"/>
        </w:rPr>
      </w:pPr>
      <w:r w:rsidRPr="009F16E6">
        <w:rPr>
          <w:rFonts w:cstheme="minorHAnsi"/>
        </w:rPr>
        <w:t xml:space="preserve">Offences Against the Person Act [1861], Section 17. Available at: </w:t>
      </w:r>
      <w:hyperlink r:id="rId10" w:anchor=":~:text=17.,to%20do%20grievous%20bodily%20harm" w:history="1">
        <w:r w:rsidRPr="009F16E6">
          <w:rPr>
            <w:rStyle w:val="Hyperlink"/>
            <w:rFonts w:cstheme="minorHAnsi"/>
          </w:rPr>
          <w:t>https://www.legislation.gov.uk/ukpga/Vict/24-25/100/contents#:~:text=17.,to%20do%20grievous%20bodily%20harm</w:t>
        </w:r>
      </w:hyperlink>
      <w:r w:rsidRPr="009F16E6">
        <w:rPr>
          <w:rFonts w:cstheme="minorHAnsi"/>
        </w:rPr>
        <w:t xml:space="preserve"> [Accessed; 18/1/24]</w:t>
      </w:r>
    </w:p>
    <w:p w14:paraId="3A2CCD5F" w14:textId="77777777" w:rsidR="002E414B" w:rsidRPr="009F16E6" w:rsidRDefault="002E414B" w:rsidP="002E414B">
      <w:pPr>
        <w:spacing w:line="360" w:lineRule="auto"/>
        <w:rPr>
          <w:rFonts w:cstheme="minorHAnsi"/>
        </w:rPr>
      </w:pPr>
    </w:p>
    <w:p w14:paraId="63CF7A4B" w14:textId="77777777" w:rsidR="002E414B" w:rsidRPr="009F16E6" w:rsidRDefault="002E414B" w:rsidP="002E414B">
      <w:pPr>
        <w:spacing w:line="360" w:lineRule="auto"/>
        <w:rPr>
          <w:rFonts w:cstheme="minorHAnsi"/>
        </w:rPr>
      </w:pPr>
      <w:r w:rsidRPr="009F16E6">
        <w:rPr>
          <w:rFonts w:cstheme="minorHAnsi"/>
        </w:rPr>
        <w:t xml:space="preserve">Offences Against the Person Act [1861], Section 18 and Section 20. Available at: </w:t>
      </w:r>
      <w:hyperlink r:id="rId11" w:history="1">
        <w:r w:rsidRPr="009F16E6">
          <w:rPr>
            <w:rStyle w:val="Hyperlink"/>
            <w:rFonts w:cstheme="minorHAnsi"/>
          </w:rPr>
          <w:t>https://www.legislation.gov.uk/ukpga/Vict/24-25/100/contents</w:t>
        </w:r>
      </w:hyperlink>
      <w:r w:rsidRPr="009F16E6">
        <w:rPr>
          <w:rFonts w:cstheme="minorHAnsi"/>
        </w:rPr>
        <w:t xml:space="preserve"> [Accessed; 7/1/24]</w:t>
      </w:r>
    </w:p>
    <w:p w14:paraId="1B7D5144" w14:textId="77777777" w:rsidR="002E414B" w:rsidRPr="009F16E6" w:rsidRDefault="002E414B" w:rsidP="002E414B">
      <w:pPr>
        <w:spacing w:line="360" w:lineRule="auto"/>
        <w:rPr>
          <w:rFonts w:cstheme="minorHAnsi"/>
        </w:rPr>
      </w:pPr>
    </w:p>
    <w:p w14:paraId="31A34F62" w14:textId="77777777" w:rsidR="002E414B" w:rsidRPr="009F16E6" w:rsidRDefault="002E414B" w:rsidP="002E414B">
      <w:pPr>
        <w:spacing w:line="360" w:lineRule="auto"/>
        <w:rPr>
          <w:rFonts w:cstheme="minorHAnsi"/>
        </w:rPr>
      </w:pPr>
      <w:r w:rsidRPr="009F16E6">
        <w:rPr>
          <w:rFonts w:cstheme="minorHAnsi"/>
        </w:rPr>
        <w:lastRenderedPageBreak/>
        <w:t xml:space="preserve">Offences Against the Person Act [1861], Section 26. Available at: </w:t>
      </w:r>
      <w:hyperlink r:id="rId12" w:history="1">
        <w:r w:rsidRPr="009F16E6">
          <w:rPr>
            <w:rStyle w:val="Hyperlink"/>
            <w:rFonts w:cstheme="minorHAnsi"/>
          </w:rPr>
          <w:t>https://www.legislation.gov.uk/ukpga/Vict/24-25/100/section/26</w:t>
        </w:r>
      </w:hyperlink>
      <w:r w:rsidRPr="009F16E6">
        <w:rPr>
          <w:rFonts w:cstheme="minorHAnsi"/>
        </w:rPr>
        <w:t xml:space="preserve"> [Accessed; 3/2/24]</w:t>
      </w:r>
    </w:p>
    <w:p w14:paraId="02B6529F" w14:textId="77777777" w:rsidR="002E414B" w:rsidRPr="009F16E6" w:rsidRDefault="002E414B" w:rsidP="002E414B">
      <w:pPr>
        <w:spacing w:line="360" w:lineRule="auto"/>
        <w:rPr>
          <w:rFonts w:cstheme="minorHAnsi"/>
        </w:rPr>
      </w:pPr>
    </w:p>
    <w:p w14:paraId="278C3CA2" w14:textId="77777777" w:rsidR="002E414B" w:rsidRPr="009F16E6" w:rsidRDefault="002E414B" w:rsidP="002E414B">
      <w:pPr>
        <w:spacing w:line="360" w:lineRule="auto"/>
        <w:rPr>
          <w:rFonts w:cstheme="minorHAnsi"/>
        </w:rPr>
      </w:pPr>
      <w:r w:rsidRPr="009F16E6">
        <w:rPr>
          <w:rFonts w:cstheme="minorHAnsi"/>
        </w:rPr>
        <w:t xml:space="preserve">Oxford Royale (no date) The massively outdated Offences Against the Person Act 1861 shows how well the Common Law System works. Available at: </w:t>
      </w:r>
      <w:hyperlink r:id="rId13" w:history="1">
        <w:r w:rsidRPr="009F16E6">
          <w:rPr>
            <w:rStyle w:val="Hyperlink"/>
            <w:rFonts w:cstheme="minorHAnsi"/>
          </w:rPr>
          <w:t>https://www.oxford-royale.com/articles/offences-against-the-person-act-1861-needs-reform/</w:t>
        </w:r>
      </w:hyperlink>
      <w:r w:rsidRPr="009F16E6">
        <w:rPr>
          <w:rFonts w:cstheme="minorHAnsi"/>
        </w:rPr>
        <w:t xml:space="preserve"> [Accessed; 14/2/24]</w:t>
      </w:r>
    </w:p>
    <w:p w14:paraId="52D9B5D7" w14:textId="77777777" w:rsidR="002E414B" w:rsidRPr="009F16E6" w:rsidRDefault="002E414B" w:rsidP="002E414B">
      <w:pPr>
        <w:spacing w:line="360" w:lineRule="auto"/>
        <w:rPr>
          <w:rFonts w:cstheme="minorHAnsi"/>
        </w:rPr>
      </w:pPr>
    </w:p>
    <w:p w14:paraId="0521CA55" w14:textId="77777777" w:rsidR="002E414B" w:rsidRPr="009F16E6" w:rsidRDefault="002E414B" w:rsidP="002E414B">
      <w:pPr>
        <w:spacing w:line="360" w:lineRule="auto"/>
        <w:rPr>
          <w:rFonts w:cstheme="minorHAnsi"/>
        </w:rPr>
      </w:pPr>
      <w:r w:rsidRPr="009F16E6">
        <w:rPr>
          <w:rFonts w:cstheme="minorHAnsi"/>
        </w:rPr>
        <w:t xml:space="preserve">Private Law Tutor (2023) The classic definition of recklessness in Cunningham. Available at: </w:t>
      </w:r>
      <w:hyperlink r:id="rId14" w:history="1">
        <w:r w:rsidRPr="009F16E6">
          <w:rPr>
            <w:rStyle w:val="Hyperlink"/>
            <w:rFonts w:cstheme="minorHAnsi"/>
          </w:rPr>
          <w:t>https://www.lawbooks.org/post/the-classic-definition-of-the-recklessness-in-cunningham</w:t>
        </w:r>
      </w:hyperlink>
      <w:r w:rsidRPr="009F16E6">
        <w:rPr>
          <w:rFonts w:cstheme="minorHAnsi"/>
        </w:rPr>
        <w:t xml:space="preserve"> [Accessed; 15/1/24]</w:t>
      </w:r>
    </w:p>
    <w:p w14:paraId="690C4574" w14:textId="77777777" w:rsidR="002E414B" w:rsidRPr="009F16E6" w:rsidRDefault="002E414B" w:rsidP="002E414B">
      <w:pPr>
        <w:spacing w:line="360" w:lineRule="auto"/>
        <w:rPr>
          <w:rFonts w:cstheme="minorHAnsi"/>
        </w:rPr>
      </w:pPr>
    </w:p>
    <w:p w14:paraId="16D16329" w14:textId="77777777" w:rsidR="002E414B" w:rsidRPr="009F16E6" w:rsidRDefault="002E414B" w:rsidP="002E414B">
      <w:pPr>
        <w:spacing w:line="360" w:lineRule="auto"/>
        <w:rPr>
          <w:rFonts w:cstheme="minorHAnsi"/>
        </w:rPr>
      </w:pPr>
      <w:r w:rsidRPr="009F16E6">
        <w:rPr>
          <w:rFonts w:cstheme="minorHAnsi"/>
        </w:rPr>
        <w:t xml:space="preserve">Serious Crime Act [2015] Section 76. Available at: </w:t>
      </w:r>
      <w:hyperlink r:id="rId15" w:history="1">
        <w:r w:rsidRPr="009F16E6">
          <w:rPr>
            <w:rStyle w:val="Hyperlink"/>
            <w:rFonts w:cstheme="minorHAnsi"/>
          </w:rPr>
          <w:t>https://www.legislation.gov.uk/ukpga/2015/9/section/76/enacted</w:t>
        </w:r>
      </w:hyperlink>
      <w:r w:rsidRPr="009F16E6">
        <w:rPr>
          <w:rFonts w:cstheme="minorHAnsi"/>
        </w:rPr>
        <w:t xml:space="preserve"> [Accessed: 15/2/24]</w:t>
      </w:r>
    </w:p>
    <w:p w14:paraId="1DAEBC96" w14:textId="77777777" w:rsidR="002E414B" w:rsidRPr="009F16E6" w:rsidRDefault="002E414B" w:rsidP="002E414B">
      <w:pPr>
        <w:spacing w:line="360" w:lineRule="auto"/>
        <w:rPr>
          <w:rFonts w:cstheme="minorHAnsi"/>
        </w:rPr>
      </w:pPr>
    </w:p>
    <w:p w14:paraId="53859098" w14:textId="77777777" w:rsidR="002E414B" w:rsidRPr="009F16E6" w:rsidRDefault="002E414B" w:rsidP="002E414B">
      <w:pPr>
        <w:spacing w:line="360" w:lineRule="auto"/>
        <w:rPr>
          <w:rFonts w:cstheme="minorHAnsi"/>
        </w:rPr>
      </w:pPr>
      <w:r w:rsidRPr="009F16E6">
        <w:rPr>
          <w:rFonts w:cstheme="minorHAnsi"/>
        </w:rPr>
        <w:t xml:space="preserve">Study smarter (no date) Understanding Statute Law in the UK Legal System. Available at:  </w:t>
      </w:r>
      <w:hyperlink r:id="rId16" w:history="1">
        <w:r w:rsidRPr="009F16E6">
          <w:rPr>
            <w:rStyle w:val="Hyperlink"/>
            <w:rFonts w:cstheme="minorHAnsi"/>
          </w:rPr>
          <w:t>https://www.studysmarter.co.uk/explanations/politics/uk-government/executive-government-uk/</w:t>
        </w:r>
      </w:hyperlink>
      <w:r w:rsidRPr="009F16E6">
        <w:rPr>
          <w:rFonts w:cstheme="minorHAnsi"/>
        </w:rPr>
        <w:t xml:space="preserve"> </w:t>
      </w:r>
    </w:p>
    <w:p w14:paraId="460909B6" w14:textId="77777777" w:rsidR="002E414B" w:rsidRPr="009F16E6" w:rsidRDefault="002E414B" w:rsidP="002E414B">
      <w:pPr>
        <w:spacing w:line="360" w:lineRule="auto"/>
        <w:rPr>
          <w:rFonts w:cstheme="minorHAnsi"/>
        </w:rPr>
      </w:pPr>
      <w:r w:rsidRPr="009F16E6">
        <w:rPr>
          <w:rFonts w:cstheme="minorHAnsi"/>
        </w:rPr>
        <w:t>[Accessed; 3/1/24]</w:t>
      </w:r>
    </w:p>
    <w:p w14:paraId="4A80FAAE" w14:textId="77777777" w:rsidR="002E414B" w:rsidRPr="009F16E6" w:rsidRDefault="002E414B" w:rsidP="002E414B">
      <w:pPr>
        <w:spacing w:line="360" w:lineRule="auto"/>
        <w:rPr>
          <w:rFonts w:cstheme="minorHAnsi"/>
        </w:rPr>
      </w:pPr>
    </w:p>
    <w:p w14:paraId="511DBB9A" w14:textId="77777777" w:rsidR="002E414B" w:rsidRPr="009F16E6" w:rsidRDefault="002E414B" w:rsidP="002E414B">
      <w:pPr>
        <w:spacing w:line="360" w:lineRule="auto"/>
        <w:rPr>
          <w:rFonts w:cstheme="minorHAnsi"/>
        </w:rPr>
      </w:pPr>
      <w:r w:rsidRPr="009F16E6">
        <w:rPr>
          <w:rFonts w:cstheme="minorHAnsi"/>
        </w:rPr>
        <w:t xml:space="preserve">UOLLB (2023) Pros and Cons of Reform through Law Commission. Available at: </w:t>
      </w:r>
      <w:hyperlink r:id="rId17" w:history="1">
        <w:r w:rsidRPr="009F16E6">
          <w:rPr>
            <w:rStyle w:val="Hyperlink"/>
            <w:rFonts w:cstheme="minorHAnsi"/>
          </w:rPr>
          <w:t>https://uollb.com/blog/alevel-law/pros-and-cons-of-reform-through-law-commission</w:t>
        </w:r>
      </w:hyperlink>
      <w:r w:rsidRPr="009F16E6">
        <w:rPr>
          <w:rFonts w:cstheme="minorHAnsi"/>
        </w:rPr>
        <w:t xml:space="preserve"> [Accessed; 3/1/24]</w:t>
      </w:r>
    </w:p>
    <w:p w14:paraId="07452206" w14:textId="77777777" w:rsidR="002E414B" w:rsidRPr="002E414B" w:rsidRDefault="002E414B" w:rsidP="002E414B">
      <w:pPr>
        <w:pStyle w:val="paragraph"/>
        <w:spacing w:before="0" w:beforeAutospacing="0" w:after="0" w:afterAutospacing="0" w:line="360" w:lineRule="auto"/>
        <w:textAlignment w:val="baseline"/>
        <w:rPr>
          <w:rFonts w:ascii="Arial" w:hAnsi="Arial" w:cs="Arial"/>
          <w:strike/>
          <w:color w:val="FF0000"/>
        </w:rPr>
      </w:pPr>
    </w:p>
    <w:p w14:paraId="40D873C7" w14:textId="77777777" w:rsidR="00AB27F9" w:rsidRDefault="00AB27F9"/>
    <w:sectPr w:rsidR="00AB27F9" w:rsidSect="00B761F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7F9"/>
    <w:rsid w:val="00001622"/>
    <w:rsid w:val="000476EF"/>
    <w:rsid w:val="00065A68"/>
    <w:rsid w:val="000733F3"/>
    <w:rsid w:val="0008124B"/>
    <w:rsid w:val="000C5BD7"/>
    <w:rsid w:val="00101F97"/>
    <w:rsid w:val="00140BB9"/>
    <w:rsid w:val="00191D10"/>
    <w:rsid w:val="001A4197"/>
    <w:rsid w:val="001A5164"/>
    <w:rsid w:val="001E42F6"/>
    <w:rsid w:val="001E5CAE"/>
    <w:rsid w:val="00290A0B"/>
    <w:rsid w:val="002E414B"/>
    <w:rsid w:val="00351739"/>
    <w:rsid w:val="004529E4"/>
    <w:rsid w:val="004670F9"/>
    <w:rsid w:val="00470B93"/>
    <w:rsid w:val="00481EAB"/>
    <w:rsid w:val="004970F7"/>
    <w:rsid w:val="004A755C"/>
    <w:rsid w:val="005814E4"/>
    <w:rsid w:val="005F3665"/>
    <w:rsid w:val="00635FE7"/>
    <w:rsid w:val="00642FBF"/>
    <w:rsid w:val="00646B60"/>
    <w:rsid w:val="006969D6"/>
    <w:rsid w:val="006D597E"/>
    <w:rsid w:val="00715BF6"/>
    <w:rsid w:val="00726814"/>
    <w:rsid w:val="00794C87"/>
    <w:rsid w:val="007979DF"/>
    <w:rsid w:val="007E255A"/>
    <w:rsid w:val="007E4B76"/>
    <w:rsid w:val="007E5E9F"/>
    <w:rsid w:val="00803880"/>
    <w:rsid w:val="0081250D"/>
    <w:rsid w:val="00831C15"/>
    <w:rsid w:val="00855D40"/>
    <w:rsid w:val="0092373B"/>
    <w:rsid w:val="00944760"/>
    <w:rsid w:val="00992747"/>
    <w:rsid w:val="009A7E5B"/>
    <w:rsid w:val="009B32ED"/>
    <w:rsid w:val="00A049CD"/>
    <w:rsid w:val="00AB27F9"/>
    <w:rsid w:val="00B761F1"/>
    <w:rsid w:val="00B93DA7"/>
    <w:rsid w:val="00C93FBA"/>
    <w:rsid w:val="00D3054E"/>
    <w:rsid w:val="00D52223"/>
    <w:rsid w:val="00DE5B00"/>
    <w:rsid w:val="00E02EF1"/>
    <w:rsid w:val="00E2170E"/>
    <w:rsid w:val="00F163DC"/>
    <w:rsid w:val="00F24BD5"/>
    <w:rsid w:val="00F52B74"/>
    <w:rsid w:val="00FB6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5D433"/>
  <w15:chartTrackingRefBased/>
  <w15:docId w15:val="{F785231F-6C52-1443-AD6A-5C72B8841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B27F9"/>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AB27F9"/>
  </w:style>
  <w:style w:type="character" w:customStyle="1" w:styleId="eop">
    <w:name w:val="eop"/>
    <w:basedOn w:val="DefaultParagraphFont"/>
    <w:rsid w:val="00AB27F9"/>
  </w:style>
  <w:style w:type="character" w:styleId="Hyperlink">
    <w:name w:val="Hyperlink"/>
    <w:basedOn w:val="DefaultParagraphFont"/>
    <w:uiPriority w:val="99"/>
    <w:unhideWhenUsed/>
    <w:rsid w:val="002E414B"/>
    <w:rPr>
      <w:color w:val="6B9F25" w:themeColor="hyperlink"/>
      <w:u w:val="single"/>
    </w:rPr>
  </w:style>
  <w:style w:type="character" w:styleId="FollowedHyperlink">
    <w:name w:val="FollowedHyperlink"/>
    <w:basedOn w:val="DefaultParagraphFont"/>
    <w:uiPriority w:val="99"/>
    <w:semiHidden/>
    <w:unhideWhenUsed/>
    <w:rsid w:val="002E414B"/>
    <w:rPr>
      <w:color w:val="8C8C8C" w:themeColor="followedHyperlink"/>
      <w:u w:val="single"/>
    </w:rPr>
  </w:style>
  <w:style w:type="paragraph" w:styleId="NoSpacing">
    <w:name w:val="No Spacing"/>
    <w:link w:val="NoSpacingChar"/>
    <w:uiPriority w:val="1"/>
    <w:qFormat/>
    <w:rsid w:val="00B761F1"/>
    <w:rPr>
      <w:rFonts w:eastAsiaTheme="minorEastAsia"/>
      <w:sz w:val="22"/>
      <w:szCs w:val="22"/>
      <w:lang w:val="en-US" w:eastAsia="zh-CN"/>
    </w:rPr>
  </w:style>
  <w:style w:type="character" w:customStyle="1" w:styleId="NoSpacingChar">
    <w:name w:val="No Spacing Char"/>
    <w:basedOn w:val="DefaultParagraphFont"/>
    <w:link w:val="NoSpacing"/>
    <w:uiPriority w:val="1"/>
    <w:rsid w:val="00B761F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4614557">
      <w:bodyDiv w:val="1"/>
      <w:marLeft w:val="0"/>
      <w:marRight w:val="0"/>
      <w:marTop w:val="0"/>
      <w:marBottom w:val="0"/>
      <w:divBdr>
        <w:top w:val="none" w:sz="0" w:space="0" w:color="auto"/>
        <w:left w:val="none" w:sz="0" w:space="0" w:color="auto"/>
        <w:bottom w:val="none" w:sz="0" w:space="0" w:color="auto"/>
        <w:right w:val="none" w:sz="0" w:space="0" w:color="auto"/>
      </w:divBdr>
      <w:divsChild>
        <w:div w:id="1520238671">
          <w:marLeft w:val="0"/>
          <w:marRight w:val="0"/>
          <w:marTop w:val="0"/>
          <w:marBottom w:val="0"/>
          <w:divBdr>
            <w:top w:val="none" w:sz="0" w:space="0" w:color="auto"/>
            <w:left w:val="none" w:sz="0" w:space="0" w:color="auto"/>
            <w:bottom w:val="none" w:sz="0" w:space="0" w:color="auto"/>
            <w:right w:val="none" w:sz="0" w:space="0" w:color="auto"/>
          </w:divBdr>
        </w:div>
        <w:div w:id="1538614799">
          <w:marLeft w:val="0"/>
          <w:marRight w:val="0"/>
          <w:marTop w:val="0"/>
          <w:marBottom w:val="0"/>
          <w:divBdr>
            <w:top w:val="none" w:sz="0" w:space="0" w:color="auto"/>
            <w:left w:val="none" w:sz="0" w:space="0" w:color="auto"/>
            <w:bottom w:val="none" w:sz="0" w:space="0" w:color="auto"/>
            <w:right w:val="none" w:sz="0" w:space="0" w:color="auto"/>
          </w:divBdr>
        </w:div>
        <w:div w:id="1999771566">
          <w:marLeft w:val="0"/>
          <w:marRight w:val="0"/>
          <w:marTop w:val="0"/>
          <w:marBottom w:val="0"/>
          <w:divBdr>
            <w:top w:val="none" w:sz="0" w:space="0" w:color="auto"/>
            <w:left w:val="none" w:sz="0" w:space="0" w:color="auto"/>
            <w:bottom w:val="none" w:sz="0" w:space="0" w:color="auto"/>
            <w:right w:val="none" w:sz="0" w:space="0" w:color="auto"/>
          </w:divBdr>
        </w:div>
        <w:div w:id="1905874038">
          <w:marLeft w:val="0"/>
          <w:marRight w:val="0"/>
          <w:marTop w:val="0"/>
          <w:marBottom w:val="0"/>
          <w:divBdr>
            <w:top w:val="none" w:sz="0" w:space="0" w:color="auto"/>
            <w:left w:val="none" w:sz="0" w:space="0" w:color="auto"/>
            <w:bottom w:val="none" w:sz="0" w:space="0" w:color="auto"/>
            <w:right w:val="none" w:sz="0" w:space="0" w:color="auto"/>
          </w:divBdr>
        </w:div>
        <w:div w:id="1542593522">
          <w:marLeft w:val="0"/>
          <w:marRight w:val="0"/>
          <w:marTop w:val="0"/>
          <w:marBottom w:val="0"/>
          <w:divBdr>
            <w:top w:val="none" w:sz="0" w:space="0" w:color="auto"/>
            <w:left w:val="none" w:sz="0" w:space="0" w:color="auto"/>
            <w:bottom w:val="none" w:sz="0" w:space="0" w:color="auto"/>
            <w:right w:val="none" w:sz="0" w:space="0" w:color="auto"/>
          </w:divBdr>
        </w:div>
        <w:div w:id="446194771">
          <w:marLeft w:val="0"/>
          <w:marRight w:val="0"/>
          <w:marTop w:val="0"/>
          <w:marBottom w:val="0"/>
          <w:divBdr>
            <w:top w:val="none" w:sz="0" w:space="0" w:color="auto"/>
            <w:left w:val="none" w:sz="0" w:space="0" w:color="auto"/>
            <w:bottom w:val="none" w:sz="0" w:space="0" w:color="auto"/>
            <w:right w:val="none" w:sz="0" w:space="0" w:color="auto"/>
          </w:divBdr>
        </w:div>
        <w:div w:id="1501507082">
          <w:marLeft w:val="0"/>
          <w:marRight w:val="0"/>
          <w:marTop w:val="0"/>
          <w:marBottom w:val="0"/>
          <w:divBdr>
            <w:top w:val="none" w:sz="0" w:space="0" w:color="auto"/>
            <w:left w:val="none" w:sz="0" w:space="0" w:color="auto"/>
            <w:bottom w:val="none" w:sz="0" w:space="0" w:color="auto"/>
            <w:right w:val="none" w:sz="0" w:space="0" w:color="auto"/>
          </w:divBdr>
        </w:div>
        <w:div w:id="947664958">
          <w:marLeft w:val="0"/>
          <w:marRight w:val="0"/>
          <w:marTop w:val="0"/>
          <w:marBottom w:val="0"/>
          <w:divBdr>
            <w:top w:val="none" w:sz="0" w:space="0" w:color="auto"/>
            <w:left w:val="none" w:sz="0" w:space="0" w:color="auto"/>
            <w:bottom w:val="none" w:sz="0" w:space="0" w:color="auto"/>
            <w:right w:val="none" w:sz="0" w:space="0" w:color="auto"/>
          </w:divBdr>
        </w:div>
        <w:div w:id="1186020562">
          <w:marLeft w:val="0"/>
          <w:marRight w:val="0"/>
          <w:marTop w:val="0"/>
          <w:marBottom w:val="0"/>
          <w:divBdr>
            <w:top w:val="none" w:sz="0" w:space="0" w:color="auto"/>
            <w:left w:val="none" w:sz="0" w:space="0" w:color="auto"/>
            <w:bottom w:val="none" w:sz="0" w:space="0" w:color="auto"/>
            <w:right w:val="none" w:sz="0" w:space="0" w:color="auto"/>
          </w:divBdr>
        </w:div>
        <w:div w:id="1660039712">
          <w:marLeft w:val="0"/>
          <w:marRight w:val="0"/>
          <w:marTop w:val="0"/>
          <w:marBottom w:val="0"/>
          <w:divBdr>
            <w:top w:val="none" w:sz="0" w:space="0" w:color="auto"/>
            <w:left w:val="none" w:sz="0" w:space="0" w:color="auto"/>
            <w:bottom w:val="none" w:sz="0" w:space="0" w:color="auto"/>
            <w:right w:val="none" w:sz="0" w:space="0" w:color="auto"/>
          </w:divBdr>
        </w:div>
        <w:div w:id="85083580">
          <w:marLeft w:val="0"/>
          <w:marRight w:val="0"/>
          <w:marTop w:val="0"/>
          <w:marBottom w:val="0"/>
          <w:divBdr>
            <w:top w:val="none" w:sz="0" w:space="0" w:color="auto"/>
            <w:left w:val="none" w:sz="0" w:space="0" w:color="auto"/>
            <w:bottom w:val="none" w:sz="0" w:space="0" w:color="auto"/>
            <w:right w:val="none" w:sz="0" w:space="0" w:color="auto"/>
          </w:divBdr>
        </w:div>
        <w:div w:id="1664815547">
          <w:marLeft w:val="0"/>
          <w:marRight w:val="0"/>
          <w:marTop w:val="0"/>
          <w:marBottom w:val="0"/>
          <w:divBdr>
            <w:top w:val="none" w:sz="0" w:space="0" w:color="auto"/>
            <w:left w:val="none" w:sz="0" w:space="0" w:color="auto"/>
            <w:bottom w:val="none" w:sz="0" w:space="0" w:color="auto"/>
            <w:right w:val="none" w:sz="0" w:space="0" w:color="auto"/>
          </w:divBdr>
        </w:div>
        <w:div w:id="9410627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wcom.gov.uk/document/offences-against-the-person-report/" TargetMode="External"/><Relationship Id="rId13" Type="http://schemas.openxmlformats.org/officeDocument/2006/relationships/hyperlink" Target="https://www.oxford-royale.com/articles/offences-against-the-person-act-1861-needs-refor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awcom.gov.uk/project/offences-against-the-person/" TargetMode="External"/><Relationship Id="rId12" Type="http://schemas.openxmlformats.org/officeDocument/2006/relationships/hyperlink" Target="https://www.legislation.gov.uk/ukpga/Vict/24-25/100/section/26" TargetMode="External"/><Relationship Id="rId17" Type="http://schemas.openxmlformats.org/officeDocument/2006/relationships/hyperlink" Target="https://uollb.com/blog/alevel-law/pros-and-cons-of-reform-through-law-commission" TargetMode="External"/><Relationship Id="rId2" Type="http://schemas.openxmlformats.org/officeDocument/2006/relationships/settings" Target="settings.xml"/><Relationship Id="rId16" Type="http://schemas.openxmlformats.org/officeDocument/2006/relationships/hyperlink" Target="https://www.studysmarter.co.uk/explanations/politics/uk-government/executive-government-uk/" TargetMode="External"/><Relationship Id="rId1" Type="http://schemas.openxmlformats.org/officeDocument/2006/relationships/styles" Target="styles.xml"/><Relationship Id="rId6" Type="http://schemas.openxmlformats.org/officeDocument/2006/relationships/hyperlink" Target="https://vlex.co.uk/vid/offences-against-the-person-874276853" TargetMode="External"/><Relationship Id="rId11" Type="http://schemas.openxmlformats.org/officeDocument/2006/relationships/hyperlink" Target="https://www.legislation.gov.uk/ukpga/Vict/24-25/100/contents" TargetMode="External"/><Relationship Id="rId5" Type="http://schemas.openxmlformats.org/officeDocument/2006/relationships/hyperlink" Target="https://www.legalcheek.com/lc-journal-posts/does-the-law-adequately-protect-victims-of-domestic-abuse/" TargetMode="External"/><Relationship Id="rId15" Type="http://schemas.openxmlformats.org/officeDocument/2006/relationships/hyperlink" Target="https://www.legislation.gov.uk/ukpga/2015/9/section/76/enacted" TargetMode="External"/><Relationship Id="rId10" Type="http://schemas.openxmlformats.org/officeDocument/2006/relationships/hyperlink" Target="https://www.legislation.gov.uk/ukpga/Vict/24-25/100/contents" TargetMode="External"/><Relationship Id="rId19" Type="http://schemas.openxmlformats.org/officeDocument/2006/relationships/theme" Target="theme/theme1.xml"/><Relationship Id="rId4" Type="http://schemas.openxmlformats.org/officeDocument/2006/relationships/hyperlink" Target="https://journals.sagepub.com/doi/abs/10.1177/0022018316646656" TargetMode="External"/><Relationship Id="rId9" Type="http://schemas.openxmlformats.org/officeDocument/2006/relationships/hyperlink" Target="https://www.lawteacher.net/cases/r-v-chan-fook.php" TargetMode="External"/><Relationship Id="rId14" Type="http://schemas.openxmlformats.org/officeDocument/2006/relationships/hyperlink" Target="https://www.lawbooks.org/post/the-classic-definition-of-the-recklessness-in-cunningham" TargetMode="External"/></Relationships>
</file>

<file path=word/theme/theme1.xml><?xml version="1.0" encoding="utf-8"?>
<a:theme xmlns:a="http://schemas.openxmlformats.org/drawingml/2006/main" name="Office Theme">
  <a:themeElements>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7</Pages>
  <Words>1951</Words>
  <Characters>11127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2103342</Company>
  <LinksUpToDate>false</LinksUpToDate>
  <CharactersWithSpaces>13052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Reformtion of the offences against te person act [1861]</dc:title>
  <dc:subject>BMLW4005</dc:subject>
  <dc:creator>Ffion George</dc:creator>
  <cp:keywords/>
  <dc:description/>
  <cp:lastModifiedBy>Ffion George (2103342)</cp:lastModifiedBy>
  <cp:revision>3</cp:revision>
  <dcterms:created xsi:type="dcterms:W3CDTF">2024-03-15T16:13:00Z</dcterms:created>
  <dcterms:modified xsi:type="dcterms:W3CDTF">2024-03-15T16:16:00Z</dcterms:modified>
</cp:coreProperties>
</file>