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Arial"/>
          <w:color w:val="000000" w:themeColor="text1"/>
          <w:szCs w:val="24"/>
          <w:lang w:val="en-GB" w:eastAsia="en-GB"/>
        </w:rPr>
        <w:id w:val="-1294973787"/>
        <w:docPartObj>
          <w:docPartGallery w:val="Cover Pages"/>
          <w:docPartUnique/>
        </w:docPartObj>
      </w:sdtPr>
      <w:sdtEndPr>
        <w:rPr>
          <w:rFonts w:asciiTheme="minorHAnsi" w:eastAsiaTheme="minorHAnsi" w:hAnsiTheme="minorHAnsi" w:cstheme="minorBidi"/>
          <w:i/>
          <w:color w:val="auto"/>
          <w:sz w:val="24"/>
          <w:lang w:eastAsia="en-US"/>
        </w:rPr>
      </w:sdtEndPr>
      <w:sdtContent>
        <w:p w14:paraId="5B2BCBB3" w14:textId="7DB024A5" w:rsidR="00BF3042" w:rsidRPr="00901E26" w:rsidRDefault="00BF3042" w:rsidP="00901E26">
          <w:pPr>
            <w:pStyle w:val="NoSpacing"/>
            <w:spacing w:before="1540" w:after="240" w:line="360" w:lineRule="auto"/>
            <w:jc w:val="center"/>
            <w:rPr>
              <w:rFonts w:ascii="Arial" w:hAnsi="Arial" w:cs="Arial"/>
              <w:color w:val="000000" w:themeColor="text1"/>
            </w:rPr>
          </w:pPr>
          <w:r w:rsidRPr="00901E26">
            <w:rPr>
              <w:rFonts w:ascii="Arial" w:hAnsi="Arial" w:cs="Arial"/>
              <w:noProof/>
              <w:color w:val="000000" w:themeColor="text1"/>
            </w:rPr>
            <w:drawing>
              <wp:anchor distT="0" distB="0" distL="114300" distR="114300" simplePos="0" relativeHeight="251661312" behindDoc="1" locked="0" layoutInCell="1" allowOverlap="1" wp14:anchorId="6140C615" wp14:editId="0ABA2808">
                <wp:simplePos x="0" y="0"/>
                <wp:positionH relativeFrom="margin">
                  <wp:posOffset>698929</wp:posOffset>
                </wp:positionH>
                <wp:positionV relativeFrom="paragraph">
                  <wp:posOffset>223</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C551E07" w14:textId="419B2733" w:rsidR="00A8429E" w:rsidRPr="00901E26" w:rsidRDefault="00A8429E" w:rsidP="00901E26">
          <w:pPr>
            <w:pStyle w:val="NoSpacing"/>
            <w:spacing w:before="1540" w:after="240" w:line="360" w:lineRule="auto"/>
            <w:rPr>
              <w:rFonts w:ascii="Arial" w:hAnsi="Arial" w:cs="Arial"/>
              <w:color w:val="000000" w:themeColor="text1"/>
            </w:rPr>
          </w:pPr>
        </w:p>
        <w:sdt>
          <w:sdtPr>
            <w:rPr>
              <w:rFonts w:ascii="Arial" w:hAnsi="Arial" w:cs="Arial"/>
              <w:color w:val="000000" w:themeColor="text1"/>
              <w:kern w:val="2"/>
              <w:sz w:val="48"/>
              <w:szCs w:val="48"/>
              <w:lang w:val="en-GB"/>
              <w14:ligatures w14:val="standardContextual"/>
            </w:rPr>
            <w:alias w:val="Title"/>
            <w:tag w:val=""/>
            <w:id w:val="1735040861"/>
            <w:placeholder>
              <w:docPart w:val="52BE798C6FA64A449DDDB191C5CDAE75"/>
            </w:placeholder>
            <w:dataBinding w:prefixMappings="xmlns:ns0='http://purl.org/dc/elements/1.1/' xmlns:ns1='http://schemas.openxmlformats.org/package/2006/metadata/core-properties' " w:xpath="/ns1:coreProperties[1]/ns0:title[1]" w:storeItemID="{6C3C8BC8-F283-45AE-878A-BAB7291924A1}"/>
            <w:text/>
          </w:sdtPr>
          <w:sdtEndPr/>
          <w:sdtContent>
            <w:p w14:paraId="586DACE9" w14:textId="53316A25" w:rsidR="00A8429E" w:rsidRPr="005A439E" w:rsidRDefault="00BF3042" w:rsidP="00901E26">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000000" w:themeColor="text1"/>
                  <w:sz w:val="48"/>
                  <w:szCs w:val="48"/>
                </w:rPr>
              </w:pPr>
              <w:r w:rsidRPr="005A439E">
                <w:rPr>
                  <w:rFonts w:ascii="Arial" w:hAnsi="Arial" w:cs="Arial"/>
                  <w:color w:val="000000" w:themeColor="text1"/>
                  <w:kern w:val="2"/>
                  <w:sz w:val="48"/>
                  <w:szCs w:val="48"/>
                  <w:lang w:val="en-GB"/>
                  <w14:ligatures w14:val="standardContextual"/>
                </w:rPr>
                <w:t>Institute of Inner-City Learning Birmingham Campus BSc (Hons) Health and Social Care</w:t>
              </w:r>
            </w:p>
          </w:sdtContent>
        </w:sdt>
        <w:p w14:paraId="4F86A5BD" w14:textId="065D0157" w:rsidR="00A8429E" w:rsidRPr="00901E26" w:rsidRDefault="00A8429E" w:rsidP="00901E26">
          <w:pPr>
            <w:pStyle w:val="NoSpacing"/>
            <w:spacing w:before="480" w:line="360" w:lineRule="auto"/>
            <w:jc w:val="center"/>
            <w:rPr>
              <w:rFonts w:ascii="Arial" w:hAnsi="Arial" w:cs="Arial"/>
              <w:color w:val="000000" w:themeColor="text1"/>
            </w:rPr>
          </w:pPr>
        </w:p>
        <w:p w14:paraId="44C7550A" w14:textId="77777777" w:rsidR="00A8429E" w:rsidRPr="00901E26" w:rsidRDefault="00A8429E" w:rsidP="00901E26">
          <w:pPr>
            <w:spacing w:line="360" w:lineRule="auto"/>
            <w:rPr>
              <w:rFonts w:cs="Arial"/>
              <w:color w:val="000000" w:themeColor="text1"/>
              <w:szCs w:val="22"/>
            </w:rPr>
          </w:pPr>
        </w:p>
        <w:p w14:paraId="22DFC763" w14:textId="77777777" w:rsidR="00A8429E" w:rsidRPr="00901E26" w:rsidRDefault="00A8429E" w:rsidP="00901E26">
          <w:pPr>
            <w:spacing w:line="360" w:lineRule="auto"/>
            <w:rPr>
              <w:rFonts w:cs="Arial"/>
              <w:color w:val="000000" w:themeColor="text1"/>
              <w:szCs w:val="22"/>
            </w:rPr>
          </w:pPr>
          <w:r w:rsidRPr="00901E26">
            <w:rPr>
              <w:rFonts w:cs="Arial"/>
              <w:color w:val="000000" w:themeColor="text1"/>
              <w:szCs w:val="22"/>
            </w:rPr>
            <w:br w:type="page"/>
          </w:r>
        </w:p>
        <w:p w14:paraId="1C7FB2EA" w14:textId="77777777" w:rsidR="00BF3042" w:rsidRPr="00901E26" w:rsidRDefault="00BF3042" w:rsidP="00901E26">
          <w:pPr>
            <w:pStyle w:val="Heading1"/>
            <w:spacing w:line="360" w:lineRule="auto"/>
            <w:rPr>
              <w:rFonts w:cs="Arial"/>
              <w:color w:val="000000" w:themeColor="text1"/>
              <w:szCs w:val="22"/>
            </w:rPr>
          </w:pPr>
          <w:bookmarkStart w:id="0" w:name="_Toc214836650"/>
          <w:r w:rsidRPr="00901E26">
            <w:rPr>
              <w:rFonts w:cs="Arial"/>
              <w:color w:val="000000" w:themeColor="text1"/>
              <w:szCs w:val="22"/>
            </w:rPr>
            <w:lastRenderedPageBreak/>
            <w:t>Disclaimer</w:t>
          </w:r>
          <w:bookmarkEnd w:id="0"/>
        </w:p>
        <w:p w14:paraId="69FF86C2" w14:textId="00017B25" w:rsidR="00BF3042" w:rsidRPr="00901E26" w:rsidRDefault="00BF3042" w:rsidP="00901E26">
          <w:pPr>
            <w:spacing w:before="62" w:line="360" w:lineRule="auto"/>
            <w:ind w:right="96"/>
            <w:rPr>
              <w:rFonts w:cs="Arial"/>
              <w:color w:val="000000" w:themeColor="text1"/>
              <w:szCs w:val="22"/>
            </w:rPr>
          </w:pPr>
          <w:r w:rsidRPr="00901E26">
            <w:rPr>
              <w:rFonts w:cs="Arial"/>
              <w:color w:val="000000" w:themeColor="text1"/>
              <w:szCs w:val="22"/>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0AE1B2D2" w14:textId="77777777" w:rsidR="00BF3042" w:rsidRPr="00901E26" w:rsidRDefault="00BF3042" w:rsidP="00901E26">
          <w:pPr>
            <w:spacing w:line="360" w:lineRule="auto"/>
            <w:rPr>
              <w:rFonts w:cs="Arial"/>
              <w:b/>
              <w:color w:val="000000" w:themeColor="text1"/>
              <w:szCs w:val="22"/>
            </w:rPr>
          </w:pPr>
        </w:p>
        <w:p w14:paraId="0F95DCD0" w14:textId="77777777" w:rsidR="00BF3042" w:rsidRPr="00901E26" w:rsidRDefault="00BF3042" w:rsidP="00901E26">
          <w:pPr>
            <w:spacing w:line="360" w:lineRule="auto"/>
            <w:rPr>
              <w:rFonts w:cs="Arial"/>
              <w:b/>
              <w:color w:val="000000" w:themeColor="text1"/>
              <w:szCs w:val="22"/>
            </w:rPr>
          </w:pPr>
          <w:r w:rsidRPr="00901E26">
            <w:rPr>
              <w:rFonts w:cs="Arial"/>
              <w:b/>
              <w:color w:val="000000" w:themeColor="text1"/>
              <w:szCs w:val="22"/>
            </w:rPr>
            <w:t>DECLARATION</w:t>
          </w:r>
        </w:p>
        <w:p w14:paraId="0344C5B9"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This work has not previously been accepted in substance for any degree and is not being concurrently submitted in candidature for any degree</w:t>
          </w:r>
        </w:p>
        <w:p w14:paraId="0061F97E" w14:textId="1FE22222"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49ACFB7E" w14:textId="0F93E25A"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0C38DB66" w14:textId="77777777" w:rsidR="00BF3042" w:rsidRPr="00901E26" w:rsidRDefault="00BF3042" w:rsidP="00901E26">
          <w:pPr>
            <w:spacing w:line="360" w:lineRule="auto"/>
            <w:rPr>
              <w:rFonts w:cs="Arial"/>
              <w:bCs/>
              <w:color w:val="000000" w:themeColor="text1"/>
              <w:kern w:val="32"/>
              <w:szCs w:val="22"/>
            </w:rPr>
          </w:pPr>
          <w:r w:rsidRPr="00901E26">
            <w:rPr>
              <w:rFonts w:cs="Arial"/>
              <w:b/>
              <w:color w:val="000000" w:themeColor="text1"/>
              <w:szCs w:val="22"/>
            </w:rPr>
            <w:t xml:space="preserve">STATEMENT 1 </w:t>
          </w:r>
        </w:p>
        <w:p w14:paraId="7C459E56"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This dissertation is being submitted in partial fulfilment of the requirements for the degree of BSc.</w:t>
          </w:r>
        </w:p>
        <w:p w14:paraId="0B9E7DA2"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5A466CB1"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3578B806" w14:textId="77777777" w:rsidR="00BF3042" w:rsidRPr="00901E26" w:rsidRDefault="00BF3042" w:rsidP="00901E26">
          <w:pPr>
            <w:spacing w:line="360" w:lineRule="auto"/>
            <w:rPr>
              <w:rFonts w:cs="Arial"/>
              <w:color w:val="000000" w:themeColor="text1"/>
              <w:szCs w:val="22"/>
            </w:rPr>
          </w:pPr>
          <w:r w:rsidRPr="00901E26">
            <w:rPr>
              <w:rFonts w:cs="Arial"/>
              <w:b/>
              <w:color w:val="000000" w:themeColor="text1"/>
              <w:szCs w:val="22"/>
            </w:rPr>
            <w:t>STATEMENT 2</w:t>
          </w:r>
        </w:p>
        <w:p w14:paraId="7338843C"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This dissertation is the result of my own independent work/investigation, except where otherwise stated. Other sources are acknowledged by footnotes giving explicit references.  A bibliography is appended.</w:t>
          </w:r>
        </w:p>
        <w:p w14:paraId="5AC4AF05"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467B4229"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6E7E25E8" w14:textId="77777777" w:rsidR="00BF3042" w:rsidRPr="00901E26" w:rsidRDefault="00BF3042" w:rsidP="00901E26">
          <w:pPr>
            <w:spacing w:line="360" w:lineRule="auto"/>
            <w:rPr>
              <w:rFonts w:cs="Arial"/>
              <w:color w:val="000000" w:themeColor="text1"/>
              <w:szCs w:val="22"/>
            </w:rPr>
          </w:pPr>
          <w:r w:rsidRPr="00901E26">
            <w:rPr>
              <w:rFonts w:cs="Arial"/>
              <w:b/>
              <w:color w:val="000000" w:themeColor="text1"/>
              <w:szCs w:val="22"/>
            </w:rPr>
            <w:t>STATEMENT 3</w:t>
          </w:r>
        </w:p>
        <w:p w14:paraId="78812825"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I hereby give consent for my dissertation, if accepted, to be available for photocopying and for interlibrary loan, and for the title and summary to be made available to outside organisations.</w:t>
          </w:r>
        </w:p>
        <w:p w14:paraId="01A5F597"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56CB5B66"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2AE9ACB1" w14:textId="77777777" w:rsidR="00BF3042" w:rsidRPr="00901E26" w:rsidRDefault="00BF3042" w:rsidP="00901E26">
          <w:pPr>
            <w:spacing w:line="360" w:lineRule="auto"/>
            <w:rPr>
              <w:rFonts w:cs="Arial"/>
              <w:b/>
              <w:color w:val="000000" w:themeColor="text1"/>
              <w:szCs w:val="22"/>
            </w:rPr>
          </w:pPr>
          <w:r w:rsidRPr="00901E26">
            <w:rPr>
              <w:rFonts w:cs="Arial"/>
              <w:b/>
              <w:color w:val="000000" w:themeColor="text1"/>
              <w:szCs w:val="22"/>
            </w:rPr>
            <w:t>STATEMENT 4</w:t>
          </w:r>
        </w:p>
        <w:p w14:paraId="6192D758"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I hereby give consent for my dissertation, if accepted, to be available on the university’s IT system to those who have consent to use the system.</w:t>
          </w:r>
        </w:p>
        <w:p w14:paraId="527E4513"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512CDA38"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489F9B53" w14:textId="77777777" w:rsidR="00BF3042" w:rsidRPr="00901E26" w:rsidRDefault="00BF3042" w:rsidP="00901E26">
          <w:pPr>
            <w:spacing w:line="360" w:lineRule="auto"/>
            <w:rPr>
              <w:rFonts w:cs="Arial"/>
              <w:color w:val="000000" w:themeColor="text1"/>
              <w:szCs w:val="22"/>
            </w:rPr>
          </w:pPr>
        </w:p>
        <w:p w14:paraId="3702F5F0" w14:textId="77777777" w:rsidR="00BF3042" w:rsidRPr="00901E26" w:rsidRDefault="00BF3042" w:rsidP="00901E26">
          <w:pPr>
            <w:pStyle w:val="p1"/>
            <w:spacing w:line="360" w:lineRule="auto"/>
            <w:jc w:val="center"/>
            <w:rPr>
              <w:rFonts w:ascii="Arial" w:hAnsi="Arial" w:cs="Arial"/>
              <w:color w:val="000000" w:themeColor="text1"/>
              <w:sz w:val="22"/>
              <w:szCs w:val="22"/>
            </w:rPr>
          </w:pPr>
        </w:p>
        <w:p w14:paraId="62E40C2A" w14:textId="77777777" w:rsidR="00BF3042" w:rsidRPr="00901E26" w:rsidRDefault="00BF3042" w:rsidP="00901E26">
          <w:pPr>
            <w:pStyle w:val="p1"/>
            <w:spacing w:line="360" w:lineRule="auto"/>
            <w:jc w:val="center"/>
            <w:rPr>
              <w:rFonts w:ascii="Arial" w:hAnsi="Arial" w:cs="Arial"/>
              <w:color w:val="000000" w:themeColor="text1"/>
              <w:sz w:val="22"/>
              <w:szCs w:val="22"/>
            </w:rPr>
          </w:pPr>
        </w:p>
        <w:p w14:paraId="603BD6B5" w14:textId="229E7354" w:rsidR="00BF3042" w:rsidRPr="008515C6" w:rsidRDefault="00BF3042" w:rsidP="00901E26">
          <w:pPr>
            <w:pStyle w:val="p1"/>
            <w:spacing w:line="360" w:lineRule="auto"/>
            <w:jc w:val="center"/>
            <w:rPr>
              <w:rFonts w:ascii="Arial" w:hAnsi="Arial" w:cs="Arial"/>
              <w:b/>
              <w:bCs/>
              <w:color w:val="000000" w:themeColor="text1"/>
              <w:sz w:val="28"/>
              <w:szCs w:val="28"/>
            </w:rPr>
          </w:pPr>
          <w:r w:rsidRPr="008515C6">
            <w:rPr>
              <w:rFonts w:ascii="Arial" w:hAnsi="Arial" w:cs="Arial"/>
              <w:b/>
              <w:bCs/>
              <w:color w:val="000000" w:themeColor="text1"/>
              <w:sz w:val="28"/>
              <w:szCs w:val="28"/>
            </w:rPr>
            <w:t>Substance Misuse in England: Exploring the Link Between Low Income Status and Untreated Mental Health Disorders</w:t>
          </w:r>
        </w:p>
        <w:p w14:paraId="33BB2EBD" w14:textId="2EFCDE9B" w:rsidR="00BF3042" w:rsidRPr="00901E26" w:rsidRDefault="00BF3042" w:rsidP="00901E26">
          <w:pPr>
            <w:pStyle w:val="p1"/>
            <w:spacing w:line="360" w:lineRule="auto"/>
            <w:jc w:val="center"/>
            <w:rPr>
              <w:rFonts w:ascii="Arial" w:hAnsi="Arial" w:cs="Arial"/>
              <w:color w:val="000000" w:themeColor="text1"/>
              <w:sz w:val="22"/>
              <w:szCs w:val="22"/>
            </w:rPr>
          </w:pPr>
        </w:p>
        <w:p w14:paraId="35F4A0E6" w14:textId="77777777" w:rsidR="00BF3042" w:rsidRPr="00901E26" w:rsidRDefault="00BF3042" w:rsidP="00901E26">
          <w:pPr>
            <w:pStyle w:val="p1"/>
            <w:spacing w:line="360" w:lineRule="auto"/>
            <w:jc w:val="center"/>
            <w:rPr>
              <w:rFonts w:ascii="Arial" w:hAnsi="Arial" w:cs="Arial"/>
              <w:color w:val="000000" w:themeColor="text1"/>
              <w:sz w:val="22"/>
              <w:szCs w:val="22"/>
            </w:rPr>
          </w:pPr>
        </w:p>
        <w:p w14:paraId="1E6C4AB3" w14:textId="77777777"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Arial Unicode MS" w:cs="Arial"/>
              <w:b/>
              <w:color w:val="000000" w:themeColor="text1"/>
              <w:szCs w:val="22"/>
            </w:rPr>
          </w:pPr>
        </w:p>
        <w:p w14:paraId="6623FF33" w14:textId="520A0E5E"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b/>
              <w:color w:val="000000" w:themeColor="text1"/>
              <w:szCs w:val="22"/>
            </w:rPr>
          </w:pPr>
          <w:r w:rsidRPr="00901E26">
            <w:rPr>
              <w:rFonts w:eastAsia="Arial Unicode MS" w:cs="Arial"/>
              <w:b/>
              <w:color w:val="000000" w:themeColor="text1"/>
              <w:szCs w:val="22"/>
            </w:rPr>
            <w:t>FAWAZ ABDALA YASLAM – 2113070</w:t>
          </w:r>
        </w:p>
        <w:p w14:paraId="3F6AE1A5" w14:textId="77777777"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b/>
              <w:i/>
              <w:color w:val="000000" w:themeColor="text1"/>
              <w:szCs w:val="22"/>
            </w:rPr>
          </w:pPr>
        </w:p>
        <w:p w14:paraId="0E023B25" w14:textId="1B9570C1"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06A3B856" w14:textId="0F3E036C" w:rsidR="00BF3042"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5915FC68" w14:textId="3B810822" w:rsidR="008515C6" w:rsidRDefault="008515C6"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6021DED6" w14:textId="0E6E9375" w:rsidR="008515C6" w:rsidRDefault="008515C6"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431BAF91" w14:textId="77777777" w:rsidR="008515C6" w:rsidRPr="00901E26" w:rsidRDefault="008515C6"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51E37011" w14:textId="77777777"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1D4F1831" w14:textId="77777777"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r w:rsidRPr="00901E26">
            <w:rPr>
              <w:rFonts w:eastAsia="Arial Unicode MS" w:cs="Arial"/>
              <w:color w:val="000000" w:themeColor="text1"/>
              <w:szCs w:val="22"/>
            </w:rPr>
            <w:t>Dissertation submitted as part of the requirements for the award BSc (Hons) Health and Social Care</w:t>
          </w:r>
        </w:p>
        <w:p w14:paraId="7E5FC55F" w14:textId="77777777" w:rsidR="00BF3042" w:rsidRPr="00901E26" w:rsidRDefault="00BF3042" w:rsidP="00901E26">
          <w:pPr>
            <w:spacing w:line="360" w:lineRule="auto"/>
            <w:rPr>
              <w:rFonts w:cs="Arial"/>
              <w:color w:val="000000" w:themeColor="text1"/>
              <w:szCs w:val="22"/>
            </w:rPr>
          </w:pPr>
        </w:p>
        <w:p w14:paraId="1B38230B" w14:textId="3366A16D" w:rsidR="00A8429E" w:rsidRPr="00901E26" w:rsidRDefault="00A8429E" w:rsidP="00901E26">
          <w:pPr>
            <w:spacing w:line="360" w:lineRule="auto"/>
            <w:rPr>
              <w:rFonts w:cs="Arial"/>
              <w:color w:val="000000" w:themeColor="text1"/>
              <w:szCs w:val="22"/>
            </w:rPr>
          </w:pPr>
        </w:p>
        <w:p w14:paraId="034B9091" w14:textId="04F5C679" w:rsidR="00BF3042" w:rsidRPr="00901E26" w:rsidRDefault="00BF3042" w:rsidP="00901E26">
          <w:pPr>
            <w:spacing w:line="360" w:lineRule="auto"/>
            <w:rPr>
              <w:rFonts w:cs="Arial"/>
              <w:color w:val="000000" w:themeColor="text1"/>
              <w:szCs w:val="22"/>
            </w:rPr>
          </w:pPr>
        </w:p>
        <w:p w14:paraId="63CBC17C" w14:textId="1ACAA55B" w:rsidR="00BF3042" w:rsidRPr="00901E26" w:rsidRDefault="00BF3042" w:rsidP="00901E26">
          <w:pPr>
            <w:spacing w:line="360" w:lineRule="auto"/>
            <w:rPr>
              <w:rFonts w:cs="Arial"/>
              <w:color w:val="000000" w:themeColor="text1"/>
              <w:szCs w:val="22"/>
            </w:rPr>
          </w:pPr>
        </w:p>
        <w:p w14:paraId="6B364D27" w14:textId="1D3ABABF" w:rsidR="00BF3042" w:rsidRPr="00901E26" w:rsidRDefault="00BF3042" w:rsidP="00901E26">
          <w:pPr>
            <w:spacing w:line="360" w:lineRule="auto"/>
            <w:rPr>
              <w:rFonts w:cs="Arial"/>
              <w:color w:val="000000" w:themeColor="text1"/>
              <w:szCs w:val="22"/>
            </w:rPr>
          </w:pPr>
        </w:p>
        <w:p w14:paraId="711AE250" w14:textId="2F69085B" w:rsidR="00BF3042" w:rsidRPr="00901E26" w:rsidRDefault="00BF3042" w:rsidP="00901E26">
          <w:pPr>
            <w:spacing w:line="360" w:lineRule="auto"/>
            <w:rPr>
              <w:rFonts w:cs="Arial"/>
              <w:color w:val="000000" w:themeColor="text1"/>
              <w:szCs w:val="22"/>
            </w:rPr>
          </w:pPr>
        </w:p>
        <w:p w14:paraId="6B72571C" w14:textId="1C84B506" w:rsidR="00BF3042" w:rsidRPr="00901E26" w:rsidRDefault="00BF3042" w:rsidP="00901E26">
          <w:pPr>
            <w:spacing w:line="360" w:lineRule="auto"/>
            <w:rPr>
              <w:rFonts w:cs="Arial"/>
              <w:color w:val="000000" w:themeColor="text1"/>
              <w:szCs w:val="22"/>
            </w:rPr>
          </w:pPr>
        </w:p>
        <w:p w14:paraId="2A2177BB" w14:textId="60FAFE86" w:rsidR="00BF3042" w:rsidRPr="00901E26" w:rsidRDefault="00BF3042" w:rsidP="00901E26">
          <w:pPr>
            <w:spacing w:line="360" w:lineRule="auto"/>
            <w:rPr>
              <w:rFonts w:cs="Arial"/>
              <w:color w:val="000000" w:themeColor="text1"/>
              <w:szCs w:val="22"/>
            </w:rPr>
          </w:pPr>
        </w:p>
        <w:p w14:paraId="1803405C" w14:textId="4FC8CF8E" w:rsidR="00BF3042" w:rsidRPr="00901E26" w:rsidRDefault="00BF3042" w:rsidP="00901E26">
          <w:pPr>
            <w:spacing w:line="360" w:lineRule="auto"/>
            <w:rPr>
              <w:rFonts w:cs="Arial"/>
              <w:color w:val="000000" w:themeColor="text1"/>
              <w:szCs w:val="22"/>
            </w:rPr>
          </w:pPr>
        </w:p>
        <w:p w14:paraId="3477035C" w14:textId="025F5D39" w:rsidR="00BF3042" w:rsidRPr="00901E26" w:rsidRDefault="00BF3042" w:rsidP="00901E26">
          <w:pPr>
            <w:spacing w:line="360" w:lineRule="auto"/>
            <w:rPr>
              <w:rFonts w:cs="Arial"/>
              <w:color w:val="000000" w:themeColor="text1"/>
              <w:szCs w:val="22"/>
            </w:rPr>
          </w:pPr>
        </w:p>
        <w:p w14:paraId="1F8804DD" w14:textId="402F4BC2" w:rsidR="00BF3042" w:rsidRPr="00901E26" w:rsidRDefault="00BF3042" w:rsidP="00901E26">
          <w:pPr>
            <w:spacing w:line="360" w:lineRule="auto"/>
            <w:rPr>
              <w:rFonts w:cs="Arial"/>
              <w:color w:val="000000" w:themeColor="text1"/>
              <w:szCs w:val="22"/>
            </w:rPr>
          </w:pPr>
        </w:p>
        <w:p w14:paraId="717A282A" w14:textId="7663D987" w:rsidR="00BF3042" w:rsidRPr="00901E26" w:rsidRDefault="00BF3042" w:rsidP="00901E26">
          <w:pPr>
            <w:spacing w:line="360" w:lineRule="auto"/>
            <w:rPr>
              <w:rFonts w:cs="Arial"/>
              <w:color w:val="000000" w:themeColor="text1"/>
              <w:szCs w:val="22"/>
            </w:rPr>
          </w:pPr>
        </w:p>
        <w:p w14:paraId="6F9CFD10" w14:textId="74A533BD" w:rsidR="00BF3042" w:rsidRPr="00901E26" w:rsidRDefault="00BF3042" w:rsidP="00901E26">
          <w:pPr>
            <w:spacing w:line="360" w:lineRule="auto"/>
            <w:rPr>
              <w:rFonts w:cs="Arial"/>
              <w:color w:val="000000" w:themeColor="text1"/>
              <w:szCs w:val="22"/>
            </w:rPr>
          </w:pPr>
        </w:p>
        <w:p w14:paraId="00BECD47" w14:textId="32D5DAC3" w:rsidR="00BF3042" w:rsidRPr="00901E26" w:rsidRDefault="00BF3042" w:rsidP="00901E26">
          <w:pPr>
            <w:spacing w:line="360" w:lineRule="auto"/>
            <w:rPr>
              <w:rFonts w:cs="Arial"/>
              <w:color w:val="000000" w:themeColor="text1"/>
              <w:szCs w:val="22"/>
            </w:rPr>
          </w:pPr>
        </w:p>
        <w:p w14:paraId="513626A2" w14:textId="2574F83F" w:rsidR="00BF3042" w:rsidRPr="00901E26" w:rsidRDefault="00BF3042" w:rsidP="00901E26">
          <w:pPr>
            <w:spacing w:line="360" w:lineRule="auto"/>
            <w:rPr>
              <w:rFonts w:cs="Arial"/>
              <w:color w:val="000000" w:themeColor="text1"/>
              <w:szCs w:val="22"/>
            </w:rPr>
          </w:pPr>
        </w:p>
        <w:p w14:paraId="13644D86" w14:textId="09FECFD8" w:rsidR="00BF3042" w:rsidRPr="00901E26" w:rsidRDefault="00BF3042" w:rsidP="00901E26">
          <w:pPr>
            <w:spacing w:line="360" w:lineRule="auto"/>
            <w:rPr>
              <w:rFonts w:cs="Arial"/>
              <w:color w:val="000000" w:themeColor="text1"/>
              <w:szCs w:val="22"/>
            </w:rPr>
          </w:pPr>
        </w:p>
        <w:p w14:paraId="0F7853DC" w14:textId="1635CFDA" w:rsidR="00BF3042" w:rsidRPr="00901E26" w:rsidRDefault="00BF3042" w:rsidP="00901E26">
          <w:pPr>
            <w:spacing w:line="360" w:lineRule="auto"/>
            <w:rPr>
              <w:rFonts w:cs="Arial"/>
              <w:color w:val="000000" w:themeColor="text1"/>
              <w:szCs w:val="22"/>
            </w:rPr>
          </w:pPr>
        </w:p>
        <w:p w14:paraId="2973A920" w14:textId="552BFCAD" w:rsidR="00BF3042" w:rsidRPr="00901E26" w:rsidRDefault="00BF3042" w:rsidP="00901E26">
          <w:pPr>
            <w:spacing w:line="360" w:lineRule="auto"/>
            <w:rPr>
              <w:rFonts w:cs="Arial"/>
              <w:color w:val="000000" w:themeColor="text1"/>
              <w:szCs w:val="22"/>
            </w:rPr>
          </w:pPr>
        </w:p>
        <w:p w14:paraId="138960B4" w14:textId="1591FC80" w:rsidR="00BF3042" w:rsidRDefault="00BF3042" w:rsidP="00901E26">
          <w:pPr>
            <w:spacing w:line="360" w:lineRule="auto"/>
            <w:rPr>
              <w:rFonts w:cs="Arial"/>
              <w:color w:val="000000" w:themeColor="text1"/>
              <w:szCs w:val="22"/>
            </w:rPr>
          </w:pPr>
        </w:p>
        <w:p w14:paraId="706BCC86" w14:textId="77777777" w:rsidR="005A439E" w:rsidRPr="00901E26" w:rsidRDefault="005A439E" w:rsidP="00901E26">
          <w:pPr>
            <w:spacing w:line="360" w:lineRule="auto"/>
            <w:rPr>
              <w:rFonts w:cs="Arial"/>
              <w:color w:val="000000" w:themeColor="text1"/>
              <w:szCs w:val="22"/>
            </w:rPr>
          </w:pPr>
        </w:p>
        <w:p w14:paraId="3690479F" w14:textId="58DBCA8A" w:rsidR="00BF3042" w:rsidRPr="00901E26" w:rsidRDefault="00BF3042" w:rsidP="00901E26">
          <w:pPr>
            <w:pStyle w:val="Heading1"/>
            <w:spacing w:line="360" w:lineRule="auto"/>
            <w:rPr>
              <w:rFonts w:eastAsia="Arial Unicode MS" w:cs="Arial"/>
              <w:color w:val="000000" w:themeColor="text1"/>
              <w:szCs w:val="22"/>
            </w:rPr>
          </w:pPr>
          <w:bookmarkStart w:id="1" w:name="_Toc214836651"/>
          <w:r w:rsidRPr="00901E26">
            <w:rPr>
              <w:rFonts w:eastAsia="Arial Unicode MS" w:cs="Arial"/>
              <w:color w:val="000000" w:themeColor="text1"/>
              <w:szCs w:val="22"/>
            </w:rPr>
            <w:t>ACKNOWLEDGEMENTS</w:t>
          </w:r>
          <w:bookmarkEnd w:id="1"/>
          <w:r w:rsidRPr="00901E26">
            <w:rPr>
              <w:rFonts w:eastAsia="Arial Unicode MS" w:cs="Arial"/>
              <w:color w:val="000000" w:themeColor="text1"/>
              <w:szCs w:val="22"/>
            </w:rPr>
            <w:t xml:space="preserve"> </w:t>
          </w:r>
        </w:p>
        <w:p w14:paraId="4927BE66" w14:textId="1D24BD2E" w:rsidR="00B172D9" w:rsidRPr="00B172D9" w:rsidRDefault="00B172D9" w:rsidP="00901E26">
          <w:pPr>
            <w:spacing w:before="100" w:beforeAutospacing="1" w:after="100" w:afterAutospacing="1" w:line="360" w:lineRule="auto"/>
            <w:rPr>
              <w:rFonts w:cs="Arial"/>
              <w:color w:val="000000" w:themeColor="text1"/>
              <w:szCs w:val="22"/>
            </w:rPr>
          </w:pPr>
          <w:r w:rsidRPr="00B172D9">
            <w:rPr>
              <w:rFonts w:cs="Arial"/>
              <w:color w:val="000000" w:themeColor="text1"/>
              <w:szCs w:val="22"/>
            </w:rPr>
            <w:t>I would want to use this opportunity to extend my heartfelt appreciation to everyone who has been there for me throughout the process of conducting research and writing this dissertation. I would want to express my gratitude, in particular, to my supervisor</w:t>
          </w:r>
          <w:r w:rsidRPr="00901E26">
            <w:rPr>
              <w:rFonts w:cs="Arial"/>
              <w:color w:val="000000" w:themeColor="text1"/>
              <w:szCs w:val="22"/>
            </w:rPr>
            <w:t xml:space="preserve">’s </w:t>
          </w:r>
          <w:r w:rsidRPr="00B172D9">
            <w:rPr>
              <w:rFonts w:cs="Arial"/>
              <w:color w:val="000000" w:themeColor="text1"/>
              <w:szCs w:val="22"/>
            </w:rPr>
            <w:t>for providing me with vital direction, meaningful feedback, and consistent support. I would also like to express my appreciation to my fellow classmates, whose lively conversations and cooperative efforts contributed to the enhancement of this work. Without the combined efforts of all the individuals acknowledged in this document, it is impossible to imagine writing this dissertation.</w:t>
          </w:r>
        </w:p>
        <w:p w14:paraId="0AF48F70" w14:textId="0F29DF57" w:rsidR="00BF3042" w:rsidRPr="00901E26" w:rsidRDefault="00A8429E"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r w:rsidRPr="00901E26">
            <w:rPr>
              <w:rFonts w:cs="Arial"/>
              <w:color w:val="000000" w:themeColor="text1"/>
              <w:szCs w:val="22"/>
            </w:rPr>
            <w:br w:type="page"/>
          </w:r>
        </w:p>
        <w:p w14:paraId="5469C374" w14:textId="787C117A"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1CD3805C" w14:textId="77777777" w:rsidR="00BF3042" w:rsidRPr="00901E26" w:rsidRDefault="00BF3042" w:rsidP="00901E26">
          <w:pPr>
            <w:pStyle w:val="Heading1"/>
            <w:spacing w:line="360" w:lineRule="auto"/>
            <w:rPr>
              <w:rFonts w:cs="Arial"/>
              <w:color w:val="000000" w:themeColor="text1"/>
              <w:szCs w:val="22"/>
            </w:rPr>
          </w:pPr>
          <w:bookmarkStart w:id="2" w:name="_Toc214836652"/>
          <w:r w:rsidRPr="00901E26">
            <w:rPr>
              <w:rStyle w:val="Strong"/>
              <w:rFonts w:cs="Arial"/>
              <w:b/>
              <w:bCs/>
              <w:color w:val="000000" w:themeColor="text1"/>
              <w:szCs w:val="22"/>
            </w:rPr>
            <w:t>Abstract</w:t>
          </w:r>
          <w:bookmarkEnd w:id="2"/>
          <w:r w:rsidRPr="00901E26">
            <w:rPr>
              <w:rStyle w:val="Strong"/>
              <w:rFonts w:cs="Arial"/>
              <w:b/>
              <w:bCs/>
              <w:color w:val="000000" w:themeColor="text1"/>
              <w:szCs w:val="22"/>
            </w:rPr>
            <w:t xml:space="preserve"> </w:t>
          </w:r>
        </w:p>
        <w:p w14:paraId="78F0103A" w14:textId="77777777" w:rsidR="00BF3042" w:rsidRPr="00901E26" w:rsidRDefault="00BF3042"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This dissertation explores the relationship between low-income status, substance misuse, and untreated mental health disorders in England. Individuals from economically disadvantaged backgrounds experience higher rates of substance misuse, often compounded by mental health conditions such as anxiety, depression, and trauma. These overlapping challenges contribute to enduring cycles of social and health inequality.</w:t>
          </w:r>
        </w:p>
        <w:p w14:paraId="2CAB73DD" w14:textId="77777777" w:rsidR="00BF3042" w:rsidRPr="00901E26" w:rsidRDefault="00BF3042"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The study adopts a systematic review and thematic analysis of academic literature, national datasets, and grey reports to examine how socioeconomic disadvantage and limited access to healthcare shape patterns of substance misuse. Data will be sourced from databases including PubMed, Scopus, and Web of Science, alongside publications from NHS Digital, Public Health England, and the Office for National Statistics.</w:t>
          </w:r>
        </w:p>
        <w:p w14:paraId="4888A340" w14:textId="77777777" w:rsidR="00BF3042" w:rsidRPr="00901E26" w:rsidRDefault="00BF3042"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Thematic analysis will follow Braun and Clarke’s (2006) framework, supported by NVivo software, to identify recurring themes around socioeconomic disadvantage, mental health, and barriers to treatment. Findings are expected to reveal how economic hardship and untreated mental illness intersect to elevate substance misuse risks, and to highlight gaps in treatment accessibility. The research will contribute to the evidence base for equitable public health and policy interventions, aiming to reduce disparities in mental health and substance misuse outcomes among low-income populations in England.</w:t>
          </w:r>
        </w:p>
        <w:p w14:paraId="3CEBB068" w14:textId="77777777" w:rsidR="00BF3042" w:rsidRPr="00901E26" w:rsidRDefault="00BF3042" w:rsidP="00901E26">
          <w:pPr>
            <w:spacing w:line="360" w:lineRule="auto"/>
            <w:rPr>
              <w:rFonts w:cs="Arial"/>
              <w:b/>
              <w:bCs/>
              <w:color w:val="000000" w:themeColor="text1"/>
              <w:szCs w:val="22"/>
            </w:rPr>
          </w:pPr>
        </w:p>
        <w:p w14:paraId="38DB5DAC" w14:textId="77777777" w:rsidR="00BF3042" w:rsidRPr="00901E26" w:rsidRDefault="00BF3042" w:rsidP="00901E26">
          <w:pPr>
            <w:spacing w:line="360" w:lineRule="auto"/>
            <w:rPr>
              <w:rFonts w:cs="Arial"/>
              <w:b/>
              <w:bCs/>
              <w:color w:val="000000" w:themeColor="text1"/>
              <w:szCs w:val="22"/>
            </w:rPr>
          </w:pPr>
        </w:p>
        <w:p w14:paraId="52A56BCC" w14:textId="77777777" w:rsidR="00BF3042" w:rsidRPr="00901E26" w:rsidRDefault="00BF3042" w:rsidP="00901E26">
          <w:pPr>
            <w:spacing w:line="360" w:lineRule="auto"/>
            <w:rPr>
              <w:rFonts w:cs="Arial"/>
              <w:b/>
              <w:bCs/>
              <w:color w:val="000000" w:themeColor="text1"/>
              <w:szCs w:val="22"/>
            </w:rPr>
          </w:pPr>
        </w:p>
        <w:p w14:paraId="2F25428F" w14:textId="77777777" w:rsidR="00BF3042" w:rsidRPr="00901E26" w:rsidRDefault="00BF3042" w:rsidP="00901E26">
          <w:pPr>
            <w:spacing w:line="360" w:lineRule="auto"/>
            <w:rPr>
              <w:rFonts w:cs="Arial"/>
              <w:b/>
              <w:bCs/>
              <w:color w:val="000000" w:themeColor="text1"/>
              <w:szCs w:val="22"/>
            </w:rPr>
          </w:pPr>
        </w:p>
        <w:p w14:paraId="43772C6F" w14:textId="77777777" w:rsidR="00BF3042" w:rsidRPr="00901E26" w:rsidRDefault="00BF3042" w:rsidP="00901E26">
          <w:pPr>
            <w:spacing w:line="360" w:lineRule="auto"/>
            <w:rPr>
              <w:rFonts w:cs="Arial"/>
              <w:b/>
              <w:bCs/>
              <w:color w:val="000000" w:themeColor="text1"/>
              <w:szCs w:val="22"/>
            </w:rPr>
          </w:pPr>
        </w:p>
        <w:p w14:paraId="4AB77B71" w14:textId="7C077D48"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465E2E30" w14:textId="261ECB2B"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06650166" w14:textId="6BF3522F"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70A4D4C0" w14:textId="7E82B75E"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77C18775" w14:textId="56768C83"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1CF964EB" w14:textId="26A1515B"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15BADC90" w14:textId="3CAC453F"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37E95FEC" w14:textId="0F11B901"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36DCE2A3" w14:textId="77777777" w:rsidR="00F31AEC" w:rsidRDefault="00F31AEC" w:rsidP="00F31AE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sdt>
          <w:sdtPr>
            <w:rPr>
              <w:rFonts w:ascii="Arial" w:eastAsia="Times New Roman" w:hAnsi="Arial" w:cs="Times New Roman"/>
              <w:b w:val="0"/>
              <w:bCs w:val="0"/>
              <w:color w:val="auto"/>
              <w:sz w:val="22"/>
              <w:szCs w:val="24"/>
              <w:lang w:val="en-GB" w:eastAsia="en-GB"/>
            </w:rPr>
            <w:id w:val="435883659"/>
            <w:docPartObj>
              <w:docPartGallery w:val="Table of Contents"/>
              <w:docPartUnique/>
            </w:docPartObj>
          </w:sdtPr>
          <w:sdtEndPr>
            <w:rPr>
              <w:noProof/>
            </w:rPr>
          </w:sdtEndPr>
          <w:sdtContent>
            <w:p w14:paraId="52EF658C" w14:textId="7159617D" w:rsidR="00F31AEC" w:rsidRDefault="00F31AEC">
              <w:pPr>
                <w:pStyle w:val="TOCHeading"/>
              </w:pPr>
              <w:r>
                <w:t>Table of Contents</w:t>
              </w:r>
            </w:p>
            <w:p w14:paraId="0E6AA21A" w14:textId="43031BBA" w:rsidR="0016589C" w:rsidRDefault="00F31AEC">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214836650" w:history="1">
                <w:r w:rsidR="0016589C" w:rsidRPr="00F30CF8">
                  <w:rPr>
                    <w:rStyle w:val="Hyperlink"/>
                    <w:rFonts w:eastAsiaTheme="majorEastAsia" w:cs="Arial"/>
                    <w:noProof/>
                  </w:rPr>
                  <w:t>Disclaimer</w:t>
                </w:r>
                <w:r w:rsidR="0016589C">
                  <w:rPr>
                    <w:noProof/>
                    <w:webHidden/>
                  </w:rPr>
                  <w:tab/>
                </w:r>
                <w:r w:rsidR="0016589C">
                  <w:rPr>
                    <w:noProof/>
                    <w:webHidden/>
                  </w:rPr>
                  <w:fldChar w:fldCharType="begin"/>
                </w:r>
                <w:r w:rsidR="0016589C">
                  <w:rPr>
                    <w:noProof/>
                    <w:webHidden/>
                  </w:rPr>
                  <w:instrText xml:space="preserve"> PAGEREF _Toc214836650 \h </w:instrText>
                </w:r>
                <w:r w:rsidR="0016589C">
                  <w:rPr>
                    <w:noProof/>
                    <w:webHidden/>
                  </w:rPr>
                </w:r>
                <w:r w:rsidR="0016589C">
                  <w:rPr>
                    <w:noProof/>
                    <w:webHidden/>
                  </w:rPr>
                  <w:fldChar w:fldCharType="separate"/>
                </w:r>
                <w:r w:rsidR="0016589C">
                  <w:rPr>
                    <w:noProof/>
                    <w:webHidden/>
                  </w:rPr>
                  <w:t>1</w:t>
                </w:r>
                <w:r w:rsidR="0016589C">
                  <w:rPr>
                    <w:noProof/>
                    <w:webHidden/>
                  </w:rPr>
                  <w:fldChar w:fldCharType="end"/>
                </w:r>
              </w:hyperlink>
            </w:p>
            <w:p w14:paraId="2BD982E2" w14:textId="531A1888" w:rsidR="0016589C" w:rsidRDefault="0016589C">
              <w:pPr>
                <w:pStyle w:val="TOC1"/>
                <w:tabs>
                  <w:tab w:val="right" w:leader="dot" w:pos="9016"/>
                </w:tabs>
                <w:rPr>
                  <w:rFonts w:eastAsiaTheme="minorEastAsia" w:cstheme="minorBidi"/>
                  <w:b w:val="0"/>
                  <w:bCs w:val="0"/>
                  <w:caps w:val="0"/>
                  <w:noProof/>
                  <w:sz w:val="24"/>
                  <w:szCs w:val="24"/>
                </w:rPr>
              </w:pPr>
              <w:hyperlink w:anchor="_Toc214836651" w:history="1">
                <w:r w:rsidRPr="00F30CF8">
                  <w:rPr>
                    <w:rStyle w:val="Hyperlink"/>
                    <w:rFonts w:eastAsia="Arial Unicode MS" w:cs="Arial"/>
                    <w:noProof/>
                  </w:rPr>
                  <w:t>ACKNOWLEDGEMENTS</w:t>
                </w:r>
                <w:r>
                  <w:rPr>
                    <w:noProof/>
                    <w:webHidden/>
                  </w:rPr>
                  <w:tab/>
                </w:r>
                <w:r>
                  <w:rPr>
                    <w:noProof/>
                    <w:webHidden/>
                  </w:rPr>
                  <w:fldChar w:fldCharType="begin"/>
                </w:r>
                <w:r>
                  <w:rPr>
                    <w:noProof/>
                    <w:webHidden/>
                  </w:rPr>
                  <w:instrText xml:space="preserve"> PAGEREF _Toc214836651 \h </w:instrText>
                </w:r>
                <w:r>
                  <w:rPr>
                    <w:noProof/>
                    <w:webHidden/>
                  </w:rPr>
                </w:r>
                <w:r>
                  <w:rPr>
                    <w:noProof/>
                    <w:webHidden/>
                  </w:rPr>
                  <w:fldChar w:fldCharType="separate"/>
                </w:r>
                <w:r>
                  <w:rPr>
                    <w:noProof/>
                    <w:webHidden/>
                  </w:rPr>
                  <w:t>3</w:t>
                </w:r>
                <w:r>
                  <w:rPr>
                    <w:noProof/>
                    <w:webHidden/>
                  </w:rPr>
                  <w:fldChar w:fldCharType="end"/>
                </w:r>
              </w:hyperlink>
            </w:p>
            <w:p w14:paraId="527EE95C" w14:textId="5643F256" w:rsidR="0016589C" w:rsidRDefault="0016589C">
              <w:pPr>
                <w:pStyle w:val="TOC1"/>
                <w:tabs>
                  <w:tab w:val="right" w:leader="dot" w:pos="9016"/>
                </w:tabs>
                <w:rPr>
                  <w:rFonts w:eastAsiaTheme="minorEastAsia" w:cstheme="minorBidi"/>
                  <w:b w:val="0"/>
                  <w:bCs w:val="0"/>
                  <w:caps w:val="0"/>
                  <w:noProof/>
                  <w:sz w:val="24"/>
                  <w:szCs w:val="24"/>
                </w:rPr>
              </w:pPr>
              <w:hyperlink w:anchor="_Toc214836652" w:history="1">
                <w:r w:rsidRPr="00F30CF8">
                  <w:rPr>
                    <w:rStyle w:val="Hyperlink"/>
                    <w:rFonts w:eastAsiaTheme="majorEastAsia" w:cs="Arial"/>
                    <w:noProof/>
                  </w:rPr>
                  <w:t>Abstract</w:t>
                </w:r>
                <w:r>
                  <w:rPr>
                    <w:noProof/>
                    <w:webHidden/>
                  </w:rPr>
                  <w:tab/>
                </w:r>
                <w:r>
                  <w:rPr>
                    <w:noProof/>
                    <w:webHidden/>
                  </w:rPr>
                  <w:fldChar w:fldCharType="begin"/>
                </w:r>
                <w:r>
                  <w:rPr>
                    <w:noProof/>
                    <w:webHidden/>
                  </w:rPr>
                  <w:instrText xml:space="preserve"> PAGEREF _Toc214836652 \h </w:instrText>
                </w:r>
                <w:r>
                  <w:rPr>
                    <w:noProof/>
                    <w:webHidden/>
                  </w:rPr>
                </w:r>
                <w:r>
                  <w:rPr>
                    <w:noProof/>
                    <w:webHidden/>
                  </w:rPr>
                  <w:fldChar w:fldCharType="separate"/>
                </w:r>
                <w:r>
                  <w:rPr>
                    <w:noProof/>
                    <w:webHidden/>
                  </w:rPr>
                  <w:t>4</w:t>
                </w:r>
                <w:r>
                  <w:rPr>
                    <w:noProof/>
                    <w:webHidden/>
                  </w:rPr>
                  <w:fldChar w:fldCharType="end"/>
                </w:r>
              </w:hyperlink>
            </w:p>
            <w:p w14:paraId="69CB5B07" w14:textId="55E9DA0F" w:rsidR="0016589C" w:rsidRDefault="0016589C">
              <w:pPr>
                <w:pStyle w:val="TOC1"/>
                <w:tabs>
                  <w:tab w:val="right" w:leader="dot" w:pos="9016"/>
                </w:tabs>
                <w:rPr>
                  <w:rFonts w:eastAsiaTheme="minorEastAsia" w:cstheme="minorBidi"/>
                  <w:b w:val="0"/>
                  <w:bCs w:val="0"/>
                  <w:caps w:val="0"/>
                  <w:noProof/>
                  <w:sz w:val="24"/>
                  <w:szCs w:val="24"/>
                </w:rPr>
              </w:pPr>
              <w:hyperlink w:anchor="_Toc214836653" w:history="1">
                <w:r w:rsidRPr="00F30CF8">
                  <w:rPr>
                    <w:rStyle w:val="Hyperlink"/>
                    <w:rFonts w:eastAsiaTheme="majorEastAsia"/>
                    <w:noProof/>
                  </w:rPr>
                  <w:t>CHAPTER 1: INTRODUCTION</w:t>
                </w:r>
                <w:r>
                  <w:rPr>
                    <w:noProof/>
                    <w:webHidden/>
                  </w:rPr>
                  <w:tab/>
                </w:r>
                <w:r>
                  <w:rPr>
                    <w:noProof/>
                    <w:webHidden/>
                  </w:rPr>
                  <w:fldChar w:fldCharType="begin"/>
                </w:r>
                <w:r>
                  <w:rPr>
                    <w:noProof/>
                    <w:webHidden/>
                  </w:rPr>
                  <w:instrText xml:space="preserve"> PAGEREF _Toc214836653 \h </w:instrText>
                </w:r>
                <w:r>
                  <w:rPr>
                    <w:noProof/>
                    <w:webHidden/>
                  </w:rPr>
                </w:r>
                <w:r>
                  <w:rPr>
                    <w:noProof/>
                    <w:webHidden/>
                  </w:rPr>
                  <w:fldChar w:fldCharType="separate"/>
                </w:r>
                <w:r>
                  <w:rPr>
                    <w:noProof/>
                    <w:webHidden/>
                  </w:rPr>
                  <w:t>7</w:t>
                </w:r>
                <w:r>
                  <w:rPr>
                    <w:noProof/>
                    <w:webHidden/>
                  </w:rPr>
                  <w:fldChar w:fldCharType="end"/>
                </w:r>
              </w:hyperlink>
            </w:p>
            <w:p w14:paraId="39701394" w14:textId="1972E697" w:rsidR="0016589C" w:rsidRDefault="0016589C">
              <w:pPr>
                <w:pStyle w:val="TOC2"/>
                <w:tabs>
                  <w:tab w:val="right" w:leader="dot" w:pos="9016"/>
                </w:tabs>
                <w:rPr>
                  <w:rFonts w:eastAsiaTheme="minorEastAsia" w:cstheme="minorBidi"/>
                  <w:smallCaps w:val="0"/>
                  <w:noProof/>
                  <w:sz w:val="24"/>
                  <w:szCs w:val="24"/>
                </w:rPr>
              </w:pPr>
              <w:hyperlink w:anchor="_Toc214836654" w:history="1">
                <w:r w:rsidRPr="00F30CF8">
                  <w:rPr>
                    <w:rStyle w:val="Hyperlink"/>
                    <w:rFonts w:eastAsiaTheme="majorEastAsia"/>
                    <w:noProof/>
                  </w:rPr>
                  <w:t>1.1 What is this research about?</w:t>
                </w:r>
                <w:r>
                  <w:rPr>
                    <w:noProof/>
                    <w:webHidden/>
                  </w:rPr>
                  <w:tab/>
                </w:r>
                <w:r>
                  <w:rPr>
                    <w:noProof/>
                    <w:webHidden/>
                  </w:rPr>
                  <w:fldChar w:fldCharType="begin"/>
                </w:r>
                <w:r>
                  <w:rPr>
                    <w:noProof/>
                    <w:webHidden/>
                  </w:rPr>
                  <w:instrText xml:space="preserve"> PAGEREF _Toc214836654 \h </w:instrText>
                </w:r>
                <w:r>
                  <w:rPr>
                    <w:noProof/>
                    <w:webHidden/>
                  </w:rPr>
                </w:r>
                <w:r>
                  <w:rPr>
                    <w:noProof/>
                    <w:webHidden/>
                  </w:rPr>
                  <w:fldChar w:fldCharType="separate"/>
                </w:r>
                <w:r>
                  <w:rPr>
                    <w:noProof/>
                    <w:webHidden/>
                  </w:rPr>
                  <w:t>7</w:t>
                </w:r>
                <w:r>
                  <w:rPr>
                    <w:noProof/>
                    <w:webHidden/>
                  </w:rPr>
                  <w:fldChar w:fldCharType="end"/>
                </w:r>
              </w:hyperlink>
            </w:p>
            <w:p w14:paraId="1BABEE28" w14:textId="1C665D49" w:rsidR="0016589C" w:rsidRDefault="0016589C">
              <w:pPr>
                <w:pStyle w:val="TOC2"/>
                <w:tabs>
                  <w:tab w:val="right" w:leader="dot" w:pos="9016"/>
                </w:tabs>
                <w:rPr>
                  <w:rFonts w:eastAsiaTheme="minorEastAsia" w:cstheme="minorBidi"/>
                  <w:smallCaps w:val="0"/>
                  <w:noProof/>
                  <w:sz w:val="24"/>
                  <w:szCs w:val="24"/>
                </w:rPr>
              </w:pPr>
              <w:hyperlink w:anchor="_Toc214836655" w:history="1">
                <w:r w:rsidRPr="00F30CF8">
                  <w:rPr>
                    <w:rStyle w:val="Hyperlink"/>
                    <w:rFonts w:eastAsiaTheme="majorEastAsia"/>
                    <w:noProof/>
                  </w:rPr>
                  <w:t>1.2 Why is this research important?</w:t>
                </w:r>
                <w:r>
                  <w:rPr>
                    <w:noProof/>
                    <w:webHidden/>
                  </w:rPr>
                  <w:tab/>
                </w:r>
                <w:r>
                  <w:rPr>
                    <w:noProof/>
                    <w:webHidden/>
                  </w:rPr>
                  <w:fldChar w:fldCharType="begin"/>
                </w:r>
                <w:r>
                  <w:rPr>
                    <w:noProof/>
                    <w:webHidden/>
                  </w:rPr>
                  <w:instrText xml:space="preserve"> PAGEREF _Toc214836655 \h </w:instrText>
                </w:r>
                <w:r>
                  <w:rPr>
                    <w:noProof/>
                    <w:webHidden/>
                  </w:rPr>
                </w:r>
                <w:r>
                  <w:rPr>
                    <w:noProof/>
                    <w:webHidden/>
                  </w:rPr>
                  <w:fldChar w:fldCharType="separate"/>
                </w:r>
                <w:r>
                  <w:rPr>
                    <w:noProof/>
                    <w:webHidden/>
                  </w:rPr>
                  <w:t>7</w:t>
                </w:r>
                <w:r>
                  <w:rPr>
                    <w:noProof/>
                    <w:webHidden/>
                  </w:rPr>
                  <w:fldChar w:fldCharType="end"/>
                </w:r>
              </w:hyperlink>
            </w:p>
            <w:p w14:paraId="2DDC42C2" w14:textId="49D0C0F7" w:rsidR="0016589C" w:rsidRDefault="0016589C">
              <w:pPr>
                <w:pStyle w:val="TOC2"/>
                <w:tabs>
                  <w:tab w:val="right" w:leader="dot" w:pos="9016"/>
                </w:tabs>
                <w:rPr>
                  <w:rFonts w:eastAsiaTheme="minorEastAsia" w:cstheme="minorBidi"/>
                  <w:smallCaps w:val="0"/>
                  <w:noProof/>
                  <w:sz w:val="24"/>
                  <w:szCs w:val="24"/>
                </w:rPr>
              </w:pPr>
              <w:hyperlink w:anchor="_Toc214836656" w:history="1">
                <w:r w:rsidRPr="00F30CF8">
                  <w:rPr>
                    <w:rStyle w:val="Hyperlink"/>
                    <w:rFonts w:eastAsiaTheme="majorEastAsia"/>
                    <w:noProof/>
                  </w:rPr>
                  <w:t>1.3 How will the study approach this issue?</w:t>
                </w:r>
                <w:r>
                  <w:rPr>
                    <w:noProof/>
                    <w:webHidden/>
                  </w:rPr>
                  <w:tab/>
                </w:r>
                <w:r>
                  <w:rPr>
                    <w:noProof/>
                    <w:webHidden/>
                  </w:rPr>
                  <w:fldChar w:fldCharType="begin"/>
                </w:r>
                <w:r>
                  <w:rPr>
                    <w:noProof/>
                    <w:webHidden/>
                  </w:rPr>
                  <w:instrText xml:space="preserve"> PAGEREF _Toc214836656 \h </w:instrText>
                </w:r>
                <w:r>
                  <w:rPr>
                    <w:noProof/>
                    <w:webHidden/>
                  </w:rPr>
                </w:r>
                <w:r>
                  <w:rPr>
                    <w:noProof/>
                    <w:webHidden/>
                  </w:rPr>
                  <w:fldChar w:fldCharType="separate"/>
                </w:r>
                <w:r>
                  <w:rPr>
                    <w:noProof/>
                    <w:webHidden/>
                  </w:rPr>
                  <w:t>8</w:t>
                </w:r>
                <w:r>
                  <w:rPr>
                    <w:noProof/>
                    <w:webHidden/>
                  </w:rPr>
                  <w:fldChar w:fldCharType="end"/>
                </w:r>
              </w:hyperlink>
            </w:p>
            <w:p w14:paraId="75F9D83A" w14:textId="0CAFD24A" w:rsidR="0016589C" w:rsidRDefault="0016589C">
              <w:pPr>
                <w:pStyle w:val="TOC2"/>
                <w:tabs>
                  <w:tab w:val="right" w:leader="dot" w:pos="9016"/>
                </w:tabs>
                <w:rPr>
                  <w:rFonts w:eastAsiaTheme="minorEastAsia" w:cstheme="minorBidi"/>
                  <w:smallCaps w:val="0"/>
                  <w:noProof/>
                  <w:sz w:val="24"/>
                  <w:szCs w:val="24"/>
                </w:rPr>
              </w:pPr>
              <w:hyperlink w:anchor="_Toc214836657" w:history="1">
                <w:r w:rsidRPr="00F30CF8">
                  <w:rPr>
                    <w:rStyle w:val="Hyperlink"/>
                    <w:rFonts w:eastAsiaTheme="majorEastAsia"/>
                    <w:noProof/>
                  </w:rPr>
                  <w:t>Key Term Definitions &amp; Acronyms</w:t>
                </w:r>
                <w:r>
                  <w:rPr>
                    <w:noProof/>
                    <w:webHidden/>
                  </w:rPr>
                  <w:tab/>
                </w:r>
                <w:r>
                  <w:rPr>
                    <w:noProof/>
                    <w:webHidden/>
                  </w:rPr>
                  <w:fldChar w:fldCharType="begin"/>
                </w:r>
                <w:r>
                  <w:rPr>
                    <w:noProof/>
                    <w:webHidden/>
                  </w:rPr>
                  <w:instrText xml:space="preserve"> PAGEREF _Toc214836657 \h </w:instrText>
                </w:r>
                <w:r>
                  <w:rPr>
                    <w:noProof/>
                    <w:webHidden/>
                  </w:rPr>
                </w:r>
                <w:r>
                  <w:rPr>
                    <w:noProof/>
                    <w:webHidden/>
                  </w:rPr>
                  <w:fldChar w:fldCharType="separate"/>
                </w:r>
                <w:r>
                  <w:rPr>
                    <w:noProof/>
                    <w:webHidden/>
                  </w:rPr>
                  <w:t>8</w:t>
                </w:r>
                <w:r>
                  <w:rPr>
                    <w:noProof/>
                    <w:webHidden/>
                  </w:rPr>
                  <w:fldChar w:fldCharType="end"/>
                </w:r>
              </w:hyperlink>
            </w:p>
            <w:p w14:paraId="0CE91B6A" w14:textId="61592FA5" w:rsidR="0016589C" w:rsidRDefault="0016589C">
              <w:pPr>
                <w:pStyle w:val="TOC1"/>
                <w:tabs>
                  <w:tab w:val="right" w:leader="dot" w:pos="9016"/>
                </w:tabs>
                <w:rPr>
                  <w:rFonts w:eastAsiaTheme="minorEastAsia" w:cstheme="minorBidi"/>
                  <w:b w:val="0"/>
                  <w:bCs w:val="0"/>
                  <w:caps w:val="0"/>
                  <w:noProof/>
                  <w:sz w:val="24"/>
                  <w:szCs w:val="24"/>
                </w:rPr>
              </w:pPr>
              <w:hyperlink w:anchor="_Toc214836658" w:history="1">
                <w:r w:rsidRPr="00F30CF8">
                  <w:rPr>
                    <w:rStyle w:val="Hyperlink"/>
                    <w:rFonts w:eastAsiaTheme="majorEastAsia"/>
                    <w:noProof/>
                  </w:rPr>
                  <w:t>1.4 Background &amp; Current Context</w:t>
                </w:r>
                <w:r>
                  <w:rPr>
                    <w:noProof/>
                    <w:webHidden/>
                  </w:rPr>
                  <w:tab/>
                </w:r>
                <w:r>
                  <w:rPr>
                    <w:noProof/>
                    <w:webHidden/>
                  </w:rPr>
                  <w:fldChar w:fldCharType="begin"/>
                </w:r>
                <w:r>
                  <w:rPr>
                    <w:noProof/>
                    <w:webHidden/>
                  </w:rPr>
                  <w:instrText xml:space="preserve"> PAGEREF _Toc214836658 \h </w:instrText>
                </w:r>
                <w:r>
                  <w:rPr>
                    <w:noProof/>
                    <w:webHidden/>
                  </w:rPr>
                </w:r>
                <w:r>
                  <w:rPr>
                    <w:noProof/>
                    <w:webHidden/>
                  </w:rPr>
                  <w:fldChar w:fldCharType="separate"/>
                </w:r>
                <w:r>
                  <w:rPr>
                    <w:noProof/>
                    <w:webHidden/>
                  </w:rPr>
                  <w:t>10</w:t>
                </w:r>
                <w:r>
                  <w:rPr>
                    <w:noProof/>
                    <w:webHidden/>
                  </w:rPr>
                  <w:fldChar w:fldCharType="end"/>
                </w:r>
              </w:hyperlink>
            </w:p>
            <w:p w14:paraId="65CD6C2D" w14:textId="74FC7B8D" w:rsidR="0016589C" w:rsidRDefault="0016589C">
              <w:pPr>
                <w:pStyle w:val="TOC1"/>
                <w:tabs>
                  <w:tab w:val="right" w:leader="dot" w:pos="9016"/>
                </w:tabs>
                <w:rPr>
                  <w:rFonts w:eastAsiaTheme="minorEastAsia" w:cstheme="minorBidi"/>
                  <w:b w:val="0"/>
                  <w:bCs w:val="0"/>
                  <w:caps w:val="0"/>
                  <w:noProof/>
                  <w:sz w:val="24"/>
                  <w:szCs w:val="24"/>
                </w:rPr>
              </w:pPr>
              <w:hyperlink w:anchor="_Toc214836659" w:history="1">
                <w:r w:rsidRPr="00F30CF8">
                  <w:rPr>
                    <w:rStyle w:val="Hyperlink"/>
                    <w:rFonts w:eastAsiaTheme="majorEastAsia"/>
                    <w:noProof/>
                  </w:rPr>
                  <w:t>1.5 Rationale for Research / Problem Statement</w:t>
                </w:r>
                <w:r>
                  <w:rPr>
                    <w:noProof/>
                    <w:webHidden/>
                  </w:rPr>
                  <w:tab/>
                </w:r>
                <w:r>
                  <w:rPr>
                    <w:noProof/>
                    <w:webHidden/>
                  </w:rPr>
                  <w:fldChar w:fldCharType="begin"/>
                </w:r>
                <w:r>
                  <w:rPr>
                    <w:noProof/>
                    <w:webHidden/>
                  </w:rPr>
                  <w:instrText xml:space="preserve"> PAGEREF _Toc214836659 \h </w:instrText>
                </w:r>
                <w:r>
                  <w:rPr>
                    <w:noProof/>
                    <w:webHidden/>
                  </w:rPr>
                </w:r>
                <w:r>
                  <w:rPr>
                    <w:noProof/>
                    <w:webHidden/>
                  </w:rPr>
                  <w:fldChar w:fldCharType="separate"/>
                </w:r>
                <w:r>
                  <w:rPr>
                    <w:noProof/>
                    <w:webHidden/>
                  </w:rPr>
                  <w:t>10</w:t>
                </w:r>
                <w:r>
                  <w:rPr>
                    <w:noProof/>
                    <w:webHidden/>
                  </w:rPr>
                  <w:fldChar w:fldCharType="end"/>
                </w:r>
              </w:hyperlink>
            </w:p>
            <w:p w14:paraId="14BBDCCE" w14:textId="28CEA86F" w:rsidR="0016589C" w:rsidRDefault="0016589C">
              <w:pPr>
                <w:pStyle w:val="TOC1"/>
                <w:tabs>
                  <w:tab w:val="right" w:leader="dot" w:pos="9016"/>
                </w:tabs>
                <w:rPr>
                  <w:rFonts w:eastAsiaTheme="minorEastAsia" w:cstheme="minorBidi"/>
                  <w:b w:val="0"/>
                  <w:bCs w:val="0"/>
                  <w:caps w:val="0"/>
                  <w:noProof/>
                  <w:sz w:val="24"/>
                  <w:szCs w:val="24"/>
                </w:rPr>
              </w:pPr>
              <w:hyperlink w:anchor="_Toc214836660" w:history="1">
                <w:r w:rsidRPr="00F30CF8">
                  <w:rPr>
                    <w:rStyle w:val="Hyperlink"/>
                    <w:rFonts w:eastAsiaTheme="majorEastAsia"/>
                    <w:noProof/>
                  </w:rPr>
                  <w:t>1.6 Aim &amp; Objectives</w:t>
                </w:r>
                <w:r>
                  <w:rPr>
                    <w:noProof/>
                    <w:webHidden/>
                  </w:rPr>
                  <w:tab/>
                </w:r>
                <w:r>
                  <w:rPr>
                    <w:noProof/>
                    <w:webHidden/>
                  </w:rPr>
                  <w:fldChar w:fldCharType="begin"/>
                </w:r>
                <w:r>
                  <w:rPr>
                    <w:noProof/>
                    <w:webHidden/>
                  </w:rPr>
                  <w:instrText xml:space="preserve"> PAGEREF _Toc214836660 \h </w:instrText>
                </w:r>
                <w:r>
                  <w:rPr>
                    <w:noProof/>
                    <w:webHidden/>
                  </w:rPr>
                </w:r>
                <w:r>
                  <w:rPr>
                    <w:noProof/>
                    <w:webHidden/>
                  </w:rPr>
                  <w:fldChar w:fldCharType="separate"/>
                </w:r>
                <w:r>
                  <w:rPr>
                    <w:noProof/>
                    <w:webHidden/>
                  </w:rPr>
                  <w:t>11</w:t>
                </w:r>
                <w:r>
                  <w:rPr>
                    <w:noProof/>
                    <w:webHidden/>
                  </w:rPr>
                  <w:fldChar w:fldCharType="end"/>
                </w:r>
              </w:hyperlink>
            </w:p>
            <w:p w14:paraId="0612983E" w14:textId="4E0ADE24" w:rsidR="0016589C" w:rsidRDefault="0016589C">
              <w:pPr>
                <w:pStyle w:val="TOC2"/>
                <w:tabs>
                  <w:tab w:val="right" w:leader="dot" w:pos="9016"/>
                </w:tabs>
                <w:rPr>
                  <w:rFonts w:eastAsiaTheme="minorEastAsia" w:cstheme="minorBidi"/>
                  <w:smallCaps w:val="0"/>
                  <w:noProof/>
                  <w:sz w:val="24"/>
                  <w:szCs w:val="24"/>
                </w:rPr>
              </w:pPr>
              <w:hyperlink w:anchor="_Toc214836661" w:history="1">
                <w:r w:rsidRPr="00F30CF8">
                  <w:rPr>
                    <w:rStyle w:val="Hyperlink"/>
                    <w:rFonts w:eastAsiaTheme="majorEastAsia"/>
                    <w:noProof/>
                  </w:rPr>
                  <w:t>Aim</w:t>
                </w:r>
                <w:r>
                  <w:rPr>
                    <w:noProof/>
                    <w:webHidden/>
                  </w:rPr>
                  <w:tab/>
                </w:r>
                <w:r>
                  <w:rPr>
                    <w:noProof/>
                    <w:webHidden/>
                  </w:rPr>
                  <w:fldChar w:fldCharType="begin"/>
                </w:r>
                <w:r>
                  <w:rPr>
                    <w:noProof/>
                    <w:webHidden/>
                  </w:rPr>
                  <w:instrText xml:space="preserve"> PAGEREF _Toc214836661 \h </w:instrText>
                </w:r>
                <w:r>
                  <w:rPr>
                    <w:noProof/>
                    <w:webHidden/>
                  </w:rPr>
                </w:r>
                <w:r>
                  <w:rPr>
                    <w:noProof/>
                    <w:webHidden/>
                  </w:rPr>
                  <w:fldChar w:fldCharType="separate"/>
                </w:r>
                <w:r>
                  <w:rPr>
                    <w:noProof/>
                    <w:webHidden/>
                  </w:rPr>
                  <w:t>11</w:t>
                </w:r>
                <w:r>
                  <w:rPr>
                    <w:noProof/>
                    <w:webHidden/>
                  </w:rPr>
                  <w:fldChar w:fldCharType="end"/>
                </w:r>
              </w:hyperlink>
            </w:p>
            <w:p w14:paraId="126727FE" w14:textId="0971BB91" w:rsidR="0016589C" w:rsidRDefault="0016589C">
              <w:pPr>
                <w:pStyle w:val="TOC2"/>
                <w:tabs>
                  <w:tab w:val="right" w:leader="dot" w:pos="9016"/>
                </w:tabs>
                <w:rPr>
                  <w:rFonts w:eastAsiaTheme="minorEastAsia" w:cstheme="minorBidi"/>
                  <w:smallCaps w:val="0"/>
                  <w:noProof/>
                  <w:sz w:val="24"/>
                  <w:szCs w:val="24"/>
                </w:rPr>
              </w:pPr>
              <w:hyperlink w:anchor="_Toc214836662" w:history="1">
                <w:r w:rsidRPr="00F30CF8">
                  <w:rPr>
                    <w:rStyle w:val="Hyperlink"/>
                    <w:rFonts w:eastAsiaTheme="majorEastAsia"/>
                    <w:noProof/>
                  </w:rPr>
                  <w:t>Objectives:</w:t>
                </w:r>
                <w:r>
                  <w:rPr>
                    <w:noProof/>
                    <w:webHidden/>
                  </w:rPr>
                  <w:tab/>
                </w:r>
                <w:r>
                  <w:rPr>
                    <w:noProof/>
                    <w:webHidden/>
                  </w:rPr>
                  <w:fldChar w:fldCharType="begin"/>
                </w:r>
                <w:r>
                  <w:rPr>
                    <w:noProof/>
                    <w:webHidden/>
                  </w:rPr>
                  <w:instrText xml:space="preserve"> PAGEREF _Toc214836662 \h </w:instrText>
                </w:r>
                <w:r>
                  <w:rPr>
                    <w:noProof/>
                    <w:webHidden/>
                  </w:rPr>
                </w:r>
                <w:r>
                  <w:rPr>
                    <w:noProof/>
                    <w:webHidden/>
                  </w:rPr>
                  <w:fldChar w:fldCharType="separate"/>
                </w:r>
                <w:r>
                  <w:rPr>
                    <w:noProof/>
                    <w:webHidden/>
                  </w:rPr>
                  <w:t>11</w:t>
                </w:r>
                <w:r>
                  <w:rPr>
                    <w:noProof/>
                    <w:webHidden/>
                  </w:rPr>
                  <w:fldChar w:fldCharType="end"/>
                </w:r>
              </w:hyperlink>
            </w:p>
            <w:p w14:paraId="1A75E7DC" w14:textId="3F3DB053" w:rsidR="0016589C" w:rsidRDefault="0016589C">
              <w:pPr>
                <w:pStyle w:val="TOC1"/>
                <w:tabs>
                  <w:tab w:val="right" w:leader="dot" w:pos="9016"/>
                </w:tabs>
                <w:rPr>
                  <w:rFonts w:eastAsiaTheme="minorEastAsia" w:cstheme="minorBidi"/>
                  <w:b w:val="0"/>
                  <w:bCs w:val="0"/>
                  <w:caps w:val="0"/>
                  <w:noProof/>
                  <w:sz w:val="24"/>
                  <w:szCs w:val="24"/>
                </w:rPr>
              </w:pPr>
              <w:hyperlink w:anchor="_Toc214836663" w:history="1">
                <w:r w:rsidRPr="00F30CF8">
                  <w:rPr>
                    <w:rStyle w:val="Hyperlink"/>
                    <w:rFonts w:eastAsiaTheme="majorEastAsia"/>
                    <w:noProof/>
                  </w:rPr>
                  <w:t>1.7 Conclusion</w:t>
                </w:r>
                <w:r>
                  <w:rPr>
                    <w:noProof/>
                    <w:webHidden/>
                  </w:rPr>
                  <w:tab/>
                </w:r>
                <w:r>
                  <w:rPr>
                    <w:noProof/>
                    <w:webHidden/>
                  </w:rPr>
                  <w:fldChar w:fldCharType="begin"/>
                </w:r>
                <w:r>
                  <w:rPr>
                    <w:noProof/>
                    <w:webHidden/>
                  </w:rPr>
                  <w:instrText xml:space="preserve"> PAGEREF _Toc214836663 \h </w:instrText>
                </w:r>
                <w:r>
                  <w:rPr>
                    <w:noProof/>
                    <w:webHidden/>
                  </w:rPr>
                </w:r>
                <w:r>
                  <w:rPr>
                    <w:noProof/>
                    <w:webHidden/>
                  </w:rPr>
                  <w:fldChar w:fldCharType="separate"/>
                </w:r>
                <w:r>
                  <w:rPr>
                    <w:noProof/>
                    <w:webHidden/>
                  </w:rPr>
                  <w:t>11</w:t>
                </w:r>
                <w:r>
                  <w:rPr>
                    <w:noProof/>
                    <w:webHidden/>
                  </w:rPr>
                  <w:fldChar w:fldCharType="end"/>
                </w:r>
              </w:hyperlink>
            </w:p>
            <w:p w14:paraId="384C9952" w14:textId="57190A6A" w:rsidR="0016589C" w:rsidRDefault="0016589C">
              <w:pPr>
                <w:pStyle w:val="TOC1"/>
                <w:tabs>
                  <w:tab w:val="right" w:leader="dot" w:pos="9016"/>
                </w:tabs>
                <w:rPr>
                  <w:rFonts w:eastAsiaTheme="minorEastAsia" w:cstheme="minorBidi"/>
                  <w:b w:val="0"/>
                  <w:bCs w:val="0"/>
                  <w:caps w:val="0"/>
                  <w:noProof/>
                  <w:sz w:val="24"/>
                  <w:szCs w:val="24"/>
                </w:rPr>
              </w:pPr>
              <w:hyperlink w:anchor="_Toc214836664" w:history="1">
                <w:r w:rsidRPr="00F30CF8">
                  <w:rPr>
                    <w:rStyle w:val="Hyperlink"/>
                    <w:rFonts w:eastAsiaTheme="majorEastAsia"/>
                    <w:noProof/>
                  </w:rPr>
                  <w:t>CHAPTER 2: BACKGROUND</w:t>
                </w:r>
                <w:r>
                  <w:rPr>
                    <w:noProof/>
                    <w:webHidden/>
                  </w:rPr>
                  <w:tab/>
                </w:r>
                <w:r>
                  <w:rPr>
                    <w:noProof/>
                    <w:webHidden/>
                  </w:rPr>
                  <w:fldChar w:fldCharType="begin"/>
                </w:r>
                <w:r>
                  <w:rPr>
                    <w:noProof/>
                    <w:webHidden/>
                  </w:rPr>
                  <w:instrText xml:space="preserve"> PAGEREF _Toc214836664 \h </w:instrText>
                </w:r>
                <w:r>
                  <w:rPr>
                    <w:noProof/>
                    <w:webHidden/>
                  </w:rPr>
                </w:r>
                <w:r>
                  <w:rPr>
                    <w:noProof/>
                    <w:webHidden/>
                  </w:rPr>
                  <w:fldChar w:fldCharType="separate"/>
                </w:r>
                <w:r>
                  <w:rPr>
                    <w:noProof/>
                    <w:webHidden/>
                  </w:rPr>
                  <w:t>12</w:t>
                </w:r>
                <w:r>
                  <w:rPr>
                    <w:noProof/>
                    <w:webHidden/>
                  </w:rPr>
                  <w:fldChar w:fldCharType="end"/>
                </w:r>
              </w:hyperlink>
            </w:p>
            <w:p w14:paraId="6DA2B3AE" w14:textId="173DAEE7" w:rsidR="0016589C" w:rsidRDefault="0016589C">
              <w:pPr>
                <w:pStyle w:val="TOC2"/>
                <w:tabs>
                  <w:tab w:val="right" w:leader="dot" w:pos="9016"/>
                </w:tabs>
                <w:rPr>
                  <w:rFonts w:eastAsiaTheme="minorEastAsia" w:cstheme="minorBidi"/>
                  <w:smallCaps w:val="0"/>
                  <w:noProof/>
                  <w:sz w:val="24"/>
                  <w:szCs w:val="24"/>
                </w:rPr>
              </w:pPr>
              <w:hyperlink w:anchor="_Toc214836665" w:history="1">
                <w:r w:rsidRPr="00F30CF8">
                  <w:rPr>
                    <w:rStyle w:val="Hyperlink"/>
                    <w:rFonts w:eastAsiaTheme="majorEastAsia"/>
                    <w:noProof/>
                  </w:rPr>
                  <w:t>2.1 Introduction</w:t>
                </w:r>
                <w:r>
                  <w:rPr>
                    <w:noProof/>
                    <w:webHidden/>
                  </w:rPr>
                  <w:tab/>
                </w:r>
                <w:r>
                  <w:rPr>
                    <w:noProof/>
                    <w:webHidden/>
                  </w:rPr>
                  <w:fldChar w:fldCharType="begin"/>
                </w:r>
                <w:r>
                  <w:rPr>
                    <w:noProof/>
                    <w:webHidden/>
                  </w:rPr>
                  <w:instrText xml:space="preserve"> PAGEREF _Toc214836665 \h </w:instrText>
                </w:r>
                <w:r>
                  <w:rPr>
                    <w:noProof/>
                    <w:webHidden/>
                  </w:rPr>
                </w:r>
                <w:r>
                  <w:rPr>
                    <w:noProof/>
                    <w:webHidden/>
                  </w:rPr>
                  <w:fldChar w:fldCharType="separate"/>
                </w:r>
                <w:r>
                  <w:rPr>
                    <w:noProof/>
                    <w:webHidden/>
                  </w:rPr>
                  <w:t>12</w:t>
                </w:r>
                <w:r>
                  <w:rPr>
                    <w:noProof/>
                    <w:webHidden/>
                  </w:rPr>
                  <w:fldChar w:fldCharType="end"/>
                </w:r>
              </w:hyperlink>
            </w:p>
            <w:p w14:paraId="15D412B3" w14:textId="0E2578A6" w:rsidR="0016589C" w:rsidRDefault="0016589C">
              <w:pPr>
                <w:pStyle w:val="TOC2"/>
                <w:tabs>
                  <w:tab w:val="right" w:leader="dot" w:pos="9016"/>
                </w:tabs>
                <w:rPr>
                  <w:rFonts w:eastAsiaTheme="minorEastAsia" w:cstheme="minorBidi"/>
                  <w:smallCaps w:val="0"/>
                  <w:noProof/>
                  <w:sz w:val="24"/>
                  <w:szCs w:val="24"/>
                </w:rPr>
              </w:pPr>
              <w:hyperlink w:anchor="_Toc214836666" w:history="1">
                <w:r w:rsidRPr="00F30CF8">
                  <w:rPr>
                    <w:rStyle w:val="Hyperlink"/>
                    <w:rFonts w:eastAsiaTheme="majorEastAsia"/>
                    <w:noProof/>
                  </w:rPr>
                  <w:t>2.2 Historical Background</w:t>
                </w:r>
                <w:r>
                  <w:rPr>
                    <w:noProof/>
                    <w:webHidden/>
                  </w:rPr>
                  <w:tab/>
                </w:r>
                <w:r>
                  <w:rPr>
                    <w:noProof/>
                    <w:webHidden/>
                  </w:rPr>
                  <w:fldChar w:fldCharType="begin"/>
                </w:r>
                <w:r>
                  <w:rPr>
                    <w:noProof/>
                    <w:webHidden/>
                  </w:rPr>
                  <w:instrText xml:space="preserve"> PAGEREF _Toc214836666 \h </w:instrText>
                </w:r>
                <w:r>
                  <w:rPr>
                    <w:noProof/>
                    <w:webHidden/>
                  </w:rPr>
                </w:r>
                <w:r>
                  <w:rPr>
                    <w:noProof/>
                    <w:webHidden/>
                  </w:rPr>
                  <w:fldChar w:fldCharType="separate"/>
                </w:r>
                <w:r>
                  <w:rPr>
                    <w:noProof/>
                    <w:webHidden/>
                  </w:rPr>
                  <w:t>12</w:t>
                </w:r>
                <w:r>
                  <w:rPr>
                    <w:noProof/>
                    <w:webHidden/>
                  </w:rPr>
                  <w:fldChar w:fldCharType="end"/>
                </w:r>
              </w:hyperlink>
            </w:p>
            <w:p w14:paraId="03DE1381" w14:textId="14F681BC" w:rsidR="0016589C" w:rsidRDefault="0016589C">
              <w:pPr>
                <w:pStyle w:val="TOC2"/>
                <w:tabs>
                  <w:tab w:val="right" w:leader="dot" w:pos="9016"/>
                </w:tabs>
                <w:rPr>
                  <w:rFonts w:eastAsiaTheme="minorEastAsia" w:cstheme="minorBidi"/>
                  <w:smallCaps w:val="0"/>
                  <w:noProof/>
                  <w:sz w:val="24"/>
                  <w:szCs w:val="24"/>
                </w:rPr>
              </w:pPr>
              <w:hyperlink w:anchor="_Toc214836667" w:history="1">
                <w:r w:rsidRPr="00F30CF8">
                  <w:rPr>
                    <w:rStyle w:val="Hyperlink"/>
                    <w:rFonts w:eastAsiaTheme="majorEastAsia" w:cs="Arial"/>
                    <w:noProof/>
                  </w:rPr>
                  <w:t>2.3 Theoretical Background</w:t>
                </w:r>
                <w:r>
                  <w:rPr>
                    <w:noProof/>
                    <w:webHidden/>
                  </w:rPr>
                  <w:tab/>
                </w:r>
                <w:r>
                  <w:rPr>
                    <w:noProof/>
                    <w:webHidden/>
                  </w:rPr>
                  <w:fldChar w:fldCharType="begin"/>
                </w:r>
                <w:r>
                  <w:rPr>
                    <w:noProof/>
                    <w:webHidden/>
                  </w:rPr>
                  <w:instrText xml:space="preserve"> PAGEREF _Toc214836667 \h </w:instrText>
                </w:r>
                <w:r>
                  <w:rPr>
                    <w:noProof/>
                    <w:webHidden/>
                  </w:rPr>
                </w:r>
                <w:r>
                  <w:rPr>
                    <w:noProof/>
                    <w:webHidden/>
                  </w:rPr>
                  <w:fldChar w:fldCharType="separate"/>
                </w:r>
                <w:r>
                  <w:rPr>
                    <w:noProof/>
                    <w:webHidden/>
                  </w:rPr>
                  <w:t>13</w:t>
                </w:r>
                <w:r>
                  <w:rPr>
                    <w:noProof/>
                    <w:webHidden/>
                  </w:rPr>
                  <w:fldChar w:fldCharType="end"/>
                </w:r>
              </w:hyperlink>
            </w:p>
            <w:p w14:paraId="799EF15C" w14:textId="37AA9838" w:rsidR="0016589C" w:rsidRDefault="0016589C">
              <w:pPr>
                <w:pStyle w:val="TOC1"/>
                <w:tabs>
                  <w:tab w:val="right" w:leader="dot" w:pos="9016"/>
                </w:tabs>
                <w:rPr>
                  <w:rFonts w:eastAsiaTheme="minorEastAsia" w:cstheme="minorBidi"/>
                  <w:b w:val="0"/>
                  <w:bCs w:val="0"/>
                  <w:caps w:val="0"/>
                  <w:noProof/>
                  <w:sz w:val="24"/>
                  <w:szCs w:val="24"/>
                </w:rPr>
              </w:pPr>
              <w:hyperlink w:anchor="_Toc214836668" w:history="1">
                <w:r w:rsidRPr="00F30CF8">
                  <w:rPr>
                    <w:rStyle w:val="Hyperlink"/>
                    <w:rFonts w:eastAsiaTheme="majorEastAsia"/>
                    <w:noProof/>
                  </w:rPr>
                  <w:t>2.4 International Context</w:t>
                </w:r>
                <w:r>
                  <w:rPr>
                    <w:noProof/>
                    <w:webHidden/>
                  </w:rPr>
                  <w:tab/>
                </w:r>
                <w:r>
                  <w:rPr>
                    <w:noProof/>
                    <w:webHidden/>
                  </w:rPr>
                  <w:fldChar w:fldCharType="begin"/>
                </w:r>
                <w:r>
                  <w:rPr>
                    <w:noProof/>
                    <w:webHidden/>
                  </w:rPr>
                  <w:instrText xml:space="preserve"> PAGEREF _Toc214836668 \h </w:instrText>
                </w:r>
                <w:r>
                  <w:rPr>
                    <w:noProof/>
                    <w:webHidden/>
                  </w:rPr>
                </w:r>
                <w:r>
                  <w:rPr>
                    <w:noProof/>
                    <w:webHidden/>
                  </w:rPr>
                  <w:fldChar w:fldCharType="separate"/>
                </w:r>
                <w:r>
                  <w:rPr>
                    <w:noProof/>
                    <w:webHidden/>
                  </w:rPr>
                  <w:t>15</w:t>
                </w:r>
                <w:r>
                  <w:rPr>
                    <w:noProof/>
                    <w:webHidden/>
                  </w:rPr>
                  <w:fldChar w:fldCharType="end"/>
                </w:r>
              </w:hyperlink>
            </w:p>
            <w:p w14:paraId="619E4AC9" w14:textId="2D4D51DD" w:rsidR="0016589C" w:rsidRDefault="0016589C">
              <w:pPr>
                <w:pStyle w:val="TOC2"/>
                <w:tabs>
                  <w:tab w:val="right" w:leader="dot" w:pos="9016"/>
                </w:tabs>
                <w:rPr>
                  <w:rFonts w:eastAsiaTheme="minorEastAsia" w:cstheme="minorBidi"/>
                  <w:smallCaps w:val="0"/>
                  <w:noProof/>
                  <w:sz w:val="24"/>
                  <w:szCs w:val="24"/>
                </w:rPr>
              </w:pPr>
              <w:hyperlink w:anchor="_Toc214836669" w:history="1">
                <w:r w:rsidRPr="00F30CF8">
                  <w:rPr>
                    <w:rStyle w:val="Hyperlink"/>
                    <w:rFonts w:eastAsiaTheme="majorEastAsia"/>
                    <w:noProof/>
                  </w:rPr>
                  <w:t>Global Policy Perspectives</w:t>
                </w:r>
                <w:r>
                  <w:rPr>
                    <w:noProof/>
                    <w:webHidden/>
                  </w:rPr>
                  <w:tab/>
                </w:r>
                <w:r>
                  <w:rPr>
                    <w:noProof/>
                    <w:webHidden/>
                  </w:rPr>
                  <w:fldChar w:fldCharType="begin"/>
                </w:r>
                <w:r>
                  <w:rPr>
                    <w:noProof/>
                    <w:webHidden/>
                  </w:rPr>
                  <w:instrText xml:space="preserve"> PAGEREF _Toc214836669 \h </w:instrText>
                </w:r>
                <w:r>
                  <w:rPr>
                    <w:noProof/>
                    <w:webHidden/>
                  </w:rPr>
                </w:r>
                <w:r>
                  <w:rPr>
                    <w:noProof/>
                    <w:webHidden/>
                  </w:rPr>
                  <w:fldChar w:fldCharType="separate"/>
                </w:r>
                <w:r>
                  <w:rPr>
                    <w:noProof/>
                    <w:webHidden/>
                  </w:rPr>
                  <w:t>15</w:t>
                </w:r>
                <w:r>
                  <w:rPr>
                    <w:noProof/>
                    <w:webHidden/>
                  </w:rPr>
                  <w:fldChar w:fldCharType="end"/>
                </w:r>
              </w:hyperlink>
            </w:p>
            <w:p w14:paraId="10A7DE4F" w14:textId="6E89F6E7" w:rsidR="0016589C" w:rsidRDefault="0016589C">
              <w:pPr>
                <w:pStyle w:val="TOC2"/>
                <w:tabs>
                  <w:tab w:val="right" w:leader="dot" w:pos="9016"/>
                </w:tabs>
                <w:rPr>
                  <w:rFonts w:eastAsiaTheme="minorEastAsia" w:cstheme="minorBidi"/>
                  <w:smallCaps w:val="0"/>
                  <w:noProof/>
                  <w:sz w:val="24"/>
                  <w:szCs w:val="24"/>
                </w:rPr>
              </w:pPr>
              <w:hyperlink w:anchor="_Toc214836670" w:history="1">
                <w:r w:rsidRPr="00F30CF8">
                  <w:rPr>
                    <w:rStyle w:val="Hyperlink"/>
                    <w:rFonts w:eastAsiaTheme="majorEastAsia"/>
                    <w:noProof/>
                  </w:rPr>
                  <w:t>Comparative Analysis</w:t>
                </w:r>
                <w:r>
                  <w:rPr>
                    <w:noProof/>
                    <w:webHidden/>
                  </w:rPr>
                  <w:tab/>
                </w:r>
                <w:r>
                  <w:rPr>
                    <w:noProof/>
                    <w:webHidden/>
                  </w:rPr>
                  <w:fldChar w:fldCharType="begin"/>
                </w:r>
                <w:r>
                  <w:rPr>
                    <w:noProof/>
                    <w:webHidden/>
                  </w:rPr>
                  <w:instrText xml:space="preserve"> PAGEREF _Toc214836670 \h </w:instrText>
                </w:r>
                <w:r>
                  <w:rPr>
                    <w:noProof/>
                    <w:webHidden/>
                  </w:rPr>
                </w:r>
                <w:r>
                  <w:rPr>
                    <w:noProof/>
                    <w:webHidden/>
                  </w:rPr>
                  <w:fldChar w:fldCharType="separate"/>
                </w:r>
                <w:r>
                  <w:rPr>
                    <w:noProof/>
                    <w:webHidden/>
                  </w:rPr>
                  <w:t>15</w:t>
                </w:r>
                <w:r>
                  <w:rPr>
                    <w:noProof/>
                    <w:webHidden/>
                  </w:rPr>
                  <w:fldChar w:fldCharType="end"/>
                </w:r>
              </w:hyperlink>
            </w:p>
            <w:p w14:paraId="130835A6" w14:textId="113B28CD" w:rsidR="0016589C" w:rsidRDefault="0016589C">
              <w:pPr>
                <w:pStyle w:val="TOC1"/>
                <w:tabs>
                  <w:tab w:val="right" w:leader="dot" w:pos="9016"/>
                </w:tabs>
                <w:rPr>
                  <w:rFonts w:eastAsiaTheme="minorEastAsia" w:cstheme="minorBidi"/>
                  <w:b w:val="0"/>
                  <w:bCs w:val="0"/>
                  <w:caps w:val="0"/>
                  <w:noProof/>
                  <w:sz w:val="24"/>
                  <w:szCs w:val="24"/>
                </w:rPr>
              </w:pPr>
              <w:hyperlink w:anchor="_Toc214836671" w:history="1">
                <w:r w:rsidRPr="00F30CF8">
                  <w:rPr>
                    <w:rStyle w:val="Hyperlink"/>
                    <w:rFonts w:eastAsiaTheme="majorEastAsia"/>
                    <w:noProof/>
                  </w:rPr>
                  <w:t>2.5 National and Local UK Context</w:t>
                </w:r>
                <w:r>
                  <w:rPr>
                    <w:noProof/>
                    <w:webHidden/>
                  </w:rPr>
                  <w:tab/>
                </w:r>
                <w:r>
                  <w:rPr>
                    <w:noProof/>
                    <w:webHidden/>
                  </w:rPr>
                  <w:fldChar w:fldCharType="begin"/>
                </w:r>
                <w:r>
                  <w:rPr>
                    <w:noProof/>
                    <w:webHidden/>
                  </w:rPr>
                  <w:instrText xml:space="preserve"> PAGEREF _Toc214836671 \h </w:instrText>
                </w:r>
                <w:r>
                  <w:rPr>
                    <w:noProof/>
                    <w:webHidden/>
                  </w:rPr>
                </w:r>
                <w:r>
                  <w:rPr>
                    <w:noProof/>
                    <w:webHidden/>
                  </w:rPr>
                  <w:fldChar w:fldCharType="separate"/>
                </w:r>
                <w:r>
                  <w:rPr>
                    <w:noProof/>
                    <w:webHidden/>
                  </w:rPr>
                  <w:t>16</w:t>
                </w:r>
                <w:r>
                  <w:rPr>
                    <w:noProof/>
                    <w:webHidden/>
                  </w:rPr>
                  <w:fldChar w:fldCharType="end"/>
                </w:r>
              </w:hyperlink>
            </w:p>
            <w:p w14:paraId="3CFED694" w14:textId="3883A80A" w:rsidR="0016589C" w:rsidRDefault="0016589C">
              <w:pPr>
                <w:pStyle w:val="TOC2"/>
                <w:tabs>
                  <w:tab w:val="right" w:leader="dot" w:pos="9016"/>
                </w:tabs>
                <w:rPr>
                  <w:rFonts w:eastAsiaTheme="minorEastAsia" w:cstheme="minorBidi"/>
                  <w:smallCaps w:val="0"/>
                  <w:noProof/>
                  <w:sz w:val="24"/>
                  <w:szCs w:val="24"/>
                </w:rPr>
              </w:pPr>
              <w:hyperlink w:anchor="_Toc214836672" w:history="1">
                <w:r w:rsidRPr="00F30CF8">
                  <w:rPr>
                    <w:rStyle w:val="Hyperlink"/>
                    <w:rFonts w:eastAsiaTheme="majorEastAsia"/>
                    <w:noProof/>
                  </w:rPr>
                  <w:t>Policy and Legislation</w:t>
                </w:r>
                <w:r>
                  <w:rPr>
                    <w:noProof/>
                    <w:webHidden/>
                  </w:rPr>
                  <w:tab/>
                </w:r>
                <w:r>
                  <w:rPr>
                    <w:noProof/>
                    <w:webHidden/>
                  </w:rPr>
                  <w:fldChar w:fldCharType="begin"/>
                </w:r>
                <w:r>
                  <w:rPr>
                    <w:noProof/>
                    <w:webHidden/>
                  </w:rPr>
                  <w:instrText xml:space="preserve"> PAGEREF _Toc214836672 \h </w:instrText>
                </w:r>
                <w:r>
                  <w:rPr>
                    <w:noProof/>
                    <w:webHidden/>
                  </w:rPr>
                </w:r>
                <w:r>
                  <w:rPr>
                    <w:noProof/>
                    <w:webHidden/>
                  </w:rPr>
                  <w:fldChar w:fldCharType="separate"/>
                </w:r>
                <w:r>
                  <w:rPr>
                    <w:noProof/>
                    <w:webHidden/>
                  </w:rPr>
                  <w:t>16</w:t>
                </w:r>
                <w:r>
                  <w:rPr>
                    <w:noProof/>
                    <w:webHidden/>
                  </w:rPr>
                  <w:fldChar w:fldCharType="end"/>
                </w:r>
              </w:hyperlink>
            </w:p>
            <w:p w14:paraId="177ACB3A" w14:textId="710EDA8C" w:rsidR="0016589C" w:rsidRDefault="0016589C">
              <w:pPr>
                <w:pStyle w:val="TOC2"/>
                <w:tabs>
                  <w:tab w:val="right" w:leader="dot" w:pos="9016"/>
                </w:tabs>
                <w:rPr>
                  <w:rFonts w:eastAsiaTheme="minorEastAsia" w:cstheme="minorBidi"/>
                  <w:smallCaps w:val="0"/>
                  <w:noProof/>
                  <w:sz w:val="24"/>
                  <w:szCs w:val="24"/>
                </w:rPr>
              </w:pPr>
              <w:hyperlink w:anchor="_Toc214836673" w:history="1">
                <w:r w:rsidRPr="00F30CF8">
                  <w:rPr>
                    <w:rStyle w:val="Hyperlink"/>
                    <w:rFonts w:eastAsiaTheme="majorEastAsia"/>
                    <w:noProof/>
                  </w:rPr>
                  <w:t>Local and Regional Variations</w:t>
                </w:r>
                <w:r>
                  <w:rPr>
                    <w:noProof/>
                    <w:webHidden/>
                  </w:rPr>
                  <w:tab/>
                </w:r>
                <w:r>
                  <w:rPr>
                    <w:noProof/>
                    <w:webHidden/>
                  </w:rPr>
                  <w:fldChar w:fldCharType="begin"/>
                </w:r>
                <w:r>
                  <w:rPr>
                    <w:noProof/>
                    <w:webHidden/>
                  </w:rPr>
                  <w:instrText xml:space="preserve"> PAGEREF _Toc214836673 \h </w:instrText>
                </w:r>
                <w:r>
                  <w:rPr>
                    <w:noProof/>
                    <w:webHidden/>
                  </w:rPr>
                </w:r>
                <w:r>
                  <w:rPr>
                    <w:noProof/>
                    <w:webHidden/>
                  </w:rPr>
                  <w:fldChar w:fldCharType="separate"/>
                </w:r>
                <w:r>
                  <w:rPr>
                    <w:noProof/>
                    <w:webHidden/>
                  </w:rPr>
                  <w:t>16</w:t>
                </w:r>
                <w:r>
                  <w:rPr>
                    <w:noProof/>
                    <w:webHidden/>
                  </w:rPr>
                  <w:fldChar w:fldCharType="end"/>
                </w:r>
              </w:hyperlink>
            </w:p>
            <w:p w14:paraId="5CD33348" w14:textId="72732DF7" w:rsidR="0016589C" w:rsidRDefault="0016589C">
              <w:pPr>
                <w:pStyle w:val="TOC1"/>
                <w:tabs>
                  <w:tab w:val="right" w:leader="dot" w:pos="9016"/>
                </w:tabs>
                <w:rPr>
                  <w:rFonts w:eastAsiaTheme="minorEastAsia" w:cstheme="minorBidi"/>
                  <w:b w:val="0"/>
                  <w:bCs w:val="0"/>
                  <w:caps w:val="0"/>
                  <w:noProof/>
                  <w:sz w:val="24"/>
                  <w:szCs w:val="24"/>
                </w:rPr>
              </w:pPr>
              <w:hyperlink w:anchor="_Toc214836674" w:history="1">
                <w:r w:rsidRPr="00F30CF8">
                  <w:rPr>
                    <w:rStyle w:val="Hyperlink"/>
                    <w:rFonts w:eastAsiaTheme="majorEastAsia"/>
                    <w:noProof/>
                  </w:rPr>
                  <w:t>2.6 Conclusion</w:t>
                </w:r>
                <w:r>
                  <w:rPr>
                    <w:noProof/>
                    <w:webHidden/>
                  </w:rPr>
                  <w:tab/>
                </w:r>
                <w:r>
                  <w:rPr>
                    <w:noProof/>
                    <w:webHidden/>
                  </w:rPr>
                  <w:fldChar w:fldCharType="begin"/>
                </w:r>
                <w:r>
                  <w:rPr>
                    <w:noProof/>
                    <w:webHidden/>
                  </w:rPr>
                  <w:instrText xml:space="preserve"> PAGEREF _Toc214836674 \h </w:instrText>
                </w:r>
                <w:r>
                  <w:rPr>
                    <w:noProof/>
                    <w:webHidden/>
                  </w:rPr>
                </w:r>
                <w:r>
                  <w:rPr>
                    <w:noProof/>
                    <w:webHidden/>
                  </w:rPr>
                  <w:fldChar w:fldCharType="separate"/>
                </w:r>
                <w:r>
                  <w:rPr>
                    <w:noProof/>
                    <w:webHidden/>
                  </w:rPr>
                  <w:t>17</w:t>
                </w:r>
                <w:r>
                  <w:rPr>
                    <w:noProof/>
                    <w:webHidden/>
                  </w:rPr>
                  <w:fldChar w:fldCharType="end"/>
                </w:r>
              </w:hyperlink>
            </w:p>
            <w:p w14:paraId="2D632860" w14:textId="0006F3A2" w:rsidR="0016589C" w:rsidRDefault="0016589C">
              <w:pPr>
                <w:pStyle w:val="TOC1"/>
                <w:tabs>
                  <w:tab w:val="right" w:leader="dot" w:pos="9016"/>
                </w:tabs>
                <w:rPr>
                  <w:rFonts w:eastAsiaTheme="minorEastAsia" w:cstheme="minorBidi"/>
                  <w:b w:val="0"/>
                  <w:bCs w:val="0"/>
                  <w:caps w:val="0"/>
                  <w:noProof/>
                  <w:sz w:val="24"/>
                  <w:szCs w:val="24"/>
                </w:rPr>
              </w:pPr>
              <w:hyperlink w:anchor="_Toc214836675" w:history="1">
                <w:r w:rsidRPr="00F30CF8">
                  <w:rPr>
                    <w:rStyle w:val="Hyperlink"/>
                    <w:rFonts w:eastAsiaTheme="majorEastAsia"/>
                    <w:noProof/>
                  </w:rPr>
                  <w:t>Chapter 3: Methods</w:t>
                </w:r>
                <w:r>
                  <w:rPr>
                    <w:noProof/>
                    <w:webHidden/>
                  </w:rPr>
                  <w:tab/>
                </w:r>
                <w:r>
                  <w:rPr>
                    <w:noProof/>
                    <w:webHidden/>
                  </w:rPr>
                  <w:fldChar w:fldCharType="begin"/>
                </w:r>
                <w:r>
                  <w:rPr>
                    <w:noProof/>
                    <w:webHidden/>
                  </w:rPr>
                  <w:instrText xml:space="preserve"> PAGEREF _Toc214836675 \h </w:instrText>
                </w:r>
                <w:r>
                  <w:rPr>
                    <w:noProof/>
                    <w:webHidden/>
                  </w:rPr>
                </w:r>
                <w:r>
                  <w:rPr>
                    <w:noProof/>
                    <w:webHidden/>
                  </w:rPr>
                  <w:fldChar w:fldCharType="separate"/>
                </w:r>
                <w:r>
                  <w:rPr>
                    <w:noProof/>
                    <w:webHidden/>
                  </w:rPr>
                  <w:t>18</w:t>
                </w:r>
                <w:r>
                  <w:rPr>
                    <w:noProof/>
                    <w:webHidden/>
                  </w:rPr>
                  <w:fldChar w:fldCharType="end"/>
                </w:r>
              </w:hyperlink>
            </w:p>
            <w:p w14:paraId="5010AED6" w14:textId="3D390DE5" w:rsidR="0016589C" w:rsidRDefault="0016589C">
              <w:pPr>
                <w:pStyle w:val="TOC2"/>
                <w:tabs>
                  <w:tab w:val="right" w:leader="dot" w:pos="9016"/>
                </w:tabs>
                <w:rPr>
                  <w:rFonts w:eastAsiaTheme="minorEastAsia" w:cstheme="minorBidi"/>
                  <w:smallCaps w:val="0"/>
                  <w:noProof/>
                  <w:sz w:val="24"/>
                  <w:szCs w:val="24"/>
                </w:rPr>
              </w:pPr>
              <w:hyperlink w:anchor="_Toc214836676" w:history="1">
                <w:r w:rsidRPr="00F30CF8">
                  <w:rPr>
                    <w:rStyle w:val="Hyperlink"/>
                    <w:rFonts w:eastAsiaTheme="majorEastAsia"/>
                    <w:noProof/>
                  </w:rPr>
                  <w:t>3.1 Introduction</w:t>
                </w:r>
                <w:r>
                  <w:rPr>
                    <w:noProof/>
                    <w:webHidden/>
                  </w:rPr>
                  <w:tab/>
                </w:r>
                <w:r>
                  <w:rPr>
                    <w:noProof/>
                    <w:webHidden/>
                  </w:rPr>
                  <w:fldChar w:fldCharType="begin"/>
                </w:r>
                <w:r>
                  <w:rPr>
                    <w:noProof/>
                    <w:webHidden/>
                  </w:rPr>
                  <w:instrText xml:space="preserve"> PAGEREF _Toc214836676 \h </w:instrText>
                </w:r>
                <w:r>
                  <w:rPr>
                    <w:noProof/>
                    <w:webHidden/>
                  </w:rPr>
                </w:r>
                <w:r>
                  <w:rPr>
                    <w:noProof/>
                    <w:webHidden/>
                  </w:rPr>
                  <w:fldChar w:fldCharType="separate"/>
                </w:r>
                <w:r>
                  <w:rPr>
                    <w:noProof/>
                    <w:webHidden/>
                  </w:rPr>
                  <w:t>18</w:t>
                </w:r>
                <w:r>
                  <w:rPr>
                    <w:noProof/>
                    <w:webHidden/>
                  </w:rPr>
                  <w:fldChar w:fldCharType="end"/>
                </w:r>
              </w:hyperlink>
            </w:p>
            <w:p w14:paraId="2B1017EB" w14:textId="5301430E" w:rsidR="0016589C" w:rsidRDefault="0016589C">
              <w:pPr>
                <w:pStyle w:val="TOC2"/>
                <w:tabs>
                  <w:tab w:val="right" w:leader="dot" w:pos="9016"/>
                </w:tabs>
                <w:rPr>
                  <w:rFonts w:eastAsiaTheme="minorEastAsia" w:cstheme="minorBidi"/>
                  <w:smallCaps w:val="0"/>
                  <w:noProof/>
                  <w:sz w:val="24"/>
                  <w:szCs w:val="24"/>
                </w:rPr>
              </w:pPr>
              <w:hyperlink w:anchor="_Toc214836677" w:history="1">
                <w:r w:rsidRPr="00F30CF8">
                  <w:rPr>
                    <w:rStyle w:val="Hyperlink"/>
                    <w:rFonts w:eastAsiaTheme="majorEastAsia"/>
                    <w:noProof/>
                  </w:rPr>
                  <w:t>3.2 Search Strategy</w:t>
                </w:r>
                <w:r>
                  <w:rPr>
                    <w:noProof/>
                    <w:webHidden/>
                  </w:rPr>
                  <w:tab/>
                </w:r>
                <w:r>
                  <w:rPr>
                    <w:noProof/>
                    <w:webHidden/>
                  </w:rPr>
                  <w:fldChar w:fldCharType="begin"/>
                </w:r>
                <w:r>
                  <w:rPr>
                    <w:noProof/>
                    <w:webHidden/>
                  </w:rPr>
                  <w:instrText xml:space="preserve"> PAGEREF _Toc214836677 \h </w:instrText>
                </w:r>
                <w:r>
                  <w:rPr>
                    <w:noProof/>
                    <w:webHidden/>
                  </w:rPr>
                </w:r>
                <w:r>
                  <w:rPr>
                    <w:noProof/>
                    <w:webHidden/>
                  </w:rPr>
                  <w:fldChar w:fldCharType="separate"/>
                </w:r>
                <w:r>
                  <w:rPr>
                    <w:noProof/>
                    <w:webHidden/>
                  </w:rPr>
                  <w:t>18</w:t>
                </w:r>
                <w:r>
                  <w:rPr>
                    <w:noProof/>
                    <w:webHidden/>
                  </w:rPr>
                  <w:fldChar w:fldCharType="end"/>
                </w:r>
              </w:hyperlink>
            </w:p>
            <w:p w14:paraId="2372537C" w14:textId="7553F8F5" w:rsidR="0016589C" w:rsidRDefault="0016589C">
              <w:pPr>
                <w:pStyle w:val="TOC2"/>
                <w:tabs>
                  <w:tab w:val="right" w:leader="dot" w:pos="9016"/>
                </w:tabs>
                <w:rPr>
                  <w:rFonts w:eastAsiaTheme="minorEastAsia" w:cstheme="minorBidi"/>
                  <w:smallCaps w:val="0"/>
                  <w:noProof/>
                  <w:sz w:val="24"/>
                  <w:szCs w:val="24"/>
                </w:rPr>
              </w:pPr>
              <w:hyperlink w:anchor="_Toc214836678" w:history="1">
                <w:r w:rsidRPr="00F30CF8">
                  <w:rPr>
                    <w:rStyle w:val="Hyperlink"/>
                    <w:rFonts w:eastAsiaTheme="majorEastAsia"/>
                    <w:noProof/>
                  </w:rPr>
                  <w:t>3.3 Searching for Information</w:t>
                </w:r>
                <w:r>
                  <w:rPr>
                    <w:noProof/>
                    <w:webHidden/>
                  </w:rPr>
                  <w:tab/>
                </w:r>
                <w:r>
                  <w:rPr>
                    <w:noProof/>
                    <w:webHidden/>
                  </w:rPr>
                  <w:fldChar w:fldCharType="begin"/>
                </w:r>
                <w:r>
                  <w:rPr>
                    <w:noProof/>
                    <w:webHidden/>
                  </w:rPr>
                  <w:instrText xml:space="preserve"> PAGEREF _Toc214836678 \h </w:instrText>
                </w:r>
                <w:r>
                  <w:rPr>
                    <w:noProof/>
                    <w:webHidden/>
                  </w:rPr>
                </w:r>
                <w:r>
                  <w:rPr>
                    <w:noProof/>
                    <w:webHidden/>
                  </w:rPr>
                  <w:fldChar w:fldCharType="separate"/>
                </w:r>
                <w:r>
                  <w:rPr>
                    <w:noProof/>
                    <w:webHidden/>
                  </w:rPr>
                  <w:t>19</w:t>
                </w:r>
                <w:r>
                  <w:rPr>
                    <w:noProof/>
                    <w:webHidden/>
                  </w:rPr>
                  <w:fldChar w:fldCharType="end"/>
                </w:r>
              </w:hyperlink>
            </w:p>
            <w:p w14:paraId="73F98FF7" w14:textId="26F06218" w:rsidR="0016589C" w:rsidRDefault="0016589C">
              <w:pPr>
                <w:pStyle w:val="TOC2"/>
                <w:tabs>
                  <w:tab w:val="right" w:leader="dot" w:pos="9016"/>
                </w:tabs>
                <w:rPr>
                  <w:rFonts w:eastAsiaTheme="minorEastAsia" w:cstheme="minorBidi"/>
                  <w:smallCaps w:val="0"/>
                  <w:noProof/>
                  <w:sz w:val="24"/>
                  <w:szCs w:val="24"/>
                </w:rPr>
              </w:pPr>
              <w:hyperlink w:anchor="_Toc214836679" w:history="1">
                <w:r w:rsidRPr="00F30CF8">
                  <w:rPr>
                    <w:rStyle w:val="Hyperlink"/>
                    <w:rFonts w:eastAsiaTheme="majorEastAsia"/>
                    <w:noProof/>
                  </w:rPr>
                  <w:t>3.4 Research Validation</w:t>
                </w:r>
                <w:r>
                  <w:rPr>
                    <w:noProof/>
                    <w:webHidden/>
                  </w:rPr>
                  <w:tab/>
                </w:r>
                <w:r>
                  <w:rPr>
                    <w:noProof/>
                    <w:webHidden/>
                  </w:rPr>
                  <w:fldChar w:fldCharType="begin"/>
                </w:r>
                <w:r>
                  <w:rPr>
                    <w:noProof/>
                    <w:webHidden/>
                  </w:rPr>
                  <w:instrText xml:space="preserve"> PAGEREF _Toc214836679 \h </w:instrText>
                </w:r>
                <w:r>
                  <w:rPr>
                    <w:noProof/>
                    <w:webHidden/>
                  </w:rPr>
                </w:r>
                <w:r>
                  <w:rPr>
                    <w:noProof/>
                    <w:webHidden/>
                  </w:rPr>
                  <w:fldChar w:fldCharType="separate"/>
                </w:r>
                <w:r>
                  <w:rPr>
                    <w:noProof/>
                    <w:webHidden/>
                  </w:rPr>
                  <w:t>20</w:t>
                </w:r>
                <w:r>
                  <w:rPr>
                    <w:noProof/>
                    <w:webHidden/>
                  </w:rPr>
                  <w:fldChar w:fldCharType="end"/>
                </w:r>
              </w:hyperlink>
            </w:p>
            <w:p w14:paraId="4814E15A" w14:textId="6FB3FE88" w:rsidR="0016589C" w:rsidRDefault="0016589C">
              <w:pPr>
                <w:pStyle w:val="TOC2"/>
                <w:tabs>
                  <w:tab w:val="right" w:leader="dot" w:pos="9016"/>
                </w:tabs>
                <w:rPr>
                  <w:rFonts w:eastAsiaTheme="minorEastAsia" w:cstheme="minorBidi"/>
                  <w:smallCaps w:val="0"/>
                  <w:noProof/>
                  <w:sz w:val="24"/>
                  <w:szCs w:val="24"/>
                </w:rPr>
              </w:pPr>
              <w:hyperlink w:anchor="_Toc214836680" w:history="1">
                <w:r w:rsidRPr="00F30CF8">
                  <w:rPr>
                    <w:rStyle w:val="Hyperlink"/>
                    <w:rFonts w:eastAsiaTheme="majorEastAsia"/>
                    <w:noProof/>
                  </w:rPr>
                  <w:t>3.5 Inclusion and Exclusion Criteria</w:t>
                </w:r>
                <w:r>
                  <w:rPr>
                    <w:noProof/>
                    <w:webHidden/>
                  </w:rPr>
                  <w:tab/>
                </w:r>
                <w:r>
                  <w:rPr>
                    <w:noProof/>
                    <w:webHidden/>
                  </w:rPr>
                  <w:fldChar w:fldCharType="begin"/>
                </w:r>
                <w:r>
                  <w:rPr>
                    <w:noProof/>
                    <w:webHidden/>
                  </w:rPr>
                  <w:instrText xml:space="preserve"> PAGEREF _Toc214836680 \h </w:instrText>
                </w:r>
                <w:r>
                  <w:rPr>
                    <w:noProof/>
                    <w:webHidden/>
                  </w:rPr>
                </w:r>
                <w:r>
                  <w:rPr>
                    <w:noProof/>
                    <w:webHidden/>
                  </w:rPr>
                  <w:fldChar w:fldCharType="separate"/>
                </w:r>
                <w:r>
                  <w:rPr>
                    <w:noProof/>
                    <w:webHidden/>
                  </w:rPr>
                  <w:t>21</w:t>
                </w:r>
                <w:r>
                  <w:rPr>
                    <w:noProof/>
                    <w:webHidden/>
                  </w:rPr>
                  <w:fldChar w:fldCharType="end"/>
                </w:r>
              </w:hyperlink>
            </w:p>
            <w:p w14:paraId="641625D1" w14:textId="0C54DD18" w:rsidR="0016589C" w:rsidRDefault="0016589C">
              <w:pPr>
                <w:pStyle w:val="TOC2"/>
                <w:tabs>
                  <w:tab w:val="right" w:leader="dot" w:pos="9016"/>
                </w:tabs>
                <w:rPr>
                  <w:rFonts w:eastAsiaTheme="minorEastAsia" w:cstheme="minorBidi"/>
                  <w:smallCaps w:val="0"/>
                  <w:noProof/>
                  <w:sz w:val="24"/>
                  <w:szCs w:val="24"/>
                </w:rPr>
              </w:pPr>
              <w:hyperlink w:anchor="_Toc214836681" w:history="1">
                <w:r w:rsidRPr="00F30CF8">
                  <w:rPr>
                    <w:rStyle w:val="Hyperlink"/>
                    <w:rFonts w:eastAsiaTheme="majorEastAsia"/>
                    <w:noProof/>
                  </w:rPr>
                  <w:t>3.6 Analysing Research</w:t>
                </w:r>
                <w:r>
                  <w:rPr>
                    <w:noProof/>
                    <w:webHidden/>
                  </w:rPr>
                  <w:tab/>
                </w:r>
                <w:r>
                  <w:rPr>
                    <w:noProof/>
                    <w:webHidden/>
                  </w:rPr>
                  <w:fldChar w:fldCharType="begin"/>
                </w:r>
                <w:r>
                  <w:rPr>
                    <w:noProof/>
                    <w:webHidden/>
                  </w:rPr>
                  <w:instrText xml:space="preserve"> PAGEREF _Toc214836681 \h </w:instrText>
                </w:r>
                <w:r>
                  <w:rPr>
                    <w:noProof/>
                    <w:webHidden/>
                  </w:rPr>
                </w:r>
                <w:r>
                  <w:rPr>
                    <w:noProof/>
                    <w:webHidden/>
                  </w:rPr>
                  <w:fldChar w:fldCharType="separate"/>
                </w:r>
                <w:r>
                  <w:rPr>
                    <w:noProof/>
                    <w:webHidden/>
                  </w:rPr>
                  <w:t>22</w:t>
                </w:r>
                <w:r>
                  <w:rPr>
                    <w:noProof/>
                    <w:webHidden/>
                  </w:rPr>
                  <w:fldChar w:fldCharType="end"/>
                </w:r>
              </w:hyperlink>
            </w:p>
            <w:p w14:paraId="40B5A0E3" w14:textId="58F152F2" w:rsidR="0016589C" w:rsidRDefault="0016589C">
              <w:pPr>
                <w:pStyle w:val="TOC1"/>
                <w:tabs>
                  <w:tab w:val="right" w:leader="dot" w:pos="9016"/>
                </w:tabs>
                <w:rPr>
                  <w:rFonts w:eastAsiaTheme="minorEastAsia" w:cstheme="minorBidi"/>
                  <w:b w:val="0"/>
                  <w:bCs w:val="0"/>
                  <w:caps w:val="0"/>
                  <w:noProof/>
                  <w:sz w:val="24"/>
                  <w:szCs w:val="24"/>
                </w:rPr>
              </w:pPr>
              <w:hyperlink w:anchor="_Toc214836682" w:history="1">
                <w:r w:rsidRPr="00F30CF8">
                  <w:rPr>
                    <w:rStyle w:val="Hyperlink"/>
                    <w:rFonts w:eastAsiaTheme="majorEastAsia"/>
                    <w:noProof/>
                  </w:rPr>
                  <w:t>3.7 Ethical Considerations</w:t>
                </w:r>
                <w:r>
                  <w:rPr>
                    <w:noProof/>
                    <w:webHidden/>
                  </w:rPr>
                  <w:tab/>
                </w:r>
                <w:r>
                  <w:rPr>
                    <w:noProof/>
                    <w:webHidden/>
                  </w:rPr>
                  <w:fldChar w:fldCharType="begin"/>
                </w:r>
                <w:r>
                  <w:rPr>
                    <w:noProof/>
                    <w:webHidden/>
                  </w:rPr>
                  <w:instrText xml:space="preserve"> PAGEREF _Toc214836682 \h </w:instrText>
                </w:r>
                <w:r>
                  <w:rPr>
                    <w:noProof/>
                    <w:webHidden/>
                  </w:rPr>
                </w:r>
                <w:r>
                  <w:rPr>
                    <w:noProof/>
                    <w:webHidden/>
                  </w:rPr>
                  <w:fldChar w:fldCharType="separate"/>
                </w:r>
                <w:r>
                  <w:rPr>
                    <w:noProof/>
                    <w:webHidden/>
                  </w:rPr>
                  <w:t>23</w:t>
                </w:r>
                <w:r>
                  <w:rPr>
                    <w:noProof/>
                    <w:webHidden/>
                  </w:rPr>
                  <w:fldChar w:fldCharType="end"/>
                </w:r>
              </w:hyperlink>
            </w:p>
            <w:p w14:paraId="12E9F5C4" w14:textId="22DA73CC" w:rsidR="0016589C" w:rsidRDefault="0016589C">
              <w:pPr>
                <w:pStyle w:val="TOC1"/>
                <w:tabs>
                  <w:tab w:val="right" w:leader="dot" w:pos="9016"/>
                </w:tabs>
                <w:rPr>
                  <w:rFonts w:eastAsiaTheme="minorEastAsia" w:cstheme="minorBidi"/>
                  <w:b w:val="0"/>
                  <w:bCs w:val="0"/>
                  <w:caps w:val="0"/>
                  <w:noProof/>
                  <w:sz w:val="24"/>
                  <w:szCs w:val="24"/>
                </w:rPr>
              </w:pPr>
              <w:hyperlink w:anchor="_Toc214836683" w:history="1">
                <w:r w:rsidRPr="00F30CF8">
                  <w:rPr>
                    <w:rStyle w:val="Hyperlink"/>
                    <w:rFonts w:eastAsiaTheme="majorEastAsia"/>
                    <w:noProof/>
                  </w:rPr>
                  <w:t>3.8 Conclusion</w:t>
                </w:r>
                <w:r>
                  <w:rPr>
                    <w:noProof/>
                    <w:webHidden/>
                  </w:rPr>
                  <w:tab/>
                </w:r>
                <w:r>
                  <w:rPr>
                    <w:noProof/>
                    <w:webHidden/>
                  </w:rPr>
                  <w:fldChar w:fldCharType="begin"/>
                </w:r>
                <w:r>
                  <w:rPr>
                    <w:noProof/>
                    <w:webHidden/>
                  </w:rPr>
                  <w:instrText xml:space="preserve"> PAGEREF _Toc214836683 \h </w:instrText>
                </w:r>
                <w:r>
                  <w:rPr>
                    <w:noProof/>
                    <w:webHidden/>
                  </w:rPr>
                </w:r>
                <w:r>
                  <w:rPr>
                    <w:noProof/>
                    <w:webHidden/>
                  </w:rPr>
                  <w:fldChar w:fldCharType="separate"/>
                </w:r>
                <w:r>
                  <w:rPr>
                    <w:noProof/>
                    <w:webHidden/>
                  </w:rPr>
                  <w:t>23</w:t>
                </w:r>
                <w:r>
                  <w:rPr>
                    <w:noProof/>
                    <w:webHidden/>
                  </w:rPr>
                  <w:fldChar w:fldCharType="end"/>
                </w:r>
              </w:hyperlink>
            </w:p>
            <w:p w14:paraId="348616C0" w14:textId="49A028FB" w:rsidR="0016589C" w:rsidRDefault="0016589C">
              <w:pPr>
                <w:pStyle w:val="TOC1"/>
                <w:tabs>
                  <w:tab w:val="right" w:leader="dot" w:pos="9016"/>
                </w:tabs>
                <w:rPr>
                  <w:rFonts w:eastAsiaTheme="minorEastAsia" w:cstheme="minorBidi"/>
                  <w:b w:val="0"/>
                  <w:bCs w:val="0"/>
                  <w:caps w:val="0"/>
                  <w:noProof/>
                  <w:sz w:val="24"/>
                  <w:szCs w:val="24"/>
                </w:rPr>
              </w:pPr>
              <w:hyperlink w:anchor="_Toc214836684" w:history="1">
                <w:r w:rsidRPr="00F30CF8">
                  <w:rPr>
                    <w:rStyle w:val="Hyperlink"/>
                    <w:rFonts w:eastAsiaTheme="majorEastAsia"/>
                    <w:noProof/>
                  </w:rPr>
                  <w:t>Chapter 4: Findings and Discussion</w:t>
                </w:r>
                <w:r>
                  <w:rPr>
                    <w:noProof/>
                    <w:webHidden/>
                  </w:rPr>
                  <w:tab/>
                </w:r>
                <w:r>
                  <w:rPr>
                    <w:noProof/>
                    <w:webHidden/>
                  </w:rPr>
                  <w:fldChar w:fldCharType="begin"/>
                </w:r>
                <w:r>
                  <w:rPr>
                    <w:noProof/>
                    <w:webHidden/>
                  </w:rPr>
                  <w:instrText xml:space="preserve"> PAGEREF _Toc214836684 \h </w:instrText>
                </w:r>
                <w:r>
                  <w:rPr>
                    <w:noProof/>
                    <w:webHidden/>
                  </w:rPr>
                </w:r>
                <w:r>
                  <w:rPr>
                    <w:noProof/>
                    <w:webHidden/>
                  </w:rPr>
                  <w:fldChar w:fldCharType="separate"/>
                </w:r>
                <w:r>
                  <w:rPr>
                    <w:noProof/>
                    <w:webHidden/>
                  </w:rPr>
                  <w:t>24</w:t>
                </w:r>
                <w:r>
                  <w:rPr>
                    <w:noProof/>
                    <w:webHidden/>
                  </w:rPr>
                  <w:fldChar w:fldCharType="end"/>
                </w:r>
              </w:hyperlink>
            </w:p>
            <w:p w14:paraId="1723A695" w14:textId="7C9CA310" w:rsidR="0016589C" w:rsidRDefault="0016589C">
              <w:pPr>
                <w:pStyle w:val="TOC2"/>
                <w:tabs>
                  <w:tab w:val="right" w:leader="dot" w:pos="9016"/>
                </w:tabs>
                <w:rPr>
                  <w:rFonts w:eastAsiaTheme="minorEastAsia" w:cstheme="minorBidi"/>
                  <w:smallCaps w:val="0"/>
                  <w:noProof/>
                  <w:sz w:val="24"/>
                  <w:szCs w:val="24"/>
                </w:rPr>
              </w:pPr>
              <w:hyperlink w:anchor="_Toc214836685" w:history="1">
                <w:r w:rsidRPr="00F30CF8">
                  <w:rPr>
                    <w:rStyle w:val="Hyperlink"/>
                    <w:rFonts w:eastAsiaTheme="majorEastAsia"/>
                    <w:noProof/>
                  </w:rPr>
                  <w:t>4.1 Introduction</w:t>
                </w:r>
                <w:r>
                  <w:rPr>
                    <w:noProof/>
                    <w:webHidden/>
                  </w:rPr>
                  <w:tab/>
                </w:r>
                <w:r>
                  <w:rPr>
                    <w:noProof/>
                    <w:webHidden/>
                  </w:rPr>
                  <w:fldChar w:fldCharType="begin"/>
                </w:r>
                <w:r>
                  <w:rPr>
                    <w:noProof/>
                    <w:webHidden/>
                  </w:rPr>
                  <w:instrText xml:space="preserve"> PAGEREF _Toc214836685 \h </w:instrText>
                </w:r>
                <w:r>
                  <w:rPr>
                    <w:noProof/>
                    <w:webHidden/>
                  </w:rPr>
                </w:r>
                <w:r>
                  <w:rPr>
                    <w:noProof/>
                    <w:webHidden/>
                  </w:rPr>
                  <w:fldChar w:fldCharType="separate"/>
                </w:r>
                <w:r>
                  <w:rPr>
                    <w:noProof/>
                    <w:webHidden/>
                  </w:rPr>
                  <w:t>24</w:t>
                </w:r>
                <w:r>
                  <w:rPr>
                    <w:noProof/>
                    <w:webHidden/>
                  </w:rPr>
                  <w:fldChar w:fldCharType="end"/>
                </w:r>
              </w:hyperlink>
            </w:p>
            <w:p w14:paraId="4DBA6C02" w14:textId="4224A7D1" w:rsidR="0016589C" w:rsidRDefault="0016589C">
              <w:pPr>
                <w:pStyle w:val="TOC1"/>
                <w:tabs>
                  <w:tab w:val="right" w:leader="dot" w:pos="9016"/>
                </w:tabs>
                <w:rPr>
                  <w:rFonts w:eastAsiaTheme="minorEastAsia" w:cstheme="minorBidi"/>
                  <w:b w:val="0"/>
                  <w:bCs w:val="0"/>
                  <w:caps w:val="0"/>
                  <w:noProof/>
                  <w:sz w:val="24"/>
                  <w:szCs w:val="24"/>
                </w:rPr>
              </w:pPr>
              <w:hyperlink w:anchor="_Toc214836686" w:history="1">
                <w:r w:rsidRPr="00F30CF8">
                  <w:rPr>
                    <w:rStyle w:val="Hyperlink"/>
                    <w:rFonts w:eastAsiaTheme="majorEastAsia"/>
                    <w:noProof/>
                  </w:rPr>
                  <w:t>4.2 Theme 1: Low-Income Status and Substance Misuse in England</w:t>
                </w:r>
                <w:r>
                  <w:rPr>
                    <w:noProof/>
                    <w:webHidden/>
                  </w:rPr>
                  <w:tab/>
                </w:r>
                <w:r>
                  <w:rPr>
                    <w:noProof/>
                    <w:webHidden/>
                  </w:rPr>
                  <w:fldChar w:fldCharType="begin"/>
                </w:r>
                <w:r>
                  <w:rPr>
                    <w:noProof/>
                    <w:webHidden/>
                  </w:rPr>
                  <w:instrText xml:space="preserve"> PAGEREF _Toc214836686 \h </w:instrText>
                </w:r>
                <w:r>
                  <w:rPr>
                    <w:noProof/>
                    <w:webHidden/>
                  </w:rPr>
                </w:r>
                <w:r>
                  <w:rPr>
                    <w:noProof/>
                    <w:webHidden/>
                  </w:rPr>
                  <w:fldChar w:fldCharType="separate"/>
                </w:r>
                <w:r>
                  <w:rPr>
                    <w:noProof/>
                    <w:webHidden/>
                  </w:rPr>
                  <w:t>25</w:t>
                </w:r>
                <w:r>
                  <w:rPr>
                    <w:noProof/>
                    <w:webHidden/>
                  </w:rPr>
                  <w:fldChar w:fldCharType="end"/>
                </w:r>
              </w:hyperlink>
            </w:p>
            <w:p w14:paraId="03CE6651" w14:textId="5A50B236" w:rsidR="0016589C" w:rsidRDefault="0016589C">
              <w:pPr>
                <w:pStyle w:val="TOC2"/>
                <w:tabs>
                  <w:tab w:val="right" w:leader="dot" w:pos="9016"/>
                </w:tabs>
                <w:rPr>
                  <w:rFonts w:eastAsiaTheme="minorEastAsia" w:cstheme="minorBidi"/>
                  <w:smallCaps w:val="0"/>
                  <w:noProof/>
                  <w:sz w:val="24"/>
                  <w:szCs w:val="24"/>
                </w:rPr>
              </w:pPr>
              <w:hyperlink w:anchor="_Toc214836687" w:history="1">
                <w:r w:rsidRPr="00F30CF8">
                  <w:rPr>
                    <w:rStyle w:val="Hyperlink"/>
                    <w:rFonts w:eastAsiaTheme="majorEastAsia"/>
                    <w:noProof/>
                  </w:rPr>
                  <w:t>1.Definition and Scope</w:t>
                </w:r>
                <w:r>
                  <w:rPr>
                    <w:noProof/>
                    <w:webHidden/>
                  </w:rPr>
                  <w:tab/>
                </w:r>
                <w:r>
                  <w:rPr>
                    <w:noProof/>
                    <w:webHidden/>
                  </w:rPr>
                  <w:fldChar w:fldCharType="begin"/>
                </w:r>
                <w:r>
                  <w:rPr>
                    <w:noProof/>
                    <w:webHidden/>
                  </w:rPr>
                  <w:instrText xml:space="preserve"> PAGEREF _Toc214836687 \h </w:instrText>
                </w:r>
                <w:r>
                  <w:rPr>
                    <w:noProof/>
                    <w:webHidden/>
                  </w:rPr>
                </w:r>
                <w:r>
                  <w:rPr>
                    <w:noProof/>
                    <w:webHidden/>
                  </w:rPr>
                  <w:fldChar w:fldCharType="separate"/>
                </w:r>
                <w:r>
                  <w:rPr>
                    <w:noProof/>
                    <w:webHidden/>
                  </w:rPr>
                  <w:t>25</w:t>
                </w:r>
                <w:r>
                  <w:rPr>
                    <w:noProof/>
                    <w:webHidden/>
                  </w:rPr>
                  <w:fldChar w:fldCharType="end"/>
                </w:r>
              </w:hyperlink>
            </w:p>
            <w:p w14:paraId="2037DFE2" w14:textId="2C3BE781" w:rsidR="0016589C" w:rsidRDefault="0016589C">
              <w:pPr>
                <w:pStyle w:val="TOC2"/>
                <w:tabs>
                  <w:tab w:val="right" w:leader="dot" w:pos="9016"/>
                </w:tabs>
                <w:rPr>
                  <w:rFonts w:eastAsiaTheme="minorEastAsia" w:cstheme="minorBidi"/>
                  <w:smallCaps w:val="0"/>
                  <w:noProof/>
                  <w:sz w:val="24"/>
                  <w:szCs w:val="24"/>
                </w:rPr>
              </w:pPr>
              <w:hyperlink w:anchor="_Toc214836688" w:history="1">
                <w:r w:rsidRPr="00F30CF8">
                  <w:rPr>
                    <w:rStyle w:val="Hyperlink"/>
                    <w:rFonts w:eastAsiaTheme="majorEastAsia"/>
                    <w:noProof/>
                  </w:rPr>
                  <w:t>2.Background</w:t>
                </w:r>
                <w:r>
                  <w:rPr>
                    <w:noProof/>
                    <w:webHidden/>
                  </w:rPr>
                  <w:tab/>
                </w:r>
                <w:r>
                  <w:rPr>
                    <w:noProof/>
                    <w:webHidden/>
                  </w:rPr>
                  <w:fldChar w:fldCharType="begin"/>
                </w:r>
                <w:r>
                  <w:rPr>
                    <w:noProof/>
                    <w:webHidden/>
                  </w:rPr>
                  <w:instrText xml:space="preserve"> PAGEREF _Toc214836688 \h </w:instrText>
                </w:r>
                <w:r>
                  <w:rPr>
                    <w:noProof/>
                    <w:webHidden/>
                  </w:rPr>
                </w:r>
                <w:r>
                  <w:rPr>
                    <w:noProof/>
                    <w:webHidden/>
                  </w:rPr>
                  <w:fldChar w:fldCharType="separate"/>
                </w:r>
                <w:r>
                  <w:rPr>
                    <w:noProof/>
                    <w:webHidden/>
                  </w:rPr>
                  <w:t>25</w:t>
                </w:r>
                <w:r>
                  <w:rPr>
                    <w:noProof/>
                    <w:webHidden/>
                  </w:rPr>
                  <w:fldChar w:fldCharType="end"/>
                </w:r>
              </w:hyperlink>
            </w:p>
            <w:p w14:paraId="1A94AC42" w14:textId="6C02D2D2" w:rsidR="0016589C" w:rsidRDefault="0016589C">
              <w:pPr>
                <w:pStyle w:val="TOC2"/>
                <w:tabs>
                  <w:tab w:val="right" w:leader="dot" w:pos="9016"/>
                </w:tabs>
                <w:rPr>
                  <w:rFonts w:eastAsiaTheme="minorEastAsia" w:cstheme="minorBidi"/>
                  <w:smallCaps w:val="0"/>
                  <w:noProof/>
                  <w:sz w:val="24"/>
                  <w:szCs w:val="24"/>
                </w:rPr>
              </w:pPr>
              <w:hyperlink w:anchor="_Toc214836689" w:history="1">
                <w:r w:rsidRPr="00F30CF8">
                  <w:rPr>
                    <w:rStyle w:val="Hyperlink"/>
                    <w:rFonts w:eastAsiaTheme="majorEastAsia"/>
                    <w:noProof/>
                  </w:rPr>
                  <w:t>3.Relevance to Research Question</w:t>
                </w:r>
                <w:r>
                  <w:rPr>
                    <w:noProof/>
                    <w:webHidden/>
                  </w:rPr>
                  <w:tab/>
                </w:r>
                <w:r>
                  <w:rPr>
                    <w:noProof/>
                    <w:webHidden/>
                  </w:rPr>
                  <w:fldChar w:fldCharType="begin"/>
                </w:r>
                <w:r>
                  <w:rPr>
                    <w:noProof/>
                    <w:webHidden/>
                  </w:rPr>
                  <w:instrText xml:space="preserve"> PAGEREF _Toc214836689 \h </w:instrText>
                </w:r>
                <w:r>
                  <w:rPr>
                    <w:noProof/>
                    <w:webHidden/>
                  </w:rPr>
                </w:r>
                <w:r>
                  <w:rPr>
                    <w:noProof/>
                    <w:webHidden/>
                  </w:rPr>
                  <w:fldChar w:fldCharType="separate"/>
                </w:r>
                <w:r>
                  <w:rPr>
                    <w:noProof/>
                    <w:webHidden/>
                  </w:rPr>
                  <w:t>26</w:t>
                </w:r>
                <w:r>
                  <w:rPr>
                    <w:noProof/>
                    <w:webHidden/>
                  </w:rPr>
                  <w:fldChar w:fldCharType="end"/>
                </w:r>
              </w:hyperlink>
            </w:p>
            <w:p w14:paraId="54A11A92" w14:textId="0008D84B" w:rsidR="0016589C" w:rsidRDefault="0016589C">
              <w:pPr>
                <w:pStyle w:val="TOC2"/>
                <w:tabs>
                  <w:tab w:val="right" w:leader="dot" w:pos="9016"/>
                </w:tabs>
                <w:rPr>
                  <w:rFonts w:eastAsiaTheme="minorEastAsia" w:cstheme="minorBidi"/>
                  <w:smallCaps w:val="0"/>
                  <w:noProof/>
                  <w:sz w:val="24"/>
                  <w:szCs w:val="24"/>
                </w:rPr>
              </w:pPr>
              <w:hyperlink w:anchor="_Toc214836690" w:history="1">
                <w:r w:rsidRPr="00F30CF8">
                  <w:rPr>
                    <w:rStyle w:val="Hyperlink"/>
                    <w:rFonts w:eastAsiaTheme="majorEastAsia"/>
                    <w:noProof/>
                  </w:rPr>
                  <w:t>4.Data and Statistics</w:t>
                </w:r>
                <w:r>
                  <w:rPr>
                    <w:noProof/>
                    <w:webHidden/>
                  </w:rPr>
                  <w:tab/>
                </w:r>
                <w:r>
                  <w:rPr>
                    <w:noProof/>
                    <w:webHidden/>
                  </w:rPr>
                  <w:fldChar w:fldCharType="begin"/>
                </w:r>
                <w:r>
                  <w:rPr>
                    <w:noProof/>
                    <w:webHidden/>
                  </w:rPr>
                  <w:instrText xml:space="preserve"> PAGEREF _Toc214836690 \h </w:instrText>
                </w:r>
                <w:r>
                  <w:rPr>
                    <w:noProof/>
                    <w:webHidden/>
                  </w:rPr>
                </w:r>
                <w:r>
                  <w:rPr>
                    <w:noProof/>
                    <w:webHidden/>
                  </w:rPr>
                  <w:fldChar w:fldCharType="separate"/>
                </w:r>
                <w:r>
                  <w:rPr>
                    <w:noProof/>
                    <w:webHidden/>
                  </w:rPr>
                  <w:t>26</w:t>
                </w:r>
                <w:r>
                  <w:rPr>
                    <w:noProof/>
                    <w:webHidden/>
                  </w:rPr>
                  <w:fldChar w:fldCharType="end"/>
                </w:r>
              </w:hyperlink>
            </w:p>
            <w:p w14:paraId="43852E87" w14:textId="1CAEEA33" w:rsidR="0016589C" w:rsidRDefault="0016589C">
              <w:pPr>
                <w:pStyle w:val="TOC2"/>
                <w:tabs>
                  <w:tab w:val="right" w:leader="dot" w:pos="9016"/>
                </w:tabs>
                <w:rPr>
                  <w:rFonts w:eastAsiaTheme="minorEastAsia" w:cstheme="minorBidi"/>
                  <w:smallCaps w:val="0"/>
                  <w:noProof/>
                  <w:sz w:val="24"/>
                  <w:szCs w:val="24"/>
                </w:rPr>
              </w:pPr>
              <w:hyperlink w:anchor="_Toc214836691" w:history="1">
                <w:r w:rsidRPr="00F30CF8">
                  <w:rPr>
                    <w:rStyle w:val="Hyperlink"/>
                    <w:rFonts w:eastAsiaTheme="majorEastAsia"/>
                    <w:noProof/>
                  </w:rPr>
                  <w:t>5.Theories, Policy, and Legislation</w:t>
                </w:r>
                <w:r>
                  <w:rPr>
                    <w:noProof/>
                    <w:webHidden/>
                  </w:rPr>
                  <w:tab/>
                </w:r>
                <w:r>
                  <w:rPr>
                    <w:noProof/>
                    <w:webHidden/>
                  </w:rPr>
                  <w:fldChar w:fldCharType="begin"/>
                </w:r>
                <w:r>
                  <w:rPr>
                    <w:noProof/>
                    <w:webHidden/>
                  </w:rPr>
                  <w:instrText xml:space="preserve"> PAGEREF _Toc214836691 \h </w:instrText>
                </w:r>
                <w:r>
                  <w:rPr>
                    <w:noProof/>
                    <w:webHidden/>
                  </w:rPr>
                </w:r>
                <w:r>
                  <w:rPr>
                    <w:noProof/>
                    <w:webHidden/>
                  </w:rPr>
                  <w:fldChar w:fldCharType="separate"/>
                </w:r>
                <w:r>
                  <w:rPr>
                    <w:noProof/>
                    <w:webHidden/>
                  </w:rPr>
                  <w:t>26</w:t>
                </w:r>
                <w:r>
                  <w:rPr>
                    <w:noProof/>
                    <w:webHidden/>
                  </w:rPr>
                  <w:fldChar w:fldCharType="end"/>
                </w:r>
              </w:hyperlink>
            </w:p>
            <w:p w14:paraId="6756C290" w14:textId="7BFE7E6F" w:rsidR="0016589C" w:rsidRDefault="0016589C">
              <w:pPr>
                <w:pStyle w:val="TOC2"/>
                <w:tabs>
                  <w:tab w:val="right" w:leader="dot" w:pos="9016"/>
                </w:tabs>
                <w:rPr>
                  <w:rFonts w:eastAsiaTheme="minorEastAsia" w:cstheme="minorBidi"/>
                  <w:smallCaps w:val="0"/>
                  <w:noProof/>
                  <w:sz w:val="24"/>
                  <w:szCs w:val="24"/>
                </w:rPr>
              </w:pPr>
              <w:hyperlink w:anchor="_Toc214836692" w:history="1">
                <w:r w:rsidRPr="00F30CF8">
                  <w:rPr>
                    <w:rStyle w:val="Hyperlink"/>
                    <w:rFonts w:eastAsiaTheme="majorEastAsia"/>
                    <w:noProof/>
                  </w:rPr>
                  <w:t>6.Examples from Articles</w:t>
                </w:r>
                <w:r>
                  <w:rPr>
                    <w:noProof/>
                    <w:webHidden/>
                  </w:rPr>
                  <w:tab/>
                </w:r>
                <w:r>
                  <w:rPr>
                    <w:noProof/>
                    <w:webHidden/>
                  </w:rPr>
                  <w:fldChar w:fldCharType="begin"/>
                </w:r>
                <w:r>
                  <w:rPr>
                    <w:noProof/>
                    <w:webHidden/>
                  </w:rPr>
                  <w:instrText xml:space="preserve"> PAGEREF _Toc214836692 \h </w:instrText>
                </w:r>
                <w:r>
                  <w:rPr>
                    <w:noProof/>
                    <w:webHidden/>
                  </w:rPr>
                </w:r>
                <w:r>
                  <w:rPr>
                    <w:noProof/>
                    <w:webHidden/>
                  </w:rPr>
                  <w:fldChar w:fldCharType="separate"/>
                </w:r>
                <w:r>
                  <w:rPr>
                    <w:noProof/>
                    <w:webHidden/>
                  </w:rPr>
                  <w:t>27</w:t>
                </w:r>
                <w:r>
                  <w:rPr>
                    <w:noProof/>
                    <w:webHidden/>
                  </w:rPr>
                  <w:fldChar w:fldCharType="end"/>
                </w:r>
              </w:hyperlink>
            </w:p>
            <w:p w14:paraId="06730022" w14:textId="24DE8F6D" w:rsidR="0016589C" w:rsidRDefault="0016589C">
              <w:pPr>
                <w:pStyle w:val="TOC2"/>
                <w:tabs>
                  <w:tab w:val="right" w:leader="dot" w:pos="9016"/>
                </w:tabs>
                <w:rPr>
                  <w:rFonts w:eastAsiaTheme="minorEastAsia" w:cstheme="minorBidi"/>
                  <w:smallCaps w:val="0"/>
                  <w:noProof/>
                  <w:sz w:val="24"/>
                  <w:szCs w:val="24"/>
                </w:rPr>
              </w:pPr>
              <w:hyperlink w:anchor="_Toc214836693" w:history="1">
                <w:r w:rsidRPr="00F30CF8">
                  <w:rPr>
                    <w:rStyle w:val="Hyperlink"/>
                    <w:rFonts w:eastAsiaTheme="majorEastAsia"/>
                    <w:noProof/>
                  </w:rPr>
                  <w:t>7.Connections to Other Themes</w:t>
                </w:r>
                <w:r>
                  <w:rPr>
                    <w:noProof/>
                    <w:webHidden/>
                  </w:rPr>
                  <w:tab/>
                </w:r>
                <w:r>
                  <w:rPr>
                    <w:noProof/>
                    <w:webHidden/>
                  </w:rPr>
                  <w:fldChar w:fldCharType="begin"/>
                </w:r>
                <w:r>
                  <w:rPr>
                    <w:noProof/>
                    <w:webHidden/>
                  </w:rPr>
                  <w:instrText xml:space="preserve"> PAGEREF _Toc214836693 \h </w:instrText>
                </w:r>
                <w:r>
                  <w:rPr>
                    <w:noProof/>
                    <w:webHidden/>
                  </w:rPr>
                </w:r>
                <w:r>
                  <w:rPr>
                    <w:noProof/>
                    <w:webHidden/>
                  </w:rPr>
                  <w:fldChar w:fldCharType="separate"/>
                </w:r>
                <w:r>
                  <w:rPr>
                    <w:noProof/>
                    <w:webHidden/>
                  </w:rPr>
                  <w:t>27</w:t>
                </w:r>
                <w:r>
                  <w:rPr>
                    <w:noProof/>
                    <w:webHidden/>
                  </w:rPr>
                  <w:fldChar w:fldCharType="end"/>
                </w:r>
              </w:hyperlink>
            </w:p>
            <w:p w14:paraId="04D8C876" w14:textId="3FF69C8B" w:rsidR="0016589C" w:rsidRDefault="0016589C">
              <w:pPr>
                <w:pStyle w:val="TOC1"/>
                <w:tabs>
                  <w:tab w:val="right" w:leader="dot" w:pos="9016"/>
                </w:tabs>
                <w:rPr>
                  <w:rFonts w:eastAsiaTheme="minorEastAsia" w:cstheme="minorBidi"/>
                  <w:b w:val="0"/>
                  <w:bCs w:val="0"/>
                  <w:caps w:val="0"/>
                  <w:noProof/>
                  <w:sz w:val="24"/>
                  <w:szCs w:val="24"/>
                </w:rPr>
              </w:pPr>
              <w:hyperlink w:anchor="_Toc214836694" w:history="1">
                <w:r w:rsidRPr="00F30CF8">
                  <w:rPr>
                    <w:rStyle w:val="Hyperlink"/>
                    <w:rFonts w:eastAsiaTheme="majorEastAsia"/>
                    <w:noProof/>
                  </w:rPr>
                  <w:t>4.3 Theme 2: Untreated Mental Health Disorders and Dual Diagnosis</w:t>
                </w:r>
                <w:r>
                  <w:rPr>
                    <w:noProof/>
                    <w:webHidden/>
                  </w:rPr>
                  <w:tab/>
                </w:r>
                <w:r>
                  <w:rPr>
                    <w:noProof/>
                    <w:webHidden/>
                  </w:rPr>
                  <w:fldChar w:fldCharType="begin"/>
                </w:r>
                <w:r>
                  <w:rPr>
                    <w:noProof/>
                    <w:webHidden/>
                  </w:rPr>
                  <w:instrText xml:space="preserve"> PAGEREF _Toc214836694 \h </w:instrText>
                </w:r>
                <w:r>
                  <w:rPr>
                    <w:noProof/>
                    <w:webHidden/>
                  </w:rPr>
                </w:r>
                <w:r>
                  <w:rPr>
                    <w:noProof/>
                    <w:webHidden/>
                  </w:rPr>
                  <w:fldChar w:fldCharType="separate"/>
                </w:r>
                <w:r>
                  <w:rPr>
                    <w:noProof/>
                    <w:webHidden/>
                  </w:rPr>
                  <w:t>27</w:t>
                </w:r>
                <w:r>
                  <w:rPr>
                    <w:noProof/>
                    <w:webHidden/>
                  </w:rPr>
                  <w:fldChar w:fldCharType="end"/>
                </w:r>
              </w:hyperlink>
            </w:p>
            <w:p w14:paraId="0B8EFB83" w14:textId="417AFB11" w:rsidR="0016589C" w:rsidRDefault="0016589C">
              <w:pPr>
                <w:pStyle w:val="TOC2"/>
                <w:tabs>
                  <w:tab w:val="right" w:leader="dot" w:pos="9016"/>
                </w:tabs>
                <w:rPr>
                  <w:rFonts w:eastAsiaTheme="minorEastAsia" w:cstheme="minorBidi"/>
                  <w:smallCaps w:val="0"/>
                  <w:noProof/>
                  <w:sz w:val="24"/>
                  <w:szCs w:val="24"/>
                </w:rPr>
              </w:pPr>
              <w:hyperlink w:anchor="_Toc214836695" w:history="1">
                <w:r w:rsidRPr="00F30CF8">
                  <w:rPr>
                    <w:rStyle w:val="Hyperlink"/>
                    <w:rFonts w:eastAsiaTheme="majorEastAsia"/>
                    <w:noProof/>
                  </w:rPr>
                  <w:t>1.Definition and Scope</w:t>
                </w:r>
                <w:r>
                  <w:rPr>
                    <w:noProof/>
                    <w:webHidden/>
                  </w:rPr>
                  <w:tab/>
                </w:r>
                <w:r>
                  <w:rPr>
                    <w:noProof/>
                    <w:webHidden/>
                  </w:rPr>
                  <w:fldChar w:fldCharType="begin"/>
                </w:r>
                <w:r>
                  <w:rPr>
                    <w:noProof/>
                    <w:webHidden/>
                  </w:rPr>
                  <w:instrText xml:space="preserve"> PAGEREF _Toc214836695 \h </w:instrText>
                </w:r>
                <w:r>
                  <w:rPr>
                    <w:noProof/>
                    <w:webHidden/>
                  </w:rPr>
                </w:r>
                <w:r>
                  <w:rPr>
                    <w:noProof/>
                    <w:webHidden/>
                  </w:rPr>
                  <w:fldChar w:fldCharType="separate"/>
                </w:r>
                <w:r>
                  <w:rPr>
                    <w:noProof/>
                    <w:webHidden/>
                  </w:rPr>
                  <w:t>27</w:t>
                </w:r>
                <w:r>
                  <w:rPr>
                    <w:noProof/>
                    <w:webHidden/>
                  </w:rPr>
                  <w:fldChar w:fldCharType="end"/>
                </w:r>
              </w:hyperlink>
            </w:p>
            <w:p w14:paraId="07537D40" w14:textId="6AE9EBF5" w:rsidR="0016589C" w:rsidRDefault="0016589C">
              <w:pPr>
                <w:pStyle w:val="TOC2"/>
                <w:tabs>
                  <w:tab w:val="right" w:leader="dot" w:pos="9016"/>
                </w:tabs>
                <w:rPr>
                  <w:rFonts w:eastAsiaTheme="minorEastAsia" w:cstheme="minorBidi"/>
                  <w:smallCaps w:val="0"/>
                  <w:noProof/>
                  <w:sz w:val="24"/>
                  <w:szCs w:val="24"/>
                </w:rPr>
              </w:pPr>
              <w:hyperlink w:anchor="_Toc214836696" w:history="1">
                <w:r w:rsidRPr="00F30CF8">
                  <w:rPr>
                    <w:rStyle w:val="Hyperlink"/>
                    <w:rFonts w:eastAsiaTheme="majorEastAsia"/>
                    <w:noProof/>
                  </w:rPr>
                  <w:t>2.Background</w:t>
                </w:r>
                <w:r>
                  <w:rPr>
                    <w:noProof/>
                    <w:webHidden/>
                  </w:rPr>
                  <w:tab/>
                </w:r>
                <w:r>
                  <w:rPr>
                    <w:noProof/>
                    <w:webHidden/>
                  </w:rPr>
                  <w:fldChar w:fldCharType="begin"/>
                </w:r>
                <w:r>
                  <w:rPr>
                    <w:noProof/>
                    <w:webHidden/>
                  </w:rPr>
                  <w:instrText xml:space="preserve"> PAGEREF _Toc214836696 \h </w:instrText>
                </w:r>
                <w:r>
                  <w:rPr>
                    <w:noProof/>
                    <w:webHidden/>
                  </w:rPr>
                </w:r>
                <w:r>
                  <w:rPr>
                    <w:noProof/>
                    <w:webHidden/>
                  </w:rPr>
                  <w:fldChar w:fldCharType="separate"/>
                </w:r>
                <w:r>
                  <w:rPr>
                    <w:noProof/>
                    <w:webHidden/>
                  </w:rPr>
                  <w:t>28</w:t>
                </w:r>
                <w:r>
                  <w:rPr>
                    <w:noProof/>
                    <w:webHidden/>
                  </w:rPr>
                  <w:fldChar w:fldCharType="end"/>
                </w:r>
              </w:hyperlink>
            </w:p>
            <w:p w14:paraId="28F8BD9E" w14:textId="7E1F1958" w:rsidR="0016589C" w:rsidRDefault="0016589C">
              <w:pPr>
                <w:pStyle w:val="TOC2"/>
                <w:tabs>
                  <w:tab w:val="right" w:leader="dot" w:pos="9016"/>
                </w:tabs>
                <w:rPr>
                  <w:rFonts w:eastAsiaTheme="minorEastAsia" w:cstheme="minorBidi"/>
                  <w:smallCaps w:val="0"/>
                  <w:noProof/>
                  <w:sz w:val="24"/>
                  <w:szCs w:val="24"/>
                </w:rPr>
              </w:pPr>
              <w:hyperlink w:anchor="_Toc214836697" w:history="1">
                <w:r w:rsidRPr="00F30CF8">
                  <w:rPr>
                    <w:rStyle w:val="Hyperlink"/>
                    <w:rFonts w:eastAsiaTheme="majorEastAsia"/>
                    <w:noProof/>
                  </w:rPr>
                  <w:t>3. Relevance to Research Question</w:t>
                </w:r>
                <w:r>
                  <w:rPr>
                    <w:noProof/>
                    <w:webHidden/>
                  </w:rPr>
                  <w:tab/>
                </w:r>
                <w:r>
                  <w:rPr>
                    <w:noProof/>
                    <w:webHidden/>
                  </w:rPr>
                  <w:fldChar w:fldCharType="begin"/>
                </w:r>
                <w:r>
                  <w:rPr>
                    <w:noProof/>
                    <w:webHidden/>
                  </w:rPr>
                  <w:instrText xml:space="preserve"> PAGEREF _Toc214836697 \h </w:instrText>
                </w:r>
                <w:r>
                  <w:rPr>
                    <w:noProof/>
                    <w:webHidden/>
                  </w:rPr>
                </w:r>
                <w:r>
                  <w:rPr>
                    <w:noProof/>
                    <w:webHidden/>
                  </w:rPr>
                  <w:fldChar w:fldCharType="separate"/>
                </w:r>
                <w:r>
                  <w:rPr>
                    <w:noProof/>
                    <w:webHidden/>
                  </w:rPr>
                  <w:t>28</w:t>
                </w:r>
                <w:r>
                  <w:rPr>
                    <w:noProof/>
                    <w:webHidden/>
                  </w:rPr>
                  <w:fldChar w:fldCharType="end"/>
                </w:r>
              </w:hyperlink>
            </w:p>
            <w:p w14:paraId="698F272B" w14:textId="2A12C921" w:rsidR="0016589C" w:rsidRDefault="0016589C">
              <w:pPr>
                <w:pStyle w:val="TOC2"/>
                <w:tabs>
                  <w:tab w:val="right" w:leader="dot" w:pos="9016"/>
                </w:tabs>
                <w:rPr>
                  <w:rFonts w:eastAsiaTheme="minorEastAsia" w:cstheme="minorBidi"/>
                  <w:smallCaps w:val="0"/>
                  <w:noProof/>
                  <w:sz w:val="24"/>
                  <w:szCs w:val="24"/>
                </w:rPr>
              </w:pPr>
              <w:hyperlink w:anchor="_Toc214836698" w:history="1">
                <w:r w:rsidRPr="00F30CF8">
                  <w:rPr>
                    <w:rStyle w:val="Hyperlink"/>
                    <w:rFonts w:eastAsiaTheme="majorEastAsia"/>
                    <w:noProof/>
                  </w:rPr>
                  <w:t>4. Data and Statistics</w:t>
                </w:r>
                <w:r>
                  <w:rPr>
                    <w:noProof/>
                    <w:webHidden/>
                  </w:rPr>
                  <w:tab/>
                </w:r>
                <w:r>
                  <w:rPr>
                    <w:noProof/>
                    <w:webHidden/>
                  </w:rPr>
                  <w:fldChar w:fldCharType="begin"/>
                </w:r>
                <w:r>
                  <w:rPr>
                    <w:noProof/>
                    <w:webHidden/>
                  </w:rPr>
                  <w:instrText xml:space="preserve"> PAGEREF _Toc214836698 \h </w:instrText>
                </w:r>
                <w:r>
                  <w:rPr>
                    <w:noProof/>
                    <w:webHidden/>
                  </w:rPr>
                </w:r>
                <w:r>
                  <w:rPr>
                    <w:noProof/>
                    <w:webHidden/>
                  </w:rPr>
                  <w:fldChar w:fldCharType="separate"/>
                </w:r>
                <w:r>
                  <w:rPr>
                    <w:noProof/>
                    <w:webHidden/>
                  </w:rPr>
                  <w:t>29</w:t>
                </w:r>
                <w:r>
                  <w:rPr>
                    <w:noProof/>
                    <w:webHidden/>
                  </w:rPr>
                  <w:fldChar w:fldCharType="end"/>
                </w:r>
              </w:hyperlink>
            </w:p>
            <w:p w14:paraId="33DE957B" w14:textId="755C1B4C" w:rsidR="0016589C" w:rsidRDefault="0016589C">
              <w:pPr>
                <w:pStyle w:val="TOC2"/>
                <w:tabs>
                  <w:tab w:val="right" w:leader="dot" w:pos="9016"/>
                </w:tabs>
                <w:rPr>
                  <w:rFonts w:eastAsiaTheme="minorEastAsia" w:cstheme="minorBidi"/>
                  <w:smallCaps w:val="0"/>
                  <w:noProof/>
                  <w:sz w:val="24"/>
                  <w:szCs w:val="24"/>
                </w:rPr>
              </w:pPr>
              <w:hyperlink w:anchor="_Toc214836699" w:history="1">
                <w:r w:rsidRPr="00F30CF8">
                  <w:rPr>
                    <w:rStyle w:val="Hyperlink"/>
                    <w:rFonts w:eastAsiaTheme="majorEastAsia"/>
                    <w:noProof/>
                  </w:rPr>
                  <w:t>5. Theories, Policy, and Legislation</w:t>
                </w:r>
                <w:r>
                  <w:rPr>
                    <w:noProof/>
                    <w:webHidden/>
                  </w:rPr>
                  <w:tab/>
                </w:r>
                <w:r>
                  <w:rPr>
                    <w:noProof/>
                    <w:webHidden/>
                  </w:rPr>
                  <w:fldChar w:fldCharType="begin"/>
                </w:r>
                <w:r>
                  <w:rPr>
                    <w:noProof/>
                    <w:webHidden/>
                  </w:rPr>
                  <w:instrText xml:space="preserve"> PAGEREF _Toc214836699 \h </w:instrText>
                </w:r>
                <w:r>
                  <w:rPr>
                    <w:noProof/>
                    <w:webHidden/>
                  </w:rPr>
                </w:r>
                <w:r>
                  <w:rPr>
                    <w:noProof/>
                    <w:webHidden/>
                  </w:rPr>
                  <w:fldChar w:fldCharType="separate"/>
                </w:r>
                <w:r>
                  <w:rPr>
                    <w:noProof/>
                    <w:webHidden/>
                  </w:rPr>
                  <w:t>29</w:t>
                </w:r>
                <w:r>
                  <w:rPr>
                    <w:noProof/>
                    <w:webHidden/>
                  </w:rPr>
                  <w:fldChar w:fldCharType="end"/>
                </w:r>
              </w:hyperlink>
            </w:p>
            <w:p w14:paraId="7D1968FF" w14:textId="71E8554D" w:rsidR="0016589C" w:rsidRDefault="0016589C">
              <w:pPr>
                <w:pStyle w:val="TOC2"/>
                <w:tabs>
                  <w:tab w:val="right" w:leader="dot" w:pos="9016"/>
                </w:tabs>
                <w:rPr>
                  <w:rFonts w:eastAsiaTheme="minorEastAsia" w:cstheme="minorBidi"/>
                  <w:smallCaps w:val="0"/>
                  <w:noProof/>
                  <w:sz w:val="24"/>
                  <w:szCs w:val="24"/>
                </w:rPr>
              </w:pPr>
              <w:hyperlink w:anchor="_Toc214836700" w:history="1">
                <w:r w:rsidRPr="00F30CF8">
                  <w:rPr>
                    <w:rStyle w:val="Hyperlink"/>
                    <w:rFonts w:eastAsiaTheme="majorEastAsia"/>
                    <w:noProof/>
                  </w:rPr>
                  <w:t>6. Examples from Articles</w:t>
                </w:r>
                <w:r>
                  <w:rPr>
                    <w:noProof/>
                    <w:webHidden/>
                  </w:rPr>
                  <w:tab/>
                </w:r>
                <w:r>
                  <w:rPr>
                    <w:noProof/>
                    <w:webHidden/>
                  </w:rPr>
                  <w:fldChar w:fldCharType="begin"/>
                </w:r>
                <w:r>
                  <w:rPr>
                    <w:noProof/>
                    <w:webHidden/>
                  </w:rPr>
                  <w:instrText xml:space="preserve"> PAGEREF _Toc214836700 \h </w:instrText>
                </w:r>
                <w:r>
                  <w:rPr>
                    <w:noProof/>
                    <w:webHidden/>
                  </w:rPr>
                </w:r>
                <w:r>
                  <w:rPr>
                    <w:noProof/>
                    <w:webHidden/>
                  </w:rPr>
                  <w:fldChar w:fldCharType="separate"/>
                </w:r>
                <w:r>
                  <w:rPr>
                    <w:noProof/>
                    <w:webHidden/>
                  </w:rPr>
                  <w:t>29</w:t>
                </w:r>
                <w:r>
                  <w:rPr>
                    <w:noProof/>
                    <w:webHidden/>
                  </w:rPr>
                  <w:fldChar w:fldCharType="end"/>
                </w:r>
              </w:hyperlink>
            </w:p>
            <w:p w14:paraId="52DDEC42" w14:textId="6507005E" w:rsidR="0016589C" w:rsidRDefault="0016589C">
              <w:pPr>
                <w:pStyle w:val="TOC2"/>
                <w:tabs>
                  <w:tab w:val="right" w:leader="dot" w:pos="9016"/>
                </w:tabs>
                <w:rPr>
                  <w:rFonts w:eastAsiaTheme="minorEastAsia" w:cstheme="minorBidi"/>
                  <w:smallCaps w:val="0"/>
                  <w:noProof/>
                  <w:sz w:val="24"/>
                  <w:szCs w:val="24"/>
                </w:rPr>
              </w:pPr>
              <w:hyperlink w:anchor="_Toc214836701" w:history="1">
                <w:r w:rsidRPr="00F30CF8">
                  <w:rPr>
                    <w:rStyle w:val="Hyperlink"/>
                    <w:rFonts w:eastAsiaTheme="majorEastAsia"/>
                    <w:noProof/>
                  </w:rPr>
                  <w:t>7. Connections to Other Themes</w:t>
                </w:r>
                <w:r>
                  <w:rPr>
                    <w:noProof/>
                    <w:webHidden/>
                  </w:rPr>
                  <w:tab/>
                </w:r>
                <w:r>
                  <w:rPr>
                    <w:noProof/>
                    <w:webHidden/>
                  </w:rPr>
                  <w:fldChar w:fldCharType="begin"/>
                </w:r>
                <w:r>
                  <w:rPr>
                    <w:noProof/>
                    <w:webHidden/>
                  </w:rPr>
                  <w:instrText xml:space="preserve"> PAGEREF _Toc214836701 \h </w:instrText>
                </w:r>
                <w:r>
                  <w:rPr>
                    <w:noProof/>
                    <w:webHidden/>
                  </w:rPr>
                </w:r>
                <w:r>
                  <w:rPr>
                    <w:noProof/>
                    <w:webHidden/>
                  </w:rPr>
                  <w:fldChar w:fldCharType="separate"/>
                </w:r>
                <w:r>
                  <w:rPr>
                    <w:noProof/>
                    <w:webHidden/>
                  </w:rPr>
                  <w:t>30</w:t>
                </w:r>
                <w:r>
                  <w:rPr>
                    <w:noProof/>
                    <w:webHidden/>
                  </w:rPr>
                  <w:fldChar w:fldCharType="end"/>
                </w:r>
              </w:hyperlink>
            </w:p>
            <w:p w14:paraId="26BD6FED" w14:textId="1079DCEA" w:rsidR="0016589C" w:rsidRDefault="0016589C">
              <w:pPr>
                <w:pStyle w:val="TOC1"/>
                <w:tabs>
                  <w:tab w:val="right" w:leader="dot" w:pos="9016"/>
                </w:tabs>
                <w:rPr>
                  <w:rFonts w:eastAsiaTheme="minorEastAsia" w:cstheme="minorBidi"/>
                  <w:b w:val="0"/>
                  <w:bCs w:val="0"/>
                  <w:caps w:val="0"/>
                  <w:noProof/>
                  <w:sz w:val="24"/>
                  <w:szCs w:val="24"/>
                </w:rPr>
              </w:pPr>
              <w:hyperlink w:anchor="_Toc214836702" w:history="1">
                <w:r w:rsidRPr="00F30CF8">
                  <w:rPr>
                    <w:rStyle w:val="Hyperlink"/>
                    <w:rFonts w:eastAsiaTheme="majorEastAsia"/>
                    <w:noProof/>
                  </w:rPr>
                  <w:t>4.4 Theme 3: Socioeconomic Barriers to Treatment Access</w:t>
                </w:r>
                <w:r>
                  <w:rPr>
                    <w:noProof/>
                    <w:webHidden/>
                  </w:rPr>
                  <w:tab/>
                </w:r>
                <w:r>
                  <w:rPr>
                    <w:noProof/>
                    <w:webHidden/>
                  </w:rPr>
                  <w:fldChar w:fldCharType="begin"/>
                </w:r>
                <w:r>
                  <w:rPr>
                    <w:noProof/>
                    <w:webHidden/>
                  </w:rPr>
                  <w:instrText xml:space="preserve"> PAGEREF _Toc214836702 \h </w:instrText>
                </w:r>
                <w:r>
                  <w:rPr>
                    <w:noProof/>
                    <w:webHidden/>
                  </w:rPr>
                </w:r>
                <w:r>
                  <w:rPr>
                    <w:noProof/>
                    <w:webHidden/>
                  </w:rPr>
                  <w:fldChar w:fldCharType="separate"/>
                </w:r>
                <w:r>
                  <w:rPr>
                    <w:noProof/>
                    <w:webHidden/>
                  </w:rPr>
                  <w:t>30</w:t>
                </w:r>
                <w:r>
                  <w:rPr>
                    <w:noProof/>
                    <w:webHidden/>
                  </w:rPr>
                  <w:fldChar w:fldCharType="end"/>
                </w:r>
              </w:hyperlink>
            </w:p>
            <w:p w14:paraId="4C7BA9AB" w14:textId="6094E9F6" w:rsidR="0016589C" w:rsidRDefault="0016589C">
              <w:pPr>
                <w:pStyle w:val="TOC2"/>
                <w:tabs>
                  <w:tab w:val="right" w:leader="dot" w:pos="9016"/>
                </w:tabs>
                <w:rPr>
                  <w:rFonts w:eastAsiaTheme="minorEastAsia" w:cstheme="minorBidi"/>
                  <w:smallCaps w:val="0"/>
                  <w:noProof/>
                  <w:sz w:val="24"/>
                  <w:szCs w:val="24"/>
                </w:rPr>
              </w:pPr>
              <w:hyperlink w:anchor="_Toc214836703" w:history="1">
                <w:r w:rsidRPr="00F30CF8">
                  <w:rPr>
                    <w:rStyle w:val="Hyperlink"/>
                    <w:rFonts w:eastAsiaTheme="majorEastAsia"/>
                    <w:noProof/>
                  </w:rPr>
                  <w:t>1. Definition and Scope</w:t>
                </w:r>
                <w:r>
                  <w:rPr>
                    <w:noProof/>
                    <w:webHidden/>
                  </w:rPr>
                  <w:tab/>
                </w:r>
                <w:r>
                  <w:rPr>
                    <w:noProof/>
                    <w:webHidden/>
                  </w:rPr>
                  <w:fldChar w:fldCharType="begin"/>
                </w:r>
                <w:r>
                  <w:rPr>
                    <w:noProof/>
                    <w:webHidden/>
                  </w:rPr>
                  <w:instrText xml:space="preserve"> PAGEREF _Toc214836703 \h </w:instrText>
                </w:r>
                <w:r>
                  <w:rPr>
                    <w:noProof/>
                    <w:webHidden/>
                  </w:rPr>
                </w:r>
                <w:r>
                  <w:rPr>
                    <w:noProof/>
                    <w:webHidden/>
                  </w:rPr>
                  <w:fldChar w:fldCharType="separate"/>
                </w:r>
                <w:r>
                  <w:rPr>
                    <w:noProof/>
                    <w:webHidden/>
                  </w:rPr>
                  <w:t>30</w:t>
                </w:r>
                <w:r>
                  <w:rPr>
                    <w:noProof/>
                    <w:webHidden/>
                  </w:rPr>
                  <w:fldChar w:fldCharType="end"/>
                </w:r>
              </w:hyperlink>
            </w:p>
            <w:p w14:paraId="3F28E568" w14:textId="13A60B3D" w:rsidR="0016589C" w:rsidRDefault="0016589C">
              <w:pPr>
                <w:pStyle w:val="TOC2"/>
                <w:tabs>
                  <w:tab w:val="right" w:leader="dot" w:pos="9016"/>
                </w:tabs>
                <w:rPr>
                  <w:rFonts w:eastAsiaTheme="minorEastAsia" w:cstheme="minorBidi"/>
                  <w:smallCaps w:val="0"/>
                  <w:noProof/>
                  <w:sz w:val="24"/>
                  <w:szCs w:val="24"/>
                </w:rPr>
              </w:pPr>
              <w:hyperlink w:anchor="_Toc214836704" w:history="1">
                <w:r w:rsidRPr="00F30CF8">
                  <w:rPr>
                    <w:rStyle w:val="Hyperlink"/>
                    <w:rFonts w:eastAsiaTheme="majorEastAsia"/>
                    <w:noProof/>
                  </w:rPr>
                  <w:t>2. Background</w:t>
                </w:r>
                <w:r>
                  <w:rPr>
                    <w:noProof/>
                    <w:webHidden/>
                  </w:rPr>
                  <w:tab/>
                </w:r>
                <w:r>
                  <w:rPr>
                    <w:noProof/>
                    <w:webHidden/>
                  </w:rPr>
                  <w:fldChar w:fldCharType="begin"/>
                </w:r>
                <w:r>
                  <w:rPr>
                    <w:noProof/>
                    <w:webHidden/>
                  </w:rPr>
                  <w:instrText xml:space="preserve"> PAGEREF _Toc214836704 \h </w:instrText>
                </w:r>
                <w:r>
                  <w:rPr>
                    <w:noProof/>
                    <w:webHidden/>
                  </w:rPr>
                </w:r>
                <w:r>
                  <w:rPr>
                    <w:noProof/>
                    <w:webHidden/>
                  </w:rPr>
                  <w:fldChar w:fldCharType="separate"/>
                </w:r>
                <w:r>
                  <w:rPr>
                    <w:noProof/>
                    <w:webHidden/>
                  </w:rPr>
                  <w:t>30</w:t>
                </w:r>
                <w:r>
                  <w:rPr>
                    <w:noProof/>
                    <w:webHidden/>
                  </w:rPr>
                  <w:fldChar w:fldCharType="end"/>
                </w:r>
              </w:hyperlink>
            </w:p>
            <w:p w14:paraId="1EF589EB" w14:textId="4D7DE284" w:rsidR="0016589C" w:rsidRDefault="0016589C">
              <w:pPr>
                <w:pStyle w:val="TOC2"/>
                <w:tabs>
                  <w:tab w:val="right" w:leader="dot" w:pos="9016"/>
                </w:tabs>
                <w:rPr>
                  <w:rFonts w:eastAsiaTheme="minorEastAsia" w:cstheme="minorBidi"/>
                  <w:smallCaps w:val="0"/>
                  <w:noProof/>
                  <w:sz w:val="24"/>
                  <w:szCs w:val="24"/>
                </w:rPr>
              </w:pPr>
              <w:hyperlink w:anchor="_Toc214836705" w:history="1">
                <w:r w:rsidRPr="00F30CF8">
                  <w:rPr>
                    <w:rStyle w:val="Hyperlink"/>
                    <w:rFonts w:eastAsiaTheme="majorEastAsia"/>
                    <w:noProof/>
                  </w:rPr>
                  <w:t>3. Relevance to Research Question</w:t>
                </w:r>
                <w:r>
                  <w:rPr>
                    <w:noProof/>
                    <w:webHidden/>
                  </w:rPr>
                  <w:tab/>
                </w:r>
                <w:r>
                  <w:rPr>
                    <w:noProof/>
                    <w:webHidden/>
                  </w:rPr>
                  <w:fldChar w:fldCharType="begin"/>
                </w:r>
                <w:r>
                  <w:rPr>
                    <w:noProof/>
                    <w:webHidden/>
                  </w:rPr>
                  <w:instrText xml:space="preserve"> PAGEREF _Toc214836705 \h </w:instrText>
                </w:r>
                <w:r>
                  <w:rPr>
                    <w:noProof/>
                    <w:webHidden/>
                  </w:rPr>
                </w:r>
                <w:r>
                  <w:rPr>
                    <w:noProof/>
                    <w:webHidden/>
                  </w:rPr>
                  <w:fldChar w:fldCharType="separate"/>
                </w:r>
                <w:r>
                  <w:rPr>
                    <w:noProof/>
                    <w:webHidden/>
                  </w:rPr>
                  <w:t>31</w:t>
                </w:r>
                <w:r>
                  <w:rPr>
                    <w:noProof/>
                    <w:webHidden/>
                  </w:rPr>
                  <w:fldChar w:fldCharType="end"/>
                </w:r>
              </w:hyperlink>
            </w:p>
            <w:p w14:paraId="4CB8CC9E" w14:textId="58CE96A7" w:rsidR="0016589C" w:rsidRDefault="0016589C">
              <w:pPr>
                <w:pStyle w:val="TOC2"/>
                <w:tabs>
                  <w:tab w:val="right" w:leader="dot" w:pos="9016"/>
                </w:tabs>
                <w:rPr>
                  <w:rFonts w:eastAsiaTheme="minorEastAsia" w:cstheme="minorBidi"/>
                  <w:smallCaps w:val="0"/>
                  <w:noProof/>
                  <w:sz w:val="24"/>
                  <w:szCs w:val="24"/>
                </w:rPr>
              </w:pPr>
              <w:hyperlink w:anchor="_Toc214836706" w:history="1">
                <w:r w:rsidRPr="00F30CF8">
                  <w:rPr>
                    <w:rStyle w:val="Hyperlink"/>
                    <w:rFonts w:eastAsiaTheme="majorEastAsia"/>
                    <w:noProof/>
                  </w:rPr>
                  <w:t>4. Data and Statistics</w:t>
                </w:r>
                <w:r>
                  <w:rPr>
                    <w:noProof/>
                    <w:webHidden/>
                  </w:rPr>
                  <w:tab/>
                </w:r>
                <w:r>
                  <w:rPr>
                    <w:noProof/>
                    <w:webHidden/>
                  </w:rPr>
                  <w:fldChar w:fldCharType="begin"/>
                </w:r>
                <w:r>
                  <w:rPr>
                    <w:noProof/>
                    <w:webHidden/>
                  </w:rPr>
                  <w:instrText xml:space="preserve"> PAGEREF _Toc214836706 \h </w:instrText>
                </w:r>
                <w:r>
                  <w:rPr>
                    <w:noProof/>
                    <w:webHidden/>
                  </w:rPr>
                </w:r>
                <w:r>
                  <w:rPr>
                    <w:noProof/>
                    <w:webHidden/>
                  </w:rPr>
                  <w:fldChar w:fldCharType="separate"/>
                </w:r>
                <w:r>
                  <w:rPr>
                    <w:noProof/>
                    <w:webHidden/>
                  </w:rPr>
                  <w:t>31</w:t>
                </w:r>
                <w:r>
                  <w:rPr>
                    <w:noProof/>
                    <w:webHidden/>
                  </w:rPr>
                  <w:fldChar w:fldCharType="end"/>
                </w:r>
              </w:hyperlink>
            </w:p>
            <w:p w14:paraId="688EB7D7" w14:textId="2AE6F5EF" w:rsidR="0016589C" w:rsidRDefault="0016589C">
              <w:pPr>
                <w:pStyle w:val="TOC2"/>
                <w:tabs>
                  <w:tab w:val="right" w:leader="dot" w:pos="9016"/>
                </w:tabs>
                <w:rPr>
                  <w:rFonts w:eastAsiaTheme="minorEastAsia" w:cstheme="minorBidi"/>
                  <w:smallCaps w:val="0"/>
                  <w:noProof/>
                  <w:sz w:val="24"/>
                  <w:szCs w:val="24"/>
                </w:rPr>
              </w:pPr>
              <w:hyperlink w:anchor="_Toc214836707" w:history="1">
                <w:r w:rsidRPr="00F30CF8">
                  <w:rPr>
                    <w:rStyle w:val="Hyperlink"/>
                    <w:rFonts w:eastAsiaTheme="majorEastAsia"/>
                    <w:noProof/>
                  </w:rPr>
                  <w:t>5. Theories, Policy, and Legislation</w:t>
                </w:r>
                <w:r>
                  <w:rPr>
                    <w:noProof/>
                    <w:webHidden/>
                  </w:rPr>
                  <w:tab/>
                </w:r>
                <w:r>
                  <w:rPr>
                    <w:noProof/>
                    <w:webHidden/>
                  </w:rPr>
                  <w:fldChar w:fldCharType="begin"/>
                </w:r>
                <w:r>
                  <w:rPr>
                    <w:noProof/>
                    <w:webHidden/>
                  </w:rPr>
                  <w:instrText xml:space="preserve"> PAGEREF _Toc214836707 \h </w:instrText>
                </w:r>
                <w:r>
                  <w:rPr>
                    <w:noProof/>
                    <w:webHidden/>
                  </w:rPr>
                </w:r>
                <w:r>
                  <w:rPr>
                    <w:noProof/>
                    <w:webHidden/>
                  </w:rPr>
                  <w:fldChar w:fldCharType="separate"/>
                </w:r>
                <w:r>
                  <w:rPr>
                    <w:noProof/>
                    <w:webHidden/>
                  </w:rPr>
                  <w:t>32</w:t>
                </w:r>
                <w:r>
                  <w:rPr>
                    <w:noProof/>
                    <w:webHidden/>
                  </w:rPr>
                  <w:fldChar w:fldCharType="end"/>
                </w:r>
              </w:hyperlink>
            </w:p>
            <w:p w14:paraId="462FA944" w14:textId="2AD02784" w:rsidR="0016589C" w:rsidRDefault="0016589C">
              <w:pPr>
                <w:pStyle w:val="TOC2"/>
                <w:tabs>
                  <w:tab w:val="right" w:leader="dot" w:pos="9016"/>
                </w:tabs>
                <w:rPr>
                  <w:rFonts w:eastAsiaTheme="minorEastAsia" w:cstheme="minorBidi"/>
                  <w:smallCaps w:val="0"/>
                  <w:noProof/>
                  <w:sz w:val="24"/>
                  <w:szCs w:val="24"/>
                </w:rPr>
              </w:pPr>
              <w:hyperlink w:anchor="_Toc214836708" w:history="1">
                <w:r w:rsidRPr="00F30CF8">
                  <w:rPr>
                    <w:rStyle w:val="Hyperlink"/>
                    <w:rFonts w:eastAsiaTheme="majorEastAsia"/>
                    <w:noProof/>
                  </w:rPr>
                  <w:t>6. Examples from Articles</w:t>
                </w:r>
                <w:r>
                  <w:rPr>
                    <w:noProof/>
                    <w:webHidden/>
                  </w:rPr>
                  <w:tab/>
                </w:r>
                <w:r>
                  <w:rPr>
                    <w:noProof/>
                    <w:webHidden/>
                  </w:rPr>
                  <w:fldChar w:fldCharType="begin"/>
                </w:r>
                <w:r>
                  <w:rPr>
                    <w:noProof/>
                    <w:webHidden/>
                  </w:rPr>
                  <w:instrText xml:space="preserve"> PAGEREF _Toc214836708 \h </w:instrText>
                </w:r>
                <w:r>
                  <w:rPr>
                    <w:noProof/>
                    <w:webHidden/>
                  </w:rPr>
                </w:r>
                <w:r>
                  <w:rPr>
                    <w:noProof/>
                    <w:webHidden/>
                  </w:rPr>
                  <w:fldChar w:fldCharType="separate"/>
                </w:r>
                <w:r>
                  <w:rPr>
                    <w:noProof/>
                    <w:webHidden/>
                  </w:rPr>
                  <w:t>32</w:t>
                </w:r>
                <w:r>
                  <w:rPr>
                    <w:noProof/>
                    <w:webHidden/>
                  </w:rPr>
                  <w:fldChar w:fldCharType="end"/>
                </w:r>
              </w:hyperlink>
            </w:p>
            <w:p w14:paraId="2D7D80B4" w14:textId="1D116FF1" w:rsidR="0016589C" w:rsidRDefault="0016589C">
              <w:pPr>
                <w:pStyle w:val="TOC2"/>
                <w:tabs>
                  <w:tab w:val="right" w:leader="dot" w:pos="9016"/>
                </w:tabs>
                <w:rPr>
                  <w:rFonts w:eastAsiaTheme="minorEastAsia" w:cstheme="minorBidi"/>
                  <w:smallCaps w:val="0"/>
                  <w:noProof/>
                  <w:sz w:val="24"/>
                  <w:szCs w:val="24"/>
                </w:rPr>
              </w:pPr>
              <w:hyperlink w:anchor="_Toc214836709" w:history="1">
                <w:r w:rsidRPr="00F30CF8">
                  <w:rPr>
                    <w:rStyle w:val="Hyperlink"/>
                    <w:rFonts w:eastAsiaTheme="majorEastAsia"/>
                    <w:noProof/>
                  </w:rPr>
                  <w:t>7. Connections to Other Themes</w:t>
                </w:r>
                <w:r>
                  <w:rPr>
                    <w:noProof/>
                    <w:webHidden/>
                  </w:rPr>
                  <w:tab/>
                </w:r>
                <w:r>
                  <w:rPr>
                    <w:noProof/>
                    <w:webHidden/>
                  </w:rPr>
                  <w:fldChar w:fldCharType="begin"/>
                </w:r>
                <w:r>
                  <w:rPr>
                    <w:noProof/>
                    <w:webHidden/>
                  </w:rPr>
                  <w:instrText xml:space="preserve"> PAGEREF _Toc214836709 \h </w:instrText>
                </w:r>
                <w:r>
                  <w:rPr>
                    <w:noProof/>
                    <w:webHidden/>
                  </w:rPr>
                </w:r>
                <w:r>
                  <w:rPr>
                    <w:noProof/>
                    <w:webHidden/>
                  </w:rPr>
                  <w:fldChar w:fldCharType="separate"/>
                </w:r>
                <w:r>
                  <w:rPr>
                    <w:noProof/>
                    <w:webHidden/>
                  </w:rPr>
                  <w:t>32</w:t>
                </w:r>
                <w:r>
                  <w:rPr>
                    <w:noProof/>
                    <w:webHidden/>
                  </w:rPr>
                  <w:fldChar w:fldCharType="end"/>
                </w:r>
              </w:hyperlink>
            </w:p>
            <w:p w14:paraId="42BF3B8D" w14:textId="106BDD8F" w:rsidR="0016589C" w:rsidRDefault="0016589C">
              <w:pPr>
                <w:pStyle w:val="TOC1"/>
                <w:tabs>
                  <w:tab w:val="right" w:leader="dot" w:pos="9016"/>
                </w:tabs>
                <w:rPr>
                  <w:rFonts w:eastAsiaTheme="minorEastAsia" w:cstheme="minorBidi"/>
                  <w:b w:val="0"/>
                  <w:bCs w:val="0"/>
                  <w:caps w:val="0"/>
                  <w:noProof/>
                  <w:sz w:val="24"/>
                  <w:szCs w:val="24"/>
                </w:rPr>
              </w:pPr>
              <w:hyperlink w:anchor="_Toc214836710" w:history="1">
                <w:r w:rsidRPr="00F30CF8">
                  <w:rPr>
                    <w:rStyle w:val="Hyperlink"/>
                    <w:rFonts w:eastAsiaTheme="majorEastAsia"/>
                    <w:noProof/>
                  </w:rPr>
                  <w:t>4.5 Theme 4: The Role of Policy, Legislation, and Social Determinants</w:t>
                </w:r>
                <w:r>
                  <w:rPr>
                    <w:noProof/>
                    <w:webHidden/>
                  </w:rPr>
                  <w:tab/>
                </w:r>
                <w:r>
                  <w:rPr>
                    <w:noProof/>
                    <w:webHidden/>
                  </w:rPr>
                  <w:fldChar w:fldCharType="begin"/>
                </w:r>
                <w:r>
                  <w:rPr>
                    <w:noProof/>
                    <w:webHidden/>
                  </w:rPr>
                  <w:instrText xml:space="preserve"> PAGEREF _Toc214836710 \h </w:instrText>
                </w:r>
                <w:r>
                  <w:rPr>
                    <w:noProof/>
                    <w:webHidden/>
                  </w:rPr>
                </w:r>
                <w:r>
                  <w:rPr>
                    <w:noProof/>
                    <w:webHidden/>
                  </w:rPr>
                  <w:fldChar w:fldCharType="separate"/>
                </w:r>
                <w:r>
                  <w:rPr>
                    <w:noProof/>
                    <w:webHidden/>
                  </w:rPr>
                  <w:t>33</w:t>
                </w:r>
                <w:r>
                  <w:rPr>
                    <w:noProof/>
                    <w:webHidden/>
                  </w:rPr>
                  <w:fldChar w:fldCharType="end"/>
                </w:r>
              </w:hyperlink>
            </w:p>
            <w:p w14:paraId="3D5C78F9" w14:textId="5EE4B44A" w:rsidR="0016589C" w:rsidRDefault="0016589C">
              <w:pPr>
                <w:pStyle w:val="TOC2"/>
                <w:tabs>
                  <w:tab w:val="right" w:leader="dot" w:pos="9016"/>
                </w:tabs>
                <w:rPr>
                  <w:rFonts w:eastAsiaTheme="minorEastAsia" w:cstheme="minorBidi"/>
                  <w:smallCaps w:val="0"/>
                  <w:noProof/>
                  <w:sz w:val="24"/>
                  <w:szCs w:val="24"/>
                </w:rPr>
              </w:pPr>
              <w:hyperlink w:anchor="_Toc214836711" w:history="1">
                <w:r w:rsidRPr="00F30CF8">
                  <w:rPr>
                    <w:rStyle w:val="Hyperlink"/>
                    <w:rFonts w:eastAsiaTheme="majorEastAsia"/>
                    <w:noProof/>
                  </w:rPr>
                  <w:t>1. Definition and Scope</w:t>
                </w:r>
                <w:r>
                  <w:rPr>
                    <w:noProof/>
                    <w:webHidden/>
                  </w:rPr>
                  <w:tab/>
                </w:r>
                <w:r>
                  <w:rPr>
                    <w:noProof/>
                    <w:webHidden/>
                  </w:rPr>
                  <w:fldChar w:fldCharType="begin"/>
                </w:r>
                <w:r>
                  <w:rPr>
                    <w:noProof/>
                    <w:webHidden/>
                  </w:rPr>
                  <w:instrText xml:space="preserve"> PAGEREF _Toc214836711 \h </w:instrText>
                </w:r>
                <w:r>
                  <w:rPr>
                    <w:noProof/>
                    <w:webHidden/>
                  </w:rPr>
                </w:r>
                <w:r>
                  <w:rPr>
                    <w:noProof/>
                    <w:webHidden/>
                  </w:rPr>
                  <w:fldChar w:fldCharType="separate"/>
                </w:r>
                <w:r>
                  <w:rPr>
                    <w:noProof/>
                    <w:webHidden/>
                  </w:rPr>
                  <w:t>33</w:t>
                </w:r>
                <w:r>
                  <w:rPr>
                    <w:noProof/>
                    <w:webHidden/>
                  </w:rPr>
                  <w:fldChar w:fldCharType="end"/>
                </w:r>
              </w:hyperlink>
            </w:p>
            <w:p w14:paraId="1F99BFC0" w14:textId="3564B109" w:rsidR="0016589C" w:rsidRDefault="0016589C">
              <w:pPr>
                <w:pStyle w:val="TOC2"/>
                <w:tabs>
                  <w:tab w:val="right" w:leader="dot" w:pos="9016"/>
                </w:tabs>
                <w:rPr>
                  <w:rFonts w:eastAsiaTheme="minorEastAsia" w:cstheme="minorBidi"/>
                  <w:smallCaps w:val="0"/>
                  <w:noProof/>
                  <w:sz w:val="24"/>
                  <w:szCs w:val="24"/>
                </w:rPr>
              </w:pPr>
              <w:hyperlink w:anchor="_Toc214836712" w:history="1">
                <w:r w:rsidRPr="00F30CF8">
                  <w:rPr>
                    <w:rStyle w:val="Hyperlink"/>
                    <w:rFonts w:eastAsiaTheme="majorEastAsia"/>
                    <w:noProof/>
                  </w:rPr>
                  <w:t>2. Background</w:t>
                </w:r>
                <w:r>
                  <w:rPr>
                    <w:noProof/>
                    <w:webHidden/>
                  </w:rPr>
                  <w:tab/>
                </w:r>
                <w:r>
                  <w:rPr>
                    <w:noProof/>
                    <w:webHidden/>
                  </w:rPr>
                  <w:fldChar w:fldCharType="begin"/>
                </w:r>
                <w:r>
                  <w:rPr>
                    <w:noProof/>
                    <w:webHidden/>
                  </w:rPr>
                  <w:instrText xml:space="preserve"> PAGEREF _Toc214836712 \h </w:instrText>
                </w:r>
                <w:r>
                  <w:rPr>
                    <w:noProof/>
                    <w:webHidden/>
                  </w:rPr>
                </w:r>
                <w:r>
                  <w:rPr>
                    <w:noProof/>
                    <w:webHidden/>
                  </w:rPr>
                  <w:fldChar w:fldCharType="separate"/>
                </w:r>
                <w:r>
                  <w:rPr>
                    <w:noProof/>
                    <w:webHidden/>
                  </w:rPr>
                  <w:t>33</w:t>
                </w:r>
                <w:r>
                  <w:rPr>
                    <w:noProof/>
                    <w:webHidden/>
                  </w:rPr>
                  <w:fldChar w:fldCharType="end"/>
                </w:r>
              </w:hyperlink>
            </w:p>
            <w:p w14:paraId="685DF3AD" w14:textId="578EF12B" w:rsidR="0016589C" w:rsidRDefault="0016589C">
              <w:pPr>
                <w:pStyle w:val="TOC2"/>
                <w:tabs>
                  <w:tab w:val="right" w:leader="dot" w:pos="9016"/>
                </w:tabs>
                <w:rPr>
                  <w:rFonts w:eastAsiaTheme="minorEastAsia" w:cstheme="minorBidi"/>
                  <w:smallCaps w:val="0"/>
                  <w:noProof/>
                  <w:sz w:val="24"/>
                  <w:szCs w:val="24"/>
                </w:rPr>
              </w:pPr>
              <w:hyperlink w:anchor="_Toc214836713" w:history="1">
                <w:r w:rsidRPr="00F30CF8">
                  <w:rPr>
                    <w:rStyle w:val="Hyperlink"/>
                    <w:rFonts w:eastAsiaTheme="majorEastAsia"/>
                    <w:noProof/>
                  </w:rPr>
                  <w:t>3. Relevance to Research Question</w:t>
                </w:r>
                <w:r>
                  <w:rPr>
                    <w:noProof/>
                    <w:webHidden/>
                  </w:rPr>
                  <w:tab/>
                </w:r>
                <w:r>
                  <w:rPr>
                    <w:noProof/>
                    <w:webHidden/>
                  </w:rPr>
                  <w:fldChar w:fldCharType="begin"/>
                </w:r>
                <w:r>
                  <w:rPr>
                    <w:noProof/>
                    <w:webHidden/>
                  </w:rPr>
                  <w:instrText xml:space="preserve"> PAGEREF _Toc214836713 \h </w:instrText>
                </w:r>
                <w:r>
                  <w:rPr>
                    <w:noProof/>
                    <w:webHidden/>
                  </w:rPr>
                </w:r>
                <w:r>
                  <w:rPr>
                    <w:noProof/>
                    <w:webHidden/>
                  </w:rPr>
                  <w:fldChar w:fldCharType="separate"/>
                </w:r>
                <w:r>
                  <w:rPr>
                    <w:noProof/>
                    <w:webHidden/>
                  </w:rPr>
                  <w:t>34</w:t>
                </w:r>
                <w:r>
                  <w:rPr>
                    <w:noProof/>
                    <w:webHidden/>
                  </w:rPr>
                  <w:fldChar w:fldCharType="end"/>
                </w:r>
              </w:hyperlink>
            </w:p>
            <w:p w14:paraId="775A2643" w14:textId="5C208A7E" w:rsidR="0016589C" w:rsidRDefault="0016589C">
              <w:pPr>
                <w:pStyle w:val="TOC2"/>
                <w:tabs>
                  <w:tab w:val="right" w:leader="dot" w:pos="9016"/>
                </w:tabs>
                <w:rPr>
                  <w:rFonts w:eastAsiaTheme="minorEastAsia" w:cstheme="minorBidi"/>
                  <w:smallCaps w:val="0"/>
                  <w:noProof/>
                  <w:sz w:val="24"/>
                  <w:szCs w:val="24"/>
                </w:rPr>
              </w:pPr>
              <w:hyperlink w:anchor="_Toc214836714" w:history="1">
                <w:r w:rsidRPr="00F30CF8">
                  <w:rPr>
                    <w:rStyle w:val="Hyperlink"/>
                    <w:rFonts w:eastAsiaTheme="majorEastAsia"/>
                    <w:noProof/>
                  </w:rPr>
                  <w:t>4. Theories, Policy, and Legislation</w:t>
                </w:r>
                <w:r>
                  <w:rPr>
                    <w:noProof/>
                    <w:webHidden/>
                  </w:rPr>
                  <w:tab/>
                </w:r>
                <w:r>
                  <w:rPr>
                    <w:noProof/>
                    <w:webHidden/>
                  </w:rPr>
                  <w:fldChar w:fldCharType="begin"/>
                </w:r>
                <w:r>
                  <w:rPr>
                    <w:noProof/>
                    <w:webHidden/>
                  </w:rPr>
                  <w:instrText xml:space="preserve"> PAGEREF _Toc214836714 \h </w:instrText>
                </w:r>
                <w:r>
                  <w:rPr>
                    <w:noProof/>
                    <w:webHidden/>
                  </w:rPr>
                </w:r>
                <w:r>
                  <w:rPr>
                    <w:noProof/>
                    <w:webHidden/>
                  </w:rPr>
                  <w:fldChar w:fldCharType="separate"/>
                </w:r>
                <w:r>
                  <w:rPr>
                    <w:noProof/>
                    <w:webHidden/>
                  </w:rPr>
                  <w:t>34</w:t>
                </w:r>
                <w:r>
                  <w:rPr>
                    <w:noProof/>
                    <w:webHidden/>
                  </w:rPr>
                  <w:fldChar w:fldCharType="end"/>
                </w:r>
              </w:hyperlink>
            </w:p>
            <w:p w14:paraId="587AC030" w14:textId="4839A7EF" w:rsidR="0016589C" w:rsidRDefault="0016589C">
              <w:pPr>
                <w:pStyle w:val="TOC2"/>
                <w:tabs>
                  <w:tab w:val="right" w:leader="dot" w:pos="9016"/>
                </w:tabs>
                <w:rPr>
                  <w:rFonts w:eastAsiaTheme="minorEastAsia" w:cstheme="minorBidi"/>
                  <w:smallCaps w:val="0"/>
                  <w:noProof/>
                  <w:sz w:val="24"/>
                  <w:szCs w:val="24"/>
                </w:rPr>
              </w:pPr>
              <w:hyperlink w:anchor="_Toc214836715" w:history="1">
                <w:r w:rsidRPr="00F30CF8">
                  <w:rPr>
                    <w:rStyle w:val="Hyperlink"/>
                    <w:rFonts w:eastAsiaTheme="majorEastAsia"/>
                    <w:noProof/>
                  </w:rPr>
                  <w:t>5. Examples from Articles</w:t>
                </w:r>
                <w:r>
                  <w:rPr>
                    <w:noProof/>
                    <w:webHidden/>
                  </w:rPr>
                  <w:tab/>
                </w:r>
                <w:r>
                  <w:rPr>
                    <w:noProof/>
                    <w:webHidden/>
                  </w:rPr>
                  <w:fldChar w:fldCharType="begin"/>
                </w:r>
                <w:r>
                  <w:rPr>
                    <w:noProof/>
                    <w:webHidden/>
                  </w:rPr>
                  <w:instrText xml:space="preserve"> PAGEREF _Toc214836715 \h </w:instrText>
                </w:r>
                <w:r>
                  <w:rPr>
                    <w:noProof/>
                    <w:webHidden/>
                  </w:rPr>
                </w:r>
                <w:r>
                  <w:rPr>
                    <w:noProof/>
                    <w:webHidden/>
                  </w:rPr>
                  <w:fldChar w:fldCharType="separate"/>
                </w:r>
                <w:r>
                  <w:rPr>
                    <w:noProof/>
                    <w:webHidden/>
                  </w:rPr>
                  <w:t>35</w:t>
                </w:r>
                <w:r>
                  <w:rPr>
                    <w:noProof/>
                    <w:webHidden/>
                  </w:rPr>
                  <w:fldChar w:fldCharType="end"/>
                </w:r>
              </w:hyperlink>
            </w:p>
            <w:p w14:paraId="782BE858" w14:textId="25498B91" w:rsidR="0016589C" w:rsidRDefault="0016589C">
              <w:pPr>
                <w:pStyle w:val="TOC2"/>
                <w:tabs>
                  <w:tab w:val="right" w:leader="dot" w:pos="9016"/>
                </w:tabs>
                <w:rPr>
                  <w:rFonts w:eastAsiaTheme="minorEastAsia" w:cstheme="minorBidi"/>
                  <w:smallCaps w:val="0"/>
                  <w:noProof/>
                  <w:sz w:val="24"/>
                  <w:szCs w:val="24"/>
                </w:rPr>
              </w:pPr>
              <w:hyperlink w:anchor="_Toc214836716" w:history="1">
                <w:r w:rsidRPr="00F30CF8">
                  <w:rPr>
                    <w:rStyle w:val="Hyperlink"/>
                    <w:rFonts w:eastAsiaTheme="majorEastAsia"/>
                    <w:noProof/>
                  </w:rPr>
                  <w:t>6. Connections to Other Themes</w:t>
                </w:r>
                <w:r>
                  <w:rPr>
                    <w:noProof/>
                    <w:webHidden/>
                  </w:rPr>
                  <w:tab/>
                </w:r>
                <w:r>
                  <w:rPr>
                    <w:noProof/>
                    <w:webHidden/>
                  </w:rPr>
                  <w:fldChar w:fldCharType="begin"/>
                </w:r>
                <w:r>
                  <w:rPr>
                    <w:noProof/>
                    <w:webHidden/>
                  </w:rPr>
                  <w:instrText xml:space="preserve"> PAGEREF _Toc214836716 \h </w:instrText>
                </w:r>
                <w:r>
                  <w:rPr>
                    <w:noProof/>
                    <w:webHidden/>
                  </w:rPr>
                </w:r>
                <w:r>
                  <w:rPr>
                    <w:noProof/>
                    <w:webHidden/>
                  </w:rPr>
                  <w:fldChar w:fldCharType="separate"/>
                </w:r>
                <w:r>
                  <w:rPr>
                    <w:noProof/>
                    <w:webHidden/>
                  </w:rPr>
                  <w:t>35</w:t>
                </w:r>
                <w:r>
                  <w:rPr>
                    <w:noProof/>
                    <w:webHidden/>
                  </w:rPr>
                  <w:fldChar w:fldCharType="end"/>
                </w:r>
              </w:hyperlink>
            </w:p>
            <w:p w14:paraId="477D8249" w14:textId="35B2DF14" w:rsidR="0016589C" w:rsidRDefault="0016589C">
              <w:pPr>
                <w:pStyle w:val="TOC1"/>
                <w:tabs>
                  <w:tab w:val="right" w:leader="dot" w:pos="9016"/>
                </w:tabs>
                <w:rPr>
                  <w:rFonts w:eastAsiaTheme="minorEastAsia" w:cstheme="minorBidi"/>
                  <w:b w:val="0"/>
                  <w:bCs w:val="0"/>
                  <w:caps w:val="0"/>
                  <w:noProof/>
                  <w:sz w:val="24"/>
                  <w:szCs w:val="24"/>
                </w:rPr>
              </w:pPr>
              <w:hyperlink w:anchor="_Toc214836717" w:history="1">
                <w:r w:rsidRPr="00F30CF8">
                  <w:rPr>
                    <w:rStyle w:val="Hyperlink"/>
                    <w:rFonts w:eastAsiaTheme="majorEastAsia"/>
                    <w:noProof/>
                  </w:rPr>
                  <w:t>4.6 Theme 5: The Impact of COVID-19 on Substance Misuse and Mental Health Inequalities</w:t>
                </w:r>
                <w:r>
                  <w:rPr>
                    <w:noProof/>
                    <w:webHidden/>
                  </w:rPr>
                  <w:tab/>
                </w:r>
                <w:r>
                  <w:rPr>
                    <w:noProof/>
                    <w:webHidden/>
                  </w:rPr>
                  <w:fldChar w:fldCharType="begin"/>
                </w:r>
                <w:r>
                  <w:rPr>
                    <w:noProof/>
                    <w:webHidden/>
                  </w:rPr>
                  <w:instrText xml:space="preserve"> PAGEREF _Toc214836717 \h </w:instrText>
                </w:r>
                <w:r>
                  <w:rPr>
                    <w:noProof/>
                    <w:webHidden/>
                  </w:rPr>
                </w:r>
                <w:r>
                  <w:rPr>
                    <w:noProof/>
                    <w:webHidden/>
                  </w:rPr>
                  <w:fldChar w:fldCharType="separate"/>
                </w:r>
                <w:r>
                  <w:rPr>
                    <w:noProof/>
                    <w:webHidden/>
                  </w:rPr>
                  <w:t>35</w:t>
                </w:r>
                <w:r>
                  <w:rPr>
                    <w:noProof/>
                    <w:webHidden/>
                  </w:rPr>
                  <w:fldChar w:fldCharType="end"/>
                </w:r>
              </w:hyperlink>
            </w:p>
            <w:p w14:paraId="34FC1059" w14:textId="065AFDA8" w:rsidR="0016589C" w:rsidRDefault="0016589C">
              <w:pPr>
                <w:pStyle w:val="TOC2"/>
                <w:tabs>
                  <w:tab w:val="right" w:leader="dot" w:pos="9016"/>
                </w:tabs>
                <w:rPr>
                  <w:rFonts w:eastAsiaTheme="minorEastAsia" w:cstheme="minorBidi"/>
                  <w:smallCaps w:val="0"/>
                  <w:noProof/>
                  <w:sz w:val="24"/>
                  <w:szCs w:val="24"/>
                </w:rPr>
              </w:pPr>
              <w:hyperlink w:anchor="_Toc214836718" w:history="1">
                <w:r w:rsidRPr="00F30CF8">
                  <w:rPr>
                    <w:rStyle w:val="Hyperlink"/>
                    <w:rFonts w:eastAsiaTheme="majorEastAsia"/>
                    <w:noProof/>
                  </w:rPr>
                  <w:t>1. Definition and Scope</w:t>
                </w:r>
                <w:r>
                  <w:rPr>
                    <w:noProof/>
                    <w:webHidden/>
                  </w:rPr>
                  <w:tab/>
                </w:r>
                <w:r>
                  <w:rPr>
                    <w:noProof/>
                    <w:webHidden/>
                  </w:rPr>
                  <w:fldChar w:fldCharType="begin"/>
                </w:r>
                <w:r>
                  <w:rPr>
                    <w:noProof/>
                    <w:webHidden/>
                  </w:rPr>
                  <w:instrText xml:space="preserve"> PAGEREF _Toc214836718 \h </w:instrText>
                </w:r>
                <w:r>
                  <w:rPr>
                    <w:noProof/>
                    <w:webHidden/>
                  </w:rPr>
                </w:r>
                <w:r>
                  <w:rPr>
                    <w:noProof/>
                    <w:webHidden/>
                  </w:rPr>
                  <w:fldChar w:fldCharType="separate"/>
                </w:r>
                <w:r>
                  <w:rPr>
                    <w:noProof/>
                    <w:webHidden/>
                  </w:rPr>
                  <w:t>35</w:t>
                </w:r>
                <w:r>
                  <w:rPr>
                    <w:noProof/>
                    <w:webHidden/>
                  </w:rPr>
                  <w:fldChar w:fldCharType="end"/>
                </w:r>
              </w:hyperlink>
            </w:p>
            <w:p w14:paraId="450BFA67" w14:textId="54FBD77D" w:rsidR="0016589C" w:rsidRDefault="0016589C">
              <w:pPr>
                <w:pStyle w:val="TOC2"/>
                <w:tabs>
                  <w:tab w:val="right" w:leader="dot" w:pos="9016"/>
                </w:tabs>
                <w:rPr>
                  <w:rFonts w:eastAsiaTheme="minorEastAsia" w:cstheme="minorBidi"/>
                  <w:smallCaps w:val="0"/>
                  <w:noProof/>
                  <w:sz w:val="24"/>
                  <w:szCs w:val="24"/>
                </w:rPr>
              </w:pPr>
              <w:hyperlink w:anchor="_Toc214836719" w:history="1">
                <w:r w:rsidRPr="00F30CF8">
                  <w:rPr>
                    <w:rStyle w:val="Hyperlink"/>
                    <w:rFonts w:eastAsiaTheme="majorEastAsia"/>
                    <w:noProof/>
                  </w:rPr>
                  <w:t>2. Background Information</w:t>
                </w:r>
                <w:r>
                  <w:rPr>
                    <w:noProof/>
                    <w:webHidden/>
                  </w:rPr>
                  <w:tab/>
                </w:r>
                <w:r>
                  <w:rPr>
                    <w:noProof/>
                    <w:webHidden/>
                  </w:rPr>
                  <w:fldChar w:fldCharType="begin"/>
                </w:r>
                <w:r>
                  <w:rPr>
                    <w:noProof/>
                    <w:webHidden/>
                  </w:rPr>
                  <w:instrText xml:space="preserve"> PAGEREF _Toc214836719 \h </w:instrText>
                </w:r>
                <w:r>
                  <w:rPr>
                    <w:noProof/>
                    <w:webHidden/>
                  </w:rPr>
                </w:r>
                <w:r>
                  <w:rPr>
                    <w:noProof/>
                    <w:webHidden/>
                  </w:rPr>
                  <w:fldChar w:fldCharType="separate"/>
                </w:r>
                <w:r>
                  <w:rPr>
                    <w:noProof/>
                    <w:webHidden/>
                  </w:rPr>
                  <w:t>36</w:t>
                </w:r>
                <w:r>
                  <w:rPr>
                    <w:noProof/>
                    <w:webHidden/>
                  </w:rPr>
                  <w:fldChar w:fldCharType="end"/>
                </w:r>
              </w:hyperlink>
            </w:p>
            <w:p w14:paraId="7792139C" w14:textId="6A4FCE0F" w:rsidR="0016589C" w:rsidRDefault="0016589C">
              <w:pPr>
                <w:pStyle w:val="TOC2"/>
                <w:tabs>
                  <w:tab w:val="right" w:leader="dot" w:pos="9016"/>
                </w:tabs>
                <w:rPr>
                  <w:rFonts w:eastAsiaTheme="minorEastAsia" w:cstheme="minorBidi"/>
                  <w:smallCaps w:val="0"/>
                  <w:noProof/>
                  <w:sz w:val="24"/>
                  <w:szCs w:val="24"/>
                </w:rPr>
              </w:pPr>
              <w:hyperlink w:anchor="_Toc214836720" w:history="1">
                <w:r w:rsidRPr="00F30CF8">
                  <w:rPr>
                    <w:rStyle w:val="Hyperlink"/>
                    <w:rFonts w:eastAsiaTheme="majorEastAsia"/>
                    <w:noProof/>
                  </w:rPr>
                  <w:t>3. Relevance to Research Question</w:t>
                </w:r>
                <w:r>
                  <w:rPr>
                    <w:noProof/>
                    <w:webHidden/>
                  </w:rPr>
                  <w:tab/>
                </w:r>
                <w:r>
                  <w:rPr>
                    <w:noProof/>
                    <w:webHidden/>
                  </w:rPr>
                  <w:fldChar w:fldCharType="begin"/>
                </w:r>
                <w:r>
                  <w:rPr>
                    <w:noProof/>
                    <w:webHidden/>
                  </w:rPr>
                  <w:instrText xml:space="preserve"> PAGEREF _Toc214836720 \h </w:instrText>
                </w:r>
                <w:r>
                  <w:rPr>
                    <w:noProof/>
                    <w:webHidden/>
                  </w:rPr>
                </w:r>
                <w:r>
                  <w:rPr>
                    <w:noProof/>
                    <w:webHidden/>
                  </w:rPr>
                  <w:fldChar w:fldCharType="separate"/>
                </w:r>
                <w:r>
                  <w:rPr>
                    <w:noProof/>
                    <w:webHidden/>
                  </w:rPr>
                  <w:t>36</w:t>
                </w:r>
                <w:r>
                  <w:rPr>
                    <w:noProof/>
                    <w:webHidden/>
                  </w:rPr>
                  <w:fldChar w:fldCharType="end"/>
                </w:r>
              </w:hyperlink>
            </w:p>
            <w:p w14:paraId="3A0751D7" w14:textId="7EBCB16A" w:rsidR="0016589C" w:rsidRDefault="0016589C">
              <w:pPr>
                <w:pStyle w:val="TOC2"/>
                <w:tabs>
                  <w:tab w:val="right" w:leader="dot" w:pos="9016"/>
                </w:tabs>
                <w:rPr>
                  <w:rFonts w:eastAsiaTheme="minorEastAsia" w:cstheme="minorBidi"/>
                  <w:smallCaps w:val="0"/>
                  <w:noProof/>
                  <w:sz w:val="24"/>
                  <w:szCs w:val="24"/>
                </w:rPr>
              </w:pPr>
              <w:hyperlink w:anchor="_Toc214836721" w:history="1">
                <w:r w:rsidRPr="00F30CF8">
                  <w:rPr>
                    <w:rStyle w:val="Hyperlink"/>
                    <w:rFonts w:eastAsiaTheme="majorEastAsia"/>
                    <w:noProof/>
                  </w:rPr>
                  <w:t>4. Data and Statistics</w:t>
                </w:r>
                <w:r>
                  <w:rPr>
                    <w:noProof/>
                    <w:webHidden/>
                  </w:rPr>
                  <w:tab/>
                </w:r>
                <w:r>
                  <w:rPr>
                    <w:noProof/>
                    <w:webHidden/>
                  </w:rPr>
                  <w:fldChar w:fldCharType="begin"/>
                </w:r>
                <w:r>
                  <w:rPr>
                    <w:noProof/>
                    <w:webHidden/>
                  </w:rPr>
                  <w:instrText xml:space="preserve"> PAGEREF _Toc214836721 \h </w:instrText>
                </w:r>
                <w:r>
                  <w:rPr>
                    <w:noProof/>
                    <w:webHidden/>
                  </w:rPr>
                </w:r>
                <w:r>
                  <w:rPr>
                    <w:noProof/>
                    <w:webHidden/>
                  </w:rPr>
                  <w:fldChar w:fldCharType="separate"/>
                </w:r>
                <w:r>
                  <w:rPr>
                    <w:noProof/>
                    <w:webHidden/>
                  </w:rPr>
                  <w:t>37</w:t>
                </w:r>
                <w:r>
                  <w:rPr>
                    <w:noProof/>
                    <w:webHidden/>
                  </w:rPr>
                  <w:fldChar w:fldCharType="end"/>
                </w:r>
              </w:hyperlink>
            </w:p>
            <w:p w14:paraId="45DB7CD9" w14:textId="6BFE36FD" w:rsidR="0016589C" w:rsidRDefault="0016589C">
              <w:pPr>
                <w:pStyle w:val="TOC2"/>
                <w:tabs>
                  <w:tab w:val="right" w:leader="dot" w:pos="9016"/>
                </w:tabs>
                <w:rPr>
                  <w:rFonts w:eastAsiaTheme="minorEastAsia" w:cstheme="minorBidi"/>
                  <w:smallCaps w:val="0"/>
                  <w:noProof/>
                  <w:sz w:val="24"/>
                  <w:szCs w:val="24"/>
                </w:rPr>
              </w:pPr>
              <w:hyperlink w:anchor="_Toc214836722" w:history="1">
                <w:r w:rsidRPr="00F30CF8">
                  <w:rPr>
                    <w:rStyle w:val="Hyperlink"/>
                    <w:rFonts w:eastAsiaTheme="majorEastAsia"/>
                    <w:noProof/>
                  </w:rPr>
                  <w:t>5. Theories, Policy, and Legislation</w:t>
                </w:r>
                <w:r>
                  <w:rPr>
                    <w:noProof/>
                    <w:webHidden/>
                  </w:rPr>
                  <w:tab/>
                </w:r>
                <w:r>
                  <w:rPr>
                    <w:noProof/>
                    <w:webHidden/>
                  </w:rPr>
                  <w:fldChar w:fldCharType="begin"/>
                </w:r>
                <w:r>
                  <w:rPr>
                    <w:noProof/>
                    <w:webHidden/>
                  </w:rPr>
                  <w:instrText xml:space="preserve"> PAGEREF _Toc214836722 \h </w:instrText>
                </w:r>
                <w:r>
                  <w:rPr>
                    <w:noProof/>
                    <w:webHidden/>
                  </w:rPr>
                </w:r>
                <w:r>
                  <w:rPr>
                    <w:noProof/>
                    <w:webHidden/>
                  </w:rPr>
                  <w:fldChar w:fldCharType="separate"/>
                </w:r>
                <w:r>
                  <w:rPr>
                    <w:noProof/>
                    <w:webHidden/>
                  </w:rPr>
                  <w:t>37</w:t>
                </w:r>
                <w:r>
                  <w:rPr>
                    <w:noProof/>
                    <w:webHidden/>
                  </w:rPr>
                  <w:fldChar w:fldCharType="end"/>
                </w:r>
              </w:hyperlink>
            </w:p>
            <w:p w14:paraId="10515F36" w14:textId="5CA21299" w:rsidR="0016589C" w:rsidRDefault="0016589C">
              <w:pPr>
                <w:pStyle w:val="TOC2"/>
                <w:tabs>
                  <w:tab w:val="right" w:leader="dot" w:pos="9016"/>
                </w:tabs>
                <w:rPr>
                  <w:rFonts w:eastAsiaTheme="minorEastAsia" w:cstheme="minorBidi"/>
                  <w:smallCaps w:val="0"/>
                  <w:noProof/>
                  <w:sz w:val="24"/>
                  <w:szCs w:val="24"/>
                </w:rPr>
              </w:pPr>
              <w:hyperlink w:anchor="_Toc214836723" w:history="1">
                <w:r w:rsidRPr="00F30CF8">
                  <w:rPr>
                    <w:rStyle w:val="Hyperlink"/>
                    <w:rFonts w:eastAsiaTheme="majorEastAsia"/>
                    <w:noProof/>
                  </w:rPr>
                  <w:t>6. Examples from Articles</w:t>
                </w:r>
                <w:r>
                  <w:rPr>
                    <w:noProof/>
                    <w:webHidden/>
                  </w:rPr>
                  <w:tab/>
                </w:r>
                <w:r>
                  <w:rPr>
                    <w:noProof/>
                    <w:webHidden/>
                  </w:rPr>
                  <w:fldChar w:fldCharType="begin"/>
                </w:r>
                <w:r>
                  <w:rPr>
                    <w:noProof/>
                    <w:webHidden/>
                  </w:rPr>
                  <w:instrText xml:space="preserve"> PAGEREF _Toc214836723 \h </w:instrText>
                </w:r>
                <w:r>
                  <w:rPr>
                    <w:noProof/>
                    <w:webHidden/>
                  </w:rPr>
                </w:r>
                <w:r>
                  <w:rPr>
                    <w:noProof/>
                    <w:webHidden/>
                  </w:rPr>
                  <w:fldChar w:fldCharType="separate"/>
                </w:r>
                <w:r>
                  <w:rPr>
                    <w:noProof/>
                    <w:webHidden/>
                  </w:rPr>
                  <w:t>38</w:t>
                </w:r>
                <w:r>
                  <w:rPr>
                    <w:noProof/>
                    <w:webHidden/>
                  </w:rPr>
                  <w:fldChar w:fldCharType="end"/>
                </w:r>
              </w:hyperlink>
            </w:p>
            <w:p w14:paraId="1CBE4DF2" w14:textId="374270F7" w:rsidR="0016589C" w:rsidRDefault="0016589C">
              <w:pPr>
                <w:pStyle w:val="TOC2"/>
                <w:tabs>
                  <w:tab w:val="right" w:leader="dot" w:pos="9016"/>
                </w:tabs>
                <w:rPr>
                  <w:rFonts w:eastAsiaTheme="minorEastAsia" w:cstheme="minorBidi"/>
                  <w:smallCaps w:val="0"/>
                  <w:noProof/>
                  <w:sz w:val="24"/>
                  <w:szCs w:val="24"/>
                </w:rPr>
              </w:pPr>
              <w:hyperlink w:anchor="_Toc214836724" w:history="1">
                <w:r w:rsidRPr="00F30CF8">
                  <w:rPr>
                    <w:rStyle w:val="Hyperlink"/>
                    <w:rFonts w:eastAsiaTheme="majorEastAsia"/>
                    <w:noProof/>
                  </w:rPr>
                  <w:t>7. Connections to Other Themes</w:t>
                </w:r>
                <w:r>
                  <w:rPr>
                    <w:noProof/>
                    <w:webHidden/>
                  </w:rPr>
                  <w:tab/>
                </w:r>
                <w:r>
                  <w:rPr>
                    <w:noProof/>
                    <w:webHidden/>
                  </w:rPr>
                  <w:fldChar w:fldCharType="begin"/>
                </w:r>
                <w:r>
                  <w:rPr>
                    <w:noProof/>
                    <w:webHidden/>
                  </w:rPr>
                  <w:instrText xml:space="preserve"> PAGEREF _Toc214836724 \h </w:instrText>
                </w:r>
                <w:r>
                  <w:rPr>
                    <w:noProof/>
                    <w:webHidden/>
                  </w:rPr>
                </w:r>
                <w:r>
                  <w:rPr>
                    <w:noProof/>
                    <w:webHidden/>
                  </w:rPr>
                  <w:fldChar w:fldCharType="separate"/>
                </w:r>
                <w:r>
                  <w:rPr>
                    <w:noProof/>
                    <w:webHidden/>
                  </w:rPr>
                  <w:t>38</w:t>
                </w:r>
                <w:r>
                  <w:rPr>
                    <w:noProof/>
                    <w:webHidden/>
                  </w:rPr>
                  <w:fldChar w:fldCharType="end"/>
                </w:r>
              </w:hyperlink>
            </w:p>
            <w:p w14:paraId="4BC100A6" w14:textId="5A76CD05" w:rsidR="0016589C" w:rsidRDefault="0016589C">
              <w:pPr>
                <w:pStyle w:val="TOC1"/>
                <w:tabs>
                  <w:tab w:val="right" w:leader="dot" w:pos="9016"/>
                </w:tabs>
                <w:rPr>
                  <w:rFonts w:eastAsiaTheme="minorEastAsia" w:cstheme="minorBidi"/>
                  <w:b w:val="0"/>
                  <w:bCs w:val="0"/>
                  <w:caps w:val="0"/>
                  <w:noProof/>
                  <w:sz w:val="24"/>
                  <w:szCs w:val="24"/>
                </w:rPr>
              </w:pPr>
              <w:hyperlink w:anchor="_Toc214836725" w:history="1">
                <w:r w:rsidRPr="00F30CF8">
                  <w:rPr>
                    <w:rStyle w:val="Hyperlink"/>
                    <w:rFonts w:eastAsiaTheme="majorEastAsia"/>
                    <w:noProof/>
                  </w:rPr>
                  <w:t>4.7 Conclusion</w:t>
                </w:r>
                <w:r>
                  <w:rPr>
                    <w:noProof/>
                    <w:webHidden/>
                  </w:rPr>
                  <w:tab/>
                </w:r>
                <w:r>
                  <w:rPr>
                    <w:noProof/>
                    <w:webHidden/>
                  </w:rPr>
                  <w:fldChar w:fldCharType="begin"/>
                </w:r>
                <w:r>
                  <w:rPr>
                    <w:noProof/>
                    <w:webHidden/>
                  </w:rPr>
                  <w:instrText xml:space="preserve"> PAGEREF _Toc214836725 \h </w:instrText>
                </w:r>
                <w:r>
                  <w:rPr>
                    <w:noProof/>
                    <w:webHidden/>
                  </w:rPr>
                </w:r>
                <w:r>
                  <w:rPr>
                    <w:noProof/>
                    <w:webHidden/>
                  </w:rPr>
                  <w:fldChar w:fldCharType="separate"/>
                </w:r>
                <w:r>
                  <w:rPr>
                    <w:noProof/>
                    <w:webHidden/>
                  </w:rPr>
                  <w:t>38</w:t>
                </w:r>
                <w:r>
                  <w:rPr>
                    <w:noProof/>
                    <w:webHidden/>
                  </w:rPr>
                  <w:fldChar w:fldCharType="end"/>
                </w:r>
              </w:hyperlink>
            </w:p>
            <w:p w14:paraId="4642C1F0" w14:textId="0D01878F" w:rsidR="0016589C" w:rsidRDefault="0016589C">
              <w:pPr>
                <w:pStyle w:val="TOC1"/>
                <w:tabs>
                  <w:tab w:val="right" w:leader="dot" w:pos="9016"/>
                </w:tabs>
                <w:rPr>
                  <w:rFonts w:eastAsiaTheme="minorEastAsia" w:cstheme="minorBidi"/>
                  <w:b w:val="0"/>
                  <w:bCs w:val="0"/>
                  <w:caps w:val="0"/>
                  <w:noProof/>
                  <w:sz w:val="24"/>
                  <w:szCs w:val="24"/>
                </w:rPr>
              </w:pPr>
              <w:hyperlink w:anchor="_Toc214836726" w:history="1">
                <w:r w:rsidRPr="00F30CF8">
                  <w:rPr>
                    <w:rStyle w:val="Hyperlink"/>
                    <w:rFonts w:eastAsiaTheme="majorEastAsia"/>
                    <w:noProof/>
                  </w:rPr>
                  <w:t>Chapter 5: Conclusions and Recommendations</w:t>
                </w:r>
                <w:r>
                  <w:rPr>
                    <w:noProof/>
                    <w:webHidden/>
                  </w:rPr>
                  <w:tab/>
                </w:r>
                <w:r>
                  <w:rPr>
                    <w:noProof/>
                    <w:webHidden/>
                  </w:rPr>
                  <w:fldChar w:fldCharType="begin"/>
                </w:r>
                <w:r>
                  <w:rPr>
                    <w:noProof/>
                    <w:webHidden/>
                  </w:rPr>
                  <w:instrText xml:space="preserve"> PAGEREF _Toc214836726 \h </w:instrText>
                </w:r>
                <w:r>
                  <w:rPr>
                    <w:noProof/>
                    <w:webHidden/>
                  </w:rPr>
                </w:r>
                <w:r>
                  <w:rPr>
                    <w:noProof/>
                    <w:webHidden/>
                  </w:rPr>
                  <w:fldChar w:fldCharType="separate"/>
                </w:r>
                <w:r>
                  <w:rPr>
                    <w:noProof/>
                    <w:webHidden/>
                  </w:rPr>
                  <w:t>40</w:t>
                </w:r>
                <w:r>
                  <w:rPr>
                    <w:noProof/>
                    <w:webHidden/>
                  </w:rPr>
                  <w:fldChar w:fldCharType="end"/>
                </w:r>
              </w:hyperlink>
            </w:p>
            <w:p w14:paraId="0A16E1AB" w14:textId="5E6D5A7E" w:rsidR="0016589C" w:rsidRDefault="0016589C">
              <w:pPr>
                <w:pStyle w:val="TOC2"/>
                <w:tabs>
                  <w:tab w:val="right" w:leader="dot" w:pos="9016"/>
                </w:tabs>
                <w:rPr>
                  <w:rFonts w:eastAsiaTheme="minorEastAsia" w:cstheme="minorBidi"/>
                  <w:smallCaps w:val="0"/>
                  <w:noProof/>
                  <w:sz w:val="24"/>
                  <w:szCs w:val="24"/>
                </w:rPr>
              </w:pPr>
              <w:hyperlink w:anchor="_Toc214836727" w:history="1">
                <w:r w:rsidRPr="00F30CF8">
                  <w:rPr>
                    <w:rStyle w:val="Hyperlink"/>
                    <w:rFonts w:eastAsiaTheme="majorEastAsia" w:cs="Arial"/>
                    <w:noProof/>
                  </w:rPr>
                  <w:t>5.1 Introduction</w:t>
                </w:r>
                <w:r>
                  <w:rPr>
                    <w:noProof/>
                    <w:webHidden/>
                  </w:rPr>
                  <w:tab/>
                </w:r>
                <w:r>
                  <w:rPr>
                    <w:noProof/>
                    <w:webHidden/>
                  </w:rPr>
                  <w:fldChar w:fldCharType="begin"/>
                </w:r>
                <w:r>
                  <w:rPr>
                    <w:noProof/>
                    <w:webHidden/>
                  </w:rPr>
                  <w:instrText xml:space="preserve"> PAGEREF _Toc214836727 \h </w:instrText>
                </w:r>
                <w:r>
                  <w:rPr>
                    <w:noProof/>
                    <w:webHidden/>
                  </w:rPr>
                </w:r>
                <w:r>
                  <w:rPr>
                    <w:noProof/>
                    <w:webHidden/>
                  </w:rPr>
                  <w:fldChar w:fldCharType="separate"/>
                </w:r>
                <w:r>
                  <w:rPr>
                    <w:noProof/>
                    <w:webHidden/>
                  </w:rPr>
                  <w:t>40</w:t>
                </w:r>
                <w:r>
                  <w:rPr>
                    <w:noProof/>
                    <w:webHidden/>
                  </w:rPr>
                  <w:fldChar w:fldCharType="end"/>
                </w:r>
              </w:hyperlink>
            </w:p>
            <w:p w14:paraId="2ADC098E" w14:textId="644F4D1C" w:rsidR="0016589C" w:rsidRDefault="0016589C">
              <w:pPr>
                <w:pStyle w:val="TOC1"/>
                <w:tabs>
                  <w:tab w:val="right" w:leader="dot" w:pos="9016"/>
                </w:tabs>
                <w:rPr>
                  <w:rFonts w:eastAsiaTheme="minorEastAsia" w:cstheme="minorBidi"/>
                  <w:b w:val="0"/>
                  <w:bCs w:val="0"/>
                  <w:caps w:val="0"/>
                  <w:noProof/>
                  <w:sz w:val="24"/>
                  <w:szCs w:val="24"/>
                </w:rPr>
              </w:pPr>
              <w:hyperlink w:anchor="_Toc214836728" w:history="1">
                <w:r w:rsidRPr="00F30CF8">
                  <w:rPr>
                    <w:rStyle w:val="Hyperlink"/>
                    <w:rFonts w:eastAsiaTheme="majorEastAsia"/>
                    <w:noProof/>
                  </w:rPr>
                  <w:t>5.2 Summary of Key Findings</w:t>
                </w:r>
                <w:r>
                  <w:rPr>
                    <w:noProof/>
                    <w:webHidden/>
                  </w:rPr>
                  <w:tab/>
                </w:r>
                <w:r>
                  <w:rPr>
                    <w:noProof/>
                    <w:webHidden/>
                  </w:rPr>
                  <w:fldChar w:fldCharType="begin"/>
                </w:r>
                <w:r>
                  <w:rPr>
                    <w:noProof/>
                    <w:webHidden/>
                  </w:rPr>
                  <w:instrText xml:space="preserve"> PAGEREF _Toc214836728 \h </w:instrText>
                </w:r>
                <w:r>
                  <w:rPr>
                    <w:noProof/>
                    <w:webHidden/>
                  </w:rPr>
                </w:r>
                <w:r>
                  <w:rPr>
                    <w:noProof/>
                    <w:webHidden/>
                  </w:rPr>
                  <w:fldChar w:fldCharType="separate"/>
                </w:r>
                <w:r>
                  <w:rPr>
                    <w:noProof/>
                    <w:webHidden/>
                  </w:rPr>
                  <w:t>40</w:t>
                </w:r>
                <w:r>
                  <w:rPr>
                    <w:noProof/>
                    <w:webHidden/>
                  </w:rPr>
                  <w:fldChar w:fldCharType="end"/>
                </w:r>
              </w:hyperlink>
            </w:p>
            <w:p w14:paraId="56675B69" w14:textId="5E6042E4" w:rsidR="0016589C" w:rsidRDefault="0016589C">
              <w:pPr>
                <w:pStyle w:val="TOC1"/>
                <w:tabs>
                  <w:tab w:val="right" w:leader="dot" w:pos="9016"/>
                </w:tabs>
                <w:rPr>
                  <w:rFonts w:eastAsiaTheme="minorEastAsia" w:cstheme="minorBidi"/>
                  <w:b w:val="0"/>
                  <w:bCs w:val="0"/>
                  <w:caps w:val="0"/>
                  <w:noProof/>
                  <w:sz w:val="24"/>
                  <w:szCs w:val="24"/>
                </w:rPr>
              </w:pPr>
              <w:hyperlink w:anchor="_Toc214836729" w:history="1">
                <w:r w:rsidRPr="00F30CF8">
                  <w:rPr>
                    <w:rStyle w:val="Hyperlink"/>
                    <w:rFonts w:eastAsiaTheme="majorEastAsia"/>
                    <w:noProof/>
                  </w:rPr>
                  <w:t>5.3 Theoretical and Practical Implications</w:t>
                </w:r>
                <w:r>
                  <w:rPr>
                    <w:noProof/>
                    <w:webHidden/>
                  </w:rPr>
                  <w:tab/>
                </w:r>
                <w:r>
                  <w:rPr>
                    <w:noProof/>
                    <w:webHidden/>
                  </w:rPr>
                  <w:fldChar w:fldCharType="begin"/>
                </w:r>
                <w:r>
                  <w:rPr>
                    <w:noProof/>
                    <w:webHidden/>
                  </w:rPr>
                  <w:instrText xml:space="preserve"> PAGEREF _Toc214836729 \h </w:instrText>
                </w:r>
                <w:r>
                  <w:rPr>
                    <w:noProof/>
                    <w:webHidden/>
                  </w:rPr>
                </w:r>
                <w:r>
                  <w:rPr>
                    <w:noProof/>
                    <w:webHidden/>
                  </w:rPr>
                  <w:fldChar w:fldCharType="separate"/>
                </w:r>
                <w:r>
                  <w:rPr>
                    <w:noProof/>
                    <w:webHidden/>
                  </w:rPr>
                  <w:t>42</w:t>
                </w:r>
                <w:r>
                  <w:rPr>
                    <w:noProof/>
                    <w:webHidden/>
                  </w:rPr>
                  <w:fldChar w:fldCharType="end"/>
                </w:r>
              </w:hyperlink>
            </w:p>
            <w:p w14:paraId="562AA848" w14:textId="3F46C9F6" w:rsidR="0016589C" w:rsidRDefault="0016589C">
              <w:pPr>
                <w:pStyle w:val="TOC1"/>
                <w:tabs>
                  <w:tab w:val="right" w:leader="dot" w:pos="9016"/>
                </w:tabs>
                <w:rPr>
                  <w:rFonts w:eastAsiaTheme="minorEastAsia" w:cstheme="minorBidi"/>
                  <w:b w:val="0"/>
                  <w:bCs w:val="0"/>
                  <w:caps w:val="0"/>
                  <w:noProof/>
                  <w:sz w:val="24"/>
                  <w:szCs w:val="24"/>
                </w:rPr>
              </w:pPr>
              <w:hyperlink w:anchor="_Toc214836730" w:history="1">
                <w:r w:rsidRPr="00F30CF8">
                  <w:rPr>
                    <w:rStyle w:val="Hyperlink"/>
                    <w:rFonts w:eastAsiaTheme="majorEastAsia"/>
                    <w:noProof/>
                  </w:rPr>
                  <w:t>5.4 Recommendations</w:t>
                </w:r>
                <w:r>
                  <w:rPr>
                    <w:noProof/>
                    <w:webHidden/>
                  </w:rPr>
                  <w:tab/>
                </w:r>
                <w:r>
                  <w:rPr>
                    <w:noProof/>
                    <w:webHidden/>
                  </w:rPr>
                  <w:fldChar w:fldCharType="begin"/>
                </w:r>
                <w:r>
                  <w:rPr>
                    <w:noProof/>
                    <w:webHidden/>
                  </w:rPr>
                  <w:instrText xml:space="preserve"> PAGEREF _Toc214836730 \h </w:instrText>
                </w:r>
                <w:r>
                  <w:rPr>
                    <w:noProof/>
                    <w:webHidden/>
                  </w:rPr>
                </w:r>
                <w:r>
                  <w:rPr>
                    <w:noProof/>
                    <w:webHidden/>
                  </w:rPr>
                  <w:fldChar w:fldCharType="separate"/>
                </w:r>
                <w:r>
                  <w:rPr>
                    <w:noProof/>
                    <w:webHidden/>
                  </w:rPr>
                  <w:t>43</w:t>
                </w:r>
                <w:r>
                  <w:rPr>
                    <w:noProof/>
                    <w:webHidden/>
                  </w:rPr>
                  <w:fldChar w:fldCharType="end"/>
                </w:r>
              </w:hyperlink>
            </w:p>
            <w:p w14:paraId="3D86A387" w14:textId="7B747D90" w:rsidR="0016589C" w:rsidRDefault="0016589C">
              <w:pPr>
                <w:pStyle w:val="TOC1"/>
                <w:tabs>
                  <w:tab w:val="right" w:leader="dot" w:pos="9016"/>
                </w:tabs>
                <w:rPr>
                  <w:rFonts w:eastAsiaTheme="minorEastAsia" w:cstheme="minorBidi"/>
                  <w:b w:val="0"/>
                  <w:bCs w:val="0"/>
                  <w:caps w:val="0"/>
                  <w:noProof/>
                  <w:sz w:val="24"/>
                  <w:szCs w:val="24"/>
                </w:rPr>
              </w:pPr>
              <w:hyperlink w:anchor="_Toc214836731" w:history="1">
                <w:r w:rsidRPr="00F30CF8">
                  <w:rPr>
                    <w:rStyle w:val="Hyperlink"/>
                    <w:rFonts w:eastAsiaTheme="majorEastAsia"/>
                    <w:noProof/>
                  </w:rPr>
                  <w:t>5.5 Reflection on the Research Process</w:t>
                </w:r>
                <w:r>
                  <w:rPr>
                    <w:noProof/>
                    <w:webHidden/>
                  </w:rPr>
                  <w:tab/>
                </w:r>
                <w:r>
                  <w:rPr>
                    <w:noProof/>
                    <w:webHidden/>
                  </w:rPr>
                  <w:fldChar w:fldCharType="begin"/>
                </w:r>
                <w:r>
                  <w:rPr>
                    <w:noProof/>
                    <w:webHidden/>
                  </w:rPr>
                  <w:instrText xml:space="preserve"> PAGEREF _Toc214836731 \h </w:instrText>
                </w:r>
                <w:r>
                  <w:rPr>
                    <w:noProof/>
                    <w:webHidden/>
                  </w:rPr>
                </w:r>
                <w:r>
                  <w:rPr>
                    <w:noProof/>
                    <w:webHidden/>
                  </w:rPr>
                  <w:fldChar w:fldCharType="separate"/>
                </w:r>
                <w:r>
                  <w:rPr>
                    <w:noProof/>
                    <w:webHidden/>
                  </w:rPr>
                  <w:t>45</w:t>
                </w:r>
                <w:r>
                  <w:rPr>
                    <w:noProof/>
                    <w:webHidden/>
                  </w:rPr>
                  <w:fldChar w:fldCharType="end"/>
                </w:r>
              </w:hyperlink>
            </w:p>
            <w:p w14:paraId="713C55EB" w14:textId="6B3A5EFB" w:rsidR="0016589C" w:rsidRDefault="0016589C">
              <w:pPr>
                <w:pStyle w:val="TOC1"/>
                <w:tabs>
                  <w:tab w:val="right" w:leader="dot" w:pos="9016"/>
                </w:tabs>
                <w:rPr>
                  <w:rFonts w:eastAsiaTheme="minorEastAsia" w:cstheme="minorBidi"/>
                  <w:b w:val="0"/>
                  <w:bCs w:val="0"/>
                  <w:caps w:val="0"/>
                  <w:noProof/>
                  <w:sz w:val="24"/>
                  <w:szCs w:val="24"/>
                </w:rPr>
              </w:pPr>
              <w:hyperlink w:anchor="_Toc214836732" w:history="1">
                <w:r w:rsidRPr="00F30CF8">
                  <w:rPr>
                    <w:rStyle w:val="Hyperlink"/>
                    <w:rFonts w:eastAsiaTheme="majorEastAsia"/>
                    <w:noProof/>
                  </w:rPr>
                  <w:t>5.6 Study Limitations</w:t>
                </w:r>
                <w:r>
                  <w:rPr>
                    <w:noProof/>
                    <w:webHidden/>
                  </w:rPr>
                  <w:tab/>
                </w:r>
                <w:r>
                  <w:rPr>
                    <w:noProof/>
                    <w:webHidden/>
                  </w:rPr>
                  <w:fldChar w:fldCharType="begin"/>
                </w:r>
                <w:r>
                  <w:rPr>
                    <w:noProof/>
                    <w:webHidden/>
                  </w:rPr>
                  <w:instrText xml:space="preserve"> PAGEREF _Toc214836732 \h </w:instrText>
                </w:r>
                <w:r>
                  <w:rPr>
                    <w:noProof/>
                    <w:webHidden/>
                  </w:rPr>
                </w:r>
                <w:r>
                  <w:rPr>
                    <w:noProof/>
                    <w:webHidden/>
                  </w:rPr>
                  <w:fldChar w:fldCharType="separate"/>
                </w:r>
                <w:r>
                  <w:rPr>
                    <w:noProof/>
                    <w:webHidden/>
                  </w:rPr>
                  <w:t>45</w:t>
                </w:r>
                <w:r>
                  <w:rPr>
                    <w:noProof/>
                    <w:webHidden/>
                  </w:rPr>
                  <w:fldChar w:fldCharType="end"/>
                </w:r>
              </w:hyperlink>
            </w:p>
            <w:p w14:paraId="32B91D72" w14:textId="12B75777" w:rsidR="0016589C" w:rsidRDefault="0016589C">
              <w:pPr>
                <w:pStyle w:val="TOC1"/>
                <w:tabs>
                  <w:tab w:val="right" w:leader="dot" w:pos="9016"/>
                </w:tabs>
                <w:rPr>
                  <w:rFonts w:eastAsiaTheme="minorEastAsia" w:cstheme="minorBidi"/>
                  <w:b w:val="0"/>
                  <w:bCs w:val="0"/>
                  <w:caps w:val="0"/>
                  <w:noProof/>
                  <w:sz w:val="24"/>
                  <w:szCs w:val="24"/>
                </w:rPr>
              </w:pPr>
              <w:hyperlink w:anchor="_Toc214836733" w:history="1">
                <w:r w:rsidRPr="00F30CF8">
                  <w:rPr>
                    <w:rStyle w:val="Hyperlink"/>
                    <w:rFonts w:eastAsiaTheme="majorEastAsia"/>
                    <w:noProof/>
                  </w:rPr>
                  <w:t>5.7 Conclusion</w:t>
                </w:r>
                <w:r>
                  <w:rPr>
                    <w:noProof/>
                    <w:webHidden/>
                  </w:rPr>
                  <w:tab/>
                </w:r>
                <w:r>
                  <w:rPr>
                    <w:noProof/>
                    <w:webHidden/>
                  </w:rPr>
                  <w:fldChar w:fldCharType="begin"/>
                </w:r>
                <w:r>
                  <w:rPr>
                    <w:noProof/>
                    <w:webHidden/>
                  </w:rPr>
                  <w:instrText xml:space="preserve"> PAGEREF _Toc214836733 \h </w:instrText>
                </w:r>
                <w:r>
                  <w:rPr>
                    <w:noProof/>
                    <w:webHidden/>
                  </w:rPr>
                </w:r>
                <w:r>
                  <w:rPr>
                    <w:noProof/>
                    <w:webHidden/>
                  </w:rPr>
                  <w:fldChar w:fldCharType="separate"/>
                </w:r>
                <w:r>
                  <w:rPr>
                    <w:noProof/>
                    <w:webHidden/>
                  </w:rPr>
                  <w:t>46</w:t>
                </w:r>
                <w:r>
                  <w:rPr>
                    <w:noProof/>
                    <w:webHidden/>
                  </w:rPr>
                  <w:fldChar w:fldCharType="end"/>
                </w:r>
              </w:hyperlink>
            </w:p>
            <w:p w14:paraId="02AB68AC" w14:textId="46CF10E6" w:rsidR="0016589C" w:rsidRDefault="0016589C">
              <w:pPr>
                <w:pStyle w:val="TOC1"/>
                <w:tabs>
                  <w:tab w:val="right" w:leader="dot" w:pos="9016"/>
                </w:tabs>
                <w:rPr>
                  <w:rFonts w:eastAsiaTheme="minorEastAsia" w:cstheme="minorBidi"/>
                  <w:b w:val="0"/>
                  <w:bCs w:val="0"/>
                  <w:caps w:val="0"/>
                  <w:noProof/>
                  <w:sz w:val="24"/>
                  <w:szCs w:val="24"/>
                </w:rPr>
              </w:pPr>
              <w:hyperlink w:anchor="_Toc214836734" w:history="1">
                <w:r w:rsidRPr="00F30CF8">
                  <w:rPr>
                    <w:rStyle w:val="Hyperlink"/>
                    <w:rFonts w:eastAsiaTheme="majorEastAsia"/>
                    <w:noProof/>
                  </w:rPr>
                  <w:t>References</w:t>
                </w:r>
                <w:r>
                  <w:rPr>
                    <w:noProof/>
                    <w:webHidden/>
                  </w:rPr>
                  <w:tab/>
                </w:r>
                <w:r>
                  <w:rPr>
                    <w:noProof/>
                    <w:webHidden/>
                  </w:rPr>
                  <w:fldChar w:fldCharType="begin"/>
                </w:r>
                <w:r>
                  <w:rPr>
                    <w:noProof/>
                    <w:webHidden/>
                  </w:rPr>
                  <w:instrText xml:space="preserve"> PAGEREF _Toc214836734 \h </w:instrText>
                </w:r>
                <w:r>
                  <w:rPr>
                    <w:noProof/>
                    <w:webHidden/>
                  </w:rPr>
                </w:r>
                <w:r>
                  <w:rPr>
                    <w:noProof/>
                    <w:webHidden/>
                  </w:rPr>
                  <w:fldChar w:fldCharType="separate"/>
                </w:r>
                <w:r>
                  <w:rPr>
                    <w:noProof/>
                    <w:webHidden/>
                  </w:rPr>
                  <w:t>47</w:t>
                </w:r>
                <w:r>
                  <w:rPr>
                    <w:noProof/>
                    <w:webHidden/>
                  </w:rPr>
                  <w:fldChar w:fldCharType="end"/>
                </w:r>
              </w:hyperlink>
            </w:p>
            <w:p w14:paraId="04DB4230" w14:textId="37A5AE4F" w:rsidR="0016589C" w:rsidRDefault="0016589C">
              <w:pPr>
                <w:pStyle w:val="TOC1"/>
                <w:tabs>
                  <w:tab w:val="right" w:leader="dot" w:pos="9016"/>
                </w:tabs>
                <w:rPr>
                  <w:rFonts w:eastAsiaTheme="minorEastAsia" w:cstheme="minorBidi"/>
                  <w:b w:val="0"/>
                  <w:bCs w:val="0"/>
                  <w:caps w:val="0"/>
                  <w:noProof/>
                  <w:sz w:val="24"/>
                  <w:szCs w:val="24"/>
                </w:rPr>
              </w:pPr>
              <w:hyperlink w:anchor="_Toc214836735" w:history="1">
                <w:r w:rsidRPr="00F30CF8">
                  <w:rPr>
                    <w:rStyle w:val="Hyperlink"/>
                    <w:rFonts w:eastAsiaTheme="majorEastAsia" w:cs="Arial"/>
                    <w:noProof/>
                  </w:rPr>
                  <w:t>Appendix A: Thematic Summary Matrix</w:t>
                </w:r>
                <w:r>
                  <w:rPr>
                    <w:noProof/>
                    <w:webHidden/>
                  </w:rPr>
                  <w:tab/>
                </w:r>
                <w:r>
                  <w:rPr>
                    <w:noProof/>
                    <w:webHidden/>
                  </w:rPr>
                  <w:fldChar w:fldCharType="begin"/>
                </w:r>
                <w:r>
                  <w:rPr>
                    <w:noProof/>
                    <w:webHidden/>
                  </w:rPr>
                  <w:instrText xml:space="preserve"> PAGEREF _Toc214836735 \h </w:instrText>
                </w:r>
                <w:r>
                  <w:rPr>
                    <w:noProof/>
                    <w:webHidden/>
                  </w:rPr>
                </w:r>
                <w:r>
                  <w:rPr>
                    <w:noProof/>
                    <w:webHidden/>
                  </w:rPr>
                  <w:fldChar w:fldCharType="separate"/>
                </w:r>
                <w:r>
                  <w:rPr>
                    <w:noProof/>
                    <w:webHidden/>
                  </w:rPr>
                  <w:t>57</w:t>
                </w:r>
                <w:r>
                  <w:rPr>
                    <w:noProof/>
                    <w:webHidden/>
                  </w:rPr>
                  <w:fldChar w:fldCharType="end"/>
                </w:r>
              </w:hyperlink>
            </w:p>
            <w:p w14:paraId="6A86EBA7" w14:textId="46E83FB7" w:rsidR="0016589C" w:rsidRDefault="0016589C">
              <w:pPr>
                <w:pStyle w:val="TOC1"/>
                <w:tabs>
                  <w:tab w:val="right" w:leader="dot" w:pos="9016"/>
                </w:tabs>
                <w:rPr>
                  <w:rFonts w:eastAsiaTheme="minorEastAsia" w:cstheme="minorBidi"/>
                  <w:b w:val="0"/>
                  <w:bCs w:val="0"/>
                  <w:caps w:val="0"/>
                  <w:noProof/>
                  <w:sz w:val="24"/>
                  <w:szCs w:val="24"/>
                </w:rPr>
              </w:pPr>
              <w:hyperlink w:anchor="_Toc214836736" w:history="1">
                <w:r w:rsidRPr="00F30CF8">
                  <w:rPr>
                    <w:rStyle w:val="Hyperlink"/>
                    <w:rFonts w:eastAsiaTheme="majorEastAsia"/>
                    <w:noProof/>
                  </w:rPr>
                  <w:t>colour-coded style table</w:t>
                </w:r>
                <w:r>
                  <w:rPr>
                    <w:noProof/>
                    <w:webHidden/>
                  </w:rPr>
                  <w:tab/>
                </w:r>
                <w:r>
                  <w:rPr>
                    <w:noProof/>
                    <w:webHidden/>
                  </w:rPr>
                  <w:fldChar w:fldCharType="begin"/>
                </w:r>
                <w:r>
                  <w:rPr>
                    <w:noProof/>
                    <w:webHidden/>
                  </w:rPr>
                  <w:instrText xml:space="preserve"> PAGEREF _Toc214836736 \h </w:instrText>
                </w:r>
                <w:r>
                  <w:rPr>
                    <w:noProof/>
                    <w:webHidden/>
                  </w:rPr>
                </w:r>
                <w:r>
                  <w:rPr>
                    <w:noProof/>
                    <w:webHidden/>
                  </w:rPr>
                  <w:fldChar w:fldCharType="separate"/>
                </w:r>
                <w:r>
                  <w:rPr>
                    <w:noProof/>
                    <w:webHidden/>
                  </w:rPr>
                  <w:t>58</w:t>
                </w:r>
                <w:r>
                  <w:rPr>
                    <w:noProof/>
                    <w:webHidden/>
                  </w:rPr>
                  <w:fldChar w:fldCharType="end"/>
                </w:r>
              </w:hyperlink>
            </w:p>
            <w:p w14:paraId="550B49B0" w14:textId="3DA73089" w:rsidR="0016589C" w:rsidRDefault="0016589C">
              <w:pPr>
                <w:pStyle w:val="TOC1"/>
                <w:tabs>
                  <w:tab w:val="right" w:leader="dot" w:pos="9016"/>
                </w:tabs>
                <w:rPr>
                  <w:rFonts w:eastAsiaTheme="minorEastAsia" w:cstheme="minorBidi"/>
                  <w:b w:val="0"/>
                  <w:bCs w:val="0"/>
                  <w:caps w:val="0"/>
                  <w:noProof/>
                  <w:sz w:val="24"/>
                  <w:szCs w:val="24"/>
                </w:rPr>
              </w:pPr>
              <w:hyperlink w:anchor="_Toc214836737" w:history="1">
                <w:r w:rsidRPr="00F30CF8">
                  <w:rPr>
                    <w:rStyle w:val="Hyperlink"/>
                    <w:rFonts w:eastAsiaTheme="majorEastAsia" w:cs="Arial"/>
                    <w:noProof/>
                  </w:rPr>
                  <w:t>Source Tracking Table</w:t>
                </w:r>
                <w:r>
                  <w:rPr>
                    <w:noProof/>
                    <w:webHidden/>
                  </w:rPr>
                  <w:tab/>
                </w:r>
                <w:r>
                  <w:rPr>
                    <w:noProof/>
                    <w:webHidden/>
                  </w:rPr>
                  <w:fldChar w:fldCharType="begin"/>
                </w:r>
                <w:r>
                  <w:rPr>
                    <w:noProof/>
                    <w:webHidden/>
                  </w:rPr>
                  <w:instrText xml:space="preserve"> PAGEREF _Toc214836737 \h </w:instrText>
                </w:r>
                <w:r>
                  <w:rPr>
                    <w:noProof/>
                    <w:webHidden/>
                  </w:rPr>
                </w:r>
                <w:r>
                  <w:rPr>
                    <w:noProof/>
                    <w:webHidden/>
                  </w:rPr>
                  <w:fldChar w:fldCharType="separate"/>
                </w:r>
                <w:r>
                  <w:rPr>
                    <w:noProof/>
                    <w:webHidden/>
                  </w:rPr>
                  <w:t>59</w:t>
                </w:r>
                <w:r>
                  <w:rPr>
                    <w:noProof/>
                    <w:webHidden/>
                  </w:rPr>
                  <w:fldChar w:fldCharType="end"/>
                </w:r>
              </w:hyperlink>
            </w:p>
            <w:p w14:paraId="2D16C24D" w14:textId="337C6F63" w:rsidR="0016589C" w:rsidRDefault="0016589C">
              <w:pPr>
                <w:pStyle w:val="TOC1"/>
                <w:tabs>
                  <w:tab w:val="right" w:leader="dot" w:pos="9016"/>
                </w:tabs>
                <w:rPr>
                  <w:rFonts w:eastAsiaTheme="minorEastAsia" w:cstheme="minorBidi"/>
                  <w:b w:val="0"/>
                  <w:bCs w:val="0"/>
                  <w:caps w:val="0"/>
                  <w:noProof/>
                  <w:sz w:val="24"/>
                  <w:szCs w:val="24"/>
                </w:rPr>
              </w:pPr>
              <w:hyperlink w:anchor="_Toc214836738" w:history="1">
                <w:r w:rsidRPr="00F30CF8">
                  <w:rPr>
                    <w:rStyle w:val="Hyperlink"/>
                    <w:rFonts w:eastAsiaTheme="majorEastAsia" w:cs="Arial"/>
                    <w:noProof/>
                  </w:rPr>
                  <w:t>Summary of Key Findings &amp; Recommendations</w:t>
                </w:r>
                <w:r>
                  <w:rPr>
                    <w:noProof/>
                    <w:webHidden/>
                  </w:rPr>
                  <w:tab/>
                </w:r>
                <w:r>
                  <w:rPr>
                    <w:noProof/>
                    <w:webHidden/>
                  </w:rPr>
                  <w:fldChar w:fldCharType="begin"/>
                </w:r>
                <w:r>
                  <w:rPr>
                    <w:noProof/>
                    <w:webHidden/>
                  </w:rPr>
                  <w:instrText xml:space="preserve"> PAGEREF _Toc214836738 \h </w:instrText>
                </w:r>
                <w:r>
                  <w:rPr>
                    <w:noProof/>
                    <w:webHidden/>
                  </w:rPr>
                </w:r>
                <w:r>
                  <w:rPr>
                    <w:noProof/>
                    <w:webHidden/>
                  </w:rPr>
                  <w:fldChar w:fldCharType="separate"/>
                </w:r>
                <w:r>
                  <w:rPr>
                    <w:noProof/>
                    <w:webHidden/>
                  </w:rPr>
                  <w:t>61</w:t>
                </w:r>
                <w:r>
                  <w:rPr>
                    <w:noProof/>
                    <w:webHidden/>
                  </w:rPr>
                  <w:fldChar w:fldCharType="end"/>
                </w:r>
              </w:hyperlink>
            </w:p>
            <w:p w14:paraId="60759F4B" w14:textId="5D28C3E3" w:rsidR="00833777" w:rsidRPr="00833777" w:rsidRDefault="00F31AEC" w:rsidP="00833777">
              <w:pPr>
                <w:rPr>
                  <w:b/>
                  <w:bCs/>
                  <w:noProof/>
                </w:rPr>
              </w:pPr>
              <w:r>
                <w:rPr>
                  <w:b/>
                  <w:bCs/>
                  <w:noProof/>
                </w:rPr>
                <w:lastRenderedPageBreak/>
                <w:fldChar w:fldCharType="end"/>
              </w:r>
            </w:p>
          </w:sdtContent>
        </w:sdt>
      </w:sdtContent>
    </w:sdt>
    <w:p w14:paraId="66912A3E" w14:textId="6FB72790" w:rsidR="00656CF3" w:rsidRPr="00833777" w:rsidRDefault="00656CF3" w:rsidP="00833777">
      <w:pPr>
        <w:pStyle w:val="Heading1"/>
        <w:rPr>
          <w:rFonts w:asciiTheme="minorHAnsi" w:eastAsiaTheme="minorHAnsi" w:hAnsiTheme="minorHAnsi" w:cstheme="minorBidi"/>
          <w:i/>
          <w:sz w:val="24"/>
          <w:szCs w:val="24"/>
          <w:lang w:eastAsia="en-US"/>
        </w:rPr>
      </w:pPr>
      <w:bookmarkStart w:id="3" w:name="_Toc214836653"/>
      <w:r w:rsidRPr="00833777">
        <w:t>CHAPTER 1: INTRODUCTION</w:t>
      </w:r>
      <w:bookmarkEnd w:id="3"/>
    </w:p>
    <w:p w14:paraId="3FE4199A" w14:textId="77777777" w:rsidR="00E75ACC" w:rsidRPr="00C01ACC" w:rsidRDefault="00E75ACC" w:rsidP="00C01ACC">
      <w:r w:rsidRPr="00C01ACC">
        <w:t>Research Focus and Title Evolution</w:t>
      </w:r>
    </w:p>
    <w:p w14:paraId="5FB2FE97" w14:textId="77777777" w:rsidR="00C51004" w:rsidRPr="00C51004" w:rsidRDefault="00C51004" w:rsidP="00901E26">
      <w:pPr>
        <w:spacing w:before="100" w:beforeAutospacing="1" w:after="100" w:afterAutospacing="1" w:line="360" w:lineRule="auto"/>
        <w:rPr>
          <w:rFonts w:cs="Arial"/>
          <w:color w:val="000000" w:themeColor="text1"/>
          <w:szCs w:val="22"/>
        </w:rPr>
      </w:pPr>
      <w:r w:rsidRPr="00C51004">
        <w:rPr>
          <w:rFonts w:cs="Arial"/>
          <w:color w:val="000000" w:themeColor="text1"/>
          <w:szCs w:val="22"/>
        </w:rPr>
        <w:t>The dissertation was originally titled “Substance Abuse in the UK: A Demographic Investigation of Risk Patterns and Mental Health Correlates.” However, the literature review and initial studies show that socioeconomic factors, particularly low income, greatly impact substance addiction trends and unresolved mental health disorders in England. The study evaluated low-income status, substance abuse, and untreated mental health issues in England to better understand these issues. This change addresses health disparities and improves public health and policy. Although the prior title remains in official documentation, this scope and analysis reflect this refined focus.</w:t>
      </w:r>
    </w:p>
    <w:p w14:paraId="70D53F23" w14:textId="4E802ADD" w:rsidR="00E75ACC" w:rsidRPr="00656CF3" w:rsidRDefault="00E75ACC" w:rsidP="00901E26">
      <w:pPr>
        <w:spacing w:before="100" w:beforeAutospacing="1" w:after="100" w:afterAutospacing="1" w:line="360" w:lineRule="auto"/>
        <w:outlineLvl w:val="0"/>
        <w:rPr>
          <w:rFonts w:cs="Arial"/>
          <w:b/>
          <w:bCs/>
          <w:color w:val="000000" w:themeColor="text1"/>
          <w:kern w:val="36"/>
          <w:szCs w:val="22"/>
        </w:rPr>
      </w:pPr>
    </w:p>
    <w:p w14:paraId="6A0E7545" w14:textId="77777777" w:rsidR="00656CF3" w:rsidRPr="005A439E" w:rsidRDefault="00656CF3" w:rsidP="005A439E">
      <w:pPr>
        <w:pStyle w:val="Heading2"/>
      </w:pPr>
      <w:bookmarkStart w:id="4" w:name="_Toc214836654"/>
      <w:r w:rsidRPr="005A439E">
        <w:t>1.1 What is this research about?</w:t>
      </w:r>
      <w:bookmarkEnd w:id="4"/>
    </w:p>
    <w:p w14:paraId="036F5B8B" w14:textId="201D0C01" w:rsidR="00124393" w:rsidRDefault="00124393" w:rsidP="00901E26">
      <w:pPr>
        <w:spacing w:before="100" w:beforeAutospacing="1" w:after="100" w:afterAutospacing="1" w:line="360" w:lineRule="auto"/>
        <w:rPr>
          <w:rFonts w:cs="Arial"/>
          <w:color w:val="000000" w:themeColor="text1"/>
          <w:szCs w:val="22"/>
        </w:rPr>
      </w:pPr>
      <w:r w:rsidRPr="00124393">
        <w:rPr>
          <w:rFonts w:cs="Arial"/>
          <w:color w:val="000000" w:themeColor="text1"/>
          <w:szCs w:val="22"/>
        </w:rPr>
        <w:t>This dissertation aims to investigate the intricate and interconnected relationship among substance misuse, low-income status, and untreated mental health disorders in England. It is built around the central question: How does being economically disadvantaged influence the patterns of substance misuse and untreated mental ill-health, and what demographic and service-access factors underlie this relationship?  By turning attention to England’s low-income populations, this study aims to map how socioeconomic disadvantage, mental health challenges (such as anxiety, depression and trauma) and substance misuse interact and reinforce each other.</w:t>
      </w:r>
    </w:p>
    <w:p w14:paraId="15623C36" w14:textId="77777777" w:rsidR="00C01ACC" w:rsidRPr="00124393" w:rsidRDefault="00C01ACC" w:rsidP="00901E26">
      <w:pPr>
        <w:spacing w:before="100" w:beforeAutospacing="1" w:after="100" w:afterAutospacing="1" w:line="360" w:lineRule="auto"/>
        <w:rPr>
          <w:rFonts w:cs="Arial"/>
          <w:color w:val="000000" w:themeColor="text1"/>
          <w:szCs w:val="22"/>
        </w:rPr>
      </w:pPr>
    </w:p>
    <w:p w14:paraId="25D4E523" w14:textId="77777777" w:rsidR="00656CF3" w:rsidRPr="00901E26" w:rsidRDefault="00656CF3" w:rsidP="00C01ACC">
      <w:pPr>
        <w:pStyle w:val="Heading2"/>
      </w:pPr>
      <w:bookmarkStart w:id="5" w:name="_Toc214836655"/>
      <w:r w:rsidRPr="00901E26">
        <w:t>1.2 Why is this research important?</w:t>
      </w:r>
      <w:bookmarkEnd w:id="5"/>
    </w:p>
    <w:p w14:paraId="5429374B" w14:textId="77777777" w:rsidR="00EE5BE9" w:rsidRPr="00901E26" w:rsidRDefault="00EE5BE9"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research is significant for three primary reasons:</w:t>
      </w:r>
    </w:p>
    <w:p w14:paraId="0145B4F8" w14:textId="62EFEF88" w:rsidR="00C05A93" w:rsidRPr="00901E26" w:rsidRDefault="00C05A93" w:rsidP="00901E26">
      <w:pPr>
        <w:pStyle w:val="ListParagraph"/>
        <w:numPr>
          <w:ilvl w:val="0"/>
          <w:numId w:val="1"/>
        </w:numPr>
        <w:spacing w:before="100" w:beforeAutospacing="1" w:after="100" w:afterAutospacing="1" w:line="360" w:lineRule="auto"/>
        <w:rPr>
          <w:rFonts w:cs="Arial"/>
          <w:color w:val="000000" w:themeColor="text1"/>
          <w:szCs w:val="22"/>
        </w:rPr>
      </w:pPr>
      <w:r w:rsidRPr="00901E26">
        <w:rPr>
          <w:rFonts w:cs="Arial"/>
          <w:color w:val="000000" w:themeColor="text1"/>
          <w:szCs w:val="22"/>
        </w:rPr>
        <w:t>Social justice and health disparities: Low-income people are more likely to have untreated substance misuse and mental health issues, yet often have trouble receiving care. Displaying these intersections corrects unfair inequalities in illness severity and care accessibility. In England's poorest deciles, Marmot's (2020) major review found that life expectancy has stopped rising and health inequities have worsened.</w:t>
      </w:r>
    </w:p>
    <w:p w14:paraId="29C52DCB" w14:textId="77777777" w:rsidR="00C05A93" w:rsidRPr="00901E26" w:rsidRDefault="00C05A93" w:rsidP="00901E26">
      <w:pPr>
        <w:spacing w:before="100" w:beforeAutospacing="1" w:after="100" w:afterAutospacing="1" w:line="360" w:lineRule="auto"/>
        <w:ind w:left="360"/>
        <w:rPr>
          <w:rFonts w:cs="Arial"/>
          <w:color w:val="000000" w:themeColor="text1"/>
          <w:szCs w:val="22"/>
        </w:rPr>
      </w:pPr>
    </w:p>
    <w:p w14:paraId="1F9048C4" w14:textId="77777777" w:rsidR="00C05A93" w:rsidRPr="00901E26" w:rsidRDefault="00C05A93" w:rsidP="00901E26">
      <w:pPr>
        <w:pStyle w:val="ListParagraph"/>
        <w:numPr>
          <w:ilvl w:val="0"/>
          <w:numId w:val="1"/>
        </w:numPr>
        <w:spacing w:before="100" w:beforeAutospacing="1" w:after="100" w:afterAutospacing="1" w:line="360" w:lineRule="auto"/>
        <w:rPr>
          <w:rFonts w:cs="Arial"/>
          <w:color w:val="000000" w:themeColor="text1"/>
          <w:szCs w:val="22"/>
        </w:rPr>
      </w:pPr>
      <w:r w:rsidRPr="00901E26">
        <w:rPr>
          <w:rFonts w:cs="Arial"/>
          <w:color w:val="000000" w:themeColor="text1"/>
          <w:szCs w:val="22"/>
        </w:rPr>
        <w:t>Service planning and policy relevance: Understanding the co-occurrence of low poverty, mental health issues, and drug misuse might help create more coherent treatment and preventive initiatives, especially for communities underserved by service silos.</w:t>
      </w:r>
    </w:p>
    <w:p w14:paraId="31DEB5CF" w14:textId="2C511FA9" w:rsidR="00656CF3" w:rsidRPr="00901E26" w:rsidRDefault="00C05A93" w:rsidP="00901E26">
      <w:pPr>
        <w:pStyle w:val="ListParagraph"/>
        <w:numPr>
          <w:ilvl w:val="0"/>
          <w:numId w:val="1"/>
        </w:numPr>
        <w:spacing w:before="100" w:beforeAutospacing="1" w:after="100" w:afterAutospacing="1" w:line="360" w:lineRule="auto"/>
        <w:rPr>
          <w:rFonts w:cs="Arial"/>
          <w:color w:val="000000" w:themeColor="text1"/>
          <w:szCs w:val="22"/>
        </w:rPr>
      </w:pPr>
      <w:r w:rsidRPr="00901E26">
        <w:rPr>
          <w:rFonts w:cs="Arial"/>
          <w:color w:val="000000" w:themeColor="text1"/>
          <w:szCs w:val="22"/>
        </w:rPr>
        <w:t>Many studies have examined substance abuse and mental ill-health independently, but few have examined their intersection among low-income groups in England and the role of untreated mental health as a mediator. After COVID-19, mental health and service access have been extremely difficult, making this gap particularly crucial.</w:t>
      </w:r>
    </w:p>
    <w:p w14:paraId="47F18583" w14:textId="77777777" w:rsidR="00656CF3" w:rsidRPr="00901E26" w:rsidRDefault="00656CF3" w:rsidP="00C01ACC">
      <w:pPr>
        <w:pStyle w:val="Heading2"/>
      </w:pPr>
      <w:bookmarkStart w:id="6" w:name="_Toc214836656"/>
      <w:r w:rsidRPr="00901E26">
        <w:t>1.3 How will the study approach this issue?</w:t>
      </w:r>
      <w:bookmarkEnd w:id="6"/>
    </w:p>
    <w:p w14:paraId="179BDF17" w14:textId="77777777" w:rsidR="00656CF3" w:rsidRPr="00656CF3" w:rsidRDefault="00656CF3" w:rsidP="00901E26">
      <w:pPr>
        <w:spacing w:before="100" w:beforeAutospacing="1" w:after="100" w:afterAutospacing="1" w:line="360" w:lineRule="auto"/>
        <w:rPr>
          <w:rFonts w:cs="Arial"/>
          <w:color w:val="000000" w:themeColor="text1"/>
          <w:szCs w:val="22"/>
        </w:rPr>
      </w:pPr>
      <w:r w:rsidRPr="00656CF3">
        <w:rPr>
          <w:rFonts w:cs="Arial"/>
          <w:color w:val="000000" w:themeColor="text1"/>
          <w:szCs w:val="22"/>
        </w:rPr>
        <w:t>This research will take a systematic review and thematic analysis approach:</w:t>
      </w:r>
    </w:p>
    <w:p w14:paraId="51CA296E" w14:textId="77777777" w:rsidR="00656CF3" w:rsidRPr="00656CF3" w:rsidRDefault="00656CF3" w:rsidP="00901E26">
      <w:pPr>
        <w:numPr>
          <w:ilvl w:val="0"/>
          <w:numId w:val="2"/>
        </w:numPr>
        <w:spacing w:before="100" w:beforeAutospacing="1" w:after="100" w:afterAutospacing="1" w:line="360" w:lineRule="auto"/>
        <w:rPr>
          <w:rFonts w:cs="Arial"/>
          <w:color w:val="000000" w:themeColor="text1"/>
          <w:szCs w:val="22"/>
        </w:rPr>
      </w:pPr>
      <w:r w:rsidRPr="00656CF3">
        <w:rPr>
          <w:rFonts w:cs="Arial"/>
          <w:color w:val="000000" w:themeColor="text1"/>
          <w:szCs w:val="22"/>
        </w:rPr>
        <w:t>It will systematically search academic databases (e.g., PubMed, Scopus, Web of Science, EBSCOhost, ProQuest) as well as national datasets and grey literature (e.g., from NHS Digital, Public Health England, ONS) for studies published in the last ten years that examine the correlation between low-income status, substance misuse and untreated mental health disorders in England.</w:t>
      </w:r>
    </w:p>
    <w:p w14:paraId="53A44404" w14:textId="55C0AE71" w:rsidR="00656CF3" w:rsidRPr="00656CF3" w:rsidRDefault="00656CF3" w:rsidP="00901E26">
      <w:pPr>
        <w:numPr>
          <w:ilvl w:val="0"/>
          <w:numId w:val="2"/>
        </w:numPr>
        <w:spacing w:before="100" w:beforeAutospacing="1" w:after="100" w:afterAutospacing="1" w:line="360" w:lineRule="auto"/>
        <w:rPr>
          <w:rFonts w:cs="Arial"/>
          <w:color w:val="000000" w:themeColor="text1"/>
          <w:szCs w:val="22"/>
        </w:rPr>
      </w:pPr>
      <w:r w:rsidRPr="00656CF3">
        <w:rPr>
          <w:rFonts w:cs="Arial"/>
          <w:color w:val="000000" w:themeColor="text1"/>
          <w:szCs w:val="22"/>
        </w:rPr>
        <w:t>It will critically appraise the included sources (using tools such as CASP for qualitative research and the Newcastle</w:t>
      </w:r>
      <w:r w:rsidR="009E0454" w:rsidRPr="00901E26">
        <w:rPr>
          <w:rFonts w:cs="Arial"/>
          <w:color w:val="000000" w:themeColor="text1"/>
          <w:szCs w:val="22"/>
        </w:rPr>
        <w:t xml:space="preserve"> </w:t>
      </w:r>
      <w:r w:rsidRPr="00656CF3">
        <w:rPr>
          <w:rFonts w:cs="Arial"/>
          <w:color w:val="000000" w:themeColor="text1"/>
          <w:szCs w:val="22"/>
        </w:rPr>
        <w:t>Ottawa Scale for observational studies) to assess quality and relevance.</w:t>
      </w:r>
    </w:p>
    <w:p w14:paraId="5FD22C3C" w14:textId="77777777" w:rsidR="00656CF3" w:rsidRPr="00656CF3" w:rsidRDefault="00656CF3" w:rsidP="00901E26">
      <w:pPr>
        <w:numPr>
          <w:ilvl w:val="0"/>
          <w:numId w:val="2"/>
        </w:numPr>
        <w:spacing w:before="100" w:beforeAutospacing="1" w:after="100" w:afterAutospacing="1" w:line="360" w:lineRule="auto"/>
        <w:rPr>
          <w:rFonts w:cs="Arial"/>
          <w:color w:val="000000" w:themeColor="text1"/>
          <w:szCs w:val="22"/>
        </w:rPr>
      </w:pPr>
      <w:r w:rsidRPr="00656CF3">
        <w:rPr>
          <w:rFonts w:cs="Arial"/>
          <w:color w:val="000000" w:themeColor="text1"/>
          <w:szCs w:val="22"/>
        </w:rPr>
        <w:t>It will then apply thematic analysis (using Braun &amp; Clarke’s six-phase framework) on the extracted qualitative data (or qualitative aspects of mixed studies) to identify, review and synthesise key themes such as socioeconomic disadvantage, mental health barriers and treatment access.</w:t>
      </w:r>
    </w:p>
    <w:p w14:paraId="1CF7F163" w14:textId="79672F44" w:rsidR="00656CF3" w:rsidRPr="00656CF3" w:rsidRDefault="00656CF3" w:rsidP="00901E26">
      <w:pPr>
        <w:numPr>
          <w:ilvl w:val="0"/>
          <w:numId w:val="2"/>
        </w:numPr>
        <w:spacing w:before="100" w:beforeAutospacing="1" w:after="100" w:afterAutospacing="1" w:line="360" w:lineRule="auto"/>
        <w:rPr>
          <w:rFonts w:cs="Arial"/>
          <w:color w:val="000000" w:themeColor="text1"/>
          <w:szCs w:val="22"/>
        </w:rPr>
      </w:pPr>
      <w:r w:rsidRPr="00656CF3">
        <w:rPr>
          <w:rFonts w:cs="Arial"/>
          <w:color w:val="000000" w:themeColor="text1"/>
          <w:szCs w:val="22"/>
        </w:rPr>
        <w:t>The study’s output will be an evidence-based synthesis of themes that link socioeconomic status, mental health and substance misuse</w:t>
      </w:r>
      <w:r w:rsidR="00C05A93" w:rsidRPr="00901E26">
        <w:rPr>
          <w:rFonts w:cs="Arial"/>
          <w:color w:val="000000" w:themeColor="text1"/>
          <w:szCs w:val="22"/>
        </w:rPr>
        <w:t>,</w:t>
      </w:r>
      <w:r w:rsidRPr="00656CF3">
        <w:rPr>
          <w:rFonts w:cs="Arial"/>
          <w:color w:val="000000" w:themeColor="text1"/>
          <w:szCs w:val="22"/>
        </w:rPr>
        <w:t xml:space="preserve"> culminating in recommendations for public health and policy interventions tailored to low-income populations in England.</w:t>
      </w:r>
    </w:p>
    <w:p w14:paraId="6EF4128B" w14:textId="77777777" w:rsidR="00656CF3" w:rsidRPr="00C01ACC" w:rsidRDefault="00656CF3" w:rsidP="00C01ACC">
      <w:pPr>
        <w:pStyle w:val="Heading2"/>
      </w:pPr>
      <w:bookmarkStart w:id="7" w:name="_Toc214836657"/>
      <w:r w:rsidRPr="00C01ACC">
        <w:t>Key Term Definitions &amp; Acronyms</w:t>
      </w:r>
      <w:bookmarkEnd w:id="7"/>
    </w:p>
    <w:p w14:paraId="24784573"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Substance Misuse: The harmful or hazardous use of psychoactive substances (including illicit drugs and misuse of legal drugs), which can lead to dependence or social/health consequences (WHO, 2021).</w:t>
      </w:r>
    </w:p>
    <w:p w14:paraId="350D166F"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lastRenderedPageBreak/>
        <w:t>Low-Income Status: A socioeconomic condition in which individuals or households are earning below a defined threshold (commonly 60% of median national income), often with restricted access to health, education or social services (DWP, 2023).</w:t>
      </w:r>
    </w:p>
    <w:p w14:paraId="52226901"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Socioeconomic Status (SES): A composite measure typically incorporating income, education and occupation that reflects an individual’s or group’s position in society (Adler &amp; Newman, 2002).</w:t>
      </w:r>
    </w:p>
    <w:p w14:paraId="0D232C8C"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Mental Health Disorders: Clinically recognised conditions that significantly impair cognitive, emotional or social functioning (e.g., depression, anxiety, PTSD) (WHO, 2022).</w:t>
      </w:r>
    </w:p>
    <w:p w14:paraId="1970C0E4"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Untreated Mental Health Disorders: Mental health conditions in which the person has not accessed or received appropriate clinical or community-based treatment, often owing to structural, social or personal barriers (Mind, 2023).</w:t>
      </w:r>
    </w:p>
    <w:p w14:paraId="15A4AFFD"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Health Inequalities: Systematic, avoidable and unfair differences in health outcomes between different social groups, often rooted in social and economic disadvantage (Marmot et al., 2020).</w:t>
      </w:r>
    </w:p>
    <w:p w14:paraId="6A00497C"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Substance Use Disorder (SUD): A medical condition characterised by compulsive use of a substance despite harmful consequences (American Psychiatric Association, 2022).</w:t>
      </w:r>
    </w:p>
    <w:p w14:paraId="28100C50"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Comorbidity: The co-existence of two or more disorders or illnesses in the same individual (e.g., a substance use disorder and major depressive disorder) (NICE, 2021).</w:t>
      </w:r>
    </w:p>
    <w:p w14:paraId="0AB532FB" w14:textId="112E3479"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Adverse Childhood Experiences (ACEs): Potentially traumatic events experienced in childhood (such as abuse, neglect or household dysfunction) that increase </w:t>
      </w:r>
      <w:r w:rsidR="005C3947" w:rsidRPr="00901E26">
        <w:rPr>
          <w:rFonts w:cs="Arial"/>
          <w:color w:val="000000" w:themeColor="text1"/>
          <w:szCs w:val="22"/>
        </w:rPr>
        <w:t xml:space="preserve">the </w:t>
      </w:r>
      <w:r w:rsidRPr="00656CF3">
        <w:rPr>
          <w:rFonts w:cs="Arial"/>
          <w:color w:val="000000" w:themeColor="text1"/>
          <w:szCs w:val="22"/>
        </w:rPr>
        <w:t>risk of later substance misuse and mental health difficulties (Hughes et al., 2017).</w:t>
      </w:r>
    </w:p>
    <w:p w14:paraId="70EF0538" w14:textId="3ADDFA5B" w:rsidR="00901E26" w:rsidRPr="00656CF3" w:rsidRDefault="00656CF3" w:rsidP="003D23D0">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Social Determinants of Health: The non-medical factors</w:t>
      </w:r>
      <w:r w:rsidR="005C3947" w:rsidRPr="00901E26">
        <w:rPr>
          <w:rFonts w:cs="Arial"/>
          <w:color w:val="000000" w:themeColor="text1"/>
          <w:szCs w:val="22"/>
        </w:rPr>
        <w:t xml:space="preserve">, </w:t>
      </w:r>
      <w:r w:rsidR="00F01DA4" w:rsidRPr="00901E26">
        <w:rPr>
          <w:rFonts w:cs="Arial"/>
          <w:color w:val="000000" w:themeColor="text1"/>
          <w:szCs w:val="22"/>
        </w:rPr>
        <w:t>i</w:t>
      </w:r>
      <w:r w:rsidRPr="00656CF3">
        <w:rPr>
          <w:rFonts w:cs="Arial"/>
          <w:color w:val="000000" w:themeColor="text1"/>
          <w:szCs w:val="22"/>
        </w:rPr>
        <w:t>ncluding socioeconomic conditions, education, housing and employment</w:t>
      </w:r>
      <w:r w:rsidR="005C3947" w:rsidRPr="00901E26">
        <w:rPr>
          <w:rFonts w:cs="Arial"/>
          <w:color w:val="000000" w:themeColor="text1"/>
          <w:szCs w:val="22"/>
        </w:rPr>
        <w:t xml:space="preserve">, </w:t>
      </w:r>
      <w:r w:rsidRPr="00656CF3">
        <w:rPr>
          <w:rFonts w:cs="Arial"/>
          <w:color w:val="000000" w:themeColor="text1"/>
          <w:szCs w:val="22"/>
        </w:rPr>
        <w:t>which influence health outcomes (WHO, 2019).</w:t>
      </w:r>
    </w:p>
    <w:p w14:paraId="704D7922"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Acronyms:</w:t>
      </w:r>
    </w:p>
    <w:p w14:paraId="672D0250" w14:textId="5ECB486F"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ONS </w:t>
      </w:r>
      <w:r w:rsidR="005C3947" w:rsidRPr="00901E26">
        <w:rPr>
          <w:rFonts w:cs="Arial"/>
          <w:color w:val="000000" w:themeColor="text1"/>
          <w:szCs w:val="22"/>
        </w:rPr>
        <w:t>-</w:t>
      </w:r>
      <w:r w:rsidRPr="00656CF3">
        <w:rPr>
          <w:rFonts w:cs="Arial"/>
          <w:color w:val="000000" w:themeColor="text1"/>
          <w:szCs w:val="22"/>
        </w:rPr>
        <w:t xml:space="preserve"> Office for National Statistics</w:t>
      </w:r>
    </w:p>
    <w:p w14:paraId="44BEA5BB" w14:textId="12222C55"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NHS </w:t>
      </w:r>
      <w:r w:rsidR="005C3947" w:rsidRPr="00901E26">
        <w:rPr>
          <w:rFonts w:cs="Arial"/>
          <w:color w:val="000000" w:themeColor="text1"/>
          <w:szCs w:val="22"/>
        </w:rPr>
        <w:t>-</w:t>
      </w:r>
      <w:r w:rsidRPr="00656CF3">
        <w:rPr>
          <w:rFonts w:cs="Arial"/>
          <w:color w:val="000000" w:themeColor="text1"/>
          <w:szCs w:val="22"/>
        </w:rPr>
        <w:t xml:space="preserve"> National Health Service</w:t>
      </w:r>
    </w:p>
    <w:p w14:paraId="60E8DBA3" w14:textId="08A9E9CF"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PHE </w:t>
      </w:r>
      <w:r w:rsidR="005C3947" w:rsidRPr="00901E26">
        <w:rPr>
          <w:rFonts w:cs="Arial"/>
          <w:color w:val="000000" w:themeColor="text1"/>
          <w:szCs w:val="22"/>
        </w:rPr>
        <w:t>-</w:t>
      </w:r>
      <w:r w:rsidRPr="00656CF3">
        <w:rPr>
          <w:rFonts w:cs="Arial"/>
          <w:color w:val="000000" w:themeColor="text1"/>
          <w:szCs w:val="22"/>
        </w:rPr>
        <w:t xml:space="preserve"> Public Health England</w:t>
      </w:r>
    </w:p>
    <w:p w14:paraId="603EDAD9" w14:textId="0AC8BE6A"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WHO </w:t>
      </w:r>
      <w:r w:rsidR="005C3947" w:rsidRPr="00901E26">
        <w:rPr>
          <w:rFonts w:cs="Arial"/>
          <w:color w:val="000000" w:themeColor="text1"/>
          <w:szCs w:val="22"/>
        </w:rPr>
        <w:t>-</w:t>
      </w:r>
      <w:r w:rsidRPr="00656CF3">
        <w:rPr>
          <w:rFonts w:cs="Arial"/>
          <w:color w:val="000000" w:themeColor="text1"/>
          <w:szCs w:val="22"/>
        </w:rPr>
        <w:t xml:space="preserve"> World Health Organization</w:t>
      </w:r>
    </w:p>
    <w:p w14:paraId="665EA07B" w14:textId="209BA3F6"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ACEs </w:t>
      </w:r>
      <w:r w:rsidR="005C3947" w:rsidRPr="00901E26">
        <w:rPr>
          <w:rFonts w:cs="Arial"/>
          <w:color w:val="000000" w:themeColor="text1"/>
          <w:szCs w:val="22"/>
        </w:rPr>
        <w:t>-</w:t>
      </w:r>
      <w:r w:rsidRPr="00656CF3">
        <w:rPr>
          <w:rFonts w:cs="Arial"/>
          <w:color w:val="000000" w:themeColor="text1"/>
          <w:szCs w:val="22"/>
        </w:rPr>
        <w:t xml:space="preserve"> </w:t>
      </w:r>
      <w:r w:rsidR="005C3947" w:rsidRPr="00901E26">
        <w:rPr>
          <w:rFonts w:cs="Arial"/>
          <w:color w:val="000000" w:themeColor="text1"/>
          <w:szCs w:val="22"/>
        </w:rPr>
        <w:t>a</w:t>
      </w:r>
      <w:r w:rsidRPr="00656CF3">
        <w:rPr>
          <w:rFonts w:cs="Arial"/>
          <w:color w:val="000000" w:themeColor="text1"/>
          <w:szCs w:val="22"/>
        </w:rPr>
        <w:t>dverse Childhood Experiences</w:t>
      </w:r>
    </w:p>
    <w:p w14:paraId="573F6CDE" w14:textId="5106F330"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SUD </w:t>
      </w:r>
      <w:r w:rsidR="005C3947" w:rsidRPr="00901E26">
        <w:rPr>
          <w:rFonts w:cs="Arial"/>
          <w:color w:val="000000" w:themeColor="text1"/>
          <w:szCs w:val="22"/>
        </w:rPr>
        <w:t>-</w:t>
      </w:r>
      <w:r w:rsidRPr="00656CF3">
        <w:rPr>
          <w:rFonts w:cs="Arial"/>
          <w:color w:val="000000" w:themeColor="text1"/>
          <w:szCs w:val="22"/>
        </w:rPr>
        <w:t xml:space="preserve"> </w:t>
      </w:r>
      <w:r w:rsidR="005C3947" w:rsidRPr="00901E26">
        <w:rPr>
          <w:rFonts w:cs="Arial"/>
          <w:color w:val="000000" w:themeColor="text1"/>
          <w:szCs w:val="22"/>
        </w:rPr>
        <w:t>substance use disorder</w:t>
      </w:r>
    </w:p>
    <w:p w14:paraId="656CB809" w14:textId="5FA95833" w:rsidR="00576D09"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SES </w:t>
      </w:r>
      <w:r w:rsidR="005C3947" w:rsidRPr="00901E26">
        <w:rPr>
          <w:rFonts w:cs="Arial"/>
          <w:color w:val="000000" w:themeColor="text1"/>
          <w:szCs w:val="22"/>
        </w:rPr>
        <w:t>-</w:t>
      </w:r>
      <w:r w:rsidRPr="00656CF3">
        <w:rPr>
          <w:rFonts w:cs="Arial"/>
          <w:color w:val="000000" w:themeColor="text1"/>
          <w:szCs w:val="22"/>
        </w:rPr>
        <w:t xml:space="preserve"> </w:t>
      </w:r>
      <w:r w:rsidR="005C3947" w:rsidRPr="00901E26">
        <w:rPr>
          <w:rFonts w:cs="Arial"/>
          <w:color w:val="000000" w:themeColor="text1"/>
          <w:szCs w:val="22"/>
        </w:rPr>
        <w:t>s</w:t>
      </w:r>
      <w:r w:rsidRPr="00656CF3">
        <w:rPr>
          <w:rFonts w:cs="Arial"/>
          <w:color w:val="000000" w:themeColor="text1"/>
          <w:szCs w:val="22"/>
        </w:rPr>
        <w:t>ocioeconomic Status</w:t>
      </w:r>
    </w:p>
    <w:p w14:paraId="3CB689BE" w14:textId="0BA99A9D" w:rsidR="00656CF3" w:rsidRPr="00901E26" w:rsidRDefault="00656CF3" w:rsidP="00C01ACC">
      <w:pPr>
        <w:pStyle w:val="Heading1"/>
      </w:pPr>
      <w:bookmarkStart w:id="8" w:name="_Toc214836658"/>
      <w:r w:rsidRPr="00901E26">
        <w:lastRenderedPageBreak/>
        <w:t>1.4 Background &amp; Current Context</w:t>
      </w:r>
      <w:bookmarkEnd w:id="8"/>
    </w:p>
    <w:p w14:paraId="3EC81348" w14:textId="42AF89CE" w:rsidR="00BF3042" w:rsidRPr="00656CF3" w:rsidRDefault="00143B06" w:rsidP="00901E26">
      <w:pPr>
        <w:spacing w:before="100" w:beforeAutospacing="1" w:after="100" w:afterAutospacing="1" w:line="360" w:lineRule="auto"/>
        <w:rPr>
          <w:rFonts w:cs="Arial"/>
          <w:color w:val="000000" w:themeColor="text1"/>
          <w:szCs w:val="22"/>
        </w:rPr>
      </w:pPr>
      <w:r w:rsidRPr="00143B06">
        <w:rPr>
          <w:rFonts w:cs="Arial"/>
          <w:color w:val="000000" w:themeColor="text1"/>
          <w:szCs w:val="22"/>
        </w:rPr>
        <w:t>Health disparities in England have persisted and even increased over the past few decades. The report "Health Equity in England: The Marmot Review 10 Years On" revealed a recent drop in life expectancy for women in the poorest decile, for the first time in over a century. This review ties these developments to worsening social determinants such as income insecurity, housing instability, and regional impoverishment.</w:t>
      </w:r>
      <w:r w:rsidRPr="00143B06">
        <w:rPr>
          <w:rFonts w:cs="Arial"/>
          <w:color w:val="000000" w:themeColor="text1"/>
          <w:szCs w:val="22"/>
        </w:rPr>
        <w:br/>
      </w:r>
      <w:r w:rsidRPr="00143B06">
        <w:rPr>
          <w:rFonts w:cs="Arial"/>
          <w:color w:val="000000" w:themeColor="text1"/>
          <w:szCs w:val="22"/>
        </w:rPr>
        <w:br/>
        <w:t>Additionally, substance abuse is a major public health issue in England. Lower socioeconomic groups use hazardous substances more and have worse outcomes (Office for National Statistics, 2022). Mental health illnesses like anxiety, depression, and trauma are more common in disadvantaged groups, but treatment is unequal (NHS Digital, 2022).</w:t>
      </w:r>
      <w:r w:rsidRPr="00143B06">
        <w:rPr>
          <w:rFonts w:cs="Arial"/>
          <w:color w:val="000000" w:themeColor="text1"/>
          <w:szCs w:val="22"/>
        </w:rPr>
        <w:br/>
      </w:r>
      <w:r w:rsidRPr="00143B06">
        <w:rPr>
          <w:rFonts w:cs="Arial"/>
          <w:color w:val="000000" w:themeColor="text1"/>
          <w:szCs w:val="22"/>
        </w:rPr>
        <w:br/>
        <w:t>These dynamics have been exposed and amplified by COVID-19. Lower-income people were more likely to experience pandemic-related stress, service disruption, and substance use relapse, and their mental health deteriorated faster (Kwong et al., 2020).</w:t>
      </w:r>
      <w:r w:rsidRPr="00143B06">
        <w:rPr>
          <w:rFonts w:cs="Arial"/>
          <w:color w:val="000000" w:themeColor="text1"/>
          <w:szCs w:val="22"/>
        </w:rPr>
        <w:br/>
      </w:r>
      <w:r w:rsidRPr="00143B06">
        <w:rPr>
          <w:rFonts w:cs="Arial"/>
          <w:color w:val="000000" w:themeColor="text1"/>
          <w:szCs w:val="22"/>
        </w:rPr>
        <w:br/>
        <w:t>Low-income people face social marginalisation, trauma, mental illness, and substance abuse, often exacerbated by structural disadvantage and inadequate treatment availability. Integrated research on income, substance usage, and untreated mental health is scarce, especially in England. This study seeks to map how these factors interact and inform targeted solutions.</w:t>
      </w:r>
    </w:p>
    <w:p w14:paraId="4DF247F0" w14:textId="77777777" w:rsidR="00656CF3" w:rsidRPr="00C01ACC" w:rsidRDefault="00656CF3" w:rsidP="00C01ACC">
      <w:pPr>
        <w:pStyle w:val="Heading1"/>
      </w:pPr>
      <w:bookmarkStart w:id="9" w:name="_Toc214836659"/>
      <w:r w:rsidRPr="00C01ACC">
        <w:t>1.5 Rationale for Research / Problem Statement</w:t>
      </w:r>
      <w:bookmarkEnd w:id="9"/>
    </w:p>
    <w:p w14:paraId="62BEA0F8" w14:textId="4CBA07B1" w:rsidR="00656CF3" w:rsidRPr="00656CF3" w:rsidRDefault="00656CF3" w:rsidP="00901E26">
      <w:pPr>
        <w:spacing w:before="100" w:beforeAutospacing="1" w:after="100" w:afterAutospacing="1" w:line="360" w:lineRule="auto"/>
        <w:rPr>
          <w:rFonts w:cs="Arial"/>
          <w:color w:val="000000" w:themeColor="text1"/>
          <w:szCs w:val="22"/>
        </w:rPr>
      </w:pPr>
      <w:r w:rsidRPr="00656CF3">
        <w:rPr>
          <w:rFonts w:cs="Arial"/>
          <w:color w:val="000000" w:themeColor="text1"/>
          <w:szCs w:val="22"/>
        </w:rPr>
        <w:t>Despite abundant research on substance misuse, mental health and socioeconomic disadvantage individually, there is a marked shortage of England-specific studies that systematically examine all three together particularly with respect to untreated mental health conditions among low-income groups. Many existing studies either focus on general populations, non-UK settings, or neglect the service access dimension.</w:t>
      </w:r>
    </w:p>
    <w:p w14:paraId="463241AE" w14:textId="77777777" w:rsidR="00656CF3" w:rsidRPr="00656CF3" w:rsidRDefault="00656CF3" w:rsidP="00901E26">
      <w:pPr>
        <w:spacing w:before="100" w:beforeAutospacing="1" w:after="100" w:afterAutospacing="1" w:line="360" w:lineRule="auto"/>
        <w:rPr>
          <w:rFonts w:cs="Arial"/>
          <w:color w:val="000000" w:themeColor="text1"/>
          <w:szCs w:val="22"/>
        </w:rPr>
      </w:pPr>
      <w:r w:rsidRPr="00656CF3">
        <w:rPr>
          <w:rFonts w:cs="Arial"/>
          <w:color w:val="000000" w:themeColor="text1"/>
          <w:szCs w:val="22"/>
        </w:rPr>
        <w:t>The problem this research addresses is the gap in understanding how low-income status contributes to a triad: increased risk of substance misuse, higher prevalence of untreated mental health disorders, and reduced access to effective interventions. Without better evidence on these linkages, public health strategies and policy frameworks may fail to reach the most disadvantaged, and opportunities for integrated care and prevention may be missed.</w:t>
      </w:r>
    </w:p>
    <w:p w14:paraId="52A63512" w14:textId="4BBDEA13" w:rsidR="00BF3042" w:rsidRPr="00656CF3" w:rsidRDefault="00656CF3" w:rsidP="00901E26">
      <w:pPr>
        <w:spacing w:before="100" w:beforeAutospacing="1" w:after="100" w:afterAutospacing="1" w:line="360" w:lineRule="auto"/>
        <w:rPr>
          <w:rFonts w:cs="Arial"/>
          <w:color w:val="000000" w:themeColor="text1"/>
          <w:szCs w:val="22"/>
        </w:rPr>
      </w:pPr>
      <w:r w:rsidRPr="00656CF3">
        <w:rPr>
          <w:rFonts w:cs="Arial"/>
          <w:color w:val="000000" w:themeColor="text1"/>
          <w:szCs w:val="22"/>
        </w:rPr>
        <w:lastRenderedPageBreak/>
        <w:t>By synthesising empirical evidence through thematic analysis, this study aims to uncover patterns of vulnerability, highlight systemic barriers and propose equity-oriented recommendations. These insights are especially urgent given the ongoing pressures on public health and social services in England.</w:t>
      </w:r>
    </w:p>
    <w:p w14:paraId="753D6D1E" w14:textId="77777777" w:rsidR="00656CF3" w:rsidRPr="00C01ACC" w:rsidRDefault="00656CF3" w:rsidP="00C01ACC">
      <w:pPr>
        <w:pStyle w:val="Heading1"/>
      </w:pPr>
      <w:bookmarkStart w:id="10" w:name="_Toc214836660"/>
      <w:r w:rsidRPr="00C01ACC">
        <w:t>1.6 Aim &amp; Objectives</w:t>
      </w:r>
      <w:bookmarkEnd w:id="10"/>
    </w:p>
    <w:p w14:paraId="1CB58E74" w14:textId="4FC9BD6F" w:rsidR="00A8429E" w:rsidRPr="00656CF3" w:rsidRDefault="00656CF3" w:rsidP="00901E26">
      <w:pPr>
        <w:spacing w:before="100" w:beforeAutospacing="1" w:after="100" w:afterAutospacing="1" w:line="360" w:lineRule="auto"/>
        <w:rPr>
          <w:rFonts w:cs="Arial"/>
          <w:color w:val="000000" w:themeColor="text1"/>
          <w:szCs w:val="22"/>
        </w:rPr>
      </w:pPr>
      <w:bookmarkStart w:id="11" w:name="_Toc214836661"/>
      <w:r w:rsidRPr="00656CF3">
        <w:rPr>
          <w:rStyle w:val="Heading2Char"/>
        </w:rPr>
        <w:t>Aim</w:t>
      </w:r>
      <w:bookmarkEnd w:id="11"/>
      <w:r w:rsidRPr="00656CF3">
        <w:rPr>
          <w:rFonts w:cs="Arial"/>
          <w:b/>
          <w:bCs/>
          <w:color w:val="000000" w:themeColor="text1"/>
          <w:szCs w:val="22"/>
        </w:rPr>
        <w:t>:</w:t>
      </w:r>
      <w:r w:rsidRPr="00656CF3">
        <w:rPr>
          <w:rFonts w:cs="Arial"/>
          <w:color w:val="000000" w:themeColor="text1"/>
          <w:szCs w:val="22"/>
        </w:rPr>
        <w:br/>
        <w:t>To explore how substance misuse correlates with low-income status and untreated mental health disorders in England.</w:t>
      </w:r>
    </w:p>
    <w:p w14:paraId="4086CB63" w14:textId="77777777" w:rsidR="00656CF3" w:rsidRPr="00656CF3" w:rsidRDefault="00656CF3" w:rsidP="00C01ACC">
      <w:pPr>
        <w:pStyle w:val="Heading2"/>
      </w:pPr>
      <w:bookmarkStart w:id="12" w:name="_Toc214836662"/>
      <w:r w:rsidRPr="00656CF3">
        <w:t>Objectives:</w:t>
      </w:r>
      <w:bookmarkEnd w:id="12"/>
    </w:p>
    <w:p w14:paraId="0E355EFF" w14:textId="77777777" w:rsidR="00656CF3" w:rsidRPr="00656CF3" w:rsidRDefault="00656CF3" w:rsidP="00901E26">
      <w:pPr>
        <w:numPr>
          <w:ilvl w:val="0"/>
          <w:numId w:val="4"/>
        </w:numPr>
        <w:spacing w:before="100" w:beforeAutospacing="1" w:after="100" w:afterAutospacing="1" w:line="360" w:lineRule="auto"/>
        <w:rPr>
          <w:rFonts w:cs="Arial"/>
          <w:color w:val="000000" w:themeColor="text1"/>
          <w:szCs w:val="22"/>
        </w:rPr>
      </w:pPr>
      <w:r w:rsidRPr="00656CF3">
        <w:rPr>
          <w:rFonts w:cs="Arial"/>
          <w:color w:val="000000" w:themeColor="text1"/>
          <w:szCs w:val="22"/>
        </w:rPr>
        <w:t>To critically review academic literature on the prevalence of substance misuse among low-income populations in England and its association with untreated mental health disorders.</w:t>
      </w:r>
    </w:p>
    <w:p w14:paraId="308A21CC" w14:textId="77777777" w:rsidR="00656CF3" w:rsidRPr="00656CF3" w:rsidRDefault="00656CF3" w:rsidP="00901E26">
      <w:pPr>
        <w:numPr>
          <w:ilvl w:val="0"/>
          <w:numId w:val="4"/>
        </w:numPr>
        <w:spacing w:before="100" w:beforeAutospacing="1" w:after="100" w:afterAutospacing="1" w:line="360" w:lineRule="auto"/>
        <w:rPr>
          <w:rFonts w:cs="Arial"/>
          <w:color w:val="000000" w:themeColor="text1"/>
          <w:szCs w:val="22"/>
        </w:rPr>
      </w:pPr>
      <w:r w:rsidRPr="00656CF3">
        <w:rPr>
          <w:rFonts w:cs="Arial"/>
          <w:color w:val="000000" w:themeColor="text1"/>
          <w:szCs w:val="22"/>
        </w:rPr>
        <w:t>To investigate the intersection of socioeconomic disadvantage, substance misuse, and mental health conditions such as anxiety, depression and trauma within diverse demographic groups in England.</w:t>
      </w:r>
    </w:p>
    <w:p w14:paraId="3E3F5BB0" w14:textId="77777777" w:rsidR="00656CF3" w:rsidRPr="00656CF3" w:rsidRDefault="00656CF3" w:rsidP="00901E26">
      <w:pPr>
        <w:numPr>
          <w:ilvl w:val="0"/>
          <w:numId w:val="4"/>
        </w:numPr>
        <w:spacing w:before="100" w:beforeAutospacing="1" w:after="100" w:afterAutospacing="1" w:line="360" w:lineRule="auto"/>
        <w:rPr>
          <w:rFonts w:cs="Arial"/>
          <w:color w:val="000000" w:themeColor="text1"/>
          <w:szCs w:val="22"/>
        </w:rPr>
      </w:pPr>
      <w:r w:rsidRPr="00656CF3">
        <w:rPr>
          <w:rFonts w:cs="Arial"/>
          <w:color w:val="000000" w:themeColor="text1"/>
          <w:szCs w:val="22"/>
        </w:rPr>
        <w:t>To identify disparities in access to substance misuse treatment and mental health services among low-income populations.</w:t>
      </w:r>
    </w:p>
    <w:p w14:paraId="1FAD3AD8" w14:textId="77777777" w:rsidR="00656CF3" w:rsidRPr="00656CF3" w:rsidRDefault="00656CF3" w:rsidP="00901E26">
      <w:pPr>
        <w:numPr>
          <w:ilvl w:val="0"/>
          <w:numId w:val="4"/>
        </w:numPr>
        <w:spacing w:before="100" w:beforeAutospacing="1" w:after="100" w:afterAutospacing="1" w:line="360" w:lineRule="auto"/>
        <w:rPr>
          <w:rFonts w:cs="Arial"/>
          <w:color w:val="000000" w:themeColor="text1"/>
          <w:szCs w:val="22"/>
        </w:rPr>
      </w:pPr>
      <w:r w:rsidRPr="00656CF3">
        <w:rPr>
          <w:rFonts w:cs="Arial"/>
          <w:color w:val="000000" w:themeColor="text1"/>
          <w:szCs w:val="22"/>
        </w:rPr>
        <w:t>To synthesise key findings via thematic analysis and provide evidence-based recommendations for public health and policy interventions aimed at reducing inequalities.</w:t>
      </w:r>
    </w:p>
    <w:p w14:paraId="53B72405" w14:textId="77777777" w:rsidR="00656CF3" w:rsidRPr="00C01ACC" w:rsidRDefault="00656CF3" w:rsidP="00C01ACC">
      <w:pPr>
        <w:pStyle w:val="Heading1"/>
      </w:pPr>
      <w:bookmarkStart w:id="13" w:name="_Toc214836663"/>
      <w:r w:rsidRPr="00C01ACC">
        <w:t>1.7 Conclusion</w:t>
      </w:r>
      <w:bookmarkEnd w:id="13"/>
    </w:p>
    <w:p w14:paraId="1F49C2A1" w14:textId="77777777" w:rsidR="00043EFA" w:rsidRPr="00043EFA" w:rsidRDefault="00043EFA" w:rsidP="00C01ACC">
      <w:pPr>
        <w:spacing w:before="100" w:beforeAutospacing="1" w:after="100" w:afterAutospacing="1" w:line="360" w:lineRule="auto"/>
        <w:rPr>
          <w:rFonts w:cs="Arial"/>
          <w:color w:val="000000" w:themeColor="text1"/>
          <w:szCs w:val="22"/>
        </w:rPr>
      </w:pPr>
      <w:r w:rsidRPr="00043EFA">
        <w:rPr>
          <w:rFonts w:cs="Arial"/>
          <w:color w:val="000000" w:themeColor="text1"/>
          <w:szCs w:val="22"/>
        </w:rPr>
        <w:t>This chapter has set the stage for the dissertation by explaining the research's purpose, significance, and methodology. We have defined key concepts to anchor the discussion throughout the study. The background section has placed the issue within the broader context of socioeconomic disadvantages, mental health inequalities, and substance misuse in England, highlighting the urgency of tackling their intersections. The rationale has demonstrated the research gap and clarified the problem statement. Finally, the aim and objectives frame the path ahead.</w:t>
      </w:r>
    </w:p>
    <w:p w14:paraId="5782C845" w14:textId="7EA985DF" w:rsidR="00BF3042" w:rsidRDefault="00043EFA" w:rsidP="00842145">
      <w:pPr>
        <w:spacing w:before="100" w:beforeAutospacing="1" w:after="100" w:afterAutospacing="1" w:line="360" w:lineRule="auto"/>
        <w:rPr>
          <w:rFonts w:cs="Arial"/>
          <w:color w:val="000000" w:themeColor="text1"/>
          <w:szCs w:val="22"/>
        </w:rPr>
      </w:pPr>
      <w:r w:rsidRPr="00043EFA">
        <w:rPr>
          <w:rFonts w:cs="Arial"/>
          <w:color w:val="000000" w:themeColor="text1"/>
          <w:szCs w:val="22"/>
        </w:rPr>
        <w:t>In the next chapter, a thorough "literature review" will examine existing research and policy frameworks related to socioeconomic disadvantage, substance misuse, and untreated mental health in England. This will establish the theoretical and empirical foundation for the subsequent analysis.</w:t>
      </w:r>
    </w:p>
    <w:p w14:paraId="694DB8EA" w14:textId="730BFBDC" w:rsidR="009276ED" w:rsidRPr="005A439E" w:rsidRDefault="009276ED" w:rsidP="005A439E">
      <w:pPr>
        <w:pStyle w:val="Heading1"/>
      </w:pPr>
      <w:bookmarkStart w:id="14" w:name="_Toc214836664"/>
      <w:r w:rsidRPr="005A439E">
        <w:rPr>
          <w:rStyle w:val="Strong"/>
          <w:b/>
          <w:bCs/>
        </w:rPr>
        <w:lastRenderedPageBreak/>
        <w:t>CHAPTER 2: BACKGROUND</w:t>
      </w:r>
      <w:bookmarkEnd w:id="14"/>
    </w:p>
    <w:p w14:paraId="65BBD9C6" w14:textId="77777777" w:rsidR="009276ED" w:rsidRPr="005A439E" w:rsidRDefault="009276ED" w:rsidP="005A439E">
      <w:pPr>
        <w:pStyle w:val="Heading2"/>
      </w:pPr>
      <w:bookmarkStart w:id="15" w:name="_Toc214836665"/>
      <w:r w:rsidRPr="005A439E">
        <w:rPr>
          <w:rStyle w:val="Strong"/>
          <w:b w:val="0"/>
          <w:bCs/>
        </w:rPr>
        <w:t>2.1 Introduction</w:t>
      </w:r>
      <w:bookmarkEnd w:id="15"/>
    </w:p>
    <w:p w14:paraId="729E68ED" w14:textId="77777777" w:rsidR="009276ED" w:rsidRPr="00901E26" w:rsidRDefault="009276ED" w:rsidP="00901E26">
      <w:pPr>
        <w:spacing w:line="360" w:lineRule="auto"/>
        <w:rPr>
          <w:rFonts w:cs="Arial"/>
          <w:color w:val="000000" w:themeColor="text1"/>
          <w:szCs w:val="22"/>
        </w:rPr>
      </w:pPr>
      <w:r w:rsidRPr="00901E26">
        <w:rPr>
          <w:rFonts w:cs="Arial"/>
          <w:color w:val="000000" w:themeColor="text1"/>
          <w:szCs w:val="22"/>
        </w:rPr>
        <w:t>This chapter provides the historical, theoretical, and contextual background necessary to understand the complex relationship between substance misuse, low-income status, and untreated mental health disorders in England. By exploring how these issues have evolved, the chapter sets the stage for the methodological approach and analytical framework used later in this dissertation.</w:t>
      </w:r>
    </w:p>
    <w:p w14:paraId="422C50CC" w14:textId="77777777" w:rsidR="009276ED" w:rsidRPr="00901E26" w:rsidRDefault="009276ED" w:rsidP="00901E26">
      <w:pPr>
        <w:spacing w:line="360" w:lineRule="auto"/>
        <w:rPr>
          <w:rFonts w:cs="Arial"/>
          <w:color w:val="000000" w:themeColor="text1"/>
          <w:szCs w:val="22"/>
        </w:rPr>
      </w:pPr>
      <w:r w:rsidRPr="00901E26">
        <w:rPr>
          <w:rFonts w:cs="Arial"/>
          <w:color w:val="000000" w:themeColor="text1"/>
          <w:szCs w:val="22"/>
        </w:rPr>
        <w:t>The chapter begins by tracing the</w:t>
      </w:r>
      <w:r w:rsidRPr="00901E26">
        <w:rPr>
          <w:rStyle w:val="apple-converted-space"/>
          <w:rFonts w:cs="Arial"/>
          <w:color w:val="000000" w:themeColor="text1"/>
          <w:szCs w:val="22"/>
        </w:rPr>
        <w:t> </w:t>
      </w:r>
      <w:r w:rsidRPr="00901E26">
        <w:rPr>
          <w:rStyle w:val="Strong"/>
          <w:rFonts w:cs="Arial"/>
          <w:b w:val="0"/>
          <w:bCs w:val="0"/>
          <w:color w:val="000000" w:themeColor="text1"/>
          <w:szCs w:val="22"/>
        </w:rPr>
        <w:t>historical development</w:t>
      </w:r>
      <w:r w:rsidRPr="00901E26">
        <w:rPr>
          <w:rStyle w:val="apple-converted-space"/>
          <w:rFonts w:cs="Arial"/>
          <w:color w:val="000000" w:themeColor="text1"/>
          <w:szCs w:val="22"/>
        </w:rPr>
        <w:t> </w:t>
      </w:r>
      <w:r w:rsidRPr="00901E26">
        <w:rPr>
          <w:rFonts w:cs="Arial"/>
          <w:color w:val="000000" w:themeColor="text1"/>
          <w:szCs w:val="22"/>
        </w:rPr>
        <w:t>of substance misuse and its societal responses, highlighting key figures, institutions, and policy milestones that shaped our current understanding. It then examines the</w:t>
      </w:r>
      <w:r w:rsidRPr="00901E26">
        <w:rPr>
          <w:rStyle w:val="apple-converted-space"/>
          <w:rFonts w:cs="Arial"/>
          <w:color w:val="000000" w:themeColor="text1"/>
          <w:szCs w:val="22"/>
        </w:rPr>
        <w:t> </w:t>
      </w:r>
      <w:r w:rsidRPr="00901E26">
        <w:rPr>
          <w:rStyle w:val="Strong"/>
          <w:rFonts w:cs="Arial"/>
          <w:b w:val="0"/>
          <w:bCs w:val="0"/>
          <w:color w:val="000000" w:themeColor="text1"/>
          <w:szCs w:val="22"/>
        </w:rPr>
        <w:t>theoretical frameworks</w:t>
      </w:r>
      <w:r w:rsidRPr="00901E26">
        <w:rPr>
          <w:rStyle w:val="apple-converted-space"/>
          <w:rFonts w:cs="Arial"/>
          <w:color w:val="000000" w:themeColor="text1"/>
          <w:szCs w:val="22"/>
        </w:rPr>
        <w:t> </w:t>
      </w:r>
      <w:r w:rsidRPr="00901E26">
        <w:rPr>
          <w:rFonts w:cs="Arial"/>
          <w:color w:val="000000" w:themeColor="text1"/>
          <w:szCs w:val="22"/>
        </w:rPr>
        <w:t>underpinning substance misuse and mental health, such as the social determinants of health model, the stress-vulnerability model, and theories of social exclusion.</w:t>
      </w:r>
    </w:p>
    <w:p w14:paraId="39246FF6" w14:textId="77777777" w:rsidR="009276ED" w:rsidRPr="00901E26" w:rsidRDefault="009276ED" w:rsidP="00901E26">
      <w:pPr>
        <w:spacing w:line="360" w:lineRule="auto"/>
        <w:rPr>
          <w:rFonts w:cs="Arial"/>
          <w:color w:val="000000" w:themeColor="text1"/>
          <w:szCs w:val="22"/>
        </w:rPr>
      </w:pPr>
      <w:r w:rsidRPr="00901E26">
        <w:rPr>
          <w:rFonts w:cs="Arial"/>
          <w:color w:val="000000" w:themeColor="text1"/>
          <w:szCs w:val="22"/>
        </w:rPr>
        <w:t>Following this, the discussion broadens to the</w:t>
      </w:r>
      <w:r w:rsidRPr="00901E26">
        <w:rPr>
          <w:rStyle w:val="apple-converted-space"/>
          <w:rFonts w:cs="Arial"/>
          <w:color w:val="000000" w:themeColor="text1"/>
          <w:szCs w:val="22"/>
        </w:rPr>
        <w:t> </w:t>
      </w:r>
      <w:r w:rsidRPr="00901E26">
        <w:rPr>
          <w:rStyle w:val="Strong"/>
          <w:rFonts w:cs="Arial"/>
          <w:b w:val="0"/>
          <w:bCs w:val="0"/>
          <w:color w:val="000000" w:themeColor="text1"/>
          <w:szCs w:val="22"/>
        </w:rPr>
        <w:t>international context</w:t>
      </w:r>
      <w:r w:rsidRPr="00901E26">
        <w:rPr>
          <w:rFonts w:cs="Arial"/>
          <w:color w:val="000000" w:themeColor="text1"/>
          <w:szCs w:val="22"/>
        </w:rPr>
        <w:t>, comparing global perspectives and policies addressing substance misuse and mental health inequalities. Finally, attention turns to the</w:t>
      </w:r>
      <w:r w:rsidRPr="00901E26">
        <w:rPr>
          <w:rStyle w:val="apple-converted-space"/>
          <w:rFonts w:cs="Arial"/>
          <w:color w:val="000000" w:themeColor="text1"/>
          <w:szCs w:val="22"/>
        </w:rPr>
        <w:t> </w:t>
      </w:r>
      <w:r w:rsidRPr="00901E26">
        <w:rPr>
          <w:rStyle w:val="Strong"/>
          <w:rFonts w:cs="Arial"/>
          <w:b w:val="0"/>
          <w:bCs w:val="0"/>
          <w:color w:val="000000" w:themeColor="text1"/>
          <w:szCs w:val="22"/>
        </w:rPr>
        <w:t>national and local UK context</w:t>
      </w:r>
      <w:r w:rsidRPr="00901E26">
        <w:rPr>
          <w:rFonts w:cs="Arial"/>
          <w:color w:val="000000" w:themeColor="text1"/>
          <w:szCs w:val="22"/>
        </w:rPr>
        <w:t>, focusing specifically on England, to examine how government policies, socioeconomic disparities, and regional variations continue to influence patterns of substance misuse and access to mental health support.</w:t>
      </w:r>
    </w:p>
    <w:p w14:paraId="45E7FFA4" w14:textId="619647F3" w:rsidR="009276ED" w:rsidRPr="00901E26" w:rsidRDefault="009276ED" w:rsidP="00901E26">
      <w:pPr>
        <w:spacing w:line="360" w:lineRule="auto"/>
        <w:rPr>
          <w:rFonts w:cs="Arial"/>
          <w:color w:val="000000" w:themeColor="text1"/>
          <w:szCs w:val="22"/>
        </w:rPr>
      </w:pPr>
    </w:p>
    <w:p w14:paraId="70471728" w14:textId="77777777" w:rsidR="009276ED" w:rsidRPr="00196CC7" w:rsidRDefault="009276ED" w:rsidP="00196CC7">
      <w:pPr>
        <w:pStyle w:val="Heading2"/>
      </w:pPr>
      <w:bookmarkStart w:id="16" w:name="_Toc214836666"/>
      <w:r w:rsidRPr="00196CC7">
        <w:rPr>
          <w:rStyle w:val="Strong"/>
          <w:b w:val="0"/>
          <w:bCs/>
        </w:rPr>
        <w:t>2.2 Historical Background</w:t>
      </w:r>
      <w:bookmarkEnd w:id="16"/>
    </w:p>
    <w:p w14:paraId="73F651A2"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Substance abuse is deeply rooted in social, economic, and cultural changes. Psychoactive substances were once socially acceptable and medically controversial. Opium and laudanum were widely available and even prescribed by doctors in 19th-century Britain, demonstrating a limited understanding of addiction as a medical condition (Berridge, 2013). Early addiction researchers like Dr Norman Zinberg and Howard Becker's sociological work shaped the mid-20th-century view of addiction as a public health issue rather than a moral failing (Becker, 1963).</w:t>
      </w:r>
    </w:p>
    <w:p w14:paraId="4BA6B494"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By classifying drugs into legal categories (A, B, and C) and making substance misuse a criminal and social issue, the Misuse of Drugs Act (1971) transformed the UK (Home Office, 1971). Critics say this legislation reinforced punitive methods rather than addressing addiction's social causes (Stevens, 2019).</w:t>
      </w:r>
    </w:p>
    <w:p w14:paraId="556A7964"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 xml:space="preserve">After the 1980s HIV/AIDS pandemic, the UK's approach changed. Needle exchange and safe use education became public health strategies after those changes (Stimson, 1995). </w:t>
      </w:r>
      <w:r w:rsidRPr="00A9025C">
        <w:rPr>
          <w:rFonts w:cs="Arial"/>
          <w:color w:val="000000" w:themeColor="text1"/>
          <w:szCs w:val="22"/>
        </w:rPr>
        <w:lastRenderedPageBreak/>
        <w:t>These interventions recognised that health inequalities, like poverty, unemployment, and a lack of education, contributed to substance abuse.</w:t>
      </w:r>
    </w:p>
    <w:p w14:paraId="70BFD32F"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New developments occurred in the 21st century. The Marmot Review (2010) and Dame Carol Black's Independent Review of Drugs (2021) shed light on how socioeconomic inequality contributes to addiction and poor mental health (Marmot et al., 2020; Black, 2021). These findings support integrating health and social policies and promoting prevention rather than reactive criminalisation.</w:t>
      </w:r>
    </w:p>
    <w:p w14:paraId="0A159475"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Substance abuse has been framed by society's views on poverty and morality. Understanding this evolution helps explain why low-income populations are disproportionately affected today: systemic disadvantage shapes risk exposure and treatment access (Room, 2005).</w:t>
      </w:r>
    </w:p>
    <w:p w14:paraId="744970CC" w14:textId="48C67F2B" w:rsidR="009276ED" w:rsidRPr="00901E26" w:rsidRDefault="009276ED" w:rsidP="00901E26">
      <w:pPr>
        <w:spacing w:line="360" w:lineRule="auto"/>
        <w:rPr>
          <w:rFonts w:cs="Arial"/>
          <w:color w:val="000000" w:themeColor="text1"/>
          <w:szCs w:val="22"/>
        </w:rPr>
      </w:pPr>
    </w:p>
    <w:p w14:paraId="40793922" w14:textId="77777777" w:rsidR="009276ED" w:rsidRPr="00901E26" w:rsidRDefault="009276ED" w:rsidP="005A439E">
      <w:pPr>
        <w:pStyle w:val="Heading2"/>
      </w:pPr>
      <w:bookmarkStart w:id="17" w:name="_Toc214836667"/>
      <w:r w:rsidRPr="00901E26">
        <w:rPr>
          <w:rStyle w:val="Strong"/>
          <w:rFonts w:cs="Arial"/>
          <w:b w:val="0"/>
          <w:bCs/>
          <w:color w:val="000000" w:themeColor="text1"/>
          <w:szCs w:val="22"/>
        </w:rPr>
        <w:t>2.3 Theoretical Background</w:t>
      </w:r>
      <w:bookmarkEnd w:id="17"/>
    </w:p>
    <w:p w14:paraId="612133BF"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Theories and conceptual frameworks help explain the complicated relationship between socioeconomic status, substance misuse, and mental health. Three major theoretical perspectives underpin this research:</w:t>
      </w:r>
    </w:p>
    <w:p w14:paraId="400151E3" w14:textId="77777777" w:rsidR="009276ED" w:rsidRPr="005A439E" w:rsidRDefault="009276ED" w:rsidP="005A439E">
      <w:pPr>
        <w:rPr>
          <w:b/>
          <w:bCs/>
        </w:rPr>
      </w:pPr>
      <w:r w:rsidRPr="005A439E">
        <w:rPr>
          <w:rStyle w:val="Strong"/>
          <w:rFonts w:cs="Arial"/>
          <w:b w:val="0"/>
          <w:bCs w:val="0"/>
          <w:color w:val="000000" w:themeColor="text1"/>
          <w:szCs w:val="22"/>
        </w:rPr>
        <w:t>1. The Social Determinants of Health Model</w:t>
      </w:r>
    </w:p>
    <w:p w14:paraId="51DDA32D"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The Social Determinants of Health (SDH) model, developed by the World Health Organization (WHO, 2019), posits that health outcomes are shaped by non-medical factors such as income, education, housing, and social capital. Within this framework, poverty is not just an economic condition but a determinant that influences physical and mental well-being. Marmot et al. (2020) argue that inequalities in power, resources, and opportunities create "avoidable health gaps," making low-income groups more susceptible to substance misuse and untreated mental illness.</w:t>
      </w:r>
    </w:p>
    <w:p w14:paraId="3EC9E12B" w14:textId="79B1D0A3" w:rsid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This theory aligns with the focus of the current study, as it provides a holistic lens through which to examine how structural disadvantage fosters vulnerability to substance use.</w:t>
      </w:r>
    </w:p>
    <w:p w14:paraId="359DF8FF" w14:textId="08662B2D" w:rsidR="005A439E" w:rsidRDefault="005A439E" w:rsidP="00901E26">
      <w:pPr>
        <w:spacing w:before="100" w:beforeAutospacing="1" w:after="100" w:afterAutospacing="1" w:line="360" w:lineRule="auto"/>
        <w:rPr>
          <w:rFonts w:cs="Arial"/>
          <w:color w:val="000000" w:themeColor="text1"/>
          <w:szCs w:val="22"/>
        </w:rPr>
      </w:pPr>
    </w:p>
    <w:p w14:paraId="52931D56" w14:textId="70D94AB9" w:rsidR="005A439E" w:rsidRDefault="005A439E" w:rsidP="00901E26">
      <w:pPr>
        <w:spacing w:before="100" w:beforeAutospacing="1" w:after="100" w:afterAutospacing="1" w:line="360" w:lineRule="auto"/>
        <w:rPr>
          <w:rFonts w:cs="Arial"/>
          <w:color w:val="000000" w:themeColor="text1"/>
          <w:szCs w:val="22"/>
        </w:rPr>
      </w:pPr>
    </w:p>
    <w:p w14:paraId="5B149D48" w14:textId="77777777" w:rsidR="005A439E" w:rsidRPr="00A9025C" w:rsidRDefault="005A439E" w:rsidP="00901E26">
      <w:pPr>
        <w:spacing w:before="100" w:beforeAutospacing="1" w:after="100" w:afterAutospacing="1" w:line="360" w:lineRule="auto"/>
        <w:rPr>
          <w:rFonts w:cs="Arial"/>
          <w:color w:val="000000" w:themeColor="text1"/>
          <w:szCs w:val="22"/>
        </w:rPr>
      </w:pPr>
    </w:p>
    <w:p w14:paraId="61B35814" w14:textId="77777777" w:rsidR="009276ED" w:rsidRPr="005A439E" w:rsidRDefault="009276ED" w:rsidP="005A439E">
      <w:pPr>
        <w:rPr>
          <w:b/>
          <w:bCs/>
        </w:rPr>
      </w:pPr>
      <w:r w:rsidRPr="005A439E">
        <w:rPr>
          <w:rStyle w:val="Strong"/>
          <w:rFonts w:cs="Arial"/>
          <w:b w:val="0"/>
          <w:bCs w:val="0"/>
          <w:color w:val="000000" w:themeColor="text1"/>
          <w:szCs w:val="22"/>
        </w:rPr>
        <w:lastRenderedPageBreak/>
        <w:t>2. The Stress-Vulnerability Model</w:t>
      </w:r>
    </w:p>
    <w:p w14:paraId="74F3F1B5"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The Stress-Vulnerability Model, proposed by Zubin and Spring (1977), explains how environmental stressors like financial insecurity and trauma interact with biological or psychological predispositions to cause mental health or substance use disorders. Chronic debt, housing instability, or social marginalisation can increase substance use as as self-medication in low-income settings (Sinha, 2008).</w:t>
      </w:r>
    </w:p>
    <w:p w14:paraId="4D8C95A7"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Modern research shows that socioeconomic stressors increase substance misuse and relapse (Lloyd et al., 2019). Recognising internal and external factors is its strength, but it is sometimes criticised for underplaying structural inequalities and focusing too narrowly on individual pathologies (Hatzenbuehler et al., 2013).</w:t>
      </w:r>
    </w:p>
    <w:p w14:paraId="3C94F997" w14:textId="3A37E4FB" w:rsidR="00576D09" w:rsidRPr="00901E26" w:rsidRDefault="00576D09" w:rsidP="00901E26">
      <w:pPr>
        <w:pStyle w:val="NormalWeb"/>
        <w:spacing w:line="360" w:lineRule="auto"/>
        <w:rPr>
          <w:rFonts w:ascii="Arial" w:hAnsi="Arial" w:cs="Arial"/>
          <w:color w:val="000000" w:themeColor="text1"/>
          <w:szCs w:val="22"/>
        </w:rPr>
      </w:pPr>
    </w:p>
    <w:p w14:paraId="0D5843D5" w14:textId="77777777" w:rsidR="00576D09" w:rsidRPr="00901E26" w:rsidRDefault="00576D09" w:rsidP="00901E26">
      <w:pPr>
        <w:pStyle w:val="NormalWeb"/>
        <w:spacing w:line="360" w:lineRule="auto"/>
        <w:rPr>
          <w:rFonts w:ascii="Arial" w:hAnsi="Arial" w:cs="Arial"/>
          <w:color w:val="000000" w:themeColor="text1"/>
          <w:szCs w:val="22"/>
        </w:rPr>
      </w:pPr>
    </w:p>
    <w:p w14:paraId="103485E4" w14:textId="77777777" w:rsidR="009276ED" w:rsidRPr="005A439E" w:rsidRDefault="009276ED" w:rsidP="005A439E">
      <w:pPr>
        <w:rPr>
          <w:b/>
          <w:bCs/>
        </w:rPr>
      </w:pPr>
      <w:r w:rsidRPr="005A439E">
        <w:rPr>
          <w:rStyle w:val="Strong"/>
          <w:rFonts w:cs="Arial"/>
          <w:b w:val="0"/>
          <w:bCs w:val="0"/>
          <w:color w:val="000000" w:themeColor="text1"/>
          <w:szCs w:val="22"/>
        </w:rPr>
        <w:t>3. Social Exclusion and the Cycle of Disadvantage</w:t>
      </w:r>
    </w:p>
    <w:p w14:paraId="286D6220"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Silver's (1994) Social Exclusion Theory explains how marginalisation perpetuates poverty, mental illness, and addiction cycles. Social exclusion hinders employment, housing, healthcare, and community participation, increasing substance misuse risk (Room, 2005).</w:t>
      </w:r>
    </w:p>
    <w:p w14:paraId="075A3C78"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Austerity policies have increased social inequality and reduced access to community-based mental health services in the UK (Bambra et al., 2020), making this framework relevant. It highlights structural disadvantage, but critics say it oversimplifies individual agency in recovery (Lister, 2004).</w:t>
      </w:r>
    </w:p>
    <w:p w14:paraId="2BCE8F14"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This study uses these theories to explain the relationship between low income, substance abuse, and untreated mental health disorders at the individual and structural levels.</w:t>
      </w:r>
    </w:p>
    <w:p w14:paraId="42C1AFD2" w14:textId="531D40ED" w:rsidR="00BF3042" w:rsidRPr="00901E26" w:rsidRDefault="00BF3042" w:rsidP="00901E26">
      <w:pPr>
        <w:spacing w:line="360" w:lineRule="auto"/>
        <w:rPr>
          <w:rFonts w:cs="Arial"/>
          <w:color w:val="000000" w:themeColor="text1"/>
          <w:szCs w:val="22"/>
        </w:rPr>
      </w:pPr>
    </w:p>
    <w:p w14:paraId="245098B2" w14:textId="2D2420BE" w:rsidR="00BF3042" w:rsidRPr="00901E26" w:rsidRDefault="00BF3042" w:rsidP="00901E26">
      <w:pPr>
        <w:spacing w:line="360" w:lineRule="auto"/>
        <w:rPr>
          <w:rFonts w:cs="Arial"/>
          <w:color w:val="000000" w:themeColor="text1"/>
          <w:szCs w:val="22"/>
        </w:rPr>
      </w:pPr>
    </w:p>
    <w:p w14:paraId="5E08E9DF" w14:textId="05EF50B2" w:rsidR="00BF3042" w:rsidRDefault="00BF3042" w:rsidP="00901E26">
      <w:pPr>
        <w:spacing w:line="360" w:lineRule="auto"/>
        <w:rPr>
          <w:rFonts w:cs="Arial"/>
          <w:color w:val="000000" w:themeColor="text1"/>
          <w:szCs w:val="22"/>
        </w:rPr>
      </w:pPr>
    </w:p>
    <w:p w14:paraId="48F77B01" w14:textId="5936B3FF" w:rsidR="005A439E" w:rsidRDefault="005A439E" w:rsidP="00901E26">
      <w:pPr>
        <w:spacing w:line="360" w:lineRule="auto"/>
        <w:rPr>
          <w:rFonts w:cs="Arial"/>
          <w:color w:val="000000" w:themeColor="text1"/>
          <w:szCs w:val="22"/>
        </w:rPr>
      </w:pPr>
    </w:p>
    <w:p w14:paraId="22A4274A" w14:textId="0BBB4E28" w:rsidR="005A439E" w:rsidRDefault="005A439E" w:rsidP="00901E26">
      <w:pPr>
        <w:spacing w:line="360" w:lineRule="auto"/>
        <w:rPr>
          <w:rFonts w:cs="Arial"/>
          <w:color w:val="000000" w:themeColor="text1"/>
          <w:szCs w:val="22"/>
        </w:rPr>
      </w:pPr>
    </w:p>
    <w:p w14:paraId="2BB21D84" w14:textId="5DA43117" w:rsidR="005A439E" w:rsidRDefault="005A439E" w:rsidP="00901E26">
      <w:pPr>
        <w:spacing w:line="360" w:lineRule="auto"/>
        <w:rPr>
          <w:rFonts w:cs="Arial"/>
          <w:color w:val="000000" w:themeColor="text1"/>
          <w:szCs w:val="22"/>
        </w:rPr>
      </w:pPr>
    </w:p>
    <w:p w14:paraId="7EFC2302" w14:textId="70DC8D3D" w:rsidR="005A439E" w:rsidRDefault="005A439E" w:rsidP="00901E26">
      <w:pPr>
        <w:spacing w:line="360" w:lineRule="auto"/>
        <w:rPr>
          <w:rFonts w:cs="Arial"/>
          <w:color w:val="000000" w:themeColor="text1"/>
          <w:szCs w:val="22"/>
        </w:rPr>
      </w:pPr>
    </w:p>
    <w:p w14:paraId="582349E1" w14:textId="77777777" w:rsidR="005A439E" w:rsidRPr="00901E26" w:rsidRDefault="005A439E" w:rsidP="00901E26">
      <w:pPr>
        <w:spacing w:line="360" w:lineRule="auto"/>
        <w:rPr>
          <w:rFonts w:cs="Arial"/>
          <w:color w:val="000000" w:themeColor="text1"/>
          <w:szCs w:val="22"/>
        </w:rPr>
      </w:pPr>
    </w:p>
    <w:p w14:paraId="47E1B553" w14:textId="77777777" w:rsidR="009276ED" w:rsidRPr="005A439E" w:rsidRDefault="009276ED" w:rsidP="005A439E">
      <w:pPr>
        <w:pStyle w:val="Heading1"/>
      </w:pPr>
      <w:bookmarkStart w:id="18" w:name="_Toc214836668"/>
      <w:r w:rsidRPr="005A439E">
        <w:rPr>
          <w:rStyle w:val="Strong"/>
          <w:b/>
          <w:bCs/>
        </w:rPr>
        <w:lastRenderedPageBreak/>
        <w:t>2.4 International Context</w:t>
      </w:r>
      <w:bookmarkEnd w:id="18"/>
    </w:p>
    <w:p w14:paraId="38F6139C" w14:textId="77777777" w:rsidR="009276ED" w:rsidRPr="00901E26" w:rsidRDefault="009276ED"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Substance misuse is a global challenge influenced by diverse socioeconomic and cultural contexts. The</w:t>
      </w:r>
      <w:r w:rsidRPr="00901E26">
        <w:rPr>
          <w:rStyle w:val="apple-converted-space"/>
          <w:rFonts w:ascii="Arial" w:hAnsi="Arial" w:cs="Arial"/>
          <w:color w:val="000000" w:themeColor="text1"/>
          <w:szCs w:val="22"/>
        </w:rPr>
        <w:t> </w:t>
      </w:r>
      <w:r w:rsidRPr="00901E26">
        <w:rPr>
          <w:rStyle w:val="Strong"/>
          <w:rFonts w:ascii="Arial" w:hAnsi="Arial" w:cs="Arial"/>
          <w:b w:val="0"/>
          <w:bCs w:val="0"/>
          <w:color w:val="000000" w:themeColor="text1"/>
          <w:szCs w:val="22"/>
        </w:rPr>
        <w:t>United Nations Office on Drugs and Crime (UNODC)</w:t>
      </w:r>
      <w:r w:rsidRPr="00901E26">
        <w:rPr>
          <w:rStyle w:val="apple-converted-space"/>
          <w:rFonts w:ascii="Arial" w:hAnsi="Arial" w:cs="Arial"/>
          <w:color w:val="000000" w:themeColor="text1"/>
          <w:szCs w:val="22"/>
        </w:rPr>
        <w:t> </w:t>
      </w:r>
      <w:r w:rsidRPr="00901E26">
        <w:rPr>
          <w:rFonts w:ascii="Arial" w:hAnsi="Arial" w:cs="Arial"/>
          <w:color w:val="000000" w:themeColor="text1"/>
          <w:szCs w:val="22"/>
        </w:rPr>
        <w:t>reports that over 296 million people worldwide used drugs in 2021, with low- and middle-income countries disproportionately affected by health and social harms (UNODC, 2022).</w:t>
      </w:r>
    </w:p>
    <w:p w14:paraId="25BC77DE" w14:textId="77777777" w:rsidR="00E016C3" w:rsidRPr="005A439E" w:rsidRDefault="00E016C3" w:rsidP="005A439E">
      <w:pPr>
        <w:pStyle w:val="Heading2"/>
      </w:pPr>
      <w:bookmarkStart w:id="19" w:name="_Toc214836669"/>
      <w:r w:rsidRPr="005A439E">
        <w:t>Global Policy Perspectives</w:t>
      </w:r>
      <w:bookmarkEnd w:id="19"/>
    </w:p>
    <w:p w14:paraId="4A4F416F" w14:textId="77777777" w:rsidR="00E016C3" w:rsidRPr="00E016C3" w:rsidRDefault="00E016C3" w:rsidP="00901E26">
      <w:pPr>
        <w:spacing w:before="100" w:beforeAutospacing="1" w:after="100" w:afterAutospacing="1" w:line="360" w:lineRule="auto"/>
        <w:rPr>
          <w:rFonts w:cs="Arial"/>
          <w:color w:val="000000" w:themeColor="text1"/>
          <w:szCs w:val="22"/>
        </w:rPr>
      </w:pPr>
      <w:r w:rsidRPr="00E016C3">
        <w:rPr>
          <w:rFonts w:cs="Arial"/>
          <w:color w:val="000000" w:themeColor="text1"/>
          <w:szCs w:val="22"/>
        </w:rPr>
        <w:t>Many countries have shifted from punitive approaches to public health-orientated strategies. Portugal’s decriminalisation model (2001) remains a key example. Instead of prosecuting individuals for drug possession, Portugal focuses on treatment, harm reduction, and social reintegration (Greenwald, 2009). This model has lowered the number of drug-related deaths and HIV transmissions while making it easier for people to acquire treatment (Hughes &amp; Stevens, 2010).</w:t>
      </w:r>
    </w:p>
    <w:p w14:paraId="5D8E2B98" w14:textId="77777777" w:rsidR="00E016C3" w:rsidRPr="00E016C3" w:rsidRDefault="00E016C3" w:rsidP="00901E26">
      <w:pPr>
        <w:spacing w:before="100" w:beforeAutospacing="1" w:after="100" w:afterAutospacing="1" w:line="360" w:lineRule="auto"/>
        <w:rPr>
          <w:rFonts w:cs="Arial"/>
          <w:color w:val="000000" w:themeColor="text1"/>
          <w:szCs w:val="22"/>
        </w:rPr>
      </w:pPr>
      <w:r w:rsidRPr="00E016C3">
        <w:rPr>
          <w:rFonts w:cs="Arial"/>
          <w:color w:val="000000" w:themeColor="text1"/>
          <w:szCs w:val="22"/>
        </w:rPr>
        <w:t>Similarly, Canada and Australia have implemented harm-reduction policies such as supervised consumption facilities, acknowledging the role of inequality and trauma in addiction (Kerr et al., 2017). The World Health Organization (2022) advocates for integrated treatment that addresses both mental health and substance use, especially in disadvantaged communities.</w:t>
      </w:r>
    </w:p>
    <w:p w14:paraId="322B521E" w14:textId="77777777" w:rsidR="00E016C3" w:rsidRPr="00E016C3" w:rsidRDefault="00E016C3" w:rsidP="005A439E">
      <w:pPr>
        <w:pStyle w:val="Heading2"/>
      </w:pPr>
      <w:bookmarkStart w:id="20" w:name="_Toc214836670"/>
      <w:r w:rsidRPr="00E016C3">
        <w:t>Comparative Analysis</w:t>
      </w:r>
      <w:bookmarkEnd w:id="20"/>
    </w:p>
    <w:p w14:paraId="42FA11F4" w14:textId="77777777" w:rsidR="00E016C3" w:rsidRPr="00E016C3" w:rsidRDefault="00E016C3" w:rsidP="00901E26">
      <w:pPr>
        <w:spacing w:before="100" w:beforeAutospacing="1" w:after="100" w:afterAutospacing="1" w:line="360" w:lineRule="auto"/>
        <w:rPr>
          <w:rFonts w:cs="Arial"/>
          <w:color w:val="000000" w:themeColor="text1"/>
          <w:szCs w:val="22"/>
        </w:rPr>
      </w:pPr>
      <w:r w:rsidRPr="00E016C3">
        <w:rPr>
          <w:rFonts w:cs="Arial"/>
          <w:color w:val="000000" w:themeColor="text1"/>
          <w:szCs w:val="22"/>
        </w:rPr>
        <w:t>Contrastingly, the United States continues to struggle with high rates of opioid-related deaths, driven by socioeconomic deprivation and inconsistent access to healthcare (Dasgupta, Beletsky &amp; Ciccarone, 2018). The punitive legacy of the “War on Drugs” remains evident, with incarceration rates among low-income and minority populations disproportionately high (Alexander, 2020).</w:t>
      </w:r>
    </w:p>
    <w:p w14:paraId="0E8F9B4E" w14:textId="77777777" w:rsidR="00E016C3" w:rsidRPr="00E016C3" w:rsidRDefault="00E016C3" w:rsidP="00901E26">
      <w:pPr>
        <w:spacing w:before="100" w:beforeAutospacing="1" w:after="100" w:afterAutospacing="1" w:line="360" w:lineRule="auto"/>
        <w:rPr>
          <w:rFonts w:cs="Arial"/>
          <w:color w:val="000000" w:themeColor="text1"/>
          <w:szCs w:val="22"/>
        </w:rPr>
      </w:pPr>
      <w:r w:rsidRPr="00E016C3">
        <w:rPr>
          <w:rFonts w:cs="Arial"/>
          <w:color w:val="000000" w:themeColor="text1"/>
          <w:szCs w:val="22"/>
        </w:rPr>
        <w:t>European nations, however, have generally adopted a more balanced approach, combining regulation with social support. The European Monitoring Centre for Drugs and Drug Addiction (EMCDDA) highlights the success of multi-agency strategies that integrate housing, employment, and mental health services alongside addiction treatment (EMCDDA, 2022).</w:t>
      </w:r>
    </w:p>
    <w:p w14:paraId="5D453D0D" w14:textId="7E13E417" w:rsidR="00A8429E" w:rsidRPr="00901E26" w:rsidRDefault="00E016C3" w:rsidP="005A439E">
      <w:pPr>
        <w:spacing w:before="100" w:beforeAutospacing="1" w:after="100" w:afterAutospacing="1" w:line="360" w:lineRule="auto"/>
        <w:rPr>
          <w:rFonts w:cs="Arial"/>
          <w:color w:val="000000" w:themeColor="text1"/>
          <w:szCs w:val="22"/>
        </w:rPr>
      </w:pPr>
      <w:r w:rsidRPr="00E016C3">
        <w:rPr>
          <w:rFonts w:cs="Arial"/>
          <w:color w:val="000000" w:themeColor="text1"/>
          <w:szCs w:val="22"/>
        </w:rPr>
        <w:t>These global perspectives highlight a crucial insight: addressing substance misuse effectively requires addressing the underlying social and economic inequalities that sustain it.</w:t>
      </w:r>
    </w:p>
    <w:p w14:paraId="75EF5D5E" w14:textId="77777777" w:rsidR="009276ED" w:rsidRPr="00F87C0C" w:rsidRDefault="009276ED" w:rsidP="00F87C0C">
      <w:pPr>
        <w:pStyle w:val="Heading1"/>
      </w:pPr>
      <w:bookmarkStart w:id="21" w:name="_Toc214836671"/>
      <w:r w:rsidRPr="00F87C0C">
        <w:rPr>
          <w:rStyle w:val="Strong"/>
          <w:b/>
          <w:bCs/>
        </w:rPr>
        <w:lastRenderedPageBreak/>
        <w:t>2.5 National and Local UK Context</w:t>
      </w:r>
      <w:bookmarkEnd w:id="21"/>
    </w:p>
    <w:p w14:paraId="053A1416"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In the UK, and particularly in England, substance misuse and mental health disorders intersect strongly with socioeconomic inequality. Recent ONS data show that drug-related deaths are more than five times higher in the most deprived areas compared to the least deprived (ONS, 2022).</w:t>
      </w:r>
    </w:p>
    <w:p w14:paraId="2021451A" w14:textId="77777777" w:rsidR="00A91181" w:rsidRPr="00A91181" w:rsidRDefault="00A91181" w:rsidP="005A439E">
      <w:pPr>
        <w:pStyle w:val="Heading2"/>
      </w:pPr>
      <w:bookmarkStart w:id="22" w:name="_Toc214836672"/>
      <w:r w:rsidRPr="00A91181">
        <w:t>Policy and Legislation</w:t>
      </w:r>
      <w:bookmarkEnd w:id="22"/>
    </w:p>
    <w:p w14:paraId="3764A974"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The UK Drug Strategy (2021) outlines a commitment to reducing substance-related harm through prevention, treatment, and recovery. However, critics argue that funding cuts and fragmented service delivery undermine these goals (Black, 2021).</w:t>
      </w:r>
      <w:r w:rsidRPr="00A91181">
        <w:rPr>
          <w:rFonts w:cs="Arial"/>
          <w:color w:val="000000" w:themeColor="text1"/>
          <w:szCs w:val="22"/>
        </w:rPr>
        <w:br/>
        <w:t>The NHS Long Term Plan (2019) aims to improve access to mental health services by integrating community-based and primary care interventions. Nevertheless, gaps remain, particularly for people facing poverty, homelessness, or co-occurring disorders (NHS England, 2019).</w:t>
      </w:r>
    </w:p>
    <w:p w14:paraId="2BC59D3C"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 </w:t>
      </w:r>
    </w:p>
    <w:p w14:paraId="572DD552" w14:textId="77777777" w:rsidR="00A91181" w:rsidRPr="00A91181" w:rsidRDefault="00A91181" w:rsidP="005A439E">
      <w:pPr>
        <w:pStyle w:val="Heading2"/>
      </w:pPr>
      <w:bookmarkStart w:id="23" w:name="_Toc214836673"/>
      <w:r w:rsidRPr="00A91181">
        <w:t>Local and Regional Variations</w:t>
      </w:r>
      <w:bookmarkEnd w:id="23"/>
    </w:p>
    <w:p w14:paraId="145D926B"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Regional disparities are stark. For instance, areas such as the North East and Merseyside report higher drug-related mortality rates and lower treatment access compared to the South East (Public Health England, 2021). Local authorities often lack sufficient funding to sustain early intervention programmes, especially following austerity-era budget reductions (Bambra et al., 2020).</w:t>
      </w:r>
    </w:p>
    <w:p w14:paraId="64C6CE5D"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Community organisations and charities, such as Turning Point and Change Grow Live (CGL), play critical roles in bridging these gaps by providing locally accessible treatments. Their successes highlight the value of community-led models for reaching marginalised groups.</w:t>
      </w:r>
    </w:p>
    <w:p w14:paraId="39E7A82B"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The persistence of health inequalities across regions demonstrates that national policy alone is insufficient; effective strategies require integrated, locally tailored responses that address both the socioeconomic and psychological dimensions of substance misuse.</w:t>
      </w:r>
    </w:p>
    <w:p w14:paraId="466F4522" w14:textId="77777777" w:rsidR="00BF3042" w:rsidRPr="00901E26" w:rsidRDefault="00BF3042" w:rsidP="00901E26">
      <w:pPr>
        <w:pStyle w:val="NormalWeb"/>
        <w:spacing w:line="360" w:lineRule="auto"/>
        <w:rPr>
          <w:rFonts w:ascii="Arial" w:hAnsi="Arial" w:cs="Arial"/>
          <w:color w:val="000000" w:themeColor="text1"/>
          <w:szCs w:val="22"/>
        </w:rPr>
      </w:pPr>
    </w:p>
    <w:p w14:paraId="657E5820" w14:textId="6BFF664A" w:rsidR="009276ED" w:rsidRPr="00901E26" w:rsidRDefault="009276ED" w:rsidP="00901E26">
      <w:pPr>
        <w:spacing w:line="360" w:lineRule="auto"/>
        <w:rPr>
          <w:rFonts w:cs="Arial"/>
          <w:color w:val="000000" w:themeColor="text1"/>
          <w:szCs w:val="22"/>
        </w:rPr>
      </w:pPr>
    </w:p>
    <w:p w14:paraId="30486AED" w14:textId="77777777" w:rsidR="00A8429E" w:rsidRPr="00901E26" w:rsidRDefault="00A8429E" w:rsidP="00901E26">
      <w:pPr>
        <w:spacing w:line="360" w:lineRule="auto"/>
        <w:rPr>
          <w:rFonts w:cs="Arial"/>
          <w:color w:val="000000" w:themeColor="text1"/>
          <w:szCs w:val="22"/>
        </w:rPr>
      </w:pPr>
    </w:p>
    <w:p w14:paraId="3B07A149" w14:textId="70167DB7" w:rsidR="009276ED" w:rsidRPr="00F87C0C" w:rsidRDefault="009276ED" w:rsidP="00F87C0C">
      <w:pPr>
        <w:pStyle w:val="Heading1"/>
      </w:pPr>
      <w:bookmarkStart w:id="24" w:name="_Toc214836674"/>
      <w:r w:rsidRPr="00F87C0C">
        <w:rPr>
          <w:rStyle w:val="Strong"/>
          <w:b/>
          <w:bCs/>
        </w:rPr>
        <w:lastRenderedPageBreak/>
        <w:t>2.6 Conclusion</w:t>
      </w:r>
      <w:bookmarkEnd w:id="24"/>
    </w:p>
    <w:p w14:paraId="0EC7850F"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This chapter has outlined the historical evolution, theoretical foundations, and international and national contexts of substance misuse, socioeconomic inequality, and mental health. Historically, attitudes toward addiction have shifted from moral condemnation to public health concern. Theoretically, models such as the social determinants of health, stress vulnerability, and social exclusion frameworks explain how socioeconomic disadvantage fuels cycles of substance misuse and untreated mental illness.</w:t>
      </w:r>
    </w:p>
    <w:p w14:paraId="17484E91"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Globally, countries are increasingly recognising the importance of holistic, integrated responses to addiction. Within England, however, persistent inequalities in income, service access, and health outcomes indicate a pressing need for socially informed policy interventions.</w:t>
      </w:r>
    </w:p>
    <w:p w14:paraId="4BFADA68"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These insights form the contextual foundation for the next chapter, which will detail the methodology used in this study and explain how the evidence will be systematically collected, analysed, and synthesised to address the research's aims and objectives.</w:t>
      </w:r>
    </w:p>
    <w:p w14:paraId="490EF744" w14:textId="5E30B9B4" w:rsidR="00BF3042" w:rsidRPr="00901E26" w:rsidRDefault="00BF3042" w:rsidP="00901E26">
      <w:pPr>
        <w:pStyle w:val="NormalWeb"/>
        <w:spacing w:line="360" w:lineRule="auto"/>
        <w:rPr>
          <w:rFonts w:ascii="Arial" w:hAnsi="Arial" w:cs="Arial"/>
          <w:color w:val="000000" w:themeColor="text1"/>
          <w:szCs w:val="22"/>
        </w:rPr>
      </w:pPr>
    </w:p>
    <w:p w14:paraId="0E510B9B" w14:textId="5636EB49" w:rsidR="00BF3042" w:rsidRPr="00901E26" w:rsidRDefault="00BF3042" w:rsidP="00901E26">
      <w:pPr>
        <w:pStyle w:val="NormalWeb"/>
        <w:spacing w:line="360" w:lineRule="auto"/>
        <w:rPr>
          <w:rFonts w:ascii="Arial" w:hAnsi="Arial" w:cs="Arial"/>
          <w:color w:val="000000" w:themeColor="text1"/>
          <w:szCs w:val="22"/>
        </w:rPr>
      </w:pPr>
    </w:p>
    <w:p w14:paraId="13ED2F48" w14:textId="0D3B95E1" w:rsidR="00BF3042" w:rsidRPr="00901E26" w:rsidRDefault="00BF3042" w:rsidP="00901E26">
      <w:pPr>
        <w:pStyle w:val="NormalWeb"/>
        <w:spacing w:line="360" w:lineRule="auto"/>
        <w:rPr>
          <w:rFonts w:ascii="Arial" w:hAnsi="Arial" w:cs="Arial"/>
          <w:color w:val="000000" w:themeColor="text1"/>
          <w:szCs w:val="22"/>
        </w:rPr>
      </w:pPr>
    </w:p>
    <w:p w14:paraId="41F19F79" w14:textId="6D7FAA6A" w:rsidR="00BF3042" w:rsidRPr="00901E26" w:rsidRDefault="00BF3042" w:rsidP="00901E26">
      <w:pPr>
        <w:pStyle w:val="NormalWeb"/>
        <w:spacing w:line="360" w:lineRule="auto"/>
        <w:rPr>
          <w:rFonts w:ascii="Arial" w:hAnsi="Arial" w:cs="Arial"/>
          <w:color w:val="000000" w:themeColor="text1"/>
          <w:szCs w:val="22"/>
        </w:rPr>
      </w:pPr>
    </w:p>
    <w:p w14:paraId="55B98CF5" w14:textId="4A6174EF" w:rsidR="00BF3042" w:rsidRPr="00901E26" w:rsidRDefault="00BF3042" w:rsidP="00901E26">
      <w:pPr>
        <w:pStyle w:val="NormalWeb"/>
        <w:spacing w:line="360" w:lineRule="auto"/>
        <w:rPr>
          <w:rFonts w:ascii="Arial" w:hAnsi="Arial" w:cs="Arial"/>
          <w:color w:val="000000" w:themeColor="text1"/>
          <w:szCs w:val="22"/>
        </w:rPr>
      </w:pPr>
    </w:p>
    <w:p w14:paraId="17CFDE2D" w14:textId="1C8B26A9" w:rsidR="00BF3042" w:rsidRPr="00901E26" w:rsidRDefault="00BF3042" w:rsidP="00901E26">
      <w:pPr>
        <w:pStyle w:val="NormalWeb"/>
        <w:spacing w:line="360" w:lineRule="auto"/>
        <w:rPr>
          <w:rFonts w:ascii="Arial" w:hAnsi="Arial" w:cs="Arial"/>
          <w:color w:val="000000" w:themeColor="text1"/>
          <w:szCs w:val="22"/>
        </w:rPr>
      </w:pPr>
    </w:p>
    <w:p w14:paraId="2156F1B8" w14:textId="1F83EEE5" w:rsidR="00BF3042" w:rsidRPr="00901E26" w:rsidRDefault="00BF3042" w:rsidP="00901E26">
      <w:pPr>
        <w:pStyle w:val="NormalWeb"/>
        <w:spacing w:line="360" w:lineRule="auto"/>
        <w:rPr>
          <w:rFonts w:ascii="Arial" w:hAnsi="Arial" w:cs="Arial"/>
          <w:color w:val="000000" w:themeColor="text1"/>
          <w:szCs w:val="22"/>
        </w:rPr>
      </w:pPr>
    </w:p>
    <w:p w14:paraId="237092DF" w14:textId="30BF3A06" w:rsidR="00BF3042" w:rsidRPr="00901E26" w:rsidRDefault="00BF3042" w:rsidP="00901E26">
      <w:pPr>
        <w:pStyle w:val="NormalWeb"/>
        <w:spacing w:line="360" w:lineRule="auto"/>
        <w:rPr>
          <w:rFonts w:ascii="Arial" w:hAnsi="Arial" w:cs="Arial"/>
          <w:color w:val="000000" w:themeColor="text1"/>
          <w:szCs w:val="22"/>
        </w:rPr>
      </w:pPr>
    </w:p>
    <w:p w14:paraId="3321B6D2" w14:textId="2F6F6A6F" w:rsidR="00BF3042" w:rsidRPr="00901E26" w:rsidRDefault="00BF3042" w:rsidP="00901E26">
      <w:pPr>
        <w:pStyle w:val="NormalWeb"/>
        <w:spacing w:line="360" w:lineRule="auto"/>
        <w:rPr>
          <w:rFonts w:ascii="Arial" w:hAnsi="Arial" w:cs="Arial"/>
          <w:color w:val="000000" w:themeColor="text1"/>
          <w:szCs w:val="22"/>
        </w:rPr>
      </w:pPr>
    </w:p>
    <w:p w14:paraId="6052FD7D" w14:textId="2BADA9A9" w:rsidR="00BF3042" w:rsidRPr="00901E26" w:rsidRDefault="00BF3042" w:rsidP="00901E26">
      <w:pPr>
        <w:pStyle w:val="NormalWeb"/>
        <w:spacing w:line="360" w:lineRule="auto"/>
        <w:rPr>
          <w:rFonts w:ascii="Arial" w:hAnsi="Arial" w:cs="Arial"/>
          <w:color w:val="000000" w:themeColor="text1"/>
          <w:szCs w:val="22"/>
        </w:rPr>
      </w:pPr>
    </w:p>
    <w:p w14:paraId="40528B31" w14:textId="77777777" w:rsidR="00A91181" w:rsidRPr="00901E26" w:rsidRDefault="00A91181" w:rsidP="00901E26">
      <w:pPr>
        <w:pStyle w:val="NormalWeb"/>
        <w:spacing w:line="360" w:lineRule="auto"/>
        <w:rPr>
          <w:rFonts w:ascii="Arial" w:hAnsi="Arial" w:cs="Arial"/>
          <w:color w:val="000000" w:themeColor="text1"/>
          <w:szCs w:val="22"/>
        </w:rPr>
      </w:pPr>
    </w:p>
    <w:p w14:paraId="4F7F64D5" w14:textId="77777777" w:rsidR="00BF3042" w:rsidRPr="00901E26" w:rsidRDefault="00BF3042" w:rsidP="00901E26">
      <w:pPr>
        <w:pStyle w:val="NormalWeb"/>
        <w:spacing w:line="360" w:lineRule="auto"/>
        <w:rPr>
          <w:rFonts w:ascii="Arial" w:hAnsi="Arial" w:cs="Arial"/>
          <w:color w:val="000000" w:themeColor="text1"/>
          <w:szCs w:val="22"/>
        </w:rPr>
      </w:pPr>
    </w:p>
    <w:p w14:paraId="7DFF2F1A" w14:textId="12305CEB" w:rsidR="00935115" w:rsidRPr="00C91F72" w:rsidRDefault="00935115" w:rsidP="00B738A5">
      <w:pPr>
        <w:pStyle w:val="Heading1"/>
      </w:pPr>
      <w:bookmarkStart w:id="25" w:name="_Toc214836675"/>
      <w:r w:rsidRPr="00B738A5">
        <w:lastRenderedPageBreak/>
        <w:t>Chapter 3</w:t>
      </w:r>
      <w:r w:rsidR="00F87C0C" w:rsidRPr="00B738A5">
        <w:t xml:space="preserve">: </w:t>
      </w:r>
      <w:r w:rsidRPr="00B738A5">
        <w:t>Methods</w:t>
      </w:r>
      <w:bookmarkEnd w:id="25"/>
      <w:r w:rsidRPr="00B738A5">
        <w:t xml:space="preserve"> </w:t>
      </w:r>
    </w:p>
    <w:p w14:paraId="41BF01DD" w14:textId="77777777" w:rsidR="00935115" w:rsidRPr="00901E26" w:rsidRDefault="00935115" w:rsidP="00B738A5">
      <w:pPr>
        <w:pStyle w:val="Heading2"/>
      </w:pPr>
      <w:bookmarkStart w:id="26" w:name="_Toc214836676"/>
      <w:r w:rsidRPr="00901E26">
        <w:t>3.1 Introduction</w:t>
      </w:r>
      <w:bookmarkEnd w:id="26"/>
    </w:p>
    <w:p w14:paraId="074BDE3B" w14:textId="77777777" w:rsidR="00143F7C" w:rsidRPr="00143F7C" w:rsidRDefault="00143F7C" w:rsidP="00901E26">
      <w:pPr>
        <w:spacing w:before="100" w:beforeAutospacing="1" w:after="100" w:afterAutospacing="1" w:line="360" w:lineRule="auto"/>
        <w:rPr>
          <w:rFonts w:cs="Arial"/>
          <w:color w:val="000000" w:themeColor="text1"/>
          <w:szCs w:val="22"/>
        </w:rPr>
      </w:pPr>
      <w:r w:rsidRPr="00143F7C">
        <w:rPr>
          <w:rFonts w:cs="Arial"/>
          <w:color w:val="000000" w:themeColor="text1"/>
          <w:szCs w:val="22"/>
        </w:rPr>
        <w:t>This chapter outlines the methodological approach used to investigate the relationship between low-income status, substance misuse, and untreated mental health disorders in England. It builds on the Academic Methodology Poster, which provided a visual overview of the research process. Here, the poster’s key components are expanded upon in narrative form to demonstrate how each stage of the process was systematically and critically executed.</w:t>
      </w:r>
    </w:p>
    <w:p w14:paraId="049939D4" w14:textId="6B3649D6" w:rsidR="00143F7C" w:rsidRPr="00143F7C" w:rsidRDefault="00143F7C" w:rsidP="00901E26">
      <w:pPr>
        <w:spacing w:before="100" w:beforeAutospacing="1" w:after="100" w:afterAutospacing="1" w:line="360" w:lineRule="auto"/>
        <w:rPr>
          <w:rFonts w:cs="Arial"/>
          <w:color w:val="000000" w:themeColor="text1"/>
          <w:szCs w:val="22"/>
        </w:rPr>
      </w:pPr>
      <w:r w:rsidRPr="00143F7C">
        <w:rPr>
          <w:rFonts w:cs="Arial"/>
          <w:color w:val="000000" w:themeColor="text1"/>
          <w:szCs w:val="22"/>
        </w:rPr>
        <w:t>The study employs a desk-based, literature-based approach, utilising secondary data to synthesise current knowledge through thematic analysis. This methodology allowed for an in-depth exploration of the social, psychological, and policy-based intersections between poverty, addiction, and mental health. According to Aveyard (20</w:t>
      </w:r>
      <w:r w:rsidR="006B3A77">
        <w:rPr>
          <w:rFonts w:cs="Arial"/>
          <w:color w:val="000000" w:themeColor="text1"/>
          <w:szCs w:val="22"/>
        </w:rPr>
        <w:t>23</w:t>
      </w:r>
      <w:r w:rsidRPr="00143F7C">
        <w:rPr>
          <w:rFonts w:cs="Arial"/>
          <w:color w:val="000000" w:themeColor="text1"/>
          <w:szCs w:val="22"/>
        </w:rPr>
        <w:t>), literature-based research is particularly effective for topics embedded in existing evidence bases, where ethical or practical barriers make primary data collection unfeasible.</w:t>
      </w:r>
    </w:p>
    <w:p w14:paraId="054C3CEE" w14:textId="77777777" w:rsidR="00143F7C" w:rsidRPr="00143F7C" w:rsidRDefault="00143F7C" w:rsidP="00901E26">
      <w:pPr>
        <w:spacing w:before="100" w:beforeAutospacing="1" w:after="100" w:afterAutospacing="1" w:line="360" w:lineRule="auto"/>
        <w:rPr>
          <w:rFonts w:cs="Arial"/>
          <w:color w:val="000000" w:themeColor="text1"/>
          <w:szCs w:val="22"/>
        </w:rPr>
      </w:pPr>
      <w:r w:rsidRPr="00143F7C">
        <w:rPr>
          <w:rFonts w:cs="Arial"/>
          <w:color w:val="000000" w:themeColor="text1"/>
          <w:szCs w:val="22"/>
        </w:rPr>
        <w:t>The methods outlined here underpin the findings discussed in Chapter 4. By defining how data were searched, selected, and analysed, this chapter demonstrates academic rigour and transparency, ensuring that the results presented later are grounded in a clear and replicable process.</w:t>
      </w:r>
    </w:p>
    <w:p w14:paraId="50E83303" w14:textId="4B7BB35A" w:rsidR="00935115" w:rsidRPr="00C91F72" w:rsidRDefault="00935115" w:rsidP="00901E26">
      <w:pPr>
        <w:spacing w:line="360" w:lineRule="auto"/>
        <w:rPr>
          <w:rFonts w:cs="Arial"/>
          <w:color w:val="000000" w:themeColor="text1"/>
          <w:szCs w:val="22"/>
        </w:rPr>
      </w:pPr>
    </w:p>
    <w:p w14:paraId="76F9E2E9" w14:textId="77777777" w:rsidR="00935115" w:rsidRPr="00901E26" w:rsidRDefault="00935115" w:rsidP="00B738A5">
      <w:pPr>
        <w:pStyle w:val="Heading2"/>
      </w:pPr>
      <w:bookmarkStart w:id="27" w:name="_Toc214836677"/>
      <w:r w:rsidRPr="00901E26">
        <w:t>3.2 Search Strategy</w:t>
      </w:r>
      <w:bookmarkEnd w:id="27"/>
    </w:p>
    <w:p w14:paraId="4E1856B0" w14:textId="77777777" w:rsidR="00134FE6" w:rsidRPr="00134FE6" w:rsidRDefault="00134FE6" w:rsidP="00901E26">
      <w:pPr>
        <w:spacing w:before="100" w:beforeAutospacing="1" w:after="100" w:afterAutospacing="1" w:line="360" w:lineRule="auto"/>
        <w:rPr>
          <w:rFonts w:cs="Arial"/>
          <w:color w:val="000000" w:themeColor="text1"/>
          <w:szCs w:val="22"/>
        </w:rPr>
      </w:pPr>
      <w:r w:rsidRPr="00134FE6">
        <w:rPr>
          <w:rFonts w:cs="Arial"/>
          <w:color w:val="000000" w:themeColor="text1"/>
          <w:szCs w:val="22"/>
        </w:rPr>
        <w:t>Developing Keywords</w:t>
      </w:r>
    </w:p>
    <w:p w14:paraId="16C28AF6" w14:textId="77777777" w:rsidR="00134FE6" w:rsidRPr="00134FE6" w:rsidRDefault="00134FE6" w:rsidP="00901E26">
      <w:pPr>
        <w:spacing w:before="100" w:beforeAutospacing="1" w:after="100" w:afterAutospacing="1" w:line="360" w:lineRule="auto"/>
        <w:rPr>
          <w:rFonts w:cs="Arial"/>
          <w:color w:val="000000" w:themeColor="text1"/>
          <w:szCs w:val="22"/>
        </w:rPr>
      </w:pPr>
      <w:r w:rsidRPr="00134FE6">
        <w:rPr>
          <w:rFonts w:cs="Arial"/>
          <w:color w:val="000000" w:themeColor="text1"/>
          <w:szCs w:val="22"/>
        </w:rPr>
        <w:t>The search strategy was structured around the research title and question:</w:t>
      </w:r>
    </w:p>
    <w:p w14:paraId="4059BDDC" w14:textId="77777777" w:rsidR="00134FE6" w:rsidRPr="00134FE6" w:rsidRDefault="00134FE6" w:rsidP="00901E26">
      <w:pPr>
        <w:spacing w:before="100" w:beforeAutospacing="1" w:after="100" w:afterAutospacing="1" w:line="360" w:lineRule="auto"/>
        <w:rPr>
          <w:rFonts w:cs="Arial"/>
          <w:color w:val="000000" w:themeColor="text1"/>
          <w:szCs w:val="22"/>
        </w:rPr>
      </w:pPr>
      <w:r w:rsidRPr="00134FE6">
        <w:rPr>
          <w:rFonts w:cs="Arial"/>
          <w:color w:val="000000" w:themeColor="text1"/>
          <w:szCs w:val="22"/>
        </w:rPr>
        <w:t>“Is there a correlation between low-income status and higher rates of substance misuse in England, and how does this intersect with levels of untreated mental health disorders?”</w:t>
      </w:r>
    </w:p>
    <w:p w14:paraId="4DD56721" w14:textId="77777777" w:rsidR="00134FE6" w:rsidRPr="00134FE6" w:rsidRDefault="00134FE6" w:rsidP="00901E26">
      <w:pPr>
        <w:spacing w:before="100" w:beforeAutospacing="1" w:after="100" w:afterAutospacing="1" w:line="360" w:lineRule="auto"/>
        <w:rPr>
          <w:rFonts w:cs="Arial"/>
          <w:color w:val="000000" w:themeColor="text1"/>
          <w:szCs w:val="22"/>
        </w:rPr>
      </w:pPr>
      <w:r w:rsidRPr="00134FE6">
        <w:rPr>
          <w:rFonts w:cs="Arial"/>
          <w:color w:val="000000" w:themeColor="text1"/>
          <w:szCs w:val="22"/>
        </w:rPr>
        <w:t>From this, key concepts were extracted: </w:t>
      </w:r>
      <w:r w:rsidRPr="00134FE6">
        <w:rPr>
          <w:rFonts w:cs="Arial"/>
          <w:b/>
          <w:bCs/>
          <w:color w:val="000000" w:themeColor="text1"/>
          <w:szCs w:val="22"/>
        </w:rPr>
        <w:t>“</w:t>
      </w:r>
      <w:r w:rsidRPr="00134FE6">
        <w:rPr>
          <w:rFonts w:cs="Arial"/>
          <w:color w:val="000000" w:themeColor="text1"/>
          <w:szCs w:val="22"/>
        </w:rPr>
        <w:t>substance misuse”, “low income”, “mental health”, “England”, and “health inequalities”. Synonyms and related terms were added to capture broader academic language, including “drug use”, “socioeconomic deprivation”, “addiction”, “dual diagnosis”, “access to treatment”, and “psychological distress”.</w:t>
      </w:r>
    </w:p>
    <w:p w14:paraId="7FBCD980" w14:textId="77777777" w:rsidR="00BF3042" w:rsidRPr="00C91F72" w:rsidRDefault="00BF3042" w:rsidP="00901E26">
      <w:pPr>
        <w:spacing w:before="100" w:beforeAutospacing="1" w:after="100" w:afterAutospacing="1" w:line="360" w:lineRule="auto"/>
        <w:rPr>
          <w:rFonts w:cs="Arial"/>
          <w:color w:val="000000" w:themeColor="text1"/>
          <w:szCs w:val="22"/>
        </w:rPr>
      </w:pPr>
    </w:p>
    <w:p w14:paraId="78CF3FEC"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lastRenderedPageBreak/>
        <w:t>Boolean Operators</w:t>
      </w:r>
    </w:p>
    <w:p w14:paraId="41D43852"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Boolean operators were used to combine and refine results:</w:t>
      </w:r>
    </w:p>
    <w:p w14:paraId="058177BC" w14:textId="77777777" w:rsidR="00935115" w:rsidRPr="00C91F72" w:rsidRDefault="00935115" w:rsidP="00303E61">
      <w:pPr>
        <w:numPr>
          <w:ilvl w:val="0"/>
          <w:numId w:val="5"/>
        </w:numPr>
        <w:spacing w:before="100" w:beforeAutospacing="1" w:after="100" w:afterAutospacing="1" w:line="360" w:lineRule="auto"/>
        <w:rPr>
          <w:rFonts w:cs="Arial"/>
          <w:color w:val="000000" w:themeColor="text1"/>
          <w:szCs w:val="22"/>
        </w:rPr>
      </w:pPr>
      <w:r w:rsidRPr="00C91F72">
        <w:rPr>
          <w:rFonts w:cs="Arial"/>
          <w:color w:val="000000" w:themeColor="text1"/>
          <w:szCs w:val="22"/>
        </w:rPr>
        <w:t>AND to link major ideas (e.g., “substance misuse AND low income”).</w:t>
      </w:r>
    </w:p>
    <w:p w14:paraId="52DB27E2" w14:textId="77777777" w:rsidR="00935115" w:rsidRPr="00C91F72" w:rsidRDefault="00935115" w:rsidP="00303E61">
      <w:pPr>
        <w:numPr>
          <w:ilvl w:val="0"/>
          <w:numId w:val="5"/>
        </w:numPr>
        <w:spacing w:before="100" w:beforeAutospacing="1" w:after="100" w:afterAutospacing="1" w:line="360" w:lineRule="auto"/>
        <w:rPr>
          <w:rFonts w:cs="Arial"/>
          <w:color w:val="000000" w:themeColor="text1"/>
          <w:szCs w:val="22"/>
        </w:rPr>
      </w:pPr>
      <w:r w:rsidRPr="00C91F72">
        <w:rPr>
          <w:rFonts w:cs="Arial"/>
          <w:color w:val="000000" w:themeColor="text1"/>
          <w:szCs w:val="22"/>
        </w:rPr>
        <w:t>OR to include synonyms (e.g., “mental illness OR psychological disorder”).</w:t>
      </w:r>
    </w:p>
    <w:p w14:paraId="3C95F8F8" w14:textId="77777777" w:rsidR="00935115" w:rsidRPr="00C91F72" w:rsidRDefault="00935115" w:rsidP="00303E61">
      <w:pPr>
        <w:numPr>
          <w:ilvl w:val="0"/>
          <w:numId w:val="5"/>
        </w:numPr>
        <w:spacing w:before="100" w:beforeAutospacing="1" w:after="100" w:afterAutospacing="1" w:line="360" w:lineRule="auto"/>
        <w:rPr>
          <w:rFonts w:cs="Arial"/>
          <w:color w:val="000000" w:themeColor="text1"/>
          <w:szCs w:val="22"/>
        </w:rPr>
      </w:pPr>
      <w:r w:rsidRPr="00C91F72">
        <w:rPr>
          <w:rFonts w:cs="Arial"/>
          <w:color w:val="000000" w:themeColor="text1"/>
          <w:szCs w:val="22"/>
        </w:rPr>
        <w:t>NOT to exclude irrelevant contexts (e.g., “NOT adolescent-only studies”).</w:t>
      </w:r>
    </w:p>
    <w:p w14:paraId="607D2333"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t>Structured Search Plan</w:t>
      </w:r>
    </w:p>
    <w:p w14:paraId="40AE0DEC" w14:textId="07AE1366"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A search log was created in Excel to record terms, databases, and initial results. This structured process ensured consistency and allowed for iterative refinement. The approach followed guidance from Aveyard (20</w:t>
      </w:r>
      <w:r w:rsidR="006B3A77">
        <w:rPr>
          <w:rFonts w:cs="Arial"/>
          <w:color w:val="000000" w:themeColor="text1"/>
          <w:szCs w:val="22"/>
        </w:rPr>
        <w:t>23</w:t>
      </w:r>
      <w:r w:rsidRPr="00C91F72">
        <w:rPr>
          <w:rFonts w:cs="Arial"/>
          <w:color w:val="000000" w:themeColor="text1"/>
          <w:szCs w:val="22"/>
        </w:rPr>
        <w:t>), who emphasises developing a transparent and reproducible search trail in systematic literature reviews.</w:t>
      </w:r>
    </w:p>
    <w:p w14:paraId="7058E2EF" w14:textId="77777777" w:rsidR="00935115" w:rsidRPr="00901E26" w:rsidRDefault="00935115" w:rsidP="00B738A5">
      <w:pPr>
        <w:pStyle w:val="Heading2"/>
      </w:pPr>
      <w:bookmarkStart w:id="28" w:name="_Toc214836678"/>
      <w:r w:rsidRPr="00901E26">
        <w:t>3.3 Searching for Information</w:t>
      </w:r>
      <w:bookmarkEnd w:id="28"/>
    </w:p>
    <w:p w14:paraId="447E460F" w14:textId="77777777" w:rsidR="00275792" w:rsidRPr="00275792" w:rsidRDefault="00275792" w:rsidP="00901E26">
      <w:pPr>
        <w:spacing w:before="100" w:beforeAutospacing="1" w:after="100" w:afterAutospacing="1" w:line="360" w:lineRule="auto"/>
        <w:rPr>
          <w:rFonts w:cs="Arial"/>
          <w:color w:val="000000" w:themeColor="text1"/>
          <w:szCs w:val="22"/>
        </w:rPr>
      </w:pPr>
      <w:r w:rsidRPr="00275792">
        <w:rPr>
          <w:rFonts w:cs="Arial"/>
          <w:color w:val="000000" w:themeColor="text1"/>
          <w:szCs w:val="22"/>
        </w:rPr>
        <w:t>Databases and Platforms</w:t>
      </w:r>
    </w:p>
    <w:p w14:paraId="3B528843" w14:textId="77777777" w:rsidR="00275792" w:rsidRPr="00275792" w:rsidRDefault="00275792" w:rsidP="00901E26">
      <w:pPr>
        <w:spacing w:before="100" w:beforeAutospacing="1" w:after="100" w:afterAutospacing="1" w:line="360" w:lineRule="auto"/>
        <w:rPr>
          <w:rFonts w:cs="Arial"/>
          <w:color w:val="000000" w:themeColor="text1"/>
          <w:szCs w:val="22"/>
        </w:rPr>
      </w:pPr>
      <w:r w:rsidRPr="00275792">
        <w:rPr>
          <w:rFonts w:cs="Arial"/>
          <w:color w:val="000000" w:themeColor="text1"/>
          <w:szCs w:val="22"/>
        </w:rPr>
        <w:t>Academic databases were selected for credibility and coverage of health and social sciences:</w:t>
      </w:r>
    </w:p>
    <w:p w14:paraId="684251DF" w14:textId="2BDE2686"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PubMed </w:t>
      </w:r>
      <w:r w:rsidR="006B3A77">
        <w:rPr>
          <w:rFonts w:cs="Arial"/>
          <w:color w:val="000000" w:themeColor="text1"/>
          <w:szCs w:val="22"/>
        </w:rPr>
        <w:t>-</w:t>
      </w:r>
      <w:r w:rsidRPr="00275792">
        <w:rPr>
          <w:rFonts w:cs="Arial"/>
          <w:color w:val="000000" w:themeColor="text1"/>
          <w:szCs w:val="22"/>
        </w:rPr>
        <w:t xml:space="preserve"> biomedical and psychological research.</w:t>
      </w:r>
    </w:p>
    <w:p w14:paraId="534BC88E" w14:textId="77C4FCC1"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Scopus and Web of Science </w:t>
      </w:r>
      <w:r w:rsidR="006B3A77">
        <w:rPr>
          <w:rFonts w:cs="Arial"/>
          <w:color w:val="000000" w:themeColor="text1"/>
          <w:szCs w:val="22"/>
        </w:rPr>
        <w:t xml:space="preserve">- </w:t>
      </w:r>
      <w:r w:rsidRPr="00275792">
        <w:rPr>
          <w:rFonts w:cs="Arial"/>
          <w:color w:val="000000" w:themeColor="text1"/>
          <w:szCs w:val="22"/>
        </w:rPr>
        <w:t>multidisciplinary studies and UK policy data.</w:t>
      </w:r>
    </w:p>
    <w:p w14:paraId="1D59C2AF" w14:textId="66CAFBF7"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EBSCOhost and ProQuest Central </w:t>
      </w:r>
      <w:r w:rsidR="006B3A77">
        <w:rPr>
          <w:rFonts w:cs="Arial"/>
          <w:color w:val="000000" w:themeColor="text1"/>
          <w:szCs w:val="22"/>
        </w:rPr>
        <w:t>-</w:t>
      </w:r>
      <w:r w:rsidRPr="00275792">
        <w:rPr>
          <w:rFonts w:cs="Arial"/>
          <w:color w:val="000000" w:themeColor="text1"/>
          <w:szCs w:val="22"/>
        </w:rPr>
        <w:t xml:space="preserve"> public health, social policy, and mental health literature.</w:t>
      </w:r>
    </w:p>
    <w:p w14:paraId="178E77E9" w14:textId="47AA0E7D"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Google Scholar </w:t>
      </w:r>
      <w:r w:rsidR="006B3A77">
        <w:rPr>
          <w:rFonts w:cs="Arial"/>
          <w:color w:val="000000" w:themeColor="text1"/>
          <w:szCs w:val="22"/>
        </w:rPr>
        <w:t>-</w:t>
      </w:r>
      <w:r w:rsidRPr="00275792">
        <w:rPr>
          <w:rFonts w:cs="Arial"/>
          <w:color w:val="000000" w:themeColor="text1"/>
          <w:szCs w:val="22"/>
        </w:rPr>
        <w:t xml:space="preserve"> supplementary searches for grey literature and open-access reports.</w:t>
      </w:r>
    </w:p>
    <w:p w14:paraId="4F9AF24C" w14:textId="5658FF35"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UWTSD Library Database </w:t>
      </w:r>
      <w:r w:rsidR="006B3A77">
        <w:rPr>
          <w:rFonts w:cs="Arial"/>
          <w:color w:val="000000" w:themeColor="text1"/>
          <w:szCs w:val="22"/>
        </w:rPr>
        <w:t>-</w:t>
      </w:r>
      <w:r w:rsidRPr="00275792">
        <w:rPr>
          <w:rFonts w:cs="Arial"/>
          <w:color w:val="000000" w:themeColor="text1"/>
          <w:szCs w:val="22"/>
        </w:rPr>
        <w:t xml:space="preserve"> access to books and peer-reviewed journals.</w:t>
      </w:r>
    </w:p>
    <w:p w14:paraId="064E207C" w14:textId="77777777" w:rsidR="00275792" w:rsidRPr="00275792" w:rsidRDefault="00275792" w:rsidP="00901E26">
      <w:pPr>
        <w:spacing w:before="100" w:beforeAutospacing="1" w:after="100" w:afterAutospacing="1" w:line="360" w:lineRule="auto"/>
        <w:rPr>
          <w:rFonts w:cs="Arial"/>
          <w:color w:val="000000" w:themeColor="text1"/>
          <w:szCs w:val="22"/>
        </w:rPr>
      </w:pPr>
      <w:r w:rsidRPr="00275792">
        <w:rPr>
          <w:rFonts w:cs="Arial"/>
          <w:color w:val="000000" w:themeColor="text1"/>
          <w:szCs w:val="22"/>
        </w:rPr>
        <w:t>Using Filters</w:t>
      </w:r>
    </w:p>
    <w:p w14:paraId="7E40E479" w14:textId="77777777" w:rsidR="00275792" w:rsidRPr="00275792" w:rsidRDefault="00275792" w:rsidP="00901E26">
      <w:pPr>
        <w:spacing w:before="100" w:beforeAutospacing="1" w:after="100" w:afterAutospacing="1" w:line="360" w:lineRule="auto"/>
        <w:rPr>
          <w:rFonts w:cs="Arial"/>
          <w:color w:val="000000" w:themeColor="text1"/>
          <w:szCs w:val="22"/>
        </w:rPr>
      </w:pPr>
      <w:r w:rsidRPr="00275792">
        <w:rPr>
          <w:rFonts w:cs="Arial"/>
          <w:color w:val="000000" w:themeColor="text1"/>
          <w:szCs w:val="22"/>
        </w:rPr>
        <w:t>Filters were applied to ensure the relevance and quality of results:</w:t>
      </w:r>
    </w:p>
    <w:p w14:paraId="1A89F556" w14:textId="766CAF5F" w:rsidR="00275792" w:rsidRPr="00275792" w:rsidRDefault="00275792" w:rsidP="00303E61">
      <w:pPr>
        <w:numPr>
          <w:ilvl w:val="0"/>
          <w:numId w:val="18"/>
        </w:numPr>
        <w:spacing w:before="100" w:beforeAutospacing="1" w:after="100" w:afterAutospacing="1" w:line="360" w:lineRule="auto"/>
        <w:rPr>
          <w:rFonts w:cs="Arial"/>
          <w:color w:val="000000" w:themeColor="text1"/>
          <w:szCs w:val="22"/>
        </w:rPr>
      </w:pPr>
      <w:r w:rsidRPr="00275792">
        <w:rPr>
          <w:rFonts w:cs="Arial"/>
          <w:color w:val="000000" w:themeColor="text1"/>
          <w:szCs w:val="22"/>
        </w:rPr>
        <w:t>Publication date: 2014</w:t>
      </w:r>
      <w:r w:rsidRPr="00901E26">
        <w:rPr>
          <w:rFonts w:cs="Arial"/>
          <w:color w:val="000000" w:themeColor="text1"/>
          <w:szCs w:val="22"/>
        </w:rPr>
        <w:t xml:space="preserve"> /</w:t>
      </w:r>
      <w:r w:rsidRPr="00275792">
        <w:rPr>
          <w:rFonts w:cs="Arial"/>
          <w:color w:val="000000" w:themeColor="text1"/>
          <w:szCs w:val="22"/>
        </w:rPr>
        <w:t xml:space="preserve"> 2025 (to capture post-austerity and post-pandemic developments).</w:t>
      </w:r>
    </w:p>
    <w:p w14:paraId="3995B5FD" w14:textId="77777777" w:rsidR="00275792" w:rsidRPr="00275792" w:rsidRDefault="00275792" w:rsidP="00303E61">
      <w:pPr>
        <w:numPr>
          <w:ilvl w:val="0"/>
          <w:numId w:val="18"/>
        </w:numPr>
        <w:spacing w:before="100" w:beforeAutospacing="1" w:after="100" w:afterAutospacing="1" w:line="360" w:lineRule="auto"/>
        <w:rPr>
          <w:rFonts w:cs="Arial"/>
          <w:color w:val="000000" w:themeColor="text1"/>
          <w:szCs w:val="22"/>
        </w:rPr>
      </w:pPr>
      <w:r w:rsidRPr="00275792">
        <w:rPr>
          <w:rFonts w:cs="Arial"/>
          <w:color w:val="000000" w:themeColor="text1"/>
          <w:szCs w:val="22"/>
        </w:rPr>
        <w:t>Geography: England or the UK (with separate English data).</w:t>
      </w:r>
    </w:p>
    <w:p w14:paraId="3F738B45" w14:textId="77777777" w:rsidR="00275792" w:rsidRPr="00275792" w:rsidRDefault="00275792" w:rsidP="00303E61">
      <w:pPr>
        <w:numPr>
          <w:ilvl w:val="0"/>
          <w:numId w:val="18"/>
        </w:numPr>
        <w:spacing w:before="100" w:beforeAutospacing="1" w:after="100" w:afterAutospacing="1" w:line="360" w:lineRule="auto"/>
        <w:rPr>
          <w:rFonts w:cs="Arial"/>
          <w:color w:val="000000" w:themeColor="text1"/>
          <w:szCs w:val="22"/>
        </w:rPr>
      </w:pPr>
      <w:r w:rsidRPr="00275792">
        <w:rPr>
          <w:rFonts w:cs="Arial"/>
          <w:color w:val="000000" w:themeColor="text1"/>
          <w:szCs w:val="22"/>
        </w:rPr>
        <w:t>Types: peer-reviewed articles, government and NGO reports, and national datasets.</w:t>
      </w:r>
    </w:p>
    <w:p w14:paraId="3B280668" w14:textId="59405A85" w:rsidR="00BF3042" w:rsidRPr="00C91F72" w:rsidRDefault="00275792" w:rsidP="00303E61">
      <w:pPr>
        <w:numPr>
          <w:ilvl w:val="0"/>
          <w:numId w:val="18"/>
        </w:numPr>
        <w:spacing w:before="100" w:beforeAutospacing="1" w:after="100" w:afterAutospacing="1" w:line="360" w:lineRule="auto"/>
        <w:rPr>
          <w:rFonts w:cs="Arial"/>
          <w:color w:val="000000" w:themeColor="text1"/>
          <w:szCs w:val="22"/>
        </w:rPr>
      </w:pPr>
      <w:r w:rsidRPr="00275792">
        <w:rPr>
          <w:rFonts w:cs="Arial"/>
          <w:color w:val="000000" w:themeColor="text1"/>
          <w:szCs w:val="22"/>
        </w:rPr>
        <w:t>Language: English (to maintain consistency with available policy material).</w:t>
      </w:r>
    </w:p>
    <w:p w14:paraId="5E250308" w14:textId="77777777" w:rsidR="008D16E1" w:rsidRPr="008D16E1" w:rsidRDefault="008D16E1" w:rsidP="00901E26">
      <w:pPr>
        <w:spacing w:before="100" w:beforeAutospacing="1" w:after="100" w:afterAutospacing="1" w:line="360" w:lineRule="auto"/>
        <w:rPr>
          <w:rFonts w:cs="Arial"/>
          <w:color w:val="000000" w:themeColor="text1"/>
          <w:szCs w:val="22"/>
        </w:rPr>
      </w:pPr>
      <w:r w:rsidRPr="008D16E1">
        <w:rPr>
          <w:rFonts w:cs="Arial"/>
          <w:color w:val="000000" w:themeColor="text1"/>
          <w:szCs w:val="22"/>
        </w:rPr>
        <w:lastRenderedPageBreak/>
        <w:t>Search Process</w:t>
      </w:r>
    </w:p>
    <w:p w14:paraId="200C620D" w14:textId="77777777" w:rsidR="008D16E1" w:rsidRPr="008D16E1" w:rsidRDefault="008D16E1" w:rsidP="00901E26">
      <w:pPr>
        <w:spacing w:before="100" w:beforeAutospacing="1" w:after="100" w:afterAutospacing="1" w:line="360" w:lineRule="auto"/>
        <w:rPr>
          <w:rFonts w:cs="Arial"/>
          <w:color w:val="000000" w:themeColor="text1"/>
          <w:szCs w:val="22"/>
        </w:rPr>
      </w:pPr>
      <w:r w:rsidRPr="008D16E1">
        <w:rPr>
          <w:rFonts w:cs="Arial"/>
          <w:color w:val="000000" w:themeColor="text1"/>
          <w:szCs w:val="22"/>
        </w:rPr>
        <w:t>Over 150 initial records were identified, which were then screened for relevance using titles and abstracts. Duplicates and non-UK studies were removed. The final sample consisted of 30 high-quality sources, representing a balanced mix of peer-reviewed studies, national datasets, and policy reports.</w:t>
      </w:r>
    </w:p>
    <w:p w14:paraId="161A5794" w14:textId="77777777" w:rsidR="008D16E1" w:rsidRPr="008D16E1" w:rsidRDefault="008D16E1" w:rsidP="00901E26">
      <w:pPr>
        <w:spacing w:before="100" w:beforeAutospacing="1" w:after="100" w:afterAutospacing="1" w:line="360" w:lineRule="auto"/>
        <w:rPr>
          <w:rFonts w:cs="Arial"/>
          <w:color w:val="000000" w:themeColor="text1"/>
          <w:szCs w:val="22"/>
        </w:rPr>
      </w:pPr>
      <w:r w:rsidRPr="008D16E1">
        <w:rPr>
          <w:rFonts w:cs="Arial"/>
          <w:color w:val="000000" w:themeColor="text1"/>
          <w:szCs w:val="22"/>
        </w:rPr>
        <w:t>A source tracking table was used to document author, year, topic focus, and methodological quality. This table is summarised in Appendix A: The Thematic Summary Matrix.</w:t>
      </w:r>
    </w:p>
    <w:p w14:paraId="41D1010A" w14:textId="62BB5366" w:rsidR="00935115" w:rsidRPr="00C91F72" w:rsidRDefault="00935115" w:rsidP="00901E26">
      <w:pPr>
        <w:spacing w:line="360" w:lineRule="auto"/>
        <w:rPr>
          <w:rFonts w:cs="Arial"/>
          <w:color w:val="000000" w:themeColor="text1"/>
          <w:szCs w:val="22"/>
        </w:rPr>
      </w:pPr>
    </w:p>
    <w:p w14:paraId="0A21A7A4" w14:textId="77777777" w:rsidR="00935115" w:rsidRPr="00B738A5" w:rsidRDefault="00935115" w:rsidP="00B738A5">
      <w:pPr>
        <w:pStyle w:val="Heading2"/>
      </w:pPr>
      <w:bookmarkStart w:id="29" w:name="_Toc214836679"/>
      <w:r w:rsidRPr="00B738A5">
        <w:t>3.4 Research Validation</w:t>
      </w:r>
      <w:bookmarkEnd w:id="29"/>
    </w:p>
    <w:p w14:paraId="4828EB3C"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t>Skimming Techniques</w:t>
      </w:r>
    </w:p>
    <w:p w14:paraId="64D54086"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Following Cottrell (2017), a structured skimming process was used to quickly assess source relevance. Each paper was initially reviewed for relevance using its title, abstract, introduction, and conclusion before inclusion in full-text review.</w:t>
      </w:r>
    </w:p>
    <w:p w14:paraId="64194BD0"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t>CRAAP Test Application</w:t>
      </w:r>
    </w:p>
    <w:p w14:paraId="397E636C"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The CRAAP Test (Currency, Relevance, Authority, Accuracy, Purpose) was used to evaluate reliability:</w:t>
      </w:r>
    </w:p>
    <w:p w14:paraId="40B8FF8D"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Currency: Priority given to sources published within the last 10 years.</w:t>
      </w:r>
    </w:p>
    <w:p w14:paraId="14308B7C"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Relevance: Focus on England and low-income populations.</w:t>
      </w:r>
    </w:p>
    <w:p w14:paraId="2563BD8F"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Authority: Only peer-reviewed journals or credible institutions (NHS, ONS, PHE).</w:t>
      </w:r>
    </w:p>
    <w:p w14:paraId="7E6BE28C"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Accuracy: Verified statistical methods and transparent data sources.</w:t>
      </w:r>
    </w:p>
    <w:p w14:paraId="0BDF1FA1"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Purpose: Objective, research-based findings rather than advocacy.</w:t>
      </w:r>
    </w:p>
    <w:p w14:paraId="09CD2641" w14:textId="450A8547" w:rsidR="00935115" w:rsidRPr="00901E26"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While not all sources met every criterion, the highest weight was given to Currency, Relevance, and Authority</w:t>
      </w:r>
      <w:r w:rsidR="00797FF3" w:rsidRPr="00901E26">
        <w:rPr>
          <w:rFonts w:cs="Arial"/>
          <w:color w:val="000000" w:themeColor="text1"/>
          <w:szCs w:val="22"/>
        </w:rPr>
        <w:t xml:space="preserve">, </w:t>
      </w:r>
      <w:r w:rsidRPr="00C91F72">
        <w:rPr>
          <w:rFonts w:cs="Arial"/>
          <w:color w:val="000000" w:themeColor="text1"/>
          <w:szCs w:val="22"/>
        </w:rPr>
        <w:t>reflecting academic best practice for literature-based studies (Aveyard, 20</w:t>
      </w:r>
      <w:r w:rsidR="00772E44">
        <w:rPr>
          <w:rFonts w:cs="Arial"/>
          <w:color w:val="000000" w:themeColor="text1"/>
          <w:szCs w:val="22"/>
        </w:rPr>
        <w:t>23</w:t>
      </w:r>
      <w:r w:rsidRPr="00C91F72">
        <w:rPr>
          <w:rFonts w:cs="Arial"/>
          <w:color w:val="000000" w:themeColor="text1"/>
          <w:szCs w:val="22"/>
        </w:rPr>
        <w:t>).</w:t>
      </w:r>
    </w:p>
    <w:p w14:paraId="0A34FA4B" w14:textId="642B9F0A" w:rsidR="00DE402C" w:rsidRPr="00901E26" w:rsidRDefault="00DE402C" w:rsidP="00901E26">
      <w:pPr>
        <w:spacing w:before="100" w:beforeAutospacing="1" w:after="100" w:afterAutospacing="1" w:line="360" w:lineRule="auto"/>
        <w:rPr>
          <w:rFonts w:cs="Arial"/>
          <w:color w:val="000000" w:themeColor="text1"/>
          <w:szCs w:val="22"/>
        </w:rPr>
      </w:pPr>
    </w:p>
    <w:p w14:paraId="788127DC" w14:textId="0DE30BFA" w:rsidR="00BF3042" w:rsidRPr="00901E26" w:rsidRDefault="00BF3042" w:rsidP="00901E26">
      <w:pPr>
        <w:spacing w:before="100" w:beforeAutospacing="1" w:after="100" w:afterAutospacing="1" w:line="360" w:lineRule="auto"/>
        <w:rPr>
          <w:rFonts w:cs="Arial"/>
          <w:color w:val="000000" w:themeColor="text1"/>
          <w:szCs w:val="22"/>
        </w:rPr>
      </w:pPr>
    </w:p>
    <w:p w14:paraId="21A6B61A" w14:textId="77777777" w:rsidR="00BF3042" w:rsidRPr="00C91F72" w:rsidRDefault="00BF3042" w:rsidP="00901E26">
      <w:pPr>
        <w:spacing w:before="100" w:beforeAutospacing="1" w:after="100" w:afterAutospacing="1" w:line="360" w:lineRule="auto"/>
        <w:rPr>
          <w:rFonts w:cs="Arial"/>
          <w:color w:val="000000" w:themeColor="text1"/>
          <w:szCs w:val="22"/>
        </w:rPr>
      </w:pPr>
    </w:p>
    <w:p w14:paraId="1E413906"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lastRenderedPageBreak/>
        <w:t>Decision-Making</w:t>
      </w:r>
    </w:p>
    <w:p w14:paraId="47355181" w14:textId="515A4A78"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For example, several early-2000s studies on substance use were excluded due to outdated context, while Black (2021)</w:t>
      </w:r>
      <w:r w:rsidR="00A8429E" w:rsidRPr="00901E26">
        <w:rPr>
          <w:rFonts w:cs="Arial"/>
          <w:color w:val="000000" w:themeColor="text1"/>
          <w:szCs w:val="22"/>
        </w:rPr>
        <w:t xml:space="preserve"> </w:t>
      </w:r>
      <w:r w:rsidRPr="00C91F72">
        <w:rPr>
          <w:rFonts w:cs="Arial"/>
          <w:color w:val="000000" w:themeColor="text1"/>
          <w:szCs w:val="22"/>
        </w:rPr>
        <w:t>and Marmot (2020) were retained for their enduring relevance to current UK policy.</w:t>
      </w:r>
    </w:p>
    <w:p w14:paraId="4811E771" w14:textId="77777777" w:rsidR="00576D09" w:rsidRPr="00901E26" w:rsidRDefault="00576D09" w:rsidP="00901E26">
      <w:pPr>
        <w:spacing w:before="100" w:beforeAutospacing="1" w:after="100" w:afterAutospacing="1" w:line="360" w:lineRule="auto"/>
        <w:outlineLvl w:val="1"/>
        <w:rPr>
          <w:rFonts w:cs="Arial"/>
          <w:b/>
          <w:bCs/>
          <w:color w:val="000000" w:themeColor="text1"/>
          <w:szCs w:val="22"/>
        </w:rPr>
      </w:pPr>
    </w:p>
    <w:p w14:paraId="14EC9CB6" w14:textId="3DC83F7D" w:rsidR="00576D09" w:rsidRPr="00901E26" w:rsidRDefault="00935115" w:rsidP="00B738A5">
      <w:pPr>
        <w:pStyle w:val="Heading2"/>
      </w:pPr>
      <w:bookmarkStart w:id="30" w:name="_Toc214836680"/>
      <w:r w:rsidRPr="00901E26">
        <w:t>3.5 Inclusion and Exclusion Criteria</w:t>
      </w:r>
      <w:bookmarkEnd w:id="30"/>
    </w:p>
    <w:p w14:paraId="1176EC97" w14:textId="77777777" w:rsidR="00935115" w:rsidRPr="00901E26" w:rsidRDefault="00935115" w:rsidP="007963F8">
      <w:r w:rsidRPr="00901E26">
        <w:t>Inclusion Criteria</w:t>
      </w:r>
    </w:p>
    <w:p w14:paraId="1A5F1607" w14:textId="0B52255F"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Peer-reviewed journal articles published between 2014</w:t>
      </w:r>
      <w:r w:rsidR="00797FF3" w:rsidRPr="00901E26">
        <w:rPr>
          <w:rFonts w:cs="Arial"/>
          <w:color w:val="000000" w:themeColor="text1"/>
          <w:szCs w:val="22"/>
        </w:rPr>
        <w:t xml:space="preserve"> and </w:t>
      </w:r>
      <w:r w:rsidRPr="00C91F72">
        <w:rPr>
          <w:rFonts w:cs="Arial"/>
          <w:color w:val="000000" w:themeColor="text1"/>
          <w:szCs w:val="22"/>
        </w:rPr>
        <w:t>202</w:t>
      </w:r>
      <w:r w:rsidR="00A8429E" w:rsidRPr="00901E26">
        <w:rPr>
          <w:rFonts w:cs="Arial"/>
          <w:color w:val="000000" w:themeColor="text1"/>
          <w:szCs w:val="22"/>
        </w:rPr>
        <w:t>5</w:t>
      </w:r>
      <w:r w:rsidRPr="00C91F72">
        <w:rPr>
          <w:rFonts w:cs="Arial"/>
          <w:color w:val="000000" w:themeColor="text1"/>
          <w:szCs w:val="22"/>
        </w:rPr>
        <w:t>.</w:t>
      </w:r>
    </w:p>
    <w:p w14:paraId="4CDCD4B9" w14:textId="77777777"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Studies or reports focusing on England (or providing separate English data).</w:t>
      </w:r>
    </w:p>
    <w:p w14:paraId="4ED9904D" w14:textId="77777777"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Research addressing correlations between low income, substance misuse, and mental health.</w:t>
      </w:r>
    </w:p>
    <w:p w14:paraId="0B81C4AD" w14:textId="77777777"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National datasets (e.g., NHS Digital, ONS, Public Health England).</w:t>
      </w:r>
    </w:p>
    <w:p w14:paraId="0C62C724" w14:textId="77777777"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Grey literature from credible UK government or NGO sources.</w:t>
      </w:r>
    </w:p>
    <w:p w14:paraId="447E5C96" w14:textId="77777777" w:rsidR="00935115" w:rsidRPr="00C91F72" w:rsidRDefault="00935115" w:rsidP="007963F8">
      <w:r w:rsidRPr="00C91F72">
        <w:t>Exclusion Criteria</w:t>
      </w:r>
    </w:p>
    <w:p w14:paraId="3EB2BC49" w14:textId="77777777" w:rsidR="00935115" w:rsidRPr="00C91F72" w:rsidRDefault="00935115" w:rsidP="00303E61">
      <w:pPr>
        <w:numPr>
          <w:ilvl w:val="0"/>
          <w:numId w:val="8"/>
        </w:numPr>
        <w:spacing w:before="100" w:beforeAutospacing="1" w:after="100" w:afterAutospacing="1" w:line="360" w:lineRule="auto"/>
        <w:rPr>
          <w:rFonts w:cs="Arial"/>
          <w:color w:val="000000" w:themeColor="text1"/>
          <w:szCs w:val="22"/>
        </w:rPr>
      </w:pPr>
      <w:r w:rsidRPr="00C91F72">
        <w:rPr>
          <w:rFonts w:cs="Arial"/>
          <w:color w:val="000000" w:themeColor="text1"/>
          <w:szCs w:val="22"/>
        </w:rPr>
        <w:t>Non-UK or international studies lacking English-specific data.</w:t>
      </w:r>
    </w:p>
    <w:p w14:paraId="69EE1588" w14:textId="77777777" w:rsidR="00935115" w:rsidRPr="00C91F72" w:rsidRDefault="00935115" w:rsidP="00303E61">
      <w:pPr>
        <w:numPr>
          <w:ilvl w:val="0"/>
          <w:numId w:val="8"/>
        </w:numPr>
        <w:spacing w:before="100" w:beforeAutospacing="1" w:after="100" w:afterAutospacing="1" w:line="360" w:lineRule="auto"/>
        <w:rPr>
          <w:rFonts w:cs="Arial"/>
          <w:color w:val="000000" w:themeColor="text1"/>
          <w:szCs w:val="22"/>
        </w:rPr>
      </w:pPr>
      <w:r w:rsidRPr="00C91F72">
        <w:rPr>
          <w:rFonts w:cs="Arial"/>
          <w:color w:val="000000" w:themeColor="text1"/>
          <w:szCs w:val="22"/>
        </w:rPr>
        <w:t>Opinion pieces, blogs, or media commentary.</w:t>
      </w:r>
    </w:p>
    <w:p w14:paraId="6DBCFA84" w14:textId="77777777" w:rsidR="00935115" w:rsidRPr="00C91F72" w:rsidRDefault="00935115" w:rsidP="00303E61">
      <w:pPr>
        <w:numPr>
          <w:ilvl w:val="0"/>
          <w:numId w:val="8"/>
        </w:numPr>
        <w:spacing w:before="100" w:beforeAutospacing="1" w:after="100" w:afterAutospacing="1" w:line="360" w:lineRule="auto"/>
        <w:rPr>
          <w:rFonts w:cs="Arial"/>
          <w:color w:val="000000" w:themeColor="text1"/>
          <w:szCs w:val="22"/>
        </w:rPr>
      </w:pPr>
      <w:r w:rsidRPr="00C91F72">
        <w:rPr>
          <w:rFonts w:cs="Arial"/>
          <w:color w:val="000000" w:themeColor="text1"/>
          <w:szCs w:val="22"/>
        </w:rPr>
        <w:t>Clinical trials with no socioeconomic context.</w:t>
      </w:r>
    </w:p>
    <w:p w14:paraId="05E37A51" w14:textId="2D72B9F5" w:rsidR="00935115" w:rsidRPr="00901E26" w:rsidRDefault="00935115" w:rsidP="00303E61">
      <w:pPr>
        <w:numPr>
          <w:ilvl w:val="0"/>
          <w:numId w:val="8"/>
        </w:numPr>
        <w:spacing w:before="100" w:beforeAutospacing="1" w:after="100" w:afterAutospacing="1" w:line="360" w:lineRule="auto"/>
        <w:rPr>
          <w:rFonts w:cs="Arial"/>
          <w:color w:val="000000" w:themeColor="text1"/>
          <w:szCs w:val="22"/>
        </w:rPr>
      </w:pPr>
      <w:r w:rsidRPr="00C91F72">
        <w:rPr>
          <w:rFonts w:cs="Arial"/>
          <w:color w:val="000000" w:themeColor="text1"/>
          <w:szCs w:val="22"/>
        </w:rPr>
        <w:t>Articles published before 2014 unless of theoretical significance.</w:t>
      </w:r>
    </w:p>
    <w:p w14:paraId="0A25E97E" w14:textId="77777777" w:rsidR="00DE402C" w:rsidRPr="00C91F72" w:rsidRDefault="00DE402C" w:rsidP="00901E26">
      <w:pPr>
        <w:spacing w:before="100" w:beforeAutospacing="1" w:after="100" w:afterAutospacing="1" w:line="360" w:lineRule="auto"/>
        <w:rPr>
          <w:rFonts w:cs="Arial"/>
          <w:color w:val="000000" w:themeColor="text1"/>
          <w:szCs w:val="22"/>
        </w:rPr>
      </w:pPr>
    </w:p>
    <w:p w14:paraId="02D81952" w14:textId="77777777" w:rsidR="00935115" w:rsidRPr="00C91F72" w:rsidRDefault="00935115" w:rsidP="007963F8">
      <w:r w:rsidRPr="00C91F72">
        <w:t>Justification</w:t>
      </w:r>
    </w:p>
    <w:p w14:paraId="3750127E" w14:textId="1E8590EB"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This framework ensured the research remained focused on the English context and recent social developments</w:t>
      </w:r>
      <w:r w:rsidR="00A8429E" w:rsidRPr="00901E26">
        <w:rPr>
          <w:rFonts w:cs="Arial"/>
          <w:color w:val="000000" w:themeColor="text1"/>
          <w:szCs w:val="22"/>
        </w:rPr>
        <w:t xml:space="preserve"> </w:t>
      </w:r>
      <w:r w:rsidRPr="00C91F72">
        <w:rPr>
          <w:rFonts w:cs="Arial"/>
          <w:color w:val="000000" w:themeColor="text1"/>
          <w:szCs w:val="22"/>
        </w:rPr>
        <w:t>particularly post-austerity and COVID-19 impacts. It also prioritised sources with clear methodological transparency and statistical reliability, strengthening the thematic synthesis in Chapter 4.</w:t>
      </w:r>
    </w:p>
    <w:p w14:paraId="659FA512" w14:textId="06E85812" w:rsidR="00BF3042" w:rsidRDefault="00BF3042" w:rsidP="00901E26">
      <w:pPr>
        <w:pStyle w:val="Heading1"/>
        <w:spacing w:line="360" w:lineRule="auto"/>
        <w:rPr>
          <w:rFonts w:cs="Arial"/>
          <w:color w:val="000000" w:themeColor="text1"/>
          <w:szCs w:val="22"/>
        </w:rPr>
      </w:pPr>
    </w:p>
    <w:p w14:paraId="1A875CD2" w14:textId="56009331" w:rsidR="007963F8" w:rsidRDefault="007963F8" w:rsidP="00901E26">
      <w:pPr>
        <w:pStyle w:val="Heading1"/>
        <w:spacing w:line="360" w:lineRule="auto"/>
        <w:rPr>
          <w:rFonts w:cs="Arial"/>
          <w:color w:val="000000" w:themeColor="text1"/>
          <w:szCs w:val="22"/>
        </w:rPr>
      </w:pPr>
    </w:p>
    <w:p w14:paraId="6F1BB3C3" w14:textId="3FA7BBE6" w:rsidR="007963F8" w:rsidRDefault="007963F8" w:rsidP="00901E26">
      <w:pPr>
        <w:pStyle w:val="Heading1"/>
        <w:spacing w:line="360" w:lineRule="auto"/>
        <w:rPr>
          <w:rFonts w:cs="Arial"/>
          <w:color w:val="000000" w:themeColor="text1"/>
          <w:szCs w:val="22"/>
        </w:rPr>
      </w:pPr>
    </w:p>
    <w:p w14:paraId="20E04EDB" w14:textId="77777777" w:rsidR="00772E44" w:rsidRPr="00901E26" w:rsidRDefault="00772E44" w:rsidP="00901E26">
      <w:pPr>
        <w:pStyle w:val="Heading1"/>
        <w:spacing w:line="360" w:lineRule="auto"/>
        <w:rPr>
          <w:rFonts w:cs="Arial"/>
          <w:color w:val="000000" w:themeColor="text1"/>
          <w:szCs w:val="22"/>
        </w:rPr>
      </w:pPr>
    </w:p>
    <w:p w14:paraId="20BE6CF1" w14:textId="77C898ED" w:rsidR="00935115" w:rsidRPr="00901E26" w:rsidRDefault="00935115" w:rsidP="00B738A5">
      <w:pPr>
        <w:pStyle w:val="Heading2"/>
      </w:pPr>
      <w:bookmarkStart w:id="31" w:name="_Toc214836681"/>
      <w:r w:rsidRPr="00901E26">
        <w:lastRenderedPageBreak/>
        <w:t>3.6 Analysing Research</w:t>
      </w:r>
      <w:bookmarkEnd w:id="31"/>
    </w:p>
    <w:p w14:paraId="44661FD5" w14:textId="77777777" w:rsidR="00935115" w:rsidRPr="00C91F72" w:rsidRDefault="00935115" w:rsidP="007963F8">
      <w:r w:rsidRPr="00C91F72">
        <w:t>Thematic Coding Approach</w:t>
      </w:r>
    </w:p>
    <w:p w14:paraId="1CE016C2"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Following Braun and Clarke’s (2006) six-phase framework for thematic analysis, data were reviewed iteratively:</w:t>
      </w:r>
    </w:p>
    <w:p w14:paraId="5BD5C4ED"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Familiarisation with data</w:t>
      </w:r>
    </w:p>
    <w:p w14:paraId="32F097A2"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Generating initial codes</w:t>
      </w:r>
    </w:p>
    <w:p w14:paraId="52F5EC08"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Searching for themes</w:t>
      </w:r>
    </w:p>
    <w:p w14:paraId="3F6CC201"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Reviewing themes</w:t>
      </w:r>
    </w:p>
    <w:p w14:paraId="4A5B64B3"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Defining and naming themes</w:t>
      </w:r>
    </w:p>
    <w:p w14:paraId="2F32F3AE"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Producing the report</w:t>
      </w:r>
    </w:p>
    <w:p w14:paraId="50BB2D15"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Initial coding focused on recurring ideas such as</w:t>
      </w:r>
      <w:r w:rsidRPr="00C91F72">
        <w:rPr>
          <w:rFonts w:cs="Arial"/>
          <w:i/>
          <w:iCs/>
          <w:color w:val="000000" w:themeColor="text1"/>
          <w:szCs w:val="22"/>
        </w:rPr>
        <w:t> </w:t>
      </w:r>
      <w:r w:rsidRPr="00C91F72">
        <w:rPr>
          <w:rFonts w:cs="Arial"/>
          <w:color w:val="000000" w:themeColor="text1"/>
          <w:szCs w:val="22"/>
        </w:rPr>
        <w:t>poverty, mental health, access barriers, policy responses, and health inequality.</w:t>
      </w:r>
    </w:p>
    <w:p w14:paraId="37BD546C" w14:textId="77777777" w:rsidR="00935115" w:rsidRPr="00C91F72" w:rsidRDefault="00935115" w:rsidP="007963F8">
      <w:r w:rsidRPr="00C91F72">
        <w:t>Developing Themes</w:t>
      </w:r>
    </w:p>
    <w:p w14:paraId="755C8C3F"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Codes were grouped into four major themes:</w:t>
      </w:r>
    </w:p>
    <w:p w14:paraId="7A7D44FE" w14:textId="77777777" w:rsidR="00935115" w:rsidRPr="00C91F72" w:rsidRDefault="00935115" w:rsidP="00303E61">
      <w:pPr>
        <w:numPr>
          <w:ilvl w:val="0"/>
          <w:numId w:val="10"/>
        </w:numPr>
        <w:spacing w:before="100" w:beforeAutospacing="1" w:after="100" w:afterAutospacing="1" w:line="360" w:lineRule="auto"/>
        <w:rPr>
          <w:rFonts w:cs="Arial"/>
          <w:color w:val="000000" w:themeColor="text1"/>
          <w:szCs w:val="22"/>
        </w:rPr>
      </w:pPr>
      <w:r w:rsidRPr="00C91F72">
        <w:rPr>
          <w:rFonts w:cs="Arial"/>
          <w:color w:val="000000" w:themeColor="text1"/>
          <w:szCs w:val="22"/>
        </w:rPr>
        <w:t>Socioeconomic disadvantage and substance misuse.</w:t>
      </w:r>
    </w:p>
    <w:p w14:paraId="32CCCB12" w14:textId="77777777" w:rsidR="00935115" w:rsidRPr="00C91F72" w:rsidRDefault="00935115" w:rsidP="00303E61">
      <w:pPr>
        <w:numPr>
          <w:ilvl w:val="0"/>
          <w:numId w:val="10"/>
        </w:numPr>
        <w:spacing w:before="100" w:beforeAutospacing="1" w:after="100" w:afterAutospacing="1" w:line="360" w:lineRule="auto"/>
        <w:rPr>
          <w:rFonts w:cs="Arial"/>
          <w:color w:val="000000" w:themeColor="text1"/>
          <w:szCs w:val="22"/>
        </w:rPr>
      </w:pPr>
      <w:r w:rsidRPr="00C91F72">
        <w:rPr>
          <w:rFonts w:cs="Arial"/>
          <w:color w:val="000000" w:themeColor="text1"/>
          <w:szCs w:val="22"/>
        </w:rPr>
        <w:t>Untreated mental health and substance misuse.</w:t>
      </w:r>
    </w:p>
    <w:p w14:paraId="759742AF" w14:textId="77777777" w:rsidR="00935115" w:rsidRPr="00C91F72" w:rsidRDefault="00935115" w:rsidP="00303E61">
      <w:pPr>
        <w:numPr>
          <w:ilvl w:val="0"/>
          <w:numId w:val="10"/>
        </w:numPr>
        <w:spacing w:before="100" w:beforeAutospacing="1" w:after="100" w:afterAutospacing="1" w:line="360" w:lineRule="auto"/>
        <w:rPr>
          <w:rFonts w:cs="Arial"/>
          <w:color w:val="000000" w:themeColor="text1"/>
          <w:szCs w:val="22"/>
        </w:rPr>
      </w:pPr>
      <w:r w:rsidRPr="00C91F72">
        <w:rPr>
          <w:rFonts w:cs="Arial"/>
          <w:color w:val="000000" w:themeColor="text1"/>
          <w:szCs w:val="22"/>
        </w:rPr>
        <w:t>Barriers to access and support services.</w:t>
      </w:r>
    </w:p>
    <w:p w14:paraId="32240032" w14:textId="77777777" w:rsidR="00A8429E" w:rsidRPr="00901E26" w:rsidRDefault="00935115" w:rsidP="00303E61">
      <w:pPr>
        <w:numPr>
          <w:ilvl w:val="0"/>
          <w:numId w:val="10"/>
        </w:numPr>
        <w:spacing w:before="100" w:beforeAutospacing="1" w:after="100" w:afterAutospacing="1" w:line="360" w:lineRule="auto"/>
        <w:rPr>
          <w:rFonts w:cs="Arial"/>
          <w:color w:val="000000" w:themeColor="text1"/>
          <w:szCs w:val="22"/>
        </w:rPr>
      </w:pPr>
      <w:r w:rsidRPr="00C91F72">
        <w:rPr>
          <w:rFonts w:cs="Arial"/>
          <w:color w:val="000000" w:themeColor="text1"/>
          <w:szCs w:val="22"/>
        </w:rPr>
        <w:t>Policy responses and structural inequalities.</w:t>
      </w:r>
    </w:p>
    <w:p w14:paraId="1CE2060D" w14:textId="2A284379" w:rsidR="00A8429E" w:rsidRPr="00901E26" w:rsidRDefault="00A8429E" w:rsidP="00303E61">
      <w:pPr>
        <w:numPr>
          <w:ilvl w:val="0"/>
          <w:numId w:val="10"/>
        </w:numPr>
        <w:spacing w:before="100" w:beforeAutospacing="1" w:after="100" w:afterAutospacing="1" w:line="360" w:lineRule="auto"/>
        <w:rPr>
          <w:rFonts w:cs="Arial"/>
          <w:color w:val="000000" w:themeColor="text1"/>
          <w:szCs w:val="22"/>
        </w:rPr>
      </w:pPr>
      <w:r w:rsidRPr="00901E26">
        <w:rPr>
          <w:rFonts w:cs="Arial"/>
          <w:color w:val="000000" w:themeColor="text1"/>
          <w:szCs w:val="22"/>
        </w:rPr>
        <w:t>The Impact of COVID-19 on Health Inequalities.</w:t>
      </w:r>
    </w:p>
    <w:p w14:paraId="06BC5DDF"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Each theme was reviewed and validated against the data set to ensure representativeness and coherence. Themes were further cross-checked with academic supervisors for validity, aligning with Braun and Clarke’s (2006) emphasis on reflexivity and peer review.</w:t>
      </w:r>
    </w:p>
    <w:p w14:paraId="0369E4B8" w14:textId="1B58BD0C" w:rsidR="00935115" w:rsidRDefault="00935115" w:rsidP="007963F8">
      <w:pPr>
        <w:spacing w:line="360" w:lineRule="auto"/>
      </w:pPr>
      <w:r w:rsidRPr="00C91F72">
        <w:t>Organisation and Tools</w:t>
      </w:r>
    </w:p>
    <w:p w14:paraId="36593A85" w14:textId="77777777" w:rsidR="003A6507" w:rsidRPr="00C91F72" w:rsidRDefault="003A6507" w:rsidP="007963F8">
      <w:pPr>
        <w:spacing w:line="360" w:lineRule="auto"/>
      </w:pPr>
    </w:p>
    <w:p w14:paraId="7B43723A" w14:textId="77777777" w:rsidR="003A6507" w:rsidRPr="003A6507" w:rsidRDefault="003A6507" w:rsidP="003A6507">
      <w:pPr>
        <w:spacing w:line="360" w:lineRule="auto"/>
        <w:rPr>
          <w:rFonts w:cs="Arial"/>
          <w:szCs w:val="22"/>
        </w:rPr>
      </w:pPr>
      <w:r w:rsidRPr="003A6507">
        <w:rPr>
          <w:rFonts w:cs="Arial"/>
          <w:color w:val="000000"/>
          <w:szCs w:val="22"/>
        </w:rPr>
        <w:t>Data from the included studies were extracted and organised using tables and colour-coded spreadsheets to support transparent comparison and identify recurring patterns. NVivo was used only to assist with organising relevant extracted text. This systematic process supported clear theme development, which is summarised in Appendix A.</w:t>
      </w:r>
    </w:p>
    <w:p w14:paraId="6AF84910" w14:textId="64DC8767" w:rsidR="00935115" w:rsidRDefault="005173C3" w:rsidP="00901E26">
      <w:pPr>
        <w:spacing w:line="360" w:lineRule="auto"/>
        <w:rPr>
          <w:rFonts w:cs="Arial"/>
          <w:color w:val="000000"/>
          <w:szCs w:val="22"/>
        </w:rPr>
      </w:pPr>
      <w:r w:rsidRPr="00863C98">
        <w:rPr>
          <w:rFonts w:cs="Arial"/>
          <w:color w:val="000000"/>
          <w:szCs w:val="22"/>
        </w:rPr>
        <w:t>.</w:t>
      </w:r>
    </w:p>
    <w:p w14:paraId="0B3F383C" w14:textId="77777777" w:rsidR="003A6507" w:rsidRPr="00901E26" w:rsidRDefault="003A6507" w:rsidP="00901E26">
      <w:pPr>
        <w:spacing w:line="360" w:lineRule="auto"/>
        <w:rPr>
          <w:rFonts w:cs="Arial"/>
          <w:color w:val="000000" w:themeColor="text1"/>
          <w:szCs w:val="22"/>
        </w:rPr>
      </w:pPr>
    </w:p>
    <w:p w14:paraId="5EEF149D" w14:textId="77777777" w:rsidR="00A8429E" w:rsidRPr="00C91F72" w:rsidRDefault="00A8429E" w:rsidP="00901E26">
      <w:pPr>
        <w:spacing w:line="360" w:lineRule="auto"/>
        <w:rPr>
          <w:rFonts w:cs="Arial"/>
          <w:color w:val="000000" w:themeColor="text1"/>
          <w:szCs w:val="22"/>
        </w:rPr>
      </w:pPr>
    </w:p>
    <w:p w14:paraId="5217D18A" w14:textId="77777777" w:rsidR="00935115" w:rsidRPr="00B738A5" w:rsidRDefault="00935115" w:rsidP="00B738A5">
      <w:pPr>
        <w:pStyle w:val="Heading1"/>
      </w:pPr>
      <w:bookmarkStart w:id="32" w:name="_Toc214836682"/>
      <w:r w:rsidRPr="00B738A5">
        <w:lastRenderedPageBreak/>
        <w:t>3.7 Ethical Considerations</w:t>
      </w:r>
      <w:bookmarkEnd w:id="32"/>
    </w:p>
    <w:p w14:paraId="76CE762B" w14:textId="77777777" w:rsidR="00935115" w:rsidRPr="00C91F72" w:rsidRDefault="00935115" w:rsidP="007963F8">
      <w:r w:rsidRPr="00C91F72">
        <w:t>Secondary Research Ethics</w:t>
      </w:r>
    </w:p>
    <w:p w14:paraId="6998440F"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As a desk-based study using publicly available data, formal ethical approval was not required. However, ethical principles of integrity, accuracy, and respect for vulnerable groups were strictly maintained. Sensitive issues such as addiction, poverty, and mental illness were discussed with empathy and without stigma.</w:t>
      </w:r>
    </w:p>
    <w:p w14:paraId="1177D7C8" w14:textId="77777777" w:rsidR="00935115" w:rsidRPr="00C91F72" w:rsidRDefault="00935115" w:rsidP="007963F8">
      <w:r w:rsidRPr="00C91F72">
        <w:t>Academic Integrity</w:t>
      </w:r>
    </w:p>
    <w:p w14:paraId="3D9DCF73" w14:textId="74EBCA59" w:rsidR="00935115" w:rsidRPr="00C91F72" w:rsidRDefault="00935115" w:rsidP="00901E26">
      <w:pPr>
        <w:pStyle w:val="NormalWeb"/>
        <w:spacing w:line="360" w:lineRule="auto"/>
        <w:rPr>
          <w:rFonts w:ascii="Arial" w:hAnsi="Arial" w:cs="Arial"/>
          <w:color w:val="000000" w:themeColor="text1"/>
          <w:szCs w:val="22"/>
        </w:rPr>
      </w:pPr>
      <w:r w:rsidRPr="00C91F72">
        <w:rPr>
          <w:rFonts w:ascii="Arial" w:hAnsi="Arial" w:cs="Arial"/>
          <w:color w:val="000000" w:themeColor="text1"/>
          <w:szCs w:val="22"/>
        </w:rPr>
        <w:t xml:space="preserve">All sources were properly cited using the Harvard UWTSD referencing style to uphold academic honesty. The use of reference-management software (Zotero) ensured consistent </w:t>
      </w:r>
      <w:r w:rsidR="00797FF3" w:rsidRPr="00901E26">
        <w:rPr>
          <w:rFonts w:ascii="Arial" w:hAnsi="Arial" w:cs="Arial"/>
          <w:color w:val="000000" w:themeColor="text1"/>
          <w:szCs w:val="22"/>
        </w:rPr>
        <w:t xml:space="preserve">citation. </w:t>
      </w:r>
      <w:r w:rsidRPr="00C91F72">
        <w:rPr>
          <w:rFonts w:ascii="Arial" w:hAnsi="Arial" w:cs="Arial"/>
          <w:color w:val="000000" w:themeColor="text1"/>
          <w:szCs w:val="22"/>
        </w:rPr>
        <w:t>Cottrell (2017) highlights that maintaining accurate referencing demonstrates ethical scholarship and intellectual transparency.</w:t>
      </w:r>
    </w:p>
    <w:p w14:paraId="6A2C46AA" w14:textId="77777777" w:rsidR="00935115" w:rsidRPr="00C91F72" w:rsidRDefault="00935115" w:rsidP="007963F8">
      <w:r w:rsidRPr="00C91F72">
        <w:t>Transparency and Credibility</w:t>
      </w:r>
    </w:p>
    <w:p w14:paraId="74F175C5" w14:textId="416B3C3B"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Selection and interpretation of sources were guided by fairness and objectivity. To prevent bias, differing perspectives</w:t>
      </w:r>
      <w:r w:rsidR="00A8429E" w:rsidRPr="00901E26">
        <w:rPr>
          <w:rFonts w:cs="Arial"/>
          <w:color w:val="000000" w:themeColor="text1"/>
          <w:szCs w:val="22"/>
        </w:rPr>
        <w:t xml:space="preserve"> </w:t>
      </w:r>
      <w:r w:rsidRPr="00C91F72">
        <w:rPr>
          <w:rFonts w:cs="Arial"/>
          <w:color w:val="000000" w:themeColor="text1"/>
          <w:szCs w:val="22"/>
        </w:rPr>
        <w:t>such as policy documents, qualitative studies, and quantitative datasets</w:t>
      </w:r>
      <w:r w:rsidR="00A8429E" w:rsidRPr="00901E26">
        <w:rPr>
          <w:rFonts w:cs="Arial"/>
          <w:color w:val="000000" w:themeColor="text1"/>
          <w:szCs w:val="22"/>
        </w:rPr>
        <w:t xml:space="preserve"> </w:t>
      </w:r>
      <w:r w:rsidRPr="00C91F72">
        <w:rPr>
          <w:rFonts w:cs="Arial"/>
          <w:color w:val="000000" w:themeColor="text1"/>
          <w:szCs w:val="22"/>
        </w:rPr>
        <w:t>were triangulated to achieve a balanced view.</w:t>
      </w:r>
    </w:p>
    <w:p w14:paraId="6E3FF169" w14:textId="1D5EB70C" w:rsidR="00935115" w:rsidRPr="00B738A5" w:rsidRDefault="00935115" w:rsidP="00B738A5">
      <w:pPr>
        <w:pStyle w:val="Heading1"/>
      </w:pPr>
      <w:bookmarkStart w:id="33" w:name="_Toc214836683"/>
      <w:r w:rsidRPr="00B738A5">
        <w:t>3.8 Conclusion</w:t>
      </w:r>
      <w:bookmarkEnd w:id="33"/>
    </w:p>
    <w:p w14:paraId="261D4A3F" w14:textId="698FA10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This chapter has explained the systematic process used to identify, evaluate, and analyse literature for this dissertation. Using a structured search strategy grounded in Aveyard’s (20</w:t>
      </w:r>
      <w:r w:rsidR="00B738A5">
        <w:rPr>
          <w:rFonts w:cs="Arial"/>
          <w:color w:val="000000" w:themeColor="text1"/>
          <w:szCs w:val="22"/>
        </w:rPr>
        <w:t>23</w:t>
      </w:r>
      <w:r w:rsidRPr="00C91F72">
        <w:rPr>
          <w:rFonts w:cs="Arial"/>
          <w:color w:val="000000" w:themeColor="text1"/>
          <w:szCs w:val="22"/>
        </w:rPr>
        <w:t>) guidance and applying Braun and Clarke’s (2006)</w:t>
      </w:r>
      <w:r w:rsidR="00A8429E" w:rsidRPr="00901E26">
        <w:rPr>
          <w:rFonts w:cs="Arial"/>
          <w:color w:val="000000" w:themeColor="text1"/>
          <w:szCs w:val="22"/>
        </w:rPr>
        <w:t xml:space="preserve"> </w:t>
      </w:r>
      <w:r w:rsidRPr="00C91F72">
        <w:rPr>
          <w:rFonts w:cs="Arial"/>
          <w:color w:val="000000" w:themeColor="text1"/>
          <w:szCs w:val="22"/>
        </w:rPr>
        <w:t>thematic framework, the study synthesised 30 high-quality sources from an initial pool of 150.</w:t>
      </w:r>
    </w:p>
    <w:p w14:paraId="4CB62B87"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Rigorous validation ensured the inclusion of relevant, current, and credible materials. Ethical standards were upheld throughout, ensuring transparency and reliability in interpreting secondary data.</w:t>
      </w:r>
    </w:p>
    <w:p w14:paraId="57215E40" w14:textId="49481F57" w:rsidR="001D1EB8"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The results of this process are presented in Chapter 4, where themes derived through this methodology are explored in detail to reveal the complex interplay between low income, untreated mental health, and substance misuse in England.</w:t>
      </w:r>
    </w:p>
    <w:p w14:paraId="6EE737FA" w14:textId="375B56D3" w:rsidR="00B738A5" w:rsidRDefault="00B738A5" w:rsidP="00901E26">
      <w:pPr>
        <w:spacing w:before="100" w:beforeAutospacing="1" w:after="100" w:afterAutospacing="1" w:line="360" w:lineRule="auto"/>
        <w:rPr>
          <w:rFonts w:cs="Arial"/>
          <w:color w:val="000000" w:themeColor="text1"/>
          <w:szCs w:val="22"/>
        </w:rPr>
      </w:pPr>
    </w:p>
    <w:p w14:paraId="461EB0CC" w14:textId="55A118E1" w:rsidR="00B738A5" w:rsidRDefault="00B738A5" w:rsidP="00901E26">
      <w:pPr>
        <w:spacing w:before="100" w:beforeAutospacing="1" w:after="100" w:afterAutospacing="1" w:line="360" w:lineRule="auto"/>
        <w:rPr>
          <w:rFonts w:cs="Arial"/>
          <w:color w:val="000000" w:themeColor="text1"/>
          <w:szCs w:val="22"/>
        </w:rPr>
      </w:pPr>
    </w:p>
    <w:p w14:paraId="2044618E" w14:textId="7A5F5B0D" w:rsidR="007963F8" w:rsidRDefault="007963F8" w:rsidP="00901E26">
      <w:pPr>
        <w:spacing w:before="100" w:beforeAutospacing="1" w:after="100" w:afterAutospacing="1" w:line="360" w:lineRule="auto"/>
        <w:rPr>
          <w:rFonts w:cs="Arial"/>
          <w:color w:val="000000" w:themeColor="text1"/>
          <w:szCs w:val="22"/>
        </w:rPr>
      </w:pPr>
    </w:p>
    <w:p w14:paraId="61431AEF" w14:textId="77777777" w:rsidR="00007F2C" w:rsidRPr="00433871" w:rsidRDefault="00007F2C" w:rsidP="00433871">
      <w:pPr>
        <w:pStyle w:val="Heading1"/>
      </w:pPr>
      <w:bookmarkStart w:id="34" w:name="_Toc214836684"/>
      <w:r w:rsidRPr="00433871">
        <w:rPr>
          <w:rStyle w:val="Strong"/>
          <w:rFonts w:eastAsiaTheme="majorEastAsia"/>
          <w:b/>
          <w:bCs/>
        </w:rPr>
        <w:lastRenderedPageBreak/>
        <w:t>Chapter 4: Findings and Discussion</w:t>
      </w:r>
      <w:bookmarkEnd w:id="34"/>
    </w:p>
    <w:p w14:paraId="666D28E0" w14:textId="77777777" w:rsidR="00007F2C" w:rsidRPr="00433871" w:rsidRDefault="00007F2C" w:rsidP="00433871">
      <w:pPr>
        <w:pStyle w:val="Heading2"/>
      </w:pPr>
      <w:bookmarkStart w:id="35" w:name="_Toc214836685"/>
      <w:r w:rsidRPr="00433871">
        <w:rPr>
          <w:rStyle w:val="Strong"/>
          <w:rFonts w:eastAsiaTheme="majorEastAsia"/>
          <w:b w:val="0"/>
          <w:bCs/>
        </w:rPr>
        <w:t>4.1 Introduction</w:t>
      </w:r>
      <w:bookmarkEnd w:id="35"/>
    </w:p>
    <w:p w14:paraId="04C6025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chapter discusses and critically evaluates the findings from the systematic literature review examining the relationship between low-income status, substance abuse, and untreated mental health issues in England. This chapter aims to synthesise trends discovered in thirty high-quality sources, including ten primary references from peer-reviewed journals, government publications, and policy papers. The data were thematically analysed using Braun and Clark's (2006) six-step approach, which enabled the identification of key themes grounded in both quantitative and qualitative evidence. The chapter expands upon the patterns observed in the literature and links these to the theoretical frameworks of </w:t>
      </w:r>
      <w:r w:rsidRPr="00901E26">
        <w:rPr>
          <w:rFonts w:eastAsiaTheme="majorEastAsia" w:cs="Arial"/>
          <w:color w:val="000000" w:themeColor="text1"/>
          <w:szCs w:val="22"/>
        </w:rPr>
        <w:t>social determinants of health (Marmot, 2020</w:t>
      </w:r>
      <w:r w:rsidRPr="00901E26">
        <w:rPr>
          <w:rFonts w:cs="Arial"/>
          <w:color w:val="000000" w:themeColor="text1"/>
          <w:szCs w:val="22"/>
        </w:rPr>
        <w:t>), the </w:t>
      </w:r>
      <w:r w:rsidRPr="00901E26">
        <w:rPr>
          <w:rFonts w:eastAsiaTheme="majorEastAsia" w:cs="Arial"/>
          <w:color w:val="000000" w:themeColor="text1"/>
          <w:szCs w:val="22"/>
        </w:rPr>
        <w:t>biopsychosocial model (Engel, 1977),</w:t>
      </w:r>
      <w:r w:rsidRPr="00901E26">
        <w:rPr>
          <w:rFonts w:cs="Arial"/>
          <w:color w:val="000000" w:themeColor="text1"/>
          <w:szCs w:val="22"/>
        </w:rPr>
        <w:t> and </w:t>
      </w:r>
      <w:r w:rsidRPr="00901E26">
        <w:rPr>
          <w:rFonts w:eastAsiaTheme="majorEastAsia" w:cs="Arial"/>
          <w:color w:val="000000" w:themeColor="text1"/>
          <w:szCs w:val="22"/>
        </w:rPr>
        <w:t>dual diagnosis theory (NICE, 2022).</w:t>
      </w:r>
    </w:p>
    <w:p w14:paraId="3B54FC8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Five central themes emerged from the analysis:</w:t>
      </w:r>
    </w:p>
    <w:p w14:paraId="4668ABF9"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1. Low-Income Status and Substance Misuse</w:t>
      </w:r>
    </w:p>
    <w:p w14:paraId="389A3CA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2. Untreated mental health disorders and dual diagnoses</w:t>
      </w:r>
    </w:p>
    <w:p w14:paraId="1014F024"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3. Barriers to Access and Service Inequality</w:t>
      </w:r>
    </w:p>
    <w:p w14:paraId="0E4D4E0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4. Policy, Legislation, and Public Health Frameworks</w:t>
      </w:r>
    </w:p>
    <w:p w14:paraId="46B717D1"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5. The Impact of COVID-19 on Health Inequalities</w:t>
      </w:r>
    </w:p>
    <w:p w14:paraId="79198C6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Each theme is examined through the lenses of definition, background, data, theoretical relevance, and policy context. These findings reveal the complexities of economic deprivation, mental health, and substance misuse within England’s health system and illustrate how systemic inequality continues to shape outcomes.</w:t>
      </w:r>
    </w:p>
    <w:p w14:paraId="642B752C" w14:textId="77777777" w:rsidR="00007F2C" w:rsidRPr="00901E26" w:rsidRDefault="00007F2C" w:rsidP="00901E26">
      <w:pPr>
        <w:spacing w:line="360" w:lineRule="auto"/>
        <w:rPr>
          <w:rFonts w:cs="Arial"/>
          <w:color w:val="000000" w:themeColor="text1"/>
          <w:szCs w:val="22"/>
        </w:rPr>
      </w:pPr>
    </w:p>
    <w:p w14:paraId="723B16A3" w14:textId="77777777" w:rsidR="00007F2C" w:rsidRPr="00901E26" w:rsidRDefault="00007F2C" w:rsidP="00901E26">
      <w:pPr>
        <w:spacing w:line="360" w:lineRule="auto"/>
        <w:rPr>
          <w:rFonts w:cs="Arial"/>
          <w:color w:val="000000" w:themeColor="text1"/>
          <w:szCs w:val="22"/>
        </w:rPr>
      </w:pPr>
    </w:p>
    <w:p w14:paraId="5FE05C81" w14:textId="77777777" w:rsidR="00007F2C" w:rsidRPr="00901E26" w:rsidRDefault="00007F2C" w:rsidP="00901E26">
      <w:pPr>
        <w:spacing w:line="360" w:lineRule="auto"/>
        <w:rPr>
          <w:rFonts w:cs="Arial"/>
          <w:color w:val="000000" w:themeColor="text1"/>
          <w:szCs w:val="22"/>
        </w:rPr>
      </w:pPr>
    </w:p>
    <w:p w14:paraId="3D49B347" w14:textId="77777777" w:rsidR="00007F2C" w:rsidRPr="00901E26" w:rsidRDefault="00007F2C" w:rsidP="00901E26">
      <w:pPr>
        <w:spacing w:line="360" w:lineRule="auto"/>
        <w:rPr>
          <w:rFonts w:cs="Arial"/>
          <w:color w:val="000000" w:themeColor="text1"/>
          <w:szCs w:val="22"/>
        </w:rPr>
      </w:pPr>
    </w:p>
    <w:p w14:paraId="4F6F92A5" w14:textId="6322CDEB" w:rsidR="00007F2C" w:rsidRDefault="00007F2C" w:rsidP="00901E26">
      <w:pPr>
        <w:spacing w:line="360" w:lineRule="auto"/>
        <w:rPr>
          <w:rFonts w:cs="Arial"/>
          <w:color w:val="000000" w:themeColor="text1"/>
          <w:szCs w:val="22"/>
        </w:rPr>
      </w:pPr>
    </w:p>
    <w:p w14:paraId="4942ACAD" w14:textId="77777777" w:rsidR="00433871" w:rsidRPr="00901E26" w:rsidRDefault="00433871" w:rsidP="00901E26">
      <w:pPr>
        <w:spacing w:line="360" w:lineRule="auto"/>
        <w:rPr>
          <w:rFonts w:cs="Arial"/>
          <w:color w:val="000000" w:themeColor="text1"/>
          <w:szCs w:val="22"/>
        </w:rPr>
      </w:pPr>
    </w:p>
    <w:p w14:paraId="06599458" w14:textId="77777777" w:rsidR="00007F2C" w:rsidRPr="00901E26" w:rsidRDefault="00007F2C" w:rsidP="00901E26">
      <w:pPr>
        <w:spacing w:line="360" w:lineRule="auto"/>
        <w:rPr>
          <w:rFonts w:cs="Arial"/>
          <w:color w:val="000000" w:themeColor="text1"/>
          <w:szCs w:val="22"/>
        </w:rPr>
      </w:pPr>
    </w:p>
    <w:p w14:paraId="359CA3A0" w14:textId="77777777" w:rsidR="00007F2C" w:rsidRPr="00433871" w:rsidRDefault="00007F2C" w:rsidP="00433871">
      <w:pPr>
        <w:pStyle w:val="Heading1"/>
      </w:pPr>
      <w:bookmarkStart w:id="36" w:name="_Toc214836686"/>
      <w:r w:rsidRPr="00433871">
        <w:lastRenderedPageBreak/>
        <w:t>4.2 Theme 1: Low-Income Status and Substance Misuse in England</w:t>
      </w:r>
      <w:bookmarkEnd w:id="36"/>
    </w:p>
    <w:p w14:paraId="553DF8AE" w14:textId="77777777" w:rsidR="00007F2C" w:rsidRPr="00901E26" w:rsidRDefault="00007F2C" w:rsidP="00433871">
      <w:pPr>
        <w:pStyle w:val="Heading2"/>
      </w:pPr>
      <w:bookmarkStart w:id="37" w:name="_Toc214836687"/>
      <w:r w:rsidRPr="00901E26">
        <w:t>1.Definition and Scope</w:t>
      </w:r>
      <w:bookmarkEnd w:id="37"/>
    </w:p>
    <w:p w14:paraId="457A16F5"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Joseph Rowntree Foundation (2023) defines individuals and households as low-income if their earnings fall below the national median. This, in turn, might make it difficult for them to afford necessities like housing, healthcare, and education. Within the context of this dissertation, “substance misuse” includes harmful or hazardous use of drugs or alcohol that leads to social, psychological, or physical harm (Public Health England, 2021). This theme explores how poverty and economic disadvantage contribute to substance misuse patterns in England, setting the foundation for understanding wider health inequalities.</w:t>
      </w:r>
    </w:p>
    <w:p w14:paraId="77CF967C" w14:textId="77777777" w:rsidR="00007F2C" w:rsidRPr="00901E26" w:rsidRDefault="00007F2C" w:rsidP="00433871">
      <w:pPr>
        <w:pStyle w:val="Heading2"/>
      </w:pPr>
      <w:bookmarkStart w:id="38" w:name="_Toc214836688"/>
      <w:r w:rsidRPr="00901E26">
        <w:t>2.Background</w:t>
      </w:r>
      <w:bookmarkEnd w:id="38"/>
      <w:r w:rsidRPr="00901E26">
        <w:t xml:space="preserve"> </w:t>
      </w:r>
    </w:p>
    <w:p w14:paraId="71CCF8F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 strong correlation has been shown between low income and drug misuse. Historical data shows that economically disadvantaged communities have higher substance use and harm rates (Black, 2021). Since 2010, austerity, youth centres closures, addiction service cuts, and rising living costs have exacerbated these vulnerabilities (Marmot, 2020). Studies indicate that substance use serves as a coping strategy and reflects social marginalisation (Karamanos et al., 2022). Chronic stress, job insecurity, and housing instability increase misuse risk in low-income areas (JRF, 2023). These patterns show how poverty fuels drug use, which compounds financial hardship.</w:t>
      </w:r>
    </w:p>
    <w:p w14:paraId="5F775D50" w14:textId="77777777" w:rsidR="00007F2C" w:rsidRPr="00901E26" w:rsidRDefault="00007F2C" w:rsidP="00901E26">
      <w:pPr>
        <w:spacing w:line="360" w:lineRule="auto"/>
        <w:rPr>
          <w:rFonts w:cs="Arial"/>
          <w:color w:val="000000" w:themeColor="text1"/>
          <w:szCs w:val="22"/>
        </w:rPr>
      </w:pPr>
    </w:p>
    <w:p w14:paraId="0143BA95" w14:textId="77777777" w:rsidR="00007F2C" w:rsidRPr="00901E26" w:rsidRDefault="00007F2C" w:rsidP="00433871">
      <w:r w:rsidRPr="00901E26">
        <w:t>Key Statistics 2023</w:t>
      </w:r>
    </w:p>
    <w:p w14:paraId="1E59848D" w14:textId="77777777" w:rsidR="00007F2C" w:rsidRPr="00901E26" w:rsidRDefault="00007F2C" w:rsidP="00303E61">
      <w:pPr>
        <w:numPr>
          <w:ilvl w:val="0"/>
          <w:numId w:val="11"/>
        </w:numPr>
        <w:spacing w:before="100" w:beforeAutospacing="1" w:after="100" w:afterAutospacing="1" w:line="360" w:lineRule="auto"/>
        <w:rPr>
          <w:rFonts w:cs="Arial"/>
          <w:color w:val="000000" w:themeColor="text1"/>
          <w:szCs w:val="22"/>
        </w:rPr>
      </w:pPr>
      <w:r w:rsidRPr="00901E26">
        <w:rPr>
          <w:rFonts w:cs="Arial"/>
          <w:color w:val="000000" w:themeColor="text1"/>
          <w:szCs w:val="22"/>
        </w:rPr>
        <w:t>People living in England’s most deprived areas are five times more likely to die from drug misuse than those in affluent regions (ONS, 2023).</w:t>
      </w:r>
    </w:p>
    <w:p w14:paraId="6B3EE552" w14:textId="77777777" w:rsidR="00007F2C" w:rsidRPr="00901E26" w:rsidRDefault="00007F2C" w:rsidP="00303E61">
      <w:pPr>
        <w:numPr>
          <w:ilvl w:val="0"/>
          <w:numId w:val="11"/>
        </w:numPr>
        <w:spacing w:before="100" w:beforeAutospacing="1" w:after="100" w:afterAutospacing="1" w:line="360" w:lineRule="auto"/>
        <w:rPr>
          <w:rFonts w:cs="Arial"/>
          <w:color w:val="000000" w:themeColor="text1"/>
          <w:szCs w:val="22"/>
        </w:rPr>
      </w:pPr>
      <w:r w:rsidRPr="00901E26">
        <w:rPr>
          <w:rFonts w:cs="Arial"/>
          <w:color w:val="000000" w:themeColor="text1"/>
          <w:szCs w:val="22"/>
        </w:rPr>
        <w:t>64% of adults in treatment for substance misuse report being unemployed or economically inactive (NHS Digital, 2023).</w:t>
      </w:r>
    </w:p>
    <w:p w14:paraId="66F066CC" w14:textId="77777777" w:rsidR="00007F2C" w:rsidRPr="00901E26" w:rsidRDefault="00007F2C" w:rsidP="00303E61">
      <w:pPr>
        <w:numPr>
          <w:ilvl w:val="0"/>
          <w:numId w:val="11"/>
        </w:numPr>
        <w:spacing w:before="100" w:beforeAutospacing="1" w:after="100" w:afterAutospacing="1" w:line="360" w:lineRule="auto"/>
        <w:rPr>
          <w:rFonts w:cs="Arial"/>
          <w:color w:val="000000" w:themeColor="text1"/>
          <w:szCs w:val="22"/>
        </w:rPr>
      </w:pPr>
      <w:r w:rsidRPr="00901E26">
        <w:rPr>
          <w:rFonts w:cs="Arial"/>
          <w:color w:val="000000" w:themeColor="text1"/>
          <w:szCs w:val="22"/>
        </w:rPr>
        <w:t>Drug-related deaths reached 4,907 in 2022, the highest number since records began (ONS, 2023).</w:t>
      </w:r>
    </w:p>
    <w:p w14:paraId="2FA486D6" w14:textId="77777777" w:rsidR="00007F2C" w:rsidRPr="00901E26" w:rsidRDefault="00007F2C" w:rsidP="00901E26">
      <w:pPr>
        <w:spacing w:line="360" w:lineRule="auto"/>
        <w:rPr>
          <w:rFonts w:cs="Arial"/>
          <w:color w:val="000000" w:themeColor="text1"/>
          <w:szCs w:val="22"/>
        </w:rPr>
      </w:pPr>
    </w:p>
    <w:p w14:paraId="55D59AB4" w14:textId="77777777" w:rsidR="00007F2C" w:rsidRPr="00901E26" w:rsidRDefault="00007F2C" w:rsidP="00901E26">
      <w:pPr>
        <w:spacing w:line="360" w:lineRule="auto"/>
        <w:rPr>
          <w:rFonts w:cs="Arial"/>
          <w:color w:val="000000" w:themeColor="text1"/>
          <w:szCs w:val="22"/>
        </w:rPr>
      </w:pPr>
    </w:p>
    <w:p w14:paraId="7E9CD8DB" w14:textId="77777777" w:rsidR="00007F2C" w:rsidRPr="00901E26" w:rsidRDefault="00007F2C" w:rsidP="00901E26">
      <w:pPr>
        <w:spacing w:line="360" w:lineRule="auto"/>
        <w:rPr>
          <w:rFonts w:cs="Arial"/>
          <w:color w:val="000000" w:themeColor="text1"/>
          <w:szCs w:val="22"/>
        </w:rPr>
      </w:pPr>
    </w:p>
    <w:p w14:paraId="62385838" w14:textId="77777777" w:rsidR="00007F2C" w:rsidRPr="00901E26" w:rsidRDefault="00007F2C" w:rsidP="00901E26">
      <w:pPr>
        <w:spacing w:line="360" w:lineRule="auto"/>
        <w:rPr>
          <w:rFonts w:cs="Arial"/>
          <w:color w:val="000000" w:themeColor="text1"/>
          <w:szCs w:val="22"/>
        </w:rPr>
      </w:pPr>
    </w:p>
    <w:p w14:paraId="269D568E" w14:textId="65BCC5D6" w:rsidR="00007F2C" w:rsidRDefault="00007F2C" w:rsidP="00901E26">
      <w:pPr>
        <w:spacing w:line="360" w:lineRule="auto"/>
        <w:rPr>
          <w:rFonts w:cs="Arial"/>
          <w:color w:val="000000" w:themeColor="text1"/>
          <w:szCs w:val="22"/>
        </w:rPr>
      </w:pPr>
    </w:p>
    <w:p w14:paraId="15FEA0B3" w14:textId="77777777" w:rsidR="00433871" w:rsidRPr="00901E26" w:rsidRDefault="00433871" w:rsidP="00901E26">
      <w:pPr>
        <w:spacing w:line="360" w:lineRule="auto"/>
        <w:rPr>
          <w:rFonts w:cs="Arial"/>
          <w:color w:val="000000" w:themeColor="text1"/>
          <w:szCs w:val="22"/>
        </w:rPr>
      </w:pPr>
    </w:p>
    <w:p w14:paraId="7D0E42E0" w14:textId="77777777" w:rsidR="00007F2C" w:rsidRPr="00901E26" w:rsidRDefault="00007F2C" w:rsidP="00433871">
      <w:pPr>
        <w:pStyle w:val="Heading2"/>
      </w:pPr>
      <w:bookmarkStart w:id="39" w:name="_Toc214836689"/>
      <w:r w:rsidRPr="00901E26">
        <w:lastRenderedPageBreak/>
        <w:t>3.Relevance to Research Question</w:t>
      </w:r>
      <w:bookmarkEnd w:id="39"/>
    </w:p>
    <w:p w14:paraId="27287B8B"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directly supports the dissertation’s central question: Is there a correlation between low-income status and higher rates of substance misuse in England, and how does this intersect with levels of untreated mental health disorders?</w:t>
      </w:r>
      <w:r w:rsidRPr="00901E26">
        <w:rPr>
          <w:rFonts w:cs="Arial"/>
          <w:i/>
          <w:iCs/>
          <w:color w:val="000000" w:themeColor="text1"/>
          <w:szCs w:val="22"/>
        </w:rPr>
        <w:t xml:space="preserve"> </w:t>
      </w:r>
      <w:r w:rsidRPr="00901E26">
        <w:rPr>
          <w:rFonts w:cs="Arial"/>
          <w:color w:val="000000" w:themeColor="text1"/>
          <w:szCs w:val="22"/>
        </w:rPr>
        <w:t>By establishing the socioeconomic gradient of drug misuse, this section provides a foundation for analysing how income inequalities intersect with access to mental health services, as explored in later themes. Poverty not only increases vulnerability to addiction but also limits access to timely support, thereby entrenching the issue (Marmot, 2020; Pierce et al., 2020).</w:t>
      </w:r>
    </w:p>
    <w:p w14:paraId="57185A30" w14:textId="77777777" w:rsidR="00007F2C" w:rsidRPr="00901E26" w:rsidRDefault="00007F2C" w:rsidP="00433871">
      <w:pPr>
        <w:pStyle w:val="Heading2"/>
      </w:pPr>
      <w:bookmarkStart w:id="40" w:name="_Toc214836690"/>
      <w:r w:rsidRPr="00901E26">
        <w:t>4.Data and Statistics</w:t>
      </w:r>
      <w:bookmarkEnd w:id="40"/>
    </w:p>
    <w:p w14:paraId="5C48C358"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Recent government data continues to show strong geographical and economic disparities. According to NHS Digital (2023), 53% of individuals entering drug treatment services in England reside in the lowest income quintile. These figures correlate closely with unemployment and housing instability, reflecting how deprivation drives vulnerability. ONS (2023) further reports that the North East consistently records the highest rates of drug misuse deaths, over 104 deaths per million people compared to 27 per million in London, highlighting how structural inequality manifests regionally.</w:t>
      </w:r>
    </w:p>
    <w:p w14:paraId="6E7AF3F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br/>
        <w:t>The Marmot Review (2020): 10 Years The Marmot Review concluded that austerity policies and cuts to local authority funding disproportionately harmed lower-income communities, thereby increasing health inequalities. It calls for a “whole-system approach” addressing poverty, employment, and education as root causes of poor health outcomes.</w:t>
      </w:r>
    </w:p>
    <w:p w14:paraId="7DEF15C3" w14:textId="77777777" w:rsidR="00007F2C" w:rsidRPr="00901E26" w:rsidRDefault="00007F2C" w:rsidP="00901E26">
      <w:pPr>
        <w:spacing w:line="360" w:lineRule="auto"/>
        <w:rPr>
          <w:rFonts w:cs="Arial"/>
          <w:color w:val="000000" w:themeColor="text1"/>
          <w:szCs w:val="22"/>
        </w:rPr>
      </w:pPr>
    </w:p>
    <w:p w14:paraId="5822C68F" w14:textId="77777777" w:rsidR="00007F2C" w:rsidRPr="00901E26" w:rsidRDefault="00007F2C" w:rsidP="00433871">
      <w:pPr>
        <w:pStyle w:val="Heading2"/>
      </w:pPr>
      <w:bookmarkStart w:id="41" w:name="_Toc214836691"/>
      <w:r w:rsidRPr="00901E26">
        <w:t>5.Theories, Policy, and Legislation</w:t>
      </w:r>
      <w:bookmarkEnd w:id="41"/>
    </w:p>
    <w:p w14:paraId="49284B5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Social Determinants of Health framework (Marmot, 2005; WHO, 2022) provides a theoretical lens to explain how income, employment, and environment influence substance misuse. It argues that socioeconomic conditions shape health outcomes long before individual choices come into play. Complementary theories, including structural violence (Farmer, 2004), underscore the ways in which economic and political systems sustain disadvantage and restrict access to support. Within England, the UK Drug Strategy (Home Office, 2021) and the Public Health Outcomes Framework both recognise poverty as a key determinant but have been criticised for underfunding community-based prevention programmes (Black, 2021).</w:t>
      </w:r>
    </w:p>
    <w:p w14:paraId="29E032CF" w14:textId="77777777" w:rsidR="00007F2C" w:rsidRPr="00901E26" w:rsidRDefault="00007F2C" w:rsidP="00433871">
      <w:pPr>
        <w:pStyle w:val="Heading2"/>
      </w:pPr>
      <w:bookmarkStart w:id="42" w:name="_Toc214836692"/>
      <w:r w:rsidRPr="00901E26">
        <w:lastRenderedPageBreak/>
        <w:t>6.Examples from Articles</w:t>
      </w:r>
      <w:bookmarkEnd w:id="42"/>
    </w:p>
    <w:p w14:paraId="190A0AFD" w14:textId="752B8DEB"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Molina and Whittaker (2022) discovered that adults with adverse childhood experiences (ACEs) and poor socioeconomic position exhibited a higher propensity for developing co-occurring substance use and trauma-related illnesses. Similarly, Karamanos et al. (2022) identified socioeconomic position and ethnicity as moderators in adolescent drug use, with deprivation amplifying risk. Research by Mind (2022) and Pierce et al. (2020) demonstrates that individuals in lower income brackets are not only more prone to substance misuse but also face delays in receiving mental health care, reinforcing a dual cycle of neglect and dependency.</w:t>
      </w:r>
    </w:p>
    <w:p w14:paraId="22F05587" w14:textId="790DD7E8" w:rsidR="00772E44" w:rsidRDefault="00772E44" w:rsidP="00901E26">
      <w:pPr>
        <w:spacing w:before="100" w:beforeAutospacing="1" w:after="100" w:afterAutospacing="1" w:line="360" w:lineRule="auto"/>
        <w:rPr>
          <w:rFonts w:cs="Arial"/>
          <w:color w:val="000000" w:themeColor="text1"/>
          <w:szCs w:val="22"/>
        </w:rPr>
      </w:pPr>
    </w:p>
    <w:p w14:paraId="2320E481"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315452F2" w14:textId="77777777" w:rsidR="00007F2C" w:rsidRPr="00901E26" w:rsidRDefault="00007F2C" w:rsidP="00433871">
      <w:pPr>
        <w:pStyle w:val="Heading2"/>
      </w:pPr>
      <w:bookmarkStart w:id="43" w:name="_Toc214836693"/>
      <w:r w:rsidRPr="00901E26">
        <w:t>7.Connections to Other Themes</w:t>
      </w:r>
      <w:bookmarkEnd w:id="43"/>
    </w:p>
    <w:p w14:paraId="0AFEC8E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connects directly to the next, which focuses on untreated mental health disorders. Low-income individuals often face limited access to mental health services, leading to self-medication and dependency on substances. The interplay between financial stress and emotional distress forms a key intersection explored further in Theme 2. Furthermore, this discussion links the policy failures and funding inequalities to Theme 4, which critically evaluates legislative frameworks.</w:t>
      </w:r>
    </w:p>
    <w:p w14:paraId="6B6D5E11" w14:textId="77777777" w:rsidR="00007F2C" w:rsidRPr="00901E26" w:rsidRDefault="00007F2C" w:rsidP="00901E26">
      <w:pPr>
        <w:spacing w:line="360" w:lineRule="auto"/>
        <w:rPr>
          <w:rFonts w:cs="Arial"/>
          <w:color w:val="000000" w:themeColor="text1"/>
          <w:szCs w:val="22"/>
        </w:rPr>
      </w:pPr>
    </w:p>
    <w:p w14:paraId="5DBE9574" w14:textId="77777777" w:rsidR="00007F2C" w:rsidRPr="00901E26" w:rsidRDefault="00007F2C" w:rsidP="00901E26">
      <w:pPr>
        <w:spacing w:line="360" w:lineRule="auto"/>
        <w:rPr>
          <w:rFonts w:cs="Arial"/>
          <w:color w:val="000000" w:themeColor="text1"/>
          <w:szCs w:val="22"/>
        </w:rPr>
      </w:pPr>
    </w:p>
    <w:p w14:paraId="737876E7" w14:textId="77777777" w:rsidR="00007F2C" w:rsidRPr="00901E26" w:rsidRDefault="00007F2C" w:rsidP="00901E26">
      <w:pPr>
        <w:spacing w:line="360" w:lineRule="auto"/>
        <w:rPr>
          <w:rFonts w:cs="Arial"/>
          <w:color w:val="000000" w:themeColor="text1"/>
          <w:szCs w:val="22"/>
        </w:rPr>
      </w:pPr>
    </w:p>
    <w:p w14:paraId="08F866B6" w14:textId="77777777" w:rsidR="00007F2C" w:rsidRPr="00901E26" w:rsidRDefault="00007F2C" w:rsidP="00901E26">
      <w:pPr>
        <w:spacing w:line="360" w:lineRule="auto"/>
        <w:rPr>
          <w:rFonts w:cs="Arial"/>
          <w:color w:val="000000" w:themeColor="text1"/>
          <w:szCs w:val="22"/>
        </w:rPr>
      </w:pPr>
    </w:p>
    <w:p w14:paraId="3C89118F" w14:textId="77777777" w:rsidR="00007F2C" w:rsidRPr="00433871" w:rsidRDefault="00007F2C" w:rsidP="00433871">
      <w:pPr>
        <w:pStyle w:val="Heading1"/>
      </w:pPr>
      <w:bookmarkStart w:id="44" w:name="_Toc214836694"/>
      <w:r w:rsidRPr="00433871">
        <w:t>4.3 Theme 2: Untreated Mental Health Disorders and Dual Diagnosis</w:t>
      </w:r>
      <w:bookmarkEnd w:id="44"/>
    </w:p>
    <w:p w14:paraId="717372B0" w14:textId="77777777" w:rsidR="00007F2C" w:rsidRPr="00901E26" w:rsidRDefault="00007F2C" w:rsidP="00433871">
      <w:pPr>
        <w:pStyle w:val="Heading2"/>
      </w:pPr>
      <w:bookmarkStart w:id="45" w:name="_Toc214836695"/>
      <w:r w:rsidRPr="00901E26">
        <w:t>1.Definition and Scope</w:t>
      </w:r>
      <w:bookmarkEnd w:id="45"/>
    </w:p>
    <w:p w14:paraId="7503BEA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In this study, untreated mental health illnesses denote psychological conditions, including anxiety, sadness, and post-traumatic stress disorder (PTSD), that are either undiagnosed or insufficiently addressed (Mind, 2022). 'Dual diagnosis' refers to the simultaneous presence of a mental health condition and a drug use disorder in an individual (Molina &amp; Whittaker, 2022). This overlap frequently leads to more severe consequences, such as increased relapse rates, social marginalisation, and diminished involvement with treatment programmes (Public Health England, 2021).</w:t>
      </w:r>
    </w:p>
    <w:p w14:paraId="2BB6CCB0" w14:textId="77777777" w:rsidR="00007F2C" w:rsidRPr="00901E26" w:rsidRDefault="00007F2C" w:rsidP="00433871">
      <w:pPr>
        <w:pStyle w:val="Heading2"/>
      </w:pPr>
      <w:bookmarkStart w:id="46" w:name="_Toc214836696"/>
      <w:r w:rsidRPr="00901E26">
        <w:lastRenderedPageBreak/>
        <w:t>2.Background</w:t>
      </w:r>
      <w:bookmarkEnd w:id="46"/>
      <w:r w:rsidRPr="00901E26">
        <w:t xml:space="preserve"> </w:t>
      </w:r>
    </w:p>
    <w:p w14:paraId="1ED74DB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correlation between substance usage and mental health issues is acknowledged as bidirectional: mental illness may precipitate substance abuse as a coping strategy, whereas sustained substance use can exacerbate or induce mental health symptoms (Pierce et al., 2020). Historically, services addressing these illnesses have functioned in isolation, resulting in fragmented care. Research indicates that approximately one-third of individuals who engage in drug use concurrently experience a mental health disorder (NHS Digital, 2023). The absence of cohesive support channels is especially pronounced in disadvantaged communities, where stigma, insufficient financing, and prolonged waiting periods further restrict access to assistance (Black, 2021; Marmot, 2020).</w:t>
      </w:r>
    </w:p>
    <w:p w14:paraId="44CC12EF" w14:textId="77777777" w:rsidR="00007F2C" w:rsidRPr="00901E26" w:rsidRDefault="00007F2C" w:rsidP="00901E26">
      <w:pPr>
        <w:spacing w:line="360" w:lineRule="auto"/>
        <w:rPr>
          <w:rFonts w:cs="Arial"/>
          <w:color w:val="000000" w:themeColor="text1"/>
          <w:szCs w:val="22"/>
        </w:rPr>
      </w:pPr>
    </w:p>
    <w:p w14:paraId="63FF24ED" w14:textId="77777777" w:rsidR="00007F2C" w:rsidRPr="00901E26" w:rsidRDefault="00007F2C" w:rsidP="00433871">
      <w:r w:rsidRPr="00901E26">
        <w:t>Key Statistics 2023</w:t>
      </w:r>
    </w:p>
    <w:p w14:paraId="4E388A96" w14:textId="77777777" w:rsidR="00007F2C" w:rsidRPr="00901E26" w:rsidRDefault="00007F2C" w:rsidP="00303E61">
      <w:pPr>
        <w:numPr>
          <w:ilvl w:val="0"/>
          <w:numId w:val="12"/>
        </w:numPr>
        <w:spacing w:before="100" w:beforeAutospacing="1" w:after="100" w:afterAutospacing="1" w:line="360" w:lineRule="auto"/>
        <w:rPr>
          <w:rFonts w:cs="Arial"/>
          <w:color w:val="000000" w:themeColor="text1"/>
          <w:szCs w:val="22"/>
        </w:rPr>
      </w:pPr>
      <w:r w:rsidRPr="00901E26">
        <w:rPr>
          <w:rFonts w:cs="Arial"/>
          <w:color w:val="000000" w:themeColor="text1"/>
          <w:szCs w:val="22"/>
        </w:rPr>
        <w:t>Around 60% of individuals in addiction treatment report symptoms of anxiety or depression (NHS Digital, 2023).</w:t>
      </w:r>
    </w:p>
    <w:p w14:paraId="6A298B4F" w14:textId="77777777" w:rsidR="00007F2C" w:rsidRPr="00901E26" w:rsidRDefault="00007F2C" w:rsidP="00303E61">
      <w:pPr>
        <w:numPr>
          <w:ilvl w:val="0"/>
          <w:numId w:val="12"/>
        </w:numPr>
        <w:spacing w:before="100" w:beforeAutospacing="1" w:after="100" w:afterAutospacing="1" w:line="360" w:lineRule="auto"/>
        <w:rPr>
          <w:rFonts w:cs="Arial"/>
          <w:color w:val="000000" w:themeColor="text1"/>
          <w:szCs w:val="22"/>
        </w:rPr>
      </w:pPr>
      <w:r w:rsidRPr="00901E26">
        <w:rPr>
          <w:rFonts w:cs="Arial"/>
          <w:color w:val="000000" w:themeColor="text1"/>
          <w:szCs w:val="22"/>
        </w:rPr>
        <w:t>Only 37% of people with co-occurring substance misuse and mental health problems receive integrated care (Public Health England, 2021).</w:t>
      </w:r>
    </w:p>
    <w:p w14:paraId="56D24857" w14:textId="77777777" w:rsidR="00007F2C" w:rsidRPr="00901E26" w:rsidRDefault="00007F2C" w:rsidP="00303E61">
      <w:pPr>
        <w:numPr>
          <w:ilvl w:val="0"/>
          <w:numId w:val="12"/>
        </w:numPr>
        <w:spacing w:before="100" w:beforeAutospacing="1" w:after="100" w:afterAutospacing="1" w:line="360" w:lineRule="auto"/>
        <w:rPr>
          <w:rFonts w:cs="Arial"/>
          <w:color w:val="000000" w:themeColor="text1"/>
          <w:szCs w:val="22"/>
        </w:rPr>
      </w:pPr>
      <w:r w:rsidRPr="00901E26">
        <w:rPr>
          <w:rFonts w:cs="Arial"/>
          <w:color w:val="000000" w:themeColor="text1"/>
          <w:szCs w:val="22"/>
        </w:rPr>
        <w:t>People in the lowest income bracket are twice as likely to experience chronic psychological distress (ONS, 2023).</w:t>
      </w:r>
    </w:p>
    <w:p w14:paraId="5C2E07FF"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27D5AC6A" w14:textId="77777777" w:rsidR="00007F2C" w:rsidRPr="00901E26" w:rsidRDefault="00007F2C" w:rsidP="00901E26">
      <w:pPr>
        <w:spacing w:line="360" w:lineRule="auto"/>
        <w:rPr>
          <w:rFonts w:cs="Arial"/>
          <w:color w:val="000000" w:themeColor="text1"/>
          <w:szCs w:val="22"/>
        </w:rPr>
      </w:pPr>
    </w:p>
    <w:p w14:paraId="4B441B93" w14:textId="77777777" w:rsidR="00007F2C" w:rsidRPr="00901E26" w:rsidRDefault="00007F2C" w:rsidP="00901E26">
      <w:pPr>
        <w:spacing w:line="360" w:lineRule="auto"/>
        <w:rPr>
          <w:rFonts w:cs="Arial"/>
          <w:color w:val="000000" w:themeColor="text1"/>
          <w:szCs w:val="22"/>
        </w:rPr>
      </w:pPr>
    </w:p>
    <w:p w14:paraId="0EE2B1AB" w14:textId="77777777" w:rsidR="00007F2C" w:rsidRPr="00901E26" w:rsidRDefault="00007F2C" w:rsidP="00433871">
      <w:pPr>
        <w:pStyle w:val="Heading2"/>
      </w:pPr>
      <w:bookmarkStart w:id="47" w:name="_Toc214836697"/>
      <w:r w:rsidRPr="00901E26">
        <w:t>3. Relevance to Research Question</w:t>
      </w:r>
      <w:bookmarkEnd w:id="47"/>
    </w:p>
    <w:p w14:paraId="29C6A9BD" w14:textId="69371C45"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deepens the central inquiry by examining how untreated mental health disorders intersect with low-income status and substance misuse in England. It explains why individuals experiencing poverty are at greater risk: limited mental health support leads many to self-medicate with alcohol or drugs, further worsening financial instability (Karamanos et al., 2022). Understanding this dual dynamic is crucial for designing equitable interventions that target both mental and social determinants simultaneously.</w:t>
      </w:r>
    </w:p>
    <w:p w14:paraId="02446B85" w14:textId="15DD88BD" w:rsidR="00772E44" w:rsidRDefault="00772E44" w:rsidP="00901E26">
      <w:pPr>
        <w:spacing w:before="100" w:beforeAutospacing="1" w:after="100" w:afterAutospacing="1" w:line="360" w:lineRule="auto"/>
        <w:rPr>
          <w:rFonts w:cs="Arial"/>
          <w:color w:val="000000" w:themeColor="text1"/>
          <w:szCs w:val="22"/>
        </w:rPr>
      </w:pPr>
    </w:p>
    <w:p w14:paraId="6ED36FB6"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456A8F7A" w14:textId="77777777" w:rsidR="00007F2C" w:rsidRPr="00901E26" w:rsidRDefault="00007F2C" w:rsidP="00433871">
      <w:pPr>
        <w:pStyle w:val="Heading2"/>
      </w:pPr>
      <w:bookmarkStart w:id="48" w:name="_Toc214836698"/>
      <w:r w:rsidRPr="00901E26">
        <w:lastRenderedPageBreak/>
        <w:t>4. Data and Statistics</w:t>
      </w:r>
      <w:bookmarkEnd w:id="48"/>
    </w:p>
    <w:p w14:paraId="240F10A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 2023 NHS Digital report found that co-occurring mental health and substance use disorders were most prevalent among unemployed adults aged 25 - 44. The Adult Psychiatric Morbidity Survey (APMS, 2022) revealed that over 70% of people with substance dependency reported experiencing at least one common mental disorder, compared with 17% in the general population. These data illustrate how untreated mental illness amplifies vulnerability, especially when compounded by socioeconomic hardship.</w:t>
      </w:r>
    </w:p>
    <w:p w14:paraId="70FF1F5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br/>
        <w:t>The NHS Long Term Plan (2019) pledged to expand integrated mental health and addiction services, emphasising “no wrong door” access for dual-diagnosis patients. However, recent evaluations show progress has been slow, particularly in deprived local authorities where workforce shortages persist (NHS England, 2023).</w:t>
      </w:r>
    </w:p>
    <w:p w14:paraId="06619DA1" w14:textId="77777777" w:rsidR="00007F2C" w:rsidRPr="00901E26" w:rsidRDefault="00007F2C" w:rsidP="00901E26">
      <w:pPr>
        <w:spacing w:line="360" w:lineRule="auto"/>
        <w:rPr>
          <w:rFonts w:cs="Arial"/>
          <w:color w:val="000000" w:themeColor="text1"/>
          <w:szCs w:val="22"/>
        </w:rPr>
      </w:pPr>
    </w:p>
    <w:p w14:paraId="69E8E14F" w14:textId="77777777" w:rsidR="00007F2C" w:rsidRPr="00901E26" w:rsidRDefault="00007F2C" w:rsidP="00433871">
      <w:pPr>
        <w:pStyle w:val="Heading2"/>
      </w:pPr>
      <w:bookmarkStart w:id="49" w:name="_Toc214836699"/>
      <w:r w:rsidRPr="00901E26">
        <w:t>5. Theories, Policy, and Legislation</w:t>
      </w:r>
      <w:bookmarkEnd w:id="49"/>
    </w:p>
    <w:p w14:paraId="261879E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biopsychosocial model (Engel, 1977) provides a useful framework for understanding dual diagnosis, integrating biological, psychological, and social dimensions of illness. It aligns with the Social Determinants of Health framework (Marmot, 2005), suggesting that external factors such as income and environment influence both mental and physical wellbeing. Additionally, trauma theory (Herman, 1992) explains how unresolved trauma, often linked to poverty and instability, can trigger both mental distress and substance use as maladaptive coping.</w:t>
      </w:r>
    </w:p>
    <w:p w14:paraId="14096378" w14:textId="39044DDB"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Policy-wise, England’s Drug Strategy (2021</w:t>
      </w:r>
      <w:r w:rsidR="00772E44">
        <w:rPr>
          <w:rFonts w:cs="Arial"/>
          <w:color w:val="000000" w:themeColor="text1"/>
          <w:szCs w:val="22"/>
        </w:rPr>
        <w:t xml:space="preserve"> - </w:t>
      </w:r>
      <w:r w:rsidRPr="00901E26">
        <w:rPr>
          <w:rFonts w:cs="Arial"/>
          <w:color w:val="000000" w:themeColor="text1"/>
          <w:szCs w:val="22"/>
        </w:rPr>
        <w:t>2026) and the Community Mental Health Framework (2021) emphasise that patients require integrated care. Nevertheless, studies such as Mind (2022) reveal that implementation remains inconsistent, with local commissioning gaps particularly evident in low-income boroughs.</w:t>
      </w:r>
    </w:p>
    <w:p w14:paraId="4739B02F" w14:textId="77777777" w:rsidR="00007F2C" w:rsidRPr="00901E26" w:rsidRDefault="00007F2C" w:rsidP="00433871">
      <w:pPr>
        <w:pStyle w:val="Heading2"/>
      </w:pPr>
      <w:bookmarkStart w:id="50" w:name="_Toc214836700"/>
      <w:r w:rsidRPr="00901E26">
        <w:t>6. Examples from Articles</w:t>
      </w:r>
      <w:bookmarkEnd w:id="50"/>
    </w:p>
    <w:p w14:paraId="0B28E0C1"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Molina and Whittaker (2022) demonstrated that adults with ACEs who lacked access to trauma-informed therapy were more likely to relapse into substance misuse. Pierce et al. (2020) discovered that stress associated with COVID-19 intensified pre-existing mental health inequities, disproportionately impacting individuals in poverty. Similarly, Black (2021) highlighted systemic under-investment in dual-diagnosis services, resulting in fragmented treatment and poorer outcomes for vulnerable populations.</w:t>
      </w:r>
    </w:p>
    <w:p w14:paraId="3A43123F" w14:textId="77777777" w:rsidR="00007F2C" w:rsidRPr="00901E26" w:rsidRDefault="00007F2C" w:rsidP="00433871">
      <w:pPr>
        <w:pStyle w:val="Heading2"/>
      </w:pPr>
      <w:bookmarkStart w:id="51" w:name="_Toc214836701"/>
      <w:r w:rsidRPr="00901E26">
        <w:lastRenderedPageBreak/>
        <w:t>7. Connections to Other Themes</w:t>
      </w:r>
      <w:bookmarkEnd w:id="51"/>
    </w:p>
    <w:p w14:paraId="3A1FD55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links back to Theme 1, where financial deprivation was shown to increase psychosocial stress and risk of substance misuse. The overlap between economic stress and mental distress underscores a vicious cycle: poverty limits access to therapy, while untreated illness reduces employability. It also connects forward to Theme 3, which examines how systemic barriers such as funding cuts and regional inequalities prevent access to integrated treatment.</w:t>
      </w:r>
    </w:p>
    <w:p w14:paraId="54860FD6" w14:textId="77777777" w:rsidR="00433871" w:rsidRPr="00901E26" w:rsidRDefault="00433871" w:rsidP="00901E26">
      <w:pPr>
        <w:spacing w:beforeAutospacing="1" w:afterAutospacing="1" w:line="360" w:lineRule="auto"/>
        <w:rPr>
          <w:rFonts w:cs="Arial"/>
          <w:color w:val="000000" w:themeColor="text1"/>
          <w:szCs w:val="22"/>
        </w:rPr>
      </w:pPr>
    </w:p>
    <w:p w14:paraId="2CB517BC" w14:textId="40682544" w:rsidR="00007F2C" w:rsidRDefault="00007F2C" w:rsidP="00901E26">
      <w:pPr>
        <w:spacing w:beforeAutospacing="1" w:afterAutospacing="1" w:line="360" w:lineRule="auto"/>
        <w:rPr>
          <w:rFonts w:cs="Arial"/>
          <w:color w:val="000000" w:themeColor="text1"/>
          <w:szCs w:val="22"/>
        </w:rPr>
      </w:pPr>
    </w:p>
    <w:p w14:paraId="766A6AAE" w14:textId="77777777" w:rsidR="00772E44" w:rsidRPr="00901E26" w:rsidRDefault="00772E44" w:rsidP="00901E26">
      <w:pPr>
        <w:spacing w:beforeAutospacing="1" w:afterAutospacing="1" w:line="360" w:lineRule="auto"/>
        <w:rPr>
          <w:rFonts w:cs="Arial"/>
          <w:color w:val="000000" w:themeColor="text1"/>
          <w:szCs w:val="22"/>
        </w:rPr>
      </w:pPr>
    </w:p>
    <w:p w14:paraId="3A5C4557" w14:textId="77777777" w:rsidR="00007F2C" w:rsidRPr="00433871" w:rsidRDefault="00007F2C" w:rsidP="00433871">
      <w:pPr>
        <w:pStyle w:val="Heading1"/>
      </w:pPr>
      <w:bookmarkStart w:id="52" w:name="_Toc214836702"/>
      <w:r w:rsidRPr="00433871">
        <w:t xml:space="preserve">4.4 </w:t>
      </w:r>
      <w:r w:rsidRPr="00433871">
        <w:rPr>
          <w:rFonts w:eastAsiaTheme="majorEastAsia"/>
        </w:rPr>
        <w:t>Theme 3: Socioeconomic Barriers to Treatment Access</w:t>
      </w:r>
      <w:bookmarkEnd w:id="52"/>
    </w:p>
    <w:p w14:paraId="00DCDD5F" w14:textId="77777777" w:rsidR="00007F2C" w:rsidRPr="00901E26" w:rsidRDefault="00007F2C" w:rsidP="00433871">
      <w:pPr>
        <w:pStyle w:val="Heading2"/>
      </w:pPr>
      <w:bookmarkStart w:id="53" w:name="_Toc214836703"/>
      <w:r w:rsidRPr="00901E26">
        <w:t>1. Definition and Scope</w:t>
      </w:r>
      <w:bookmarkEnd w:id="53"/>
    </w:p>
    <w:p w14:paraId="342532EB" w14:textId="64A30321"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Socioeconomic barriers refer to obstacles that prevent individuals, particularly those from low-income backgrounds, from accessing healthcare or treatment services. These barriers include financial hardship, digital exclusion, transportation expenses, social stigma, and long waiting times (NHS Digital, 2023). In the context of this research, such barriers play a central role in determining who receives timely help for substance misuse and mental health problems and who remains excluded from care.</w:t>
      </w:r>
    </w:p>
    <w:p w14:paraId="47FB35E0"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121F3E10" w14:textId="77777777" w:rsidR="00007F2C" w:rsidRPr="00901E26" w:rsidRDefault="00007F2C" w:rsidP="00433871">
      <w:pPr>
        <w:pStyle w:val="Heading2"/>
      </w:pPr>
      <w:bookmarkStart w:id="54" w:name="_Toc214836704"/>
      <w:r w:rsidRPr="00901E26">
        <w:t>2. Background</w:t>
      </w:r>
      <w:bookmarkEnd w:id="54"/>
      <w:r w:rsidRPr="00901E26">
        <w:t xml:space="preserve"> </w:t>
      </w:r>
    </w:p>
    <w:p w14:paraId="539C9EE0" w14:textId="6B8B9244"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Health inequalities in England have deepened in the past decade due to austerity and the restructuring of public services (Marmot, 2020). Local authorities have reduced their funding by over 40% since 2013, affecting many addiction and mental health treatment programmes (Black, 2021). Consequently, the reduction or centralisation of services in deprived areas has made them less accessible for those without transportation or digital means (Mind, 2022). The introduction of remote consultations during the pandemic also widened the digital divide; while improving access for some, it excluded others who lacked internet access or stable housing (NHS England, 2023).</w:t>
      </w:r>
    </w:p>
    <w:p w14:paraId="64771AAF"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3A87DC44" w14:textId="77777777" w:rsidR="00007F2C" w:rsidRPr="00901E26" w:rsidRDefault="00007F2C" w:rsidP="00901E26">
      <w:pPr>
        <w:spacing w:line="360" w:lineRule="auto"/>
        <w:rPr>
          <w:rFonts w:cs="Arial"/>
          <w:color w:val="000000" w:themeColor="text1"/>
          <w:szCs w:val="22"/>
        </w:rPr>
      </w:pPr>
    </w:p>
    <w:p w14:paraId="0919F99E" w14:textId="77777777" w:rsidR="00007F2C" w:rsidRPr="00901E26" w:rsidRDefault="00007F2C" w:rsidP="00433871">
      <w:r w:rsidRPr="00901E26">
        <w:t>Key Statistics 2023</w:t>
      </w:r>
    </w:p>
    <w:p w14:paraId="4489DEDE" w14:textId="77777777" w:rsidR="00007F2C" w:rsidRPr="00901E26" w:rsidRDefault="00007F2C" w:rsidP="00303E61">
      <w:pPr>
        <w:numPr>
          <w:ilvl w:val="0"/>
          <w:numId w:val="13"/>
        </w:numPr>
        <w:spacing w:before="100" w:beforeAutospacing="1" w:after="100" w:afterAutospacing="1" w:line="360" w:lineRule="auto"/>
        <w:rPr>
          <w:rFonts w:cs="Arial"/>
          <w:color w:val="000000" w:themeColor="text1"/>
          <w:szCs w:val="22"/>
        </w:rPr>
      </w:pPr>
      <w:r w:rsidRPr="00901E26">
        <w:rPr>
          <w:rFonts w:cs="Arial"/>
          <w:color w:val="000000" w:themeColor="text1"/>
          <w:szCs w:val="22"/>
        </w:rPr>
        <w:t>Funding for drug and alcohol treatment services in England fell by 26% between 2013 and 2020 (Black, 2021).</w:t>
      </w:r>
    </w:p>
    <w:p w14:paraId="7837B486" w14:textId="77777777" w:rsidR="00007F2C" w:rsidRPr="00901E26" w:rsidRDefault="00007F2C" w:rsidP="00303E61">
      <w:pPr>
        <w:numPr>
          <w:ilvl w:val="0"/>
          <w:numId w:val="13"/>
        </w:numPr>
        <w:spacing w:before="100" w:beforeAutospacing="1" w:after="100" w:afterAutospacing="1" w:line="360" w:lineRule="auto"/>
        <w:rPr>
          <w:rFonts w:cs="Arial"/>
          <w:color w:val="000000" w:themeColor="text1"/>
          <w:szCs w:val="22"/>
        </w:rPr>
      </w:pPr>
      <w:r w:rsidRPr="00901E26">
        <w:rPr>
          <w:rFonts w:cs="Arial"/>
          <w:color w:val="000000" w:themeColor="text1"/>
          <w:szCs w:val="22"/>
        </w:rPr>
        <w:t>Over one in three individuals seeking support report difficulty attending appointments due to travel costs (Mind, 2022).</w:t>
      </w:r>
    </w:p>
    <w:p w14:paraId="2F5B0162" w14:textId="1B98C58E" w:rsidR="00007F2C" w:rsidRPr="00433871" w:rsidRDefault="00007F2C" w:rsidP="00303E61">
      <w:pPr>
        <w:numPr>
          <w:ilvl w:val="0"/>
          <w:numId w:val="13"/>
        </w:numPr>
        <w:spacing w:before="100" w:beforeAutospacing="1" w:after="100" w:afterAutospacing="1" w:line="360" w:lineRule="auto"/>
        <w:rPr>
          <w:rFonts w:cs="Arial"/>
          <w:color w:val="000000" w:themeColor="text1"/>
          <w:szCs w:val="22"/>
        </w:rPr>
      </w:pPr>
      <w:r w:rsidRPr="00901E26">
        <w:rPr>
          <w:rFonts w:cs="Arial"/>
          <w:color w:val="000000" w:themeColor="text1"/>
          <w:szCs w:val="22"/>
        </w:rPr>
        <w:t>Nearly 50% of low-income households lack reliable internet access or digital literacy (ONS, 2023).</w:t>
      </w:r>
    </w:p>
    <w:p w14:paraId="5150DEB9" w14:textId="77777777" w:rsidR="00007F2C" w:rsidRPr="00901E26" w:rsidRDefault="00007F2C" w:rsidP="00433871">
      <w:pPr>
        <w:pStyle w:val="Heading2"/>
      </w:pPr>
      <w:bookmarkStart w:id="55" w:name="_Toc214836705"/>
      <w:r w:rsidRPr="00901E26">
        <w:t>3. Relevance to Research Question</w:t>
      </w:r>
      <w:bookmarkEnd w:id="55"/>
    </w:p>
    <w:p w14:paraId="267D3C0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directly addresses the question of how socioeconomic disadvantage intersects with substance misuse and untreated mental health disorders. Even when individuals recognise their need for support, barriers like transport costs, inflexible service hours, and waiting lists can prevent engagement (Marmot, 2020). These constraints lead to underdiagnosis and under-treatment of mental health conditions, increasing reliance on substances as a coping mechanism. In essence, the social determinants of health-such as income, employment, and housing serve as gatekeepers to recovery.</w:t>
      </w:r>
    </w:p>
    <w:p w14:paraId="2D754DDC" w14:textId="77777777" w:rsidR="00007F2C" w:rsidRPr="00901E26" w:rsidRDefault="00007F2C" w:rsidP="00433871">
      <w:pPr>
        <w:pStyle w:val="Heading2"/>
      </w:pPr>
      <w:bookmarkStart w:id="56" w:name="_Toc214836706"/>
      <w:r w:rsidRPr="00901E26">
        <w:t>4. Data and Statistics</w:t>
      </w:r>
      <w:bookmarkEnd w:id="56"/>
    </w:p>
    <w:p w14:paraId="0838BEE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NHS Digital (2023) reports that 45% of adults who discontinued substance misuse treatment cited logistical or financial barriers. The Adult Substance Misuse Treatment Statistics (PHE, 2021) show that completion rates are significantly lower in deprived areas (38%) than in affluent ones (59%). In addition, ONS (2023) data reveal that unemployment and insecure housing correlate strongly with treatment drop-out rates. These findings underline how socioeconomic disadvantage undermines both engagement and outcomes.</w:t>
      </w:r>
    </w:p>
    <w:p w14:paraId="040140F3" w14:textId="77777777" w:rsidR="00007F2C" w:rsidRPr="00901E26" w:rsidRDefault="00007F2C" w:rsidP="00901E26">
      <w:pPr>
        <w:spacing w:line="360" w:lineRule="auto"/>
        <w:rPr>
          <w:rFonts w:cs="Arial"/>
          <w:color w:val="000000" w:themeColor="text1"/>
          <w:szCs w:val="22"/>
        </w:rPr>
      </w:pPr>
    </w:p>
    <w:p w14:paraId="3F255C41"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From Harm to Hope (UK Drug Strategy 2021–2026)</w:t>
      </w:r>
      <w:r w:rsidRPr="00901E26">
        <w:rPr>
          <w:rFonts w:cs="Arial"/>
          <w:color w:val="000000" w:themeColor="text1"/>
          <w:szCs w:val="22"/>
        </w:rPr>
        <w:br/>
        <w:t>This national strategy aims to rebuild treatment capacity through funding increases of £780 million over three years (Home Office, 2021). However, analyses by the Institute for Fiscal Studies (2023) and the Health Foundation (2023) suggest that much of this funding only reverses previous cuts rather than expanding capacity. Local authorities continue to face high caseloads and workforce shortages, especially in deprived regions.</w:t>
      </w:r>
    </w:p>
    <w:p w14:paraId="17510960" w14:textId="77777777" w:rsidR="00007F2C" w:rsidRPr="00901E26" w:rsidRDefault="00007F2C" w:rsidP="00901E26">
      <w:pPr>
        <w:spacing w:line="360" w:lineRule="auto"/>
        <w:rPr>
          <w:rFonts w:cs="Arial"/>
          <w:color w:val="000000" w:themeColor="text1"/>
          <w:szCs w:val="22"/>
        </w:rPr>
      </w:pPr>
    </w:p>
    <w:p w14:paraId="1AE16099" w14:textId="77777777" w:rsidR="00007F2C" w:rsidRPr="00901E26" w:rsidRDefault="00007F2C" w:rsidP="00433871">
      <w:pPr>
        <w:pStyle w:val="Heading2"/>
      </w:pPr>
      <w:bookmarkStart w:id="57" w:name="_Toc214836707"/>
      <w:r w:rsidRPr="00901E26">
        <w:lastRenderedPageBreak/>
        <w:t>5. Theories, Policy, and Legislation</w:t>
      </w:r>
      <w:bookmarkEnd w:id="57"/>
    </w:p>
    <w:p w14:paraId="5343945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social gradient in health theory (Marmot, 2005) emphasises that health outcomes worsen step-by-step with each decline in socioeconomic status. Applying this theory here shows how individuals in low-income areas face cumulative disadvantage: they are more likely to experience stressors such as unemployment and housing instability and less likely to access consistent healthcare. In addition, the Access to Care Framework (Gulliford et al., 2002) highlights that access is multidimensional, encompassing not only availability and affordability but also cultural acceptability and appropriateness.</w:t>
      </w:r>
      <w:r w:rsidRPr="00901E26">
        <w:rPr>
          <w:rFonts w:cs="Arial"/>
          <w:color w:val="000000" w:themeColor="text1"/>
          <w:szCs w:val="22"/>
        </w:rPr>
        <w:br/>
        <w:t>Policies like the Care Act 2014 and NHS Constitution (2021) enshrine equal access as a principle, yet disparities remain stark, reflecting the gap between statutory rights and practical realities.</w:t>
      </w:r>
    </w:p>
    <w:p w14:paraId="629DACE2"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55FE428D"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164BFD02" w14:textId="77777777" w:rsidR="00007F2C" w:rsidRPr="00901E26" w:rsidRDefault="00007F2C" w:rsidP="00433871">
      <w:pPr>
        <w:pStyle w:val="Heading2"/>
      </w:pPr>
      <w:bookmarkStart w:id="58" w:name="_Toc214836708"/>
      <w:r w:rsidRPr="00901E26">
        <w:t>6. Examples from Articles</w:t>
      </w:r>
      <w:bookmarkEnd w:id="58"/>
    </w:p>
    <w:p w14:paraId="7C35EAC6" w14:textId="0C350B33"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Black (2021) documented that fragmented commissioning systems create postcode lotteries, where access to addiction services depends heavily on local budgets. Mind (2022) reported that financial hardship and stigma discouraged individuals from seeking help, with many feeling that services were “not for people like me.” Similarly, Molina and Whittaker (2022) found that individuals with dual diagnoses often encountered exclusion from mental health services until substance misuse was first addressed, perpetuating cycles of delay and relapse. The Health Foundation (2023) identified workforce burnout and high staff turnover as additional barriers in low-funded areas, further straining access.</w:t>
      </w:r>
    </w:p>
    <w:p w14:paraId="69FB62FD" w14:textId="6C117E57" w:rsidR="00433871" w:rsidRDefault="00433871" w:rsidP="00901E26">
      <w:pPr>
        <w:spacing w:before="100" w:beforeAutospacing="1" w:after="100" w:afterAutospacing="1" w:line="360" w:lineRule="auto"/>
        <w:rPr>
          <w:rFonts w:cs="Arial"/>
          <w:color w:val="000000" w:themeColor="text1"/>
          <w:szCs w:val="22"/>
        </w:rPr>
      </w:pPr>
    </w:p>
    <w:p w14:paraId="7628C82A" w14:textId="77777777" w:rsidR="00433871" w:rsidRPr="00901E26" w:rsidRDefault="00433871" w:rsidP="00901E26">
      <w:pPr>
        <w:spacing w:before="100" w:beforeAutospacing="1" w:after="100" w:afterAutospacing="1" w:line="360" w:lineRule="auto"/>
        <w:rPr>
          <w:rFonts w:cs="Arial"/>
          <w:color w:val="000000" w:themeColor="text1"/>
          <w:szCs w:val="22"/>
        </w:rPr>
      </w:pPr>
    </w:p>
    <w:p w14:paraId="3B7C9ED9" w14:textId="77777777" w:rsidR="00007F2C" w:rsidRPr="00901E26" w:rsidRDefault="00007F2C" w:rsidP="00433871">
      <w:pPr>
        <w:pStyle w:val="Heading2"/>
      </w:pPr>
      <w:bookmarkStart w:id="59" w:name="_Toc214836709"/>
      <w:r w:rsidRPr="00901E26">
        <w:t>7. Connections to Other Themes</w:t>
      </w:r>
      <w:bookmarkEnd w:id="59"/>
    </w:p>
    <w:p w14:paraId="54D1F0B2" w14:textId="48479FA3" w:rsidR="00007F2C" w:rsidRPr="00901E26" w:rsidRDefault="00007F2C" w:rsidP="00772E44">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reinforces findings from Themes 1 and 2, showing that low-income status and untreated mental health conditions are closely intertwined with poor access to services. It also prepares the ground for Theme 4, which examines the broader policy and legislative frameworks shaping these barriers. The inequities described here are not accidental; they are the cumulative results of policy decisions that prioritise cost-saving over prevention and support.</w:t>
      </w:r>
    </w:p>
    <w:p w14:paraId="638E44C8" w14:textId="77777777" w:rsidR="00007F2C" w:rsidRPr="00433871" w:rsidRDefault="00007F2C" w:rsidP="00433871">
      <w:pPr>
        <w:pStyle w:val="Heading1"/>
      </w:pPr>
      <w:bookmarkStart w:id="60" w:name="_Toc214836710"/>
      <w:r w:rsidRPr="00433871">
        <w:lastRenderedPageBreak/>
        <w:t>4.5 Theme 4: The Role of Policy, Legislation, and Social Determinants</w:t>
      </w:r>
      <w:bookmarkEnd w:id="60"/>
    </w:p>
    <w:p w14:paraId="63F18B4A" w14:textId="77777777" w:rsidR="00007F2C" w:rsidRPr="00901E26" w:rsidRDefault="00007F2C" w:rsidP="00433871">
      <w:pPr>
        <w:pStyle w:val="Heading2"/>
      </w:pPr>
      <w:bookmarkStart w:id="61" w:name="_Toc214836711"/>
      <w:r w:rsidRPr="00901E26">
        <w:t>1. Definition and Scope</w:t>
      </w:r>
      <w:bookmarkEnd w:id="61"/>
    </w:p>
    <w:p w14:paraId="44798AFF" w14:textId="64B7D18E"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 and legislation form the framework within which substance misuse and mental health services operate. In this theme, "policy" refers to government strategies, public health plans, and local authority directives that shape funding and service delivery.  Legislation refers to laws and statutory frameworks such as the Misuse of Drugs Act (1971), the Mental Health Act (1983, amended 2007), and the Care Act (2014), which define how substance misuse and mental health issues are managed. These interact closely with the social determinants of the health conditions in which people are born, live, and work, which directly influence health behaviours and access to treatment (Marmot, 2005; WHO, 2022).</w:t>
      </w:r>
    </w:p>
    <w:p w14:paraId="7AEF21C1" w14:textId="77777777" w:rsidR="00772E44" w:rsidRDefault="00772E44" w:rsidP="00901E26">
      <w:pPr>
        <w:spacing w:before="100" w:beforeAutospacing="1" w:after="100" w:afterAutospacing="1" w:line="360" w:lineRule="auto"/>
        <w:rPr>
          <w:rFonts w:cs="Arial"/>
          <w:color w:val="000000" w:themeColor="text1"/>
          <w:szCs w:val="22"/>
        </w:rPr>
      </w:pPr>
    </w:p>
    <w:p w14:paraId="0C80846B"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05D62ECF" w14:textId="77777777" w:rsidR="00007F2C" w:rsidRPr="00901E26" w:rsidRDefault="00007F2C" w:rsidP="00433871">
      <w:pPr>
        <w:pStyle w:val="Heading2"/>
      </w:pPr>
      <w:bookmarkStart w:id="62" w:name="_Toc214836712"/>
      <w:r w:rsidRPr="00901E26">
        <w:t>2. Background</w:t>
      </w:r>
      <w:bookmarkEnd w:id="62"/>
      <w:r w:rsidRPr="00901E26">
        <w:t xml:space="preserve"> </w:t>
      </w:r>
    </w:p>
    <w:p w14:paraId="1773985B" w14:textId="2D69C9C7" w:rsidR="00007F2C" w:rsidRPr="00901E26" w:rsidRDefault="00007F2C" w:rsidP="00772E44">
      <w:pPr>
        <w:spacing w:before="100" w:beforeAutospacing="1" w:after="100" w:afterAutospacing="1" w:line="360" w:lineRule="auto"/>
        <w:rPr>
          <w:rFonts w:cs="Arial"/>
          <w:color w:val="000000" w:themeColor="text1"/>
          <w:szCs w:val="22"/>
        </w:rPr>
      </w:pPr>
      <w:r w:rsidRPr="00901E26">
        <w:rPr>
          <w:rFonts w:cs="Arial"/>
          <w:color w:val="000000" w:themeColor="text1"/>
          <w:szCs w:val="22"/>
        </w:rPr>
        <w:t>Over the last two decades, UK drug policy has evolved from a largely criminal justice focus to a public health approach, though tensions remain. Early strategies such as the Tackling Drugs Strategy (Home Office, 1998) prioritised law enforcement over harm reduction. More recent initiatives, including From Harm to Hope (Home Office, 2021), have shifted towards prevention, treatment, and recovery. However, austerity-era budget cuts since 2010 significantly weakened local public health infrastructure, leading to uneven service provision (Black, 2021).</w:t>
      </w:r>
      <w:r w:rsidRPr="00901E26">
        <w:rPr>
          <w:rFonts w:cs="Arial"/>
          <w:color w:val="000000" w:themeColor="text1"/>
          <w:szCs w:val="22"/>
        </w:rPr>
        <w:br/>
        <w:t>The Marmot Reviews (2010; 2020) have consistently shown that policies affecting housing, employment, and education directly impact substance misuse outcomes, as these social factors create the stressors that lead to harmful coping behaviours.</w:t>
      </w:r>
    </w:p>
    <w:p w14:paraId="48A8986D" w14:textId="77777777" w:rsidR="00007F2C" w:rsidRPr="00901E26" w:rsidRDefault="00007F2C" w:rsidP="00901E26">
      <w:pPr>
        <w:spacing w:line="360" w:lineRule="auto"/>
        <w:rPr>
          <w:rFonts w:cs="Arial"/>
          <w:color w:val="000000" w:themeColor="text1"/>
          <w:szCs w:val="22"/>
        </w:rPr>
      </w:pPr>
    </w:p>
    <w:p w14:paraId="06EC5E60" w14:textId="77777777" w:rsidR="00007F2C" w:rsidRPr="00901E26" w:rsidRDefault="00007F2C" w:rsidP="00433871">
      <w:r w:rsidRPr="00901E26">
        <w:t>Key Statistics and Policy Trends</w:t>
      </w:r>
    </w:p>
    <w:p w14:paraId="34ED3502" w14:textId="77777777" w:rsidR="00007F2C" w:rsidRPr="00901E26" w:rsidRDefault="00007F2C" w:rsidP="00303E61">
      <w:pPr>
        <w:numPr>
          <w:ilvl w:val="0"/>
          <w:numId w:val="14"/>
        </w:numPr>
        <w:spacing w:before="100" w:beforeAutospacing="1" w:after="100" w:afterAutospacing="1" w:line="360" w:lineRule="auto"/>
        <w:rPr>
          <w:rFonts w:cs="Arial"/>
          <w:color w:val="000000" w:themeColor="text1"/>
          <w:szCs w:val="22"/>
        </w:rPr>
      </w:pPr>
      <w:r w:rsidRPr="00901E26">
        <w:rPr>
          <w:rFonts w:cs="Arial"/>
          <w:color w:val="000000" w:themeColor="text1"/>
          <w:szCs w:val="22"/>
        </w:rPr>
        <w:t>Public Health England (PHE, 2021) reported that only 57% of people with a substance use disorder are in treatment.</w:t>
      </w:r>
    </w:p>
    <w:p w14:paraId="0B17670B" w14:textId="77777777" w:rsidR="00007F2C" w:rsidRPr="00901E26" w:rsidRDefault="00007F2C" w:rsidP="00303E61">
      <w:pPr>
        <w:numPr>
          <w:ilvl w:val="0"/>
          <w:numId w:val="14"/>
        </w:numPr>
        <w:spacing w:before="100" w:beforeAutospacing="1" w:after="100" w:afterAutospacing="1" w:line="360" w:lineRule="auto"/>
        <w:rPr>
          <w:rFonts w:cs="Arial"/>
          <w:color w:val="000000" w:themeColor="text1"/>
          <w:szCs w:val="22"/>
        </w:rPr>
      </w:pPr>
      <w:r w:rsidRPr="00901E26">
        <w:rPr>
          <w:rFonts w:cs="Arial"/>
          <w:color w:val="000000" w:themeColor="text1"/>
          <w:szCs w:val="22"/>
        </w:rPr>
        <w:t>Between 2010 and 2020, funding for addiction services fell by £162 million in real terms (Health Foundation, 2023).</w:t>
      </w:r>
    </w:p>
    <w:p w14:paraId="68ED057C" w14:textId="2F3BEB5F" w:rsidR="00007F2C" w:rsidRPr="00433871" w:rsidRDefault="00007F2C" w:rsidP="00303E61">
      <w:pPr>
        <w:numPr>
          <w:ilvl w:val="0"/>
          <w:numId w:val="14"/>
        </w:numPr>
        <w:spacing w:before="100" w:beforeAutospacing="1" w:after="100" w:afterAutospacing="1" w:line="360" w:lineRule="auto"/>
        <w:rPr>
          <w:rFonts w:cs="Arial"/>
          <w:color w:val="000000" w:themeColor="text1"/>
          <w:szCs w:val="22"/>
        </w:rPr>
      </w:pPr>
      <w:r w:rsidRPr="00901E26">
        <w:rPr>
          <w:rFonts w:cs="Arial"/>
          <w:color w:val="000000" w:themeColor="text1"/>
          <w:szCs w:val="22"/>
        </w:rPr>
        <w:t>The Home Office (2021) announced £780 million in new investment, but analysis suggests this largely restores previous cuts rather than expanding new services (Institute for Fiscal Studies, 2023).</w:t>
      </w:r>
    </w:p>
    <w:p w14:paraId="67F85803" w14:textId="77777777" w:rsidR="00007F2C" w:rsidRPr="00901E26" w:rsidRDefault="00007F2C" w:rsidP="00433871">
      <w:pPr>
        <w:pStyle w:val="Heading2"/>
      </w:pPr>
      <w:bookmarkStart w:id="63" w:name="_Toc214836713"/>
      <w:r w:rsidRPr="00901E26">
        <w:lastRenderedPageBreak/>
        <w:t>3. Relevance to Research Question</w:t>
      </w:r>
      <w:bookmarkEnd w:id="63"/>
    </w:p>
    <w:p w14:paraId="3D554F7F"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 and legislation determine the scope of care available to low-income populations and thus shape the relationship between poverty, substance misuse, and untreated mental health. When funding cuts reduce community programmes, those most dependent on public services suffer the greatest harm (Marmot, 2020). Moreover, policies that separate drug and mental health services, rather than integrate them, perpetuate cycles of exclusion (Mind, 2022). Evaluating these frameworks helps explain why the correlation between deprivation and substance misuse remains persistent in England.</w:t>
      </w:r>
    </w:p>
    <w:p w14:paraId="0CD77DE7" w14:textId="77777777" w:rsidR="00007F2C" w:rsidRPr="00901E26" w:rsidRDefault="00007F2C" w:rsidP="00433871">
      <w:pPr>
        <w:pStyle w:val="Heading2"/>
      </w:pPr>
      <w:bookmarkStart w:id="64" w:name="_Toc214836714"/>
      <w:r w:rsidRPr="00901E26">
        <w:t>4. Theories, Policy, and Legislation</w:t>
      </w:r>
      <w:bookmarkEnd w:id="64"/>
    </w:p>
    <w:p w14:paraId="4205B45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Social Determinants of Health framework (Marmot, 2005; WHO, 2022) underpins this theme. It argues that inequities in income, housing, education, and social capital drive health inequalities. Political and economic decisions shape these structural factors, a phenomenon Farmer (2004) refers to as 'structural violence'. Applying these theories highlights how austerity policies and the shift to local authority commissioning created systemic barriers, disproportionately affecting deprived areas (Black, 2021).</w:t>
      </w:r>
      <w:r w:rsidRPr="00901E26">
        <w:rPr>
          <w:rFonts w:cs="Arial"/>
          <w:color w:val="000000" w:themeColor="text1"/>
          <w:szCs w:val="22"/>
        </w:rPr>
        <w:br/>
        <w:t>The Care Act (2014) aimed to strengthen equality in social care access but has been criticised for inadequate enforcement. Similarly, the Drug Strategy (2021–2026) focuses on recovery and employment outcomes, yet lacks mechanisms for sustainable prevention (Home Office, 2021). The Public Health Outcomes Framework (2022) calls for joined-up local partnerships, but progress has been uneven due to fragmented governance and resource disparities.</w:t>
      </w:r>
    </w:p>
    <w:p w14:paraId="6FE3B0D6"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0D03F609" w14:textId="77777777" w:rsidR="00007F2C" w:rsidRPr="00901E26" w:rsidRDefault="00007F2C"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Public Health Reorganisation 2021</w:t>
      </w:r>
      <w:r w:rsidRPr="00901E26">
        <w:rPr>
          <w:rFonts w:ascii="Arial" w:hAnsi="Arial" w:cs="Arial"/>
          <w:color w:val="000000" w:themeColor="text1"/>
          <w:szCs w:val="22"/>
        </w:rPr>
        <w:br/>
        <w:t>Following the replacement of Public Health England by the UK Health Security Agency (UKHSA) and the Office for Health Improvement and Disparities (OHID), apprehensions emerged regarding a diminished emphasis on inequalities. Analysts from the King’s Fund (2022) contend that this restructure diminished local accountability, resulting in councils being inadequately equipped to properly tackle addiction and mental health challenges.</w:t>
      </w:r>
    </w:p>
    <w:p w14:paraId="6C026725"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333BF944"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26C23F57" w14:textId="77777777" w:rsidR="00007F2C" w:rsidRPr="00901E26" w:rsidRDefault="00007F2C" w:rsidP="00901E26">
      <w:pPr>
        <w:spacing w:line="360" w:lineRule="auto"/>
        <w:rPr>
          <w:rFonts w:cs="Arial"/>
          <w:color w:val="000000" w:themeColor="text1"/>
          <w:szCs w:val="22"/>
        </w:rPr>
      </w:pPr>
    </w:p>
    <w:p w14:paraId="0504BFB4" w14:textId="77777777" w:rsidR="00007F2C" w:rsidRPr="00901E26" w:rsidRDefault="00007F2C" w:rsidP="00433871">
      <w:pPr>
        <w:pStyle w:val="Heading2"/>
      </w:pPr>
      <w:bookmarkStart w:id="65" w:name="_Toc214836715"/>
      <w:r w:rsidRPr="00901E26">
        <w:lastRenderedPageBreak/>
        <w:t>5. Examples from Articles</w:t>
      </w:r>
      <w:bookmarkEnd w:id="65"/>
    </w:p>
    <w:p w14:paraId="223B20B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Black (2021) concluded that inconsistent funding and lack of workforce investment undermined national drug policy reforms. Marmot (2020) argued that government policies had "failed to prioritise fairness," leading to wider health gaps. Mind (2022) said that differences between local authorities meant that some areas had full integration of mental health and substance abuse services, while others didn't even have basic coordination.</w:t>
      </w:r>
      <w:r w:rsidRPr="00901E26">
        <w:rPr>
          <w:rFonts w:cs="Arial"/>
          <w:color w:val="000000" w:themeColor="text1"/>
          <w:szCs w:val="22"/>
        </w:rPr>
        <w:br/>
        <w:t>International comparisons support these findings: WHO (2022) highlights that countries with strong welfare safety nets, such as Norway and Finland, report lower substance misuse-related mortality than the UK, reinforcing the role of social policy in shaping outcomes.</w:t>
      </w:r>
    </w:p>
    <w:p w14:paraId="51634C39" w14:textId="77777777" w:rsidR="00007F2C" w:rsidRPr="00901E26" w:rsidRDefault="00007F2C" w:rsidP="00433871">
      <w:pPr>
        <w:pStyle w:val="Heading2"/>
      </w:pPr>
      <w:bookmarkStart w:id="66" w:name="_Toc214836716"/>
      <w:r w:rsidRPr="00901E26">
        <w:t>6. Connections to Other Themes</w:t>
      </w:r>
      <w:bookmarkEnd w:id="66"/>
    </w:p>
    <w:p w14:paraId="696FF99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ties directly to Theme 3, which examined access barriers shaped by socioeconomic inequality. Policy frameworks either reinforce or mitigate these barriers. It also connects to Theme 5, which explores how the COVID-19 pandemic further exposed the fragility of England’s health and social systems. Together, these themes highlight that substance misuse and untreated mental illness are not isolated problems but products of broader social and political contexts.</w:t>
      </w:r>
    </w:p>
    <w:p w14:paraId="07C67890" w14:textId="77777777" w:rsidR="00007F2C" w:rsidRPr="00901E26" w:rsidRDefault="00007F2C" w:rsidP="00901E26">
      <w:pPr>
        <w:spacing w:line="360" w:lineRule="auto"/>
        <w:rPr>
          <w:rFonts w:cs="Arial"/>
          <w:color w:val="000000" w:themeColor="text1"/>
          <w:szCs w:val="22"/>
        </w:rPr>
      </w:pPr>
    </w:p>
    <w:p w14:paraId="640BDEF6" w14:textId="77777777" w:rsidR="00007F2C" w:rsidRPr="00901E26" w:rsidRDefault="00007F2C" w:rsidP="00901E26">
      <w:pPr>
        <w:spacing w:beforeAutospacing="1" w:afterAutospacing="1" w:line="360" w:lineRule="auto"/>
        <w:rPr>
          <w:rFonts w:cs="Arial"/>
          <w:color w:val="000000" w:themeColor="text1"/>
          <w:szCs w:val="22"/>
        </w:rPr>
      </w:pPr>
    </w:p>
    <w:p w14:paraId="2E55C6E4" w14:textId="77777777" w:rsidR="00433871" w:rsidRPr="00901E26" w:rsidRDefault="00433871" w:rsidP="00901E26">
      <w:pPr>
        <w:spacing w:beforeAutospacing="1" w:afterAutospacing="1" w:line="360" w:lineRule="auto"/>
        <w:rPr>
          <w:rFonts w:cs="Arial"/>
          <w:color w:val="000000" w:themeColor="text1"/>
          <w:szCs w:val="22"/>
        </w:rPr>
      </w:pPr>
    </w:p>
    <w:p w14:paraId="5874F850" w14:textId="77777777" w:rsidR="00007F2C" w:rsidRPr="00433871" w:rsidRDefault="00007F2C" w:rsidP="00433871">
      <w:pPr>
        <w:pStyle w:val="Heading1"/>
      </w:pPr>
      <w:bookmarkStart w:id="67" w:name="_Toc214836717"/>
      <w:r w:rsidRPr="00433871">
        <w:t>4.6 Theme 5: The Impact of COVID-19 on Substance Misuse and Mental Health Inequalities</w:t>
      </w:r>
      <w:bookmarkEnd w:id="67"/>
    </w:p>
    <w:p w14:paraId="1A67078E" w14:textId="77777777" w:rsidR="00007F2C" w:rsidRPr="00901E26" w:rsidRDefault="00007F2C" w:rsidP="00433871">
      <w:pPr>
        <w:pStyle w:val="Heading2"/>
      </w:pPr>
      <w:bookmarkStart w:id="68" w:name="_Toc214836718"/>
      <w:r w:rsidRPr="00901E26">
        <w:t>1. Definition and Scope</w:t>
      </w:r>
      <w:bookmarkEnd w:id="68"/>
    </w:p>
    <w:p w14:paraId="7D999B0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COVID-19 pandemic refers to the global health crisis that began in early 2020, which profoundly disrupted social, economic, and healthcare systems. In the context of this study, it represents both a magnifier and an accelerator of existing inequalities. The pandemic not only raised levels of anxiety, depression, and trauma but also exacerbated disparities in service access for individuals already impacted by substance misuse (Pierce et al., 2020; Kwong et al., 2020). Lockdowns, social isolation, and unemployment collectively deepened stress and dependency, particularly among low-income populations in England (Mind, 2022).</w:t>
      </w:r>
    </w:p>
    <w:p w14:paraId="08DDC147"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3E4C70F9" w14:textId="77777777" w:rsidR="00007F2C" w:rsidRPr="00901E26" w:rsidRDefault="00007F2C" w:rsidP="00433871">
      <w:pPr>
        <w:pStyle w:val="Heading2"/>
      </w:pPr>
      <w:bookmarkStart w:id="69" w:name="_Toc214836719"/>
      <w:r w:rsidRPr="00901E26">
        <w:lastRenderedPageBreak/>
        <w:t>2. Background Information</w:t>
      </w:r>
      <w:bookmarkEnd w:id="69"/>
    </w:p>
    <w:p w14:paraId="1596D26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Before COVID-19, England already faced a decade of health inequality growth (Marmot, 2020). When the pandemic struck, it further exposed systemic vulnerabilities in mental health and addiction services. Social distancing measures forced the closing of in-person recovery groups, community outreach programmes, and day centres. These services were vital lifelines for people with substance misuse problems (Public Health England, 2021). For many, this disruption led to relapse or increased dependence on substances as coping mechanisms for isolation and anxiety.</w:t>
      </w:r>
      <w:r w:rsidRPr="00901E26">
        <w:rPr>
          <w:rFonts w:cs="Arial"/>
          <w:color w:val="000000" w:themeColor="text1"/>
          <w:szCs w:val="22"/>
        </w:rPr>
        <w:br/>
        <w:t>At the same time, the pandemic’s economic consequences, such as job loss and income insecurity, disproportionately affected people in deprived communities, who were already at higher risk of both addiction and untreated mental illness (Pierce et al., 2020; ONS, 2022).</w:t>
      </w:r>
    </w:p>
    <w:p w14:paraId="561394DC" w14:textId="77777777" w:rsidR="00007F2C" w:rsidRPr="00901E26" w:rsidRDefault="00007F2C" w:rsidP="00901E26">
      <w:pPr>
        <w:spacing w:line="360" w:lineRule="auto"/>
        <w:rPr>
          <w:rFonts w:cs="Arial"/>
          <w:color w:val="000000" w:themeColor="text1"/>
          <w:szCs w:val="22"/>
        </w:rPr>
      </w:pPr>
    </w:p>
    <w:p w14:paraId="4842A007" w14:textId="77777777" w:rsidR="00007F2C" w:rsidRPr="00901E26" w:rsidRDefault="00007F2C" w:rsidP="00433871">
      <w:r w:rsidRPr="00901E26">
        <w:t>Key Statistics 2022–2023</w:t>
      </w:r>
    </w:p>
    <w:p w14:paraId="3F01F9CB" w14:textId="77777777" w:rsidR="00007F2C" w:rsidRPr="00901E26" w:rsidRDefault="00007F2C" w:rsidP="00303E61">
      <w:pPr>
        <w:numPr>
          <w:ilvl w:val="0"/>
          <w:numId w:val="15"/>
        </w:numPr>
        <w:spacing w:before="100" w:beforeAutospacing="1" w:after="100" w:afterAutospacing="1" w:line="360" w:lineRule="auto"/>
        <w:rPr>
          <w:rFonts w:cs="Arial"/>
          <w:color w:val="000000" w:themeColor="text1"/>
          <w:szCs w:val="22"/>
        </w:rPr>
      </w:pPr>
      <w:r w:rsidRPr="00901E26">
        <w:rPr>
          <w:rFonts w:cs="Arial"/>
          <w:color w:val="000000" w:themeColor="text1"/>
          <w:szCs w:val="22"/>
        </w:rPr>
        <w:t>During the first year of the pandemic, alcohol-specific deaths increased by 20%, reaching the highest rate since records began (ONS, 2022).</w:t>
      </w:r>
    </w:p>
    <w:p w14:paraId="49D8C500" w14:textId="77777777" w:rsidR="00007F2C" w:rsidRPr="00901E26" w:rsidRDefault="00007F2C" w:rsidP="00303E61">
      <w:pPr>
        <w:numPr>
          <w:ilvl w:val="0"/>
          <w:numId w:val="15"/>
        </w:numPr>
        <w:spacing w:before="100" w:beforeAutospacing="1" w:after="100" w:afterAutospacing="1" w:line="360" w:lineRule="auto"/>
        <w:rPr>
          <w:rFonts w:cs="Arial"/>
          <w:color w:val="000000" w:themeColor="text1"/>
          <w:szCs w:val="22"/>
        </w:rPr>
      </w:pPr>
      <w:r w:rsidRPr="00901E26">
        <w:rPr>
          <w:rFonts w:cs="Arial"/>
          <w:color w:val="000000" w:themeColor="text1"/>
          <w:szCs w:val="22"/>
        </w:rPr>
        <w:t>Mental health referrals to NHS Talking Therapies rose by 31% between 2020 and 2022 (NHS Digital, 2023).</w:t>
      </w:r>
    </w:p>
    <w:p w14:paraId="1C0A6C31" w14:textId="77777777" w:rsidR="00007F2C" w:rsidRPr="00901E26" w:rsidRDefault="00007F2C" w:rsidP="00303E61">
      <w:pPr>
        <w:numPr>
          <w:ilvl w:val="0"/>
          <w:numId w:val="15"/>
        </w:numPr>
        <w:spacing w:before="100" w:beforeAutospacing="1" w:after="100" w:afterAutospacing="1" w:line="360" w:lineRule="auto"/>
        <w:rPr>
          <w:rFonts w:cs="Arial"/>
          <w:color w:val="000000" w:themeColor="text1"/>
          <w:szCs w:val="22"/>
        </w:rPr>
      </w:pPr>
      <w:r w:rsidRPr="00901E26">
        <w:rPr>
          <w:rFonts w:cs="Arial"/>
          <w:color w:val="000000" w:themeColor="text1"/>
          <w:szCs w:val="22"/>
        </w:rPr>
        <w:t>People in the most deprived areas were twice as likely to experience pandemic-related job loss or income reduction (JRF, 2023).</w:t>
      </w:r>
    </w:p>
    <w:p w14:paraId="56E54973" w14:textId="662859E7" w:rsidR="00007F2C" w:rsidRDefault="00007F2C" w:rsidP="00303E61">
      <w:pPr>
        <w:numPr>
          <w:ilvl w:val="0"/>
          <w:numId w:val="15"/>
        </w:num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A Mind (2022) survey found 65% of respondents with existing mental health </w:t>
      </w:r>
      <w:r w:rsidRPr="00772E44">
        <w:rPr>
          <w:rFonts w:cs="Arial"/>
          <w:color w:val="000000" w:themeColor="text1"/>
          <w:szCs w:val="22"/>
        </w:rPr>
        <w:t>conditions reported worsening symptoms due to reduced service access.</w:t>
      </w:r>
      <w:r w:rsidR="00772E44">
        <w:rPr>
          <w:rFonts w:cs="Arial"/>
          <w:color w:val="000000" w:themeColor="text1"/>
          <w:szCs w:val="22"/>
        </w:rPr>
        <w:t xml:space="preserve">   </w:t>
      </w:r>
    </w:p>
    <w:p w14:paraId="350DEB2E" w14:textId="77777777" w:rsidR="00772E44" w:rsidRPr="00772E44" w:rsidRDefault="00772E44" w:rsidP="00772E44">
      <w:pPr>
        <w:spacing w:before="100" w:beforeAutospacing="1" w:after="100" w:afterAutospacing="1" w:line="360" w:lineRule="auto"/>
        <w:rPr>
          <w:rFonts w:cs="Arial"/>
          <w:color w:val="000000" w:themeColor="text1"/>
          <w:szCs w:val="22"/>
        </w:rPr>
      </w:pPr>
    </w:p>
    <w:p w14:paraId="353F9CB7" w14:textId="77777777" w:rsidR="00007F2C" w:rsidRPr="00901E26" w:rsidRDefault="00007F2C" w:rsidP="00433871">
      <w:pPr>
        <w:pStyle w:val="Heading2"/>
      </w:pPr>
      <w:bookmarkStart w:id="70" w:name="_Toc214836720"/>
      <w:r w:rsidRPr="00901E26">
        <w:t>3. Relevance to Research Question</w:t>
      </w:r>
      <w:bookmarkEnd w:id="70"/>
    </w:p>
    <w:p w14:paraId="646BED7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is central to the dissertation’s question, as it demonstrates how external crises amplify the connection between poverty, substance misuse, and untreated mental health conditions. COVID-19 did not create these inequalities; it exposed and intensified them. The loss of community contact, limited access to treatment, and increased social stress deepened the cycle of disadvantage, particularly in low-income regions (Kwong et al., 2020). By analysing this period, the research highlights how structural inequities, rather than individual behaviours, largely determine health outcomes.</w:t>
      </w:r>
    </w:p>
    <w:p w14:paraId="1B812DDF" w14:textId="7EC417E9" w:rsidR="00007F2C" w:rsidRDefault="00007F2C" w:rsidP="00901E26">
      <w:pPr>
        <w:spacing w:before="100" w:beforeAutospacing="1" w:after="100" w:afterAutospacing="1" w:line="360" w:lineRule="auto"/>
        <w:rPr>
          <w:rFonts w:cs="Arial"/>
          <w:color w:val="000000" w:themeColor="text1"/>
          <w:szCs w:val="22"/>
        </w:rPr>
      </w:pPr>
    </w:p>
    <w:p w14:paraId="4B8F3341"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45C9765D" w14:textId="77777777" w:rsidR="00007F2C" w:rsidRPr="00901E26" w:rsidRDefault="00007F2C" w:rsidP="00433871">
      <w:pPr>
        <w:pStyle w:val="Heading2"/>
      </w:pPr>
      <w:bookmarkStart w:id="71" w:name="_Toc214836721"/>
      <w:r w:rsidRPr="00901E26">
        <w:lastRenderedPageBreak/>
        <w:t>4. Data and Statistics</w:t>
      </w:r>
      <w:bookmarkEnd w:id="71"/>
    </w:p>
    <w:p w14:paraId="5CCEAA05"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According to NHS Digital (2023), over 60% of local treatment services reported a decline in client engagement during the lockdowns, mainly due to technology barriers and mental health deterioration. ONS (2022) data revealed that individuals reporting high psychological distress doubled from 10% to 20% between 2019 and 2021. During lockdowns, alcohol sales in supermarkets went up by 24%, which suggests that people drank more at home (Public Health England, 2021).</w:t>
      </w:r>
      <w:r w:rsidRPr="00901E26">
        <w:rPr>
          <w:rFonts w:cs="Arial"/>
          <w:color w:val="000000" w:themeColor="text1"/>
          <w:szCs w:val="22"/>
        </w:rPr>
        <w:br/>
        <w:t>These findings underline that the pandemic not only heightened immediate risks but also created long-term effects, such as increased treatment demand and chronic mental distress among vulnerable groups.</w:t>
      </w:r>
    </w:p>
    <w:p w14:paraId="7F5D72A8"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3F04860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COVID-19 Mental Health and Wellbeing Recovery Action Plan (2021)</w:t>
      </w:r>
      <w:r w:rsidRPr="00901E26">
        <w:rPr>
          <w:rFonts w:cs="Arial"/>
          <w:color w:val="000000" w:themeColor="text1"/>
          <w:szCs w:val="22"/>
        </w:rPr>
        <w:br/>
        <w:t>The UK government’s recovery action plan (Department of Health and Social Care, 2021) sought to rebuild services, by prioritising early intervention and digital therapy expansion. However, the Centre for Mental Health (2022) found that funding and workforce shortages prevented equitable delivery. Local authorities in deprived regions struggled to meet increased demand, while digital-only models excluded those without internet access.</w:t>
      </w:r>
    </w:p>
    <w:p w14:paraId="15956B08"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2037BC05" w14:textId="77777777" w:rsidR="00007F2C" w:rsidRPr="00901E26" w:rsidRDefault="00007F2C" w:rsidP="00901E26">
      <w:pPr>
        <w:spacing w:line="360" w:lineRule="auto"/>
        <w:rPr>
          <w:rFonts w:cs="Arial"/>
          <w:color w:val="000000" w:themeColor="text1"/>
          <w:szCs w:val="22"/>
        </w:rPr>
      </w:pPr>
    </w:p>
    <w:p w14:paraId="1534C271" w14:textId="77777777" w:rsidR="00007F2C" w:rsidRPr="00901E26" w:rsidRDefault="00007F2C" w:rsidP="00433871">
      <w:pPr>
        <w:pStyle w:val="Heading2"/>
      </w:pPr>
      <w:bookmarkStart w:id="72" w:name="_Toc214836722"/>
      <w:r w:rsidRPr="00901E26">
        <w:t>5. Theories, Policy, and Legislation</w:t>
      </w:r>
      <w:bookmarkEnd w:id="72"/>
    </w:p>
    <w:p w14:paraId="24142C7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Resilience Theory (Rutter, 2012) offers insight into how individuals respond differently to crisis. It suggests that social and economic resources, not just personal traits, determine one’s capacity to adapt. Applying this framework shows why low-income communities, already deprived of safety nets, suffered disproportionately during COVID-19.</w:t>
      </w:r>
      <w:r w:rsidRPr="00901E26">
        <w:rPr>
          <w:rFonts w:cs="Arial"/>
          <w:color w:val="000000" w:themeColor="text1"/>
          <w:szCs w:val="22"/>
        </w:rPr>
        <w:br/>
        <w:t>The Social Determinants of Health model (Marmot, 2005; WHO, 2022) also applies here, as the pandemic magnified pre-existing inequalities in housing, income, and access to care. The Coronavirus Act 2020 made it easier for councils to cut back on non-urgent services, which the Equality and Human Rights Commission (2021) said made inequality worse.</w:t>
      </w:r>
    </w:p>
    <w:p w14:paraId="34FB7D2B"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2EFDB895"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569EFD6D" w14:textId="77777777" w:rsidR="00007F2C" w:rsidRPr="00901E26" w:rsidRDefault="00007F2C" w:rsidP="00433871">
      <w:pPr>
        <w:pStyle w:val="Heading2"/>
      </w:pPr>
      <w:bookmarkStart w:id="73" w:name="_Toc214836723"/>
      <w:r w:rsidRPr="00901E26">
        <w:lastRenderedPageBreak/>
        <w:t>6. Examples from Articles</w:t>
      </w:r>
      <w:bookmarkEnd w:id="73"/>
    </w:p>
    <w:p w14:paraId="2C6D1B8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Pierce et al. (2020) conducted one of the largest longitudinal surveys in the UK, finding sharp rises in anxiety and depression, particularly among low-income adults and women. Kwong et al. (2020) demonstrated analogous trends in two extensive population cohorts, indicating enduring mental distress even subsequent to the cessation of lockdowns. Mind (2022) reported that many people with substance misuse issues lost contact with support workers, with some turning to self-medication. The Health Foundation (2023) also found that mental health service backlogs increased wait times for psychological therapy by up to six months, particularly in deprived boroughs.</w:t>
      </w:r>
    </w:p>
    <w:p w14:paraId="70C52D0E" w14:textId="77777777" w:rsidR="00007F2C" w:rsidRPr="00901E26" w:rsidRDefault="00007F2C" w:rsidP="00433871">
      <w:pPr>
        <w:pStyle w:val="Heading2"/>
      </w:pPr>
      <w:bookmarkStart w:id="74" w:name="_Toc214836724"/>
      <w:r w:rsidRPr="00901E26">
        <w:t>7. Connections to Other Themes</w:t>
      </w:r>
      <w:bookmarkEnd w:id="74"/>
    </w:p>
    <w:p w14:paraId="575E6254" w14:textId="26A10AB8"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links closely to Theme 2, as the rise in untreated mental health disorders during the pandemic directly influenced substance misuse rates. It also connects to Theme 3, where service accessibility barriers were discussed; these worsened under lockdown conditions. Finally, it feeds into Theme 4, illustrating how policy responses to crises must prioritise equity and preparedness to prevent widening inequality in future emergencies.</w:t>
      </w:r>
    </w:p>
    <w:p w14:paraId="0B2506E5" w14:textId="26862EB3" w:rsidR="00433871" w:rsidRDefault="00433871" w:rsidP="00901E26">
      <w:pPr>
        <w:spacing w:before="100" w:beforeAutospacing="1" w:after="100" w:afterAutospacing="1" w:line="360" w:lineRule="auto"/>
        <w:rPr>
          <w:rFonts w:cs="Arial"/>
          <w:color w:val="000000" w:themeColor="text1"/>
          <w:szCs w:val="22"/>
        </w:rPr>
      </w:pPr>
    </w:p>
    <w:p w14:paraId="04BA42A7" w14:textId="01EA8CA7" w:rsidR="00433871" w:rsidRDefault="00433871" w:rsidP="00901E26">
      <w:pPr>
        <w:spacing w:before="100" w:beforeAutospacing="1" w:after="100" w:afterAutospacing="1" w:line="360" w:lineRule="auto"/>
        <w:rPr>
          <w:rFonts w:cs="Arial"/>
          <w:color w:val="000000" w:themeColor="text1"/>
          <w:szCs w:val="22"/>
        </w:rPr>
      </w:pPr>
    </w:p>
    <w:p w14:paraId="1E229DCA" w14:textId="77777777" w:rsidR="00433871" w:rsidRPr="00901E26" w:rsidRDefault="00433871" w:rsidP="00901E26">
      <w:pPr>
        <w:spacing w:before="100" w:beforeAutospacing="1" w:after="100" w:afterAutospacing="1" w:line="360" w:lineRule="auto"/>
        <w:rPr>
          <w:rFonts w:cs="Arial"/>
          <w:color w:val="000000" w:themeColor="text1"/>
          <w:szCs w:val="22"/>
        </w:rPr>
      </w:pPr>
    </w:p>
    <w:p w14:paraId="5AEF0E40" w14:textId="40553EBD" w:rsidR="00007F2C" w:rsidRPr="00433871" w:rsidRDefault="00007F2C" w:rsidP="00433871">
      <w:pPr>
        <w:pStyle w:val="Heading1"/>
      </w:pPr>
      <w:bookmarkStart w:id="75" w:name="_Toc214836725"/>
      <w:r w:rsidRPr="00433871">
        <w:rPr>
          <w:rStyle w:val="Strong"/>
          <w:b/>
          <w:bCs/>
        </w:rPr>
        <w:t xml:space="preserve">4.7 </w:t>
      </w:r>
      <w:r w:rsidRPr="00433871">
        <w:rPr>
          <w:rStyle w:val="Strong"/>
          <w:rFonts w:eastAsiaTheme="majorEastAsia"/>
          <w:b/>
          <w:bCs/>
        </w:rPr>
        <w:t>Conclusion</w:t>
      </w:r>
      <w:bookmarkEnd w:id="75"/>
    </w:p>
    <w:p w14:paraId="2002900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chapter examined five interconnected themes that show how low income, substance abuse, and untreated mental health disorders intersect in England. Each theme has demonstrated that social and economic systems are the root cause of these health issues.</w:t>
      </w:r>
    </w:p>
    <w:p w14:paraId="1D5B5FA4"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Theme 1 demonstrates that poverty causes and results in substance misuse. Addiction is more likely in low-income communities due to chronic stress, unemployment, and housing instability. Theme 2 reveals how untreated mental health disorders, like depression, anxiety, and trauma, worsen substance abuse and perpetuate distress. Theme 3 explored socioeconomic barriers to treatment, such as cost, transportation, digital exclusion, and long wait times. These obstacles keep help from reaching those who need it most. Theme 4 evaluated policy and legislation, revealing that England's drug strategy has shifted to a public health approach, but underfunding and fragmented systems hinder progress. Theme </w:t>
      </w:r>
      <w:r w:rsidRPr="00901E26">
        <w:rPr>
          <w:rFonts w:cs="Arial"/>
          <w:color w:val="000000" w:themeColor="text1"/>
          <w:szCs w:val="22"/>
        </w:rPr>
        <w:lastRenderedPageBreak/>
        <w:t>5 showed how the COVID-19 pandemic worsened inequalities, leading to higher rates of mental distress and substance abuse and decreased access to care.</w:t>
      </w:r>
    </w:p>
    <w:p w14:paraId="5570D1E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All themes revealed inequality as the primary cause of substance abuse and untreated mental health issues. Individual interventions will be ineffective without addressing poverty, unstable housing, and underfunded services, according to the evidence.</w:t>
      </w:r>
    </w:p>
    <w:p w14:paraId="64321F2D" w14:textId="476E112B"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Integration and trauma-informed care are crucial conclusions. Systems that treat mental health and addiction separately fail individuals with dual diagnoses, as the literature repeatedly demonstrates (Mind, 2022; Molina &amp; Whittaker, 2022). The NHS Long Term Plan (2019) and From Harm to Hope (2021</w:t>
      </w:r>
      <w:r w:rsidR="00772E44">
        <w:rPr>
          <w:rFonts w:cs="Arial"/>
          <w:color w:val="000000" w:themeColor="text1"/>
          <w:szCs w:val="22"/>
        </w:rPr>
        <w:t xml:space="preserve"> - </w:t>
      </w:r>
      <w:r w:rsidRPr="00901E26">
        <w:rPr>
          <w:rFonts w:cs="Arial"/>
          <w:color w:val="000000" w:themeColor="text1"/>
          <w:szCs w:val="22"/>
        </w:rPr>
        <w:t>2026) recommend integrating these services to reduce duplication and improve recovery.</w:t>
      </w:r>
    </w:p>
    <w:p w14:paraId="71E2F66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Policymakers should invest, plan, and collaborate across sectors to achieve health equity, according to the research. Education, employment, housing, and community support should be public health priorities, not external ones.</w:t>
      </w:r>
    </w:p>
    <w:p w14:paraId="33115DB9" w14:textId="4BD18283" w:rsidR="00007F2C" w:rsidRDefault="00007F2C" w:rsidP="003D23D0">
      <w:pPr>
        <w:spacing w:before="100" w:beforeAutospacing="1" w:after="100" w:afterAutospacing="1" w:line="360" w:lineRule="auto"/>
        <w:rPr>
          <w:rFonts w:cs="Arial"/>
          <w:color w:val="000000" w:themeColor="text1"/>
          <w:szCs w:val="22"/>
        </w:rPr>
      </w:pPr>
      <w:r w:rsidRPr="00901E26">
        <w:rPr>
          <w:rFonts w:cs="Arial"/>
          <w:color w:val="000000" w:themeColor="text1"/>
          <w:szCs w:val="22"/>
        </w:rPr>
        <w:t>In Chapter 5, findings will inform evidence-based recommendations for public health policy and practice. It will combine these themes into prevention, accessibility, and social support strategies to reduce health inequalities in England.</w:t>
      </w:r>
    </w:p>
    <w:p w14:paraId="3F88B61B" w14:textId="7ABEED77" w:rsidR="00772E44" w:rsidRDefault="00772E44" w:rsidP="003D23D0">
      <w:pPr>
        <w:spacing w:before="100" w:beforeAutospacing="1" w:after="100" w:afterAutospacing="1" w:line="360" w:lineRule="auto"/>
        <w:rPr>
          <w:rFonts w:cs="Arial"/>
          <w:color w:val="000000" w:themeColor="text1"/>
          <w:szCs w:val="22"/>
        </w:rPr>
      </w:pPr>
    </w:p>
    <w:p w14:paraId="09A8EF43" w14:textId="45F5A459" w:rsidR="00772E44" w:rsidRDefault="00772E44" w:rsidP="003D23D0">
      <w:pPr>
        <w:spacing w:before="100" w:beforeAutospacing="1" w:after="100" w:afterAutospacing="1" w:line="360" w:lineRule="auto"/>
        <w:rPr>
          <w:rFonts w:cs="Arial"/>
          <w:color w:val="000000" w:themeColor="text1"/>
          <w:szCs w:val="22"/>
        </w:rPr>
      </w:pPr>
    </w:p>
    <w:p w14:paraId="7BAEB27C" w14:textId="6EB93E43" w:rsidR="00772E44" w:rsidRDefault="00772E44" w:rsidP="003D23D0">
      <w:pPr>
        <w:spacing w:before="100" w:beforeAutospacing="1" w:after="100" w:afterAutospacing="1" w:line="360" w:lineRule="auto"/>
        <w:rPr>
          <w:rFonts w:cs="Arial"/>
          <w:color w:val="000000" w:themeColor="text1"/>
          <w:szCs w:val="22"/>
        </w:rPr>
      </w:pPr>
    </w:p>
    <w:p w14:paraId="53968AC6" w14:textId="21DF7FA3" w:rsidR="00772E44" w:rsidRDefault="00772E44" w:rsidP="003D23D0">
      <w:pPr>
        <w:spacing w:before="100" w:beforeAutospacing="1" w:after="100" w:afterAutospacing="1" w:line="360" w:lineRule="auto"/>
        <w:rPr>
          <w:rFonts w:cs="Arial"/>
          <w:color w:val="000000" w:themeColor="text1"/>
          <w:szCs w:val="22"/>
        </w:rPr>
      </w:pPr>
    </w:p>
    <w:p w14:paraId="1630480A" w14:textId="3439C471" w:rsidR="00772E44" w:rsidRDefault="00772E44" w:rsidP="003D23D0">
      <w:pPr>
        <w:spacing w:before="100" w:beforeAutospacing="1" w:after="100" w:afterAutospacing="1" w:line="360" w:lineRule="auto"/>
        <w:rPr>
          <w:rFonts w:cs="Arial"/>
          <w:color w:val="000000" w:themeColor="text1"/>
          <w:szCs w:val="22"/>
        </w:rPr>
      </w:pPr>
    </w:p>
    <w:p w14:paraId="2731FD7E" w14:textId="66849B55" w:rsidR="00772E44" w:rsidRDefault="00772E44" w:rsidP="003D23D0">
      <w:pPr>
        <w:spacing w:before="100" w:beforeAutospacing="1" w:after="100" w:afterAutospacing="1" w:line="360" w:lineRule="auto"/>
        <w:rPr>
          <w:rFonts w:cs="Arial"/>
          <w:color w:val="000000" w:themeColor="text1"/>
          <w:szCs w:val="22"/>
        </w:rPr>
      </w:pPr>
    </w:p>
    <w:p w14:paraId="0847FBC0" w14:textId="551F96EA" w:rsidR="00772E44" w:rsidRDefault="00772E44" w:rsidP="003D23D0">
      <w:pPr>
        <w:spacing w:before="100" w:beforeAutospacing="1" w:after="100" w:afterAutospacing="1" w:line="360" w:lineRule="auto"/>
        <w:rPr>
          <w:rFonts w:cs="Arial"/>
          <w:color w:val="000000" w:themeColor="text1"/>
          <w:szCs w:val="22"/>
        </w:rPr>
      </w:pPr>
    </w:p>
    <w:p w14:paraId="37ED847F" w14:textId="350CB23F" w:rsidR="00772E44" w:rsidRDefault="00772E44" w:rsidP="003D23D0">
      <w:pPr>
        <w:spacing w:before="100" w:beforeAutospacing="1" w:after="100" w:afterAutospacing="1" w:line="360" w:lineRule="auto"/>
        <w:rPr>
          <w:rFonts w:cs="Arial"/>
          <w:color w:val="000000" w:themeColor="text1"/>
          <w:szCs w:val="22"/>
        </w:rPr>
      </w:pPr>
    </w:p>
    <w:p w14:paraId="431EF853" w14:textId="6055A8B5" w:rsidR="00772E44" w:rsidRDefault="00772E44" w:rsidP="003D23D0">
      <w:pPr>
        <w:spacing w:before="100" w:beforeAutospacing="1" w:after="100" w:afterAutospacing="1" w:line="360" w:lineRule="auto"/>
        <w:rPr>
          <w:rFonts w:cs="Arial"/>
          <w:color w:val="000000" w:themeColor="text1"/>
          <w:szCs w:val="22"/>
        </w:rPr>
      </w:pPr>
    </w:p>
    <w:p w14:paraId="513615D3" w14:textId="77777777" w:rsidR="00772E44" w:rsidRPr="00901E26" w:rsidRDefault="00772E44" w:rsidP="003D23D0">
      <w:pPr>
        <w:spacing w:before="100" w:beforeAutospacing="1" w:after="100" w:afterAutospacing="1" w:line="360" w:lineRule="auto"/>
        <w:rPr>
          <w:rFonts w:cs="Arial"/>
          <w:color w:val="000000" w:themeColor="text1"/>
          <w:szCs w:val="22"/>
        </w:rPr>
      </w:pPr>
    </w:p>
    <w:p w14:paraId="3C454FAF" w14:textId="77777777" w:rsidR="00007F2C" w:rsidRPr="00433871" w:rsidRDefault="00007F2C" w:rsidP="00433871">
      <w:pPr>
        <w:pStyle w:val="Heading1"/>
      </w:pPr>
      <w:bookmarkStart w:id="76" w:name="_Toc214836726"/>
      <w:r w:rsidRPr="00433871">
        <w:rPr>
          <w:rStyle w:val="Strong"/>
          <w:rFonts w:eastAsiaTheme="majorEastAsia"/>
          <w:b/>
          <w:bCs/>
        </w:rPr>
        <w:lastRenderedPageBreak/>
        <w:t>Chapter 5: Conclusions and Recommendations</w:t>
      </w:r>
      <w:bookmarkEnd w:id="76"/>
      <w:r w:rsidRPr="00433871">
        <w:rPr>
          <w:rStyle w:val="Strong"/>
          <w:rFonts w:eastAsiaTheme="majorEastAsia"/>
          <w:b/>
          <w:bCs/>
        </w:rPr>
        <w:t xml:space="preserve"> </w:t>
      </w:r>
    </w:p>
    <w:p w14:paraId="4A0EBF5F" w14:textId="77777777" w:rsidR="00007F2C" w:rsidRPr="00901E26" w:rsidRDefault="00007F2C" w:rsidP="00433871">
      <w:pPr>
        <w:pStyle w:val="Heading2"/>
        <w:rPr>
          <w:b/>
        </w:rPr>
      </w:pPr>
      <w:bookmarkStart w:id="77" w:name="_Toc214836727"/>
      <w:r w:rsidRPr="00901E26">
        <w:rPr>
          <w:rStyle w:val="Strong"/>
          <w:rFonts w:eastAsiaTheme="majorEastAsia" w:cs="Arial"/>
          <w:b w:val="0"/>
          <w:color w:val="000000" w:themeColor="text1"/>
          <w:szCs w:val="22"/>
        </w:rPr>
        <w:t>5.1 Introduction</w:t>
      </w:r>
      <w:bookmarkEnd w:id="77"/>
    </w:p>
    <w:p w14:paraId="32D06E56"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final chapter brings together everything explored throughout the dissertation. It reflects on what the research has revealed about the complex link between </w:t>
      </w:r>
      <w:r w:rsidRPr="00901E26">
        <w:rPr>
          <w:rFonts w:eastAsiaTheme="majorEastAsia" w:cs="Arial"/>
          <w:color w:val="000000" w:themeColor="text1"/>
          <w:szCs w:val="22"/>
        </w:rPr>
        <w:t>low-income status, substance misuse, and untreated mental health disorders in England and</w:t>
      </w:r>
      <w:r w:rsidRPr="00901E26">
        <w:rPr>
          <w:rFonts w:cs="Arial"/>
          <w:color w:val="000000" w:themeColor="text1"/>
          <w:szCs w:val="22"/>
        </w:rPr>
        <w:t> considers what these findings mean for policy, practice, and future research.</w:t>
      </w:r>
    </w:p>
    <w:p w14:paraId="0125B66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chapter begins by summarising the main conclusions drawn from the five thematic areas identified in Chapter 4. It then discusses their theoretical and practical implications before presenting a set of </w:t>
      </w:r>
      <w:r w:rsidRPr="00901E26">
        <w:rPr>
          <w:rFonts w:eastAsiaTheme="majorEastAsia" w:cs="Arial"/>
          <w:color w:val="000000" w:themeColor="text1"/>
          <w:szCs w:val="22"/>
        </w:rPr>
        <w:t>evidence-based recommendations</w:t>
      </w:r>
      <w:r w:rsidRPr="00901E26">
        <w:rPr>
          <w:rFonts w:cs="Arial"/>
          <w:color w:val="000000" w:themeColor="text1"/>
          <w:szCs w:val="22"/>
        </w:rPr>
        <w:t>. The chapter closes with reflections on the research process and the study’s limitations.</w:t>
      </w:r>
    </w:p>
    <w:p w14:paraId="1ED2789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Ultimately, this work reinforces a simple truth: </w:t>
      </w:r>
      <w:r w:rsidRPr="00901E26">
        <w:rPr>
          <w:rFonts w:eastAsiaTheme="majorEastAsia" w:cs="Arial"/>
          <w:color w:val="000000" w:themeColor="text1"/>
          <w:szCs w:val="22"/>
        </w:rPr>
        <w:t>addiction and poor mental health are not isolated personal struggles; they are deeply social issues, shaped by poverty, inequality, and systems that too often fail the people who need them most.</w:t>
      </w:r>
    </w:p>
    <w:p w14:paraId="0B69DC8E" w14:textId="77777777" w:rsidR="00007F2C" w:rsidRPr="00901E26" w:rsidRDefault="00007F2C" w:rsidP="00901E26">
      <w:pPr>
        <w:spacing w:line="360" w:lineRule="auto"/>
        <w:rPr>
          <w:rFonts w:cs="Arial"/>
          <w:color w:val="000000" w:themeColor="text1"/>
          <w:szCs w:val="22"/>
        </w:rPr>
      </w:pPr>
    </w:p>
    <w:p w14:paraId="773EF76E" w14:textId="77777777" w:rsidR="00007F2C" w:rsidRPr="00433871" w:rsidRDefault="00007F2C" w:rsidP="00433871">
      <w:pPr>
        <w:pStyle w:val="Heading1"/>
      </w:pPr>
      <w:bookmarkStart w:id="78" w:name="_Toc214836728"/>
      <w:r w:rsidRPr="00433871">
        <w:rPr>
          <w:rStyle w:val="Strong"/>
          <w:rFonts w:eastAsiaTheme="majorEastAsia"/>
          <w:b/>
          <w:bCs/>
        </w:rPr>
        <w:t>5.2 Summary of Key Findings</w:t>
      </w:r>
      <w:bookmarkEnd w:id="78"/>
    </w:p>
    <w:p w14:paraId="45A7363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thematic analysis from Chapter 4 produced a clear picture of how inequality shapes substance misuse and mental health outcomes in England.</w:t>
      </w:r>
    </w:p>
    <w:p w14:paraId="3AD829A9" w14:textId="77777777" w:rsidR="00007F2C" w:rsidRPr="00901E26" w:rsidRDefault="00007F2C" w:rsidP="00433871">
      <w:r w:rsidRPr="00901E26">
        <w:rPr>
          <w:rFonts w:eastAsiaTheme="majorEastAsia"/>
        </w:rPr>
        <w:t>5.2.1 Low-Income Status and Substance Misuse</w:t>
      </w:r>
    </w:p>
    <w:p w14:paraId="11C3030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People on lower incomes face </w:t>
      </w:r>
      <w:r w:rsidRPr="00901E26">
        <w:rPr>
          <w:rFonts w:eastAsiaTheme="majorEastAsia" w:cs="Arial"/>
          <w:color w:val="000000" w:themeColor="text1"/>
          <w:szCs w:val="22"/>
        </w:rPr>
        <w:t>much higher risks of substance misuse and drug-related death</w:t>
      </w:r>
      <w:r w:rsidRPr="00901E26">
        <w:rPr>
          <w:rFonts w:cs="Arial"/>
          <w:color w:val="000000" w:themeColor="text1"/>
          <w:szCs w:val="22"/>
        </w:rPr>
        <w:t> (ONS, 2023). Poverty drives stress, hopelessness, and social exclusion, all of which make substance use more likely. At the same time, addiction deepens economic instability, trapping people in a self-reinforcing cycle (Marmot, 2020; Black, 2021). Stable housing, employment, and community support emerge as protective factors, but these are precisely what deprived communities often lack.</w:t>
      </w:r>
    </w:p>
    <w:p w14:paraId="0157D3BA" w14:textId="77777777" w:rsidR="00007F2C" w:rsidRPr="00901E26" w:rsidRDefault="00007F2C" w:rsidP="00433871">
      <w:r w:rsidRPr="00901E26">
        <w:rPr>
          <w:rFonts w:eastAsiaTheme="majorEastAsia"/>
        </w:rPr>
        <w:t>5.2.2 Mental Health Disorders That Aren't Treated and Dual Diagnosis</w:t>
      </w:r>
    </w:p>
    <w:p w14:paraId="2162322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 significant discovery reveals that mental health and substance misuse frequently coexist</w:t>
      </w:r>
      <w:r w:rsidRPr="00901E26">
        <w:rPr>
          <w:rFonts w:eastAsiaTheme="majorEastAsia" w:cs="Arial"/>
          <w:b/>
          <w:bCs/>
          <w:color w:val="000000" w:themeColor="text1"/>
          <w:szCs w:val="22"/>
        </w:rPr>
        <w:t>.</w:t>
      </w:r>
      <w:r w:rsidRPr="00901E26">
        <w:rPr>
          <w:rFonts w:cs="Arial"/>
          <w:color w:val="000000" w:themeColor="text1"/>
          <w:szCs w:val="22"/>
        </w:rPr>
        <w:t xml:space="preserve"> Anxiety, depression, and trauma are widespread among people who use substances, and many turn to drugs or alcohol as coping mechanisms when professional help is unavailable (Mind, 2022; Molina &amp; Whittaker, 2022). Despite strong policy guidance </w:t>
      </w:r>
      <w:r w:rsidRPr="00901E26">
        <w:rPr>
          <w:rFonts w:cs="Arial"/>
          <w:color w:val="000000" w:themeColor="text1"/>
          <w:szCs w:val="22"/>
        </w:rPr>
        <w:lastRenderedPageBreak/>
        <w:t>(NICE, 2022), mental health and addiction services often operate in silos, leaving those with dual diagnoses unsupported.</w:t>
      </w:r>
    </w:p>
    <w:p w14:paraId="4F2BDD9C" w14:textId="77777777" w:rsidR="00007F2C" w:rsidRPr="00901E26" w:rsidRDefault="00007F2C" w:rsidP="00433871">
      <w:r w:rsidRPr="00901E26">
        <w:rPr>
          <w:rFonts w:eastAsiaTheme="majorEastAsia"/>
        </w:rPr>
        <w:t>5.2.3 Barriers to Access and Service Inequality</w:t>
      </w:r>
    </w:p>
    <w:p w14:paraId="60E1994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Many people can't gain access to services even when they are available. Poverty, stigma, transport expenses, and waiting times create invisible barriers that stop those most in need from getting help. This situation reflects the </w:t>
      </w:r>
      <w:r w:rsidRPr="00901E26">
        <w:rPr>
          <w:rFonts w:eastAsiaTheme="majorEastAsia" w:cs="Arial"/>
          <w:color w:val="000000" w:themeColor="text1"/>
          <w:szCs w:val="22"/>
        </w:rPr>
        <w:t>Inverse Care Law</w:t>
      </w:r>
      <w:r w:rsidRPr="00901E26">
        <w:rPr>
          <w:rFonts w:cs="Arial"/>
          <w:color w:val="000000" w:themeColor="text1"/>
          <w:szCs w:val="22"/>
        </w:rPr>
        <w:t> (Hart, 1971): people in the greatest need of healthcare often have the least access. Funding cuts and postcode inequalities mean that treatment quality still depends too heavily on where a person lives (PHE, 2021; NHS Digital, 2023).</w:t>
      </w:r>
    </w:p>
    <w:p w14:paraId="49C214A8" w14:textId="77777777" w:rsidR="00007F2C" w:rsidRPr="00901E26" w:rsidRDefault="00007F2C" w:rsidP="00433871">
      <w:r w:rsidRPr="00901E26">
        <w:rPr>
          <w:rFonts w:eastAsiaTheme="majorEastAsia"/>
        </w:rPr>
        <w:t>5.2.4 Policy, Legislation, and Public Health Frameworks</w:t>
      </w:r>
    </w:p>
    <w:p w14:paraId="359F3F08"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 awareness of these problems has grown. The </w:t>
      </w:r>
      <w:r w:rsidRPr="00901E26">
        <w:rPr>
          <w:rFonts w:eastAsiaTheme="majorEastAsia" w:cs="Arial"/>
          <w:color w:val="000000" w:themeColor="text1"/>
          <w:szCs w:val="22"/>
        </w:rPr>
        <w:t>Dame Carol Black Review (2021)</w:t>
      </w:r>
      <w:r w:rsidRPr="00901E26">
        <w:rPr>
          <w:rFonts w:cs="Arial"/>
          <w:color w:val="000000" w:themeColor="text1"/>
          <w:szCs w:val="22"/>
        </w:rPr>
        <w:t> and the </w:t>
      </w:r>
      <w:r w:rsidRPr="00901E26">
        <w:rPr>
          <w:rFonts w:eastAsiaTheme="majorEastAsia" w:cs="Arial"/>
          <w:color w:val="000000" w:themeColor="text1"/>
          <w:szCs w:val="22"/>
        </w:rPr>
        <w:t>UK Drug Strategy (2021)</w:t>
      </w:r>
      <w:r w:rsidRPr="00901E26">
        <w:rPr>
          <w:rFonts w:cs="Arial"/>
          <w:color w:val="000000" w:themeColor="text1"/>
          <w:szCs w:val="22"/>
        </w:rPr>
        <w:t> represent real steps forward, yet implementation and funding remain inconsistent. Policies often focus on enforcement rather than prevention. Without addressing the deeper social inequalities that drive addiction, the same cycles will continue (Marmot, 2020; WHO, 2022).</w:t>
      </w:r>
    </w:p>
    <w:p w14:paraId="3941F31E" w14:textId="77777777" w:rsidR="00007F2C" w:rsidRPr="00901E26" w:rsidRDefault="00007F2C" w:rsidP="00433871">
      <w:r w:rsidRPr="00901E26">
        <w:rPr>
          <w:rFonts w:eastAsiaTheme="majorEastAsia"/>
        </w:rPr>
        <w:t>5.2.5 The Impact of COVID-19 on Health Inequalities</w:t>
      </w:r>
    </w:p>
    <w:p w14:paraId="32189E3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COVID-19 magnified these issues. Lockdowns increased loneliness, unemployment, and housing insecurity, while access to support services declined. People already struggling with mental health or addiction suffered most (Pierce et al., 2020; Kwong et al., 2020). The pandemic didn’t create inequality; it exposed it.</w:t>
      </w:r>
    </w:p>
    <w:p w14:paraId="757B69EA" w14:textId="77777777" w:rsidR="00007F2C" w:rsidRPr="00901E26" w:rsidRDefault="00007F2C" w:rsidP="00901E26">
      <w:pPr>
        <w:spacing w:before="100" w:beforeAutospacing="1" w:after="100" w:afterAutospacing="1" w:line="360" w:lineRule="auto"/>
        <w:rPr>
          <w:rFonts w:cs="Arial"/>
          <w:color w:val="000000" w:themeColor="text1"/>
          <w:szCs w:val="22"/>
        </w:rPr>
      </w:pPr>
      <w:r w:rsidRPr="00433871">
        <w:rPr>
          <w:rFonts w:eastAsiaTheme="majorEastAsia"/>
        </w:rPr>
        <w:t>In summary:</w:t>
      </w:r>
      <w:r w:rsidRPr="00433871">
        <w:br/>
      </w:r>
      <w:r w:rsidRPr="00901E26">
        <w:rPr>
          <w:rFonts w:cs="Arial"/>
          <w:color w:val="000000" w:themeColor="text1"/>
          <w:szCs w:val="22"/>
        </w:rPr>
        <w:t>Substance misuse and untreated mental illness in England are symptoms of deeper social and economic problems. Without addressing these root causes, progress will remain limited.</w:t>
      </w:r>
    </w:p>
    <w:p w14:paraId="1A9B3B75" w14:textId="77777777" w:rsidR="00007F2C" w:rsidRPr="00901E26" w:rsidRDefault="00007F2C" w:rsidP="00901E26">
      <w:pPr>
        <w:spacing w:line="360" w:lineRule="auto"/>
        <w:rPr>
          <w:rFonts w:cs="Arial"/>
          <w:color w:val="000000" w:themeColor="text1"/>
          <w:szCs w:val="22"/>
        </w:rPr>
      </w:pPr>
    </w:p>
    <w:p w14:paraId="5044BE4F" w14:textId="77777777" w:rsidR="00007F2C" w:rsidRPr="00901E26" w:rsidRDefault="00007F2C" w:rsidP="00901E26">
      <w:pPr>
        <w:spacing w:line="360" w:lineRule="auto"/>
        <w:rPr>
          <w:rFonts w:cs="Arial"/>
          <w:color w:val="000000" w:themeColor="text1"/>
          <w:szCs w:val="22"/>
        </w:rPr>
      </w:pPr>
    </w:p>
    <w:p w14:paraId="7845CF7C" w14:textId="77777777" w:rsidR="00007F2C" w:rsidRPr="00901E26" w:rsidRDefault="00007F2C" w:rsidP="00901E26">
      <w:pPr>
        <w:spacing w:line="360" w:lineRule="auto"/>
        <w:rPr>
          <w:rFonts w:cs="Arial"/>
          <w:color w:val="000000" w:themeColor="text1"/>
          <w:szCs w:val="22"/>
        </w:rPr>
      </w:pPr>
    </w:p>
    <w:p w14:paraId="2935D2BE" w14:textId="77777777" w:rsidR="00007F2C" w:rsidRPr="00901E26" w:rsidRDefault="00007F2C" w:rsidP="00901E26">
      <w:pPr>
        <w:spacing w:line="360" w:lineRule="auto"/>
        <w:rPr>
          <w:rFonts w:cs="Arial"/>
          <w:color w:val="000000" w:themeColor="text1"/>
          <w:szCs w:val="22"/>
        </w:rPr>
      </w:pPr>
    </w:p>
    <w:p w14:paraId="10E27EE5" w14:textId="77777777" w:rsidR="00007F2C" w:rsidRPr="00901E26" w:rsidRDefault="00007F2C" w:rsidP="00901E26">
      <w:pPr>
        <w:spacing w:line="360" w:lineRule="auto"/>
        <w:rPr>
          <w:rFonts w:cs="Arial"/>
          <w:color w:val="000000" w:themeColor="text1"/>
          <w:szCs w:val="22"/>
        </w:rPr>
      </w:pPr>
    </w:p>
    <w:p w14:paraId="5C2ACFB0" w14:textId="19A95862" w:rsidR="00007F2C" w:rsidRDefault="00007F2C" w:rsidP="00901E26">
      <w:pPr>
        <w:spacing w:line="360" w:lineRule="auto"/>
        <w:rPr>
          <w:rFonts w:cs="Arial"/>
          <w:color w:val="000000" w:themeColor="text1"/>
          <w:szCs w:val="22"/>
        </w:rPr>
      </w:pPr>
    </w:p>
    <w:p w14:paraId="10B0601A" w14:textId="59637745" w:rsidR="00433871" w:rsidRDefault="00433871" w:rsidP="00901E26">
      <w:pPr>
        <w:spacing w:line="360" w:lineRule="auto"/>
        <w:rPr>
          <w:rFonts w:cs="Arial"/>
          <w:color w:val="000000" w:themeColor="text1"/>
          <w:szCs w:val="22"/>
        </w:rPr>
      </w:pPr>
    </w:p>
    <w:p w14:paraId="57E38A40" w14:textId="77777777" w:rsidR="00433871" w:rsidRPr="00901E26" w:rsidRDefault="00433871" w:rsidP="00901E26">
      <w:pPr>
        <w:spacing w:line="360" w:lineRule="auto"/>
        <w:rPr>
          <w:rFonts w:cs="Arial"/>
          <w:color w:val="000000" w:themeColor="text1"/>
          <w:szCs w:val="22"/>
        </w:rPr>
      </w:pPr>
    </w:p>
    <w:p w14:paraId="716E6B20" w14:textId="77777777" w:rsidR="00007F2C" w:rsidRPr="00433871" w:rsidRDefault="00007F2C" w:rsidP="00433871">
      <w:pPr>
        <w:pStyle w:val="Heading1"/>
      </w:pPr>
      <w:bookmarkStart w:id="79" w:name="_Toc214836729"/>
      <w:r w:rsidRPr="00433871">
        <w:rPr>
          <w:rStyle w:val="Strong"/>
          <w:rFonts w:eastAsiaTheme="majorEastAsia"/>
          <w:b/>
          <w:bCs/>
        </w:rPr>
        <w:lastRenderedPageBreak/>
        <w:t>5.3 Theoretical and Practical Implications</w:t>
      </w:r>
      <w:bookmarkEnd w:id="79"/>
    </w:p>
    <w:p w14:paraId="3410A2D0" w14:textId="77777777" w:rsidR="00007F2C" w:rsidRPr="00901E26" w:rsidRDefault="00007F2C" w:rsidP="00433871">
      <w:r w:rsidRPr="00901E26">
        <w:rPr>
          <w:rFonts w:eastAsiaTheme="majorEastAsia"/>
        </w:rPr>
        <w:t>5.3.1 Theoretical Implications</w:t>
      </w:r>
    </w:p>
    <w:p w14:paraId="7D42C686"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research reinforces several established theories. </w:t>
      </w:r>
      <w:r w:rsidRPr="00901E26">
        <w:rPr>
          <w:rFonts w:eastAsiaTheme="majorEastAsia" w:cs="Arial"/>
          <w:color w:val="000000" w:themeColor="text1"/>
          <w:szCs w:val="22"/>
        </w:rPr>
        <w:t>Marmot’s (2020)</w:t>
      </w:r>
      <w:r w:rsidRPr="00901E26">
        <w:rPr>
          <w:rFonts w:cs="Arial"/>
          <w:color w:val="000000" w:themeColor="text1"/>
          <w:szCs w:val="22"/>
        </w:rPr>
        <w:t> concept of the social gradient in health repeatedly shows that people with fewer resources experience worse outcomes in every measure of wellbeing. The </w:t>
      </w:r>
      <w:r w:rsidRPr="00901E26">
        <w:rPr>
          <w:rFonts w:eastAsiaTheme="majorEastAsia" w:cs="Arial"/>
          <w:color w:val="000000" w:themeColor="text1"/>
          <w:szCs w:val="22"/>
        </w:rPr>
        <w:t>biopsychosocial model (Engel, 1977)</w:t>
      </w:r>
      <w:r w:rsidRPr="00901E26">
        <w:rPr>
          <w:rFonts w:cs="Arial"/>
          <w:color w:val="000000" w:themeColor="text1"/>
          <w:szCs w:val="22"/>
        </w:rPr>
        <w:t> also proved relevant, illustrating how biological vulnerabilities, psychological stress, and social disadvantage combine to shape health. Finally, </w:t>
      </w:r>
      <w:r w:rsidRPr="00901E26">
        <w:rPr>
          <w:rFonts w:eastAsiaTheme="majorEastAsia" w:cs="Arial"/>
          <w:color w:val="000000" w:themeColor="text1"/>
          <w:szCs w:val="22"/>
        </w:rPr>
        <w:t>NICE’s (2022)</w:t>
      </w:r>
      <w:r w:rsidRPr="00901E26">
        <w:rPr>
          <w:rFonts w:cs="Arial"/>
          <w:color w:val="000000" w:themeColor="text1"/>
          <w:szCs w:val="22"/>
        </w:rPr>
        <w:t> dual diagnosis framework confirms that fragmented care is ineffective; coordinated, holistic support is essential.</w:t>
      </w:r>
    </w:p>
    <w:p w14:paraId="05C6EF08"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Together, these frameworks underline an important idea: </w:t>
      </w:r>
      <w:r w:rsidRPr="00901E26">
        <w:rPr>
          <w:rFonts w:eastAsiaTheme="majorEastAsia" w:cs="Arial"/>
          <w:color w:val="000000" w:themeColor="text1"/>
          <w:szCs w:val="22"/>
        </w:rPr>
        <w:t>addiction and mental illness are not moral failings; they are predictable responses to unequal social conditions.</w:t>
      </w:r>
    </w:p>
    <w:p w14:paraId="3BCCAC32" w14:textId="77777777" w:rsidR="00007F2C" w:rsidRPr="00901E26" w:rsidRDefault="00007F2C" w:rsidP="00433871">
      <w:r w:rsidRPr="00901E26">
        <w:rPr>
          <w:rFonts w:eastAsiaTheme="majorEastAsia"/>
        </w:rPr>
        <w:t>5.3.2 Practical Implications</w:t>
      </w:r>
    </w:p>
    <w:p w14:paraId="35F6CD09"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findings have strong practical relevance for public health. England’s system must move from </w:t>
      </w:r>
      <w:r w:rsidRPr="00901E26">
        <w:rPr>
          <w:rFonts w:eastAsiaTheme="majorEastAsia" w:cs="Arial"/>
          <w:color w:val="000000" w:themeColor="text1"/>
          <w:szCs w:val="22"/>
        </w:rPr>
        <w:t>reactive to preventive</w:t>
      </w:r>
      <w:r w:rsidRPr="00901E26">
        <w:rPr>
          <w:rFonts w:cs="Arial"/>
          <w:color w:val="000000" w:themeColor="text1"/>
          <w:szCs w:val="22"/>
        </w:rPr>
        <w:t>, focusing less on punishment and more on social protection. Economic inequality should be treated as a public health priority. Mental health and addiction teams need to work together more often, and they need to do so with the help of shared budgets and data-sharing systems.</w:t>
      </w:r>
    </w:p>
    <w:p w14:paraId="5824A81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In practice, this means redesigning services around people, not processes, and building empathy, cultural understanding, and trauma awareness into every stage of care (Molina &amp; Whittaker, 2022). These are not just policy aspirations; they are moral imperatives for a fairer and healthier society.</w:t>
      </w:r>
    </w:p>
    <w:p w14:paraId="115046D5" w14:textId="77777777" w:rsidR="00007F2C" w:rsidRPr="00901E26" w:rsidRDefault="00007F2C" w:rsidP="00901E26">
      <w:pPr>
        <w:spacing w:line="360" w:lineRule="auto"/>
        <w:rPr>
          <w:rFonts w:cs="Arial"/>
          <w:color w:val="000000" w:themeColor="text1"/>
          <w:szCs w:val="22"/>
        </w:rPr>
      </w:pPr>
    </w:p>
    <w:p w14:paraId="4FBA04C3" w14:textId="57247FF5" w:rsidR="00007F2C" w:rsidRDefault="00007F2C" w:rsidP="00901E26">
      <w:pPr>
        <w:spacing w:line="360" w:lineRule="auto"/>
        <w:rPr>
          <w:rFonts w:cs="Arial"/>
          <w:color w:val="000000" w:themeColor="text1"/>
          <w:szCs w:val="22"/>
        </w:rPr>
      </w:pPr>
    </w:p>
    <w:p w14:paraId="2E4DBE7C" w14:textId="779164C6" w:rsidR="00433871" w:rsidRDefault="00433871" w:rsidP="00901E26">
      <w:pPr>
        <w:spacing w:line="360" w:lineRule="auto"/>
        <w:rPr>
          <w:rFonts w:cs="Arial"/>
          <w:color w:val="000000" w:themeColor="text1"/>
          <w:szCs w:val="22"/>
        </w:rPr>
      </w:pPr>
    </w:p>
    <w:p w14:paraId="1FD3F5F2" w14:textId="4E225893" w:rsidR="00433871" w:rsidRDefault="00433871" w:rsidP="00901E26">
      <w:pPr>
        <w:spacing w:line="360" w:lineRule="auto"/>
        <w:rPr>
          <w:rFonts w:cs="Arial"/>
          <w:color w:val="000000" w:themeColor="text1"/>
          <w:szCs w:val="22"/>
        </w:rPr>
      </w:pPr>
    </w:p>
    <w:p w14:paraId="16ACD978" w14:textId="0C694B4C" w:rsidR="00433871" w:rsidRDefault="00433871" w:rsidP="00901E26">
      <w:pPr>
        <w:spacing w:line="360" w:lineRule="auto"/>
        <w:rPr>
          <w:rFonts w:cs="Arial"/>
          <w:color w:val="000000" w:themeColor="text1"/>
          <w:szCs w:val="22"/>
        </w:rPr>
      </w:pPr>
    </w:p>
    <w:p w14:paraId="3E7A4AC5" w14:textId="4D052C48" w:rsidR="00433871" w:rsidRDefault="00433871" w:rsidP="00901E26">
      <w:pPr>
        <w:spacing w:line="360" w:lineRule="auto"/>
        <w:rPr>
          <w:rFonts w:cs="Arial"/>
          <w:color w:val="000000" w:themeColor="text1"/>
          <w:szCs w:val="22"/>
        </w:rPr>
      </w:pPr>
    </w:p>
    <w:p w14:paraId="5A80997A" w14:textId="7F809B37" w:rsidR="00433871" w:rsidRDefault="00433871" w:rsidP="00901E26">
      <w:pPr>
        <w:spacing w:line="360" w:lineRule="auto"/>
        <w:rPr>
          <w:rFonts w:cs="Arial"/>
          <w:color w:val="000000" w:themeColor="text1"/>
          <w:szCs w:val="22"/>
        </w:rPr>
      </w:pPr>
    </w:p>
    <w:p w14:paraId="03CF8AB7" w14:textId="6D353C57" w:rsidR="00433871" w:rsidRDefault="00433871" w:rsidP="00901E26">
      <w:pPr>
        <w:spacing w:line="360" w:lineRule="auto"/>
        <w:rPr>
          <w:rFonts w:cs="Arial"/>
          <w:color w:val="000000" w:themeColor="text1"/>
          <w:szCs w:val="22"/>
        </w:rPr>
      </w:pPr>
    </w:p>
    <w:p w14:paraId="2E58C28D" w14:textId="42E86D6D" w:rsidR="00433871" w:rsidRDefault="00433871" w:rsidP="00901E26">
      <w:pPr>
        <w:spacing w:line="360" w:lineRule="auto"/>
        <w:rPr>
          <w:rFonts w:cs="Arial"/>
          <w:color w:val="000000" w:themeColor="text1"/>
          <w:szCs w:val="22"/>
        </w:rPr>
      </w:pPr>
    </w:p>
    <w:p w14:paraId="69BAB793" w14:textId="74B8F6BD" w:rsidR="00433871" w:rsidRDefault="00433871" w:rsidP="00901E26">
      <w:pPr>
        <w:spacing w:line="360" w:lineRule="auto"/>
        <w:rPr>
          <w:rFonts w:cs="Arial"/>
          <w:color w:val="000000" w:themeColor="text1"/>
          <w:szCs w:val="22"/>
        </w:rPr>
      </w:pPr>
    </w:p>
    <w:p w14:paraId="76DEB86D" w14:textId="5A42B35B" w:rsidR="00433871" w:rsidRDefault="00433871" w:rsidP="00901E26">
      <w:pPr>
        <w:spacing w:line="360" w:lineRule="auto"/>
        <w:rPr>
          <w:rFonts w:cs="Arial"/>
          <w:color w:val="000000" w:themeColor="text1"/>
          <w:szCs w:val="22"/>
        </w:rPr>
      </w:pPr>
    </w:p>
    <w:p w14:paraId="4BE784CC" w14:textId="77777777" w:rsidR="00433871" w:rsidRPr="00901E26" w:rsidRDefault="00433871" w:rsidP="00901E26">
      <w:pPr>
        <w:spacing w:line="360" w:lineRule="auto"/>
        <w:rPr>
          <w:rFonts w:cs="Arial"/>
          <w:color w:val="000000" w:themeColor="text1"/>
          <w:szCs w:val="22"/>
        </w:rPr>
      </w:pPr>
    </w:p>
    <w:p w14:paraId="2E558D33" w14:textId="77777777" w:rsidR="00007F2C" w:rsidRPr="00433871" w:rsidRDefault="00007F2C" w:rsidP="00433871">
      <w:pPr>
        <w:pStyle w:val="Heading1"/>
      </w:pPr>
      <w:bookmarkStart w:id="80" w:name="_Toc214836730"/>
      <w:r w:rsidRPr="00433871">
        <w:rPr>
          <w:rStyle w:val="Strong"/>
          <w:rFonts w:eastAsiaTheme="majorEastAsia"/>
          <w:b/>
          <w:bCs/>
        </w:rPr>
        <w:lastRenderedPageBreak/>
        <w:t>5.4 Recommendations</w:t>
      </w:r>
      <w:bookmarkEnd w:id="80"/>
    </w:p>
    <w:p w14:paraId="1AC075DC" w14:textId="18AD1BD0" w:rsidR="00007F2C" w:rsidRPr="00433871" w:rsidRDefault="00007F2C" w:rsidP="00901E26">
      <w:pPr>
        <w:spacing w:before="100" w:beforeAutospacing="1" w:after="100" w:afterAutospacing="1" w:line="360" w:lineRule="auto"/>
        <w:rPr>
          <w:rFonts w:eastAsiaTheme="majorEastAsia" w:cs="Arial"/>
          <w:color w:val="000000" w:themeColor="text1"/>
          <w:szCs w:val="22"/>
        </w:rPr>
      </w:pPr>
      <w:r w:rsidRPr="00901E26">
        <w:rPr>
          <w:rFonts w:cs="Arial"/>
          <w:color w:val="000000" w:themeColor="text1"/>
          <w:szCs w:val="22"/>
        </w:rPr>
        <w:t>Drawing from these findings, the following recommendations are divided into three levels: </w:t>
      </w:r>
      <w:r w:rsidRPr="00901E26">
        <w:rPr>
          <w:rFonts w:eastAsiaTheme="majorEastAsia" w:cs="Arial"/>
          <w:color w:val="000000" w:themeColor="text1"/>
          <w:szCs w:val="22"/>
        </w:rPr>
        <w:t>policy, service</w:t>
      </w:r>
      <w:r w:rsidRPr="00901E26">
        <w:rPr>
          <w:rFonts w:cs="Arial"/>
          <w:color w:val="000000" w:themeColor="text1"/>
          <w:szCs w:val="22"/>
        </w:rPr>
        <w:t>, and </w:t>
      </w:r>
      <w:r w:rsidRPr="00901E26">
        <w:rPr>
          <w:rFonts w:eastAsiaTheme="majorEastAsia" w:cs="Arial"/>
          <w:color w:val="000000" w:themeColor="text1"/>
          <w:szCs w:val="22"/>
        </w:rPr>
        <w:t>research.</w:t>
      </w:r>
    </w:p>
    <w:p w14:paraId="647628F3" w14:textId="77777777" w:rsidR="00007F2C" w:rsidRPr="00901E26" w:rsidRDefault="00007F2C" w:rsidP="00433871">
      <w:r w:rsidRPr="00901E26">
        <w:rPr>
          <w:rFonts w:eastAsiaTheme="majorEastAsia"/>
        </w:rPr>
        <w:t>5.4.1 Policy-Level Recommendations</w:t>
      </w:r>
    </w:p>
    <w:p w14:paraId="240DDCAD" w14:textId="77777777" w:rsidR="00007F2C" w:rsidRPr="00901E26" w:rsidRDefault="00007F2C" w:rsidP="00901E26">
      <w:pPr>
        <w:spacing w:before="100" w:beforeAutospacing="1" w:after="100" w:afterAutospacing="1" w:line="360" w:lineRule="auto"/>
        <w:rPr>
          <w:rFonts w:cs="Arial"/>
          <w:color w:val="000000" w:themeColor="text1"/>
          <w:szCs w:val="22"/>
        </w:rPr>
      </w:pPr>
      <w:r w:rsidRPr="00433871">
        <w:t xml:space="preserve">1. </w:t>
      </w:r>
      <w:r w:rsidRPr="00433871">
        <w:rPr>
          <w:rFonts w:eastAsiaTheme="majorEastAsia"/>
        </w:rPr>
        <w:t>Tackle Poverty as a Public Health Issue</w:t>
      </w:r>
      <w:r w:rsidRPr="00433871">
        <w:br/>
      </w:r>
      <w:r w:rsidRPr="00901E26">
        <w:rPr>
          <w:rFonts w:cs="Arial"/>
          <w:color w:val="000000" w:themeColor="text1"/>
          <w:szCs w:val="22"/>
        </w:rPr>
        <w:t>Poverty is the strongest predictor of substance misuse. Government policy must address wages, housing, and social security as health interventions (Marmot, 2020). Expanding access to affordable housing, childcare, and employment support would reduce stressors that contribute to addiction.</w:t>
      </w:r>
    </w:p>
    <w:p w14:paraId="42D7AFF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2. </w:t>
      </w:r>
      <w:r w:rsidRPr="00901E26">
        <w:rPr>
          <w:rFonts w:eastAsiaTheme="majorEastAsia" w:cs="Arial"/>
          <w:color w:val="000000" w:themeColor="text1"/>
          <w:szCs w:val="22"/>
        </w:rPr>
        <w:t>Create an Integrated National Strategy for Dual Diagnosis</w:t>
      </w:r>
      <w:r w:rsidRPr="00901E26">
        <w:rPr>
          <w:rFonts w:cs="Arial"/>
          <w:color w:val="000000" w:themeColor="text1"/>
          <w:szCs w:val="22"/>
        </w:rPr>
        <w:br/>
        <w:t>National leadership should ensure that mental health and substance misuse services operate under a unified strategy (NICE, 2022). Shared care plans and joint funding models between NHS trusts and local authorities could prevent people from falling through service gaps.</w:t>
      </w:r>
    </w:p>
    <w:p w14:paraId="6787604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3. </w:t>
      </w:r>
      <w:r w:rsidRPr="00901E26">
        <w:rPr>
          <w:rFonts w:eastAsiaTheme="majorEastAsia" w:cs="Arial"/>
          <w:color w:val="000000" w:themeColor="text1"/>
          <w:szCs w:val="22"/>
        </w:rPr>
        <w:t>Reform Drug Policy Toward Prevention and Harm Reduction</w:t>
      </w:r>
      <w:r w:rsidRPr="00901E26">
        <w:rPr>
          <w:rFonts w:cs="Arial"/>
          <w:color w:val="000000" w:themeColor="text1"/>
          <w:szCs w:val="22"/>
        </w:rPr>
        <w:br/>
        <w:t>Rebalance the UK Drug Strategy (2021) to prioritise prevention, harm reduction, and recovery over criminalisation. Research has demonstrated that community-based rehabilitation and social reintegration programmes effectively mitigate long-term harm (Black, 2021).</w:t>
      </w:r>
    </w:p>
    <w:p w14:paraId="4F84E4FF" w14:textId="0682AA01"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4. </w:t>
      </w:r>
      <w:r w:rsidRPr="00901E26">
        <w:rPr>
          <w:rFonts w:eastAsiaTheme="majorEastAsia" w:cs="Arial"/>
          <w:color w:val="000000" w:themeColor="text1"/>
          <w:szCs w:val="22"/>
        </w:rPr>
        <w:t>Invest in Post-Pandemic Recovery and Resilience</w:t>
      </w:r>
      <w:r w:rsidRPr="00901E26">
        <w:rPr>
          <w:rFonts w:cs="Arial"/>
          <w:color w:val="000000" w:themeColor="text1"/>
          <w:szCs w:val="22"/>
        </w:rPr>
        <w:br/>
        <w:t>The mental health crisis triggered by COVID-19 needs sustained investment. Policies should prioritise the most affected groups: low-income families, young adults, and minority communities (Pierce et al., 2020).</w:t>
      </w:r>
    </w:p>
    <w:p w14:paraId="5DC0AF9E" w14:textId="441E36A3" w:rsidR="000C2547" w:rsidRDefault="000C2547" w:rsidP="00901E26">
      <w:pPr>
        <w:spacing w:before="100" w:beforeAutospacing="1" w:after="100" w:afterAutospacing="1" w:line="360" w:lineRule="auto"/>
        <w:rPr>
          <w:rFonts w:cs="Arial"/>
          <w:color w:val="000000" w:themeColor="text1"/>
          <w:szCs w:val="22"/>
        </w:rPr>
      </w:pPr>
    </w:p>
    <w:p w14:paraId="5622D6D1" w14:textId="1197F455" w:rsidR="000C2547" w:rsidRDefault="000C2547" w:rsidP="00901E26">
      <w:pPr>
        <w:spacing w:before="100" w:beforeAutospacing="1" w:after="100" w:afterAutospacing="1" w:line="360" w:lineRule="auto"/>
        <w:rPr>
          <w:rFonts w:cs="Arial"/>
          <w:color w:val="000000" w:themeColor="text1"/>
          <w:szCs w:val="22"/>
        </w:rPr>
      </w:pPr>
    </w:p>
    <w:p w14:paraId="0D8523A5" w14:textId="47B51E59" w:rsidR="000C2547" w:rsidRDefault="000C2547" w:rsidP="00901E26">
      <w:pPr>
        <w:spacing w:before="100" w:beforeAutospacing="1" w:after="100" w:afterAutospacing="1" w:line="360" w:lineRule="auto"/>
        <w:rPr>
          <w:rFonts w:cs="Arial"/>
          <w:color w:val="000000" w:themeColor="text1"/>
          <w:szCs w:val="22"/>
        </w:rPr>
      </w:pPr>
    </w:p>
    <w:p w14:paraId="0A5A1906" w14:textId="3D7EA2BE" w:rsidR="000C2547" w:rsidRDefault="000C2547" w:rsidP="00901E26">
      <w:pPr>
        <w:spacing w:before="100" w:beforeAutospacing="1" w:after="100" w:afterAutospacing="1" w:line="360" w:lineRule="auto"/>
        <w:rPr>
          <w:rFonts w:cs="Arial"/>
          <w:color w:val="000000" w:themeColor="text1"/>
          <w:szCs w:val="22"/>
        </w:rPr>
      </w:pPr>
    </w:p>
    <w:p w14:paraId="3E362944" w14:textId="77777777" w:rsidR="000C2547" w:rsidRPr="00901E26" w:rsidRDefault="000C2547" w:rsidP="00901E26">
      <w:pPr>
        <w:spacing w:before="100" w:beforeAutospacing="1" w:after="100" w:afterAutospacing="1" w:line="360" w:lineRule="auto"/>
        <w:rPr>
          <w:rFonts w:cs="Arial"/>
          <w:color w:val="000000" w:themeColor="text1"/>
          <w:szCs w:val="22"/>
        </w:rPr>
      </w:pPr>
    </w:p>
    <w:p w14:paraId="3851F1BD" w14:textId="77777777" w:rsidR="00007F2C" w:rsidRPr="00433871" w:rsidRDefault="00007F2C" w:rsidP="00433871">
      <w:pPr>
        <w:rPr>
          <w:color w:val="000000" w:themeColor="text1"/>
        </w:rPr>
      </w:pPr>
      <w:r w:rsidRPr="00433871">
        <w:rPr>
          <w:rFonts w:eastAsiaTheme="majorEastAsia"/>
          <w:color w:val="000000" w:themeColor="text1"/>
        </w:rPr>
        <w:lastRenderedPageBreak/>
        <w:t>5.4.2 Service-Level Recommendations</w:t>
      </w:r>
    </w:p>
    <w:p w14:paraId="3AB3B71A" w14:textId="4555CCA5"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1. </w:t>
      </w:r>
      <w:r w:rsidRPr="00901E26">
        <w:rPr>
          <w:rFonts w:eastAsiaTheme="majorEastAsia" w:cs="Arial"/>
          <w:color w:val="000000" w:themeColor="text1"/>
          <w:szCs w:val="22"/>
        </w:rPr>
        <w:t>Expand Access to Community-Based Services</w:t>
      </w:r>
      <w:r w:rsidRPr="00901E26">
        <w:rPr>
          <w:rFonts w:cs="Arial"/>
          <w:b/>
          <w:bCs/>
          <w:color w:val="000000" w:themeColor="text1"/>
          <w:szCs w:val="22"/>
        </w:rPr>
        <w:br/>
      </w:r>
      <w:r w:rsidRPr="00901E26">
        <w:rPr>
          <w:rFonts w:cs="Arial"/>
          <w:color w:val="000000" w:themeColor="text1"/>
          <w:szCs w:val="22"/>
        </w:rPr>
        <w:t>Local treatment centres and outreach programmes should be strengthened, especially in deprived areas. Services must be low-threshold, flexible, and co-designed with community input.</w:t>
      </w:r>
    </w:p>
    <w:p w14:paraId="0798A871" w14:textId="77777777" w:rsidR="000C2547" w:rsidRPr="00901E26" w:rsidRDefault="000C2547" w:rsidP="00901E26">
      <w:pPr>
        <w:spacing w:before="100" w:beforeAutospacing="1" w:after="100" w:afterAutospacing="1" w:line="360" w:lineRule="auto"/>
        <w:rPr>
          <w:rFonts w:cs="Arial"/>
          <w:color w:val="000000" w:themeColor="text1"/>
          <w:szCs w:val="22"/>
        </w:rPr>
      </w:pPr>
    </w:p>
    <w:p w14:paraId="1B84395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2. </w:t>
      </w:r>
      <w:r w:rsidRPr="00901E26">
        <w:rPr>
          <w:rFonts w:eastAsiaTheme="majorEastAsia" w:cs="Arial"/>
          <w:color w:val="000000" w:themeColor="text1"/>
          <w:szCs w:val="22"/>
        </w:rPr>
        <w:t>Embed Trauma-Informed and Culturally Sensitive Care</w:t>
      </w:r>
      <w:r w:rsidRPr="00901E26">
        <w:rPr>
          <w:rFonts w:cs="Arial"/>
          <w:color w:val="000000" w:themeColor="text1"/>
          <w:szCs w:val="22"/>
        </w:rPr>
        <w:br/>
        <w:t>All staff should be trained to understand trauma and its impact on addiction (Molina &amp; Whittaker, 2022). Services must also reflect cultural diversity and be inclusive of minority and migrant groups.</w:t>
      </w:r>
    </w:p>
    <w:p w14:paraId="3A9775E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3. </w:t>
      </w:r>
      <w:r w:rsidRPr="00901E26">
        <w:rPr>
          <w:rFonts w:eastAsiaTheme="majorEastAsia" w:cs="Arial"/>
          <w:color w:val="000000" w:themeColor="text1"/>
          <w:szCs w:val="22"/>
        </w:rPr>
        <w:t>Reduce Stigma Through Education and Advocacy</w:t>
      </w:r>
      <w:r w:rsidRPr="00901E26">
        <w:rPr>
          <w:rFonts w:cs="Arial"/>
          <w:b/>
          <w:bCs/>
          <w:color w:val="000000" w:themeColor="text1"/>
          <w:szCs w:val="22"/>
        </w:rPr>
        <w:br/>
      </w:r>
      <w:r w:rsidRPr="00901E26">
        <w:rPr>
          <w:rFonts w:cs="Arial"/>
          <w:color w:val="000000" w:themeColor="text1"/>
          <w:szCs w:val="22"/>
        </w:rPr>
        <w:t>National campaigns can shift public perception, showing that addiction is a health condition, not a failure of willpower. Peer mentors and lived-experience advocates can play vital roles in service design and delivery (Mind, 2022).</w:t>
      </w:r>
    </w:p>
    <w:p w14:paraId="5F91D49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4. Support and maintain the workforce.</w:t>
      </w:r>
      <w:r w:rsidRPr="00901E26">
        <w:rPr>
          <w:rFonts w:cs="Arial"/>
          <w:color w:val="000000" w:themeColor="text1"/>
          <w:szCs w:val="22"/>
        </w:rPr>
        <w:br/>
        <w:t>Frontline workers need proper training, fair pay, and manageable caseloads. Integrated multidisciplinary teams should combine mental health, addiction, and social care expertise to offer holistic support.</w:t>
      </w:r>
    </w:p>
    <w:p w14:paraId="78965463" w14:textId="77777777" w:rsidR="00007F2C" w:rsidRPr="00901E26" w:rsidRDefault="00007F2C" w:rsidP="00901E26">
      <w:pPr>
        <w:spacing w:line="360" w:lineRule="auto"/>
        <w:rPr>
          <w:rFonts w:cs="Arial"/>
          <w:color w:val="000000" w:themeColor="text1"/>
          <w:szCs w:val="22"/>
        </w:rPr>
      </w:pPr>
    </w:p>
    <w:p w14:paraId="3A305380" w14:textId="1CAACAB8" w:rsidR="00007F2C" w:rsidRPr="006C0B1F" w:rsidRDefault="006C0B1F" w:rsidP="006C0B1F">
      <w:pPr>
        <w:rPr>
          <w:b/>
          <w:bCs/>
        </w:rPr>
      </w:pPr>
      <w:r w:rsidRPr="00433871">
        <w:rPr>
          <w:rFonts w:eastAsiaTheme="majorEastAsia"/>
          <w:color w:val="000000" w:themeColor="text1"/>
        </w:rPr>
        <w:t>5.4.</w:t>
      </w:r>
      <w:r>
        <w:rPr>
          <w:rFonts w:eastAsiaTheme="majorEastAsia"/>
          <w:color w:val="000000" w:themeColor="text1"/>
        </w:rPr>
        <w:t>3</w:t>
      </w:r>
      <w:r w:rsidRPr="00433871">
        <w:rPr>
          <w:rFonts w:eastAsiaTheme="majorEastAsia"/>
          <w:color w:val="000000" w:themeColor="text1"/>
        </w:rPr>
        <w:t xml:space="preserve"> </w:t>
      </w:r>
      <w:r w:rsidR="00007F2C" w:rsidRPr="006C0B1F">
        <w:rPr>
          <w:rStyle w:val="Strong"/>
          <w:rFonts w:cs="Arial"/>
          <w:b w:val="0"/>
          <w:bCs w:val="0"/>
          <w:color w:val="000000" w:themeColor="text1"/>
          <w:szCs w:val="22"/>
        </w:rPr>
        <w:t>Research-Level Recommendations</w:t>
      </w:r>
    </w:p>
    <w:p w14:paraId="6B0020F3" w14:textId="64129B4A" w:rsidR="00007F2C" w:rsidRPr="006C0B1F" w:rsidRDefault="00007F2C" w:rsidP="00303E61">
      <w:pPr>
        <w:pStyle w:val="NormalWeb"/>
        <w:numPr>
          <w:ilvl w:val="0"/>
          <w:numId w:val="20"/>
        </w:numPr>
        <w:spacing w:line="360" w:lineRule="auto"/>
        <w:rPr>
          <w:rFonts w:ascii="Arial" w:hAnsi="Arial" w:cs="Arial"/>
          <w:color w:val="000000" w:themeColor="text1"/>
          <w:szCs w:val="22"/>
        </w:rPr>
      </w:pPr>
      <w:r w:rsidRPr="006C0B1F">
        <w:rPr>
          <w:rFonts w:ascii="Arial" w:eastAsiaTheme="majorEastAsia" w:hAnsi="Arial" w:cs="Arial"/>
        </w:rPr>
        <w:t>Long-Term Studies on Inequality and Addiction</w:t>
      </w:r>
      <w:r w:rsidRPr="006C0B1F">
        <w:rPr>
          <w:rFonts w:ascii="Arial" w:hAnsi="Arial" w:cs="Arial"/>
          <w:b/>
          <w:bCs/>
          <w:color w:val="000000" w:themeColor="text1"/>
          <w:szCs w:val="22"/>
        </w:rPr>
        <w:br/>
      </w:r>
      <w:r w:rsidRPr="006C0B1F">
        <w:rPr>
          <w:rFonts w:ascii="Arial" w:hAnsi="Arial" w:cs="Arial"/>
          <w:color w:val="000000" w:themeColor="text1"/>
          <w:szCs w:val="22"/>
        </w:rPr>
        <w:t>Future research should explore how economic policies affect health outcomes over time, using longitudinal data to reveal causal patterns (Aveyard, 20</w:t>
      </w:r>
      <w:r w:rsidR="00433871" w:rsidRPr="006C0B1F">
        <w:rPr>
          <w:rFonts w:ascii="Arial" w:hAnsi="Arial" w:cs="Arial"/>
          <w:color w:val="000000" w:themeColor="text1"/>
          <w:szCs w:val="22"/>
        </w:rPr>
        <w:t>23</w:t>
      </w:r>
      <w:r w:rsidRPr="006C0B1F">
        <w:rPr>
          <w:rFonts w:ascii="Arial" w:hAnsi="Arial" w:cs="Arial"/>
          <w:color w:val="000000" w:themeColor="text1"/>
          <w:szCs w:val="22"/>
        </w:rPr>
        <w:t>).</w:t>
      </w:r>
    </w:p>
    <w:p w14:paraId="7EFD071B" w14:textId="77777777" w:rsidR="00007F2C" w:rsidRPr="006C0B1F" w:rsidRDefault="00007F2C" w:rsidP="00303E61">
      <w:pPr>
        <w:pStyle w:val="NormalWeb"/>
        <w:numPr>
          <w:ilvl w:val="0"/>
          <w:numId w:val="20"/>
        </w:numPr>
        <w:spacing w:line="360" w:lineRule="auto"/>
        <w:rPr>
          <w:rFonts w:ascii="Arial" w:hAnsi="Arial" w:cs="Arial"/>
          <w:color w:val="000000" w:themeColor="text1"/>
          <w:szCs w:val="22"/>
        </w:rPr>
      </w:pPr>
      <w:r w:rsidRPr="006C0B1F">
        <w:rPr>
          <w:rFonts w:ascii="Arial" w:eastAsiaTheme="majorEastAsia" w:hAnsi="Arial" w:cs="Arial"/>
        </w:rPr>
        <w:t>Evaluate Integrated Care Models</w:t>
      </w:r>
      <w:r w:rsidRPr="006C0B1F">
        <w:rPr>
          <w:rFonts w:ascii="Arial" w:hAnsi="Arial" w:cs="Arial"/>
          <w:color w:val="000000" w:themeColor="text1"/>
          <w:szCs w:val="22"/>
        </w:rPr>
        <w:br/>
        <w:t>Comparative studies should measure how joint service delivery improves outcomes for people with dual diagnoses (NICE, 2022).</w:t>
      </w:r>
    </w:p>
    <w:p w14:paraId="4C068853" w14:textId="77777777" w:rsidR="00007F2C" w:rsidRPr="006C0B1F" w:rsidRDefault="00007F2C" w:rsidP="00303E61">
      <w:pPr>
        <w:pStyle w:val="NormalWeb"/>
        <w:numPr>
          <w:ilvl w:val="0"/>
          <w:numId w:val="20"/>
        </w:numPr>
        <w:spacing w:line="360" w:lineRule="auto"/>
        <w:rPr>
          <w:rFonts w:ascii="Arial" w:hAnsi="Arial" w:cs="Arial"/>
          <w:color w:val="000000" w:themeColor="text1"/>
          <w:szCs w:val="22"/>
        </w:rPr>
      </w:pPr>
      <w:r w:rsidRPr="006C0B1F">
        <w:rPr>
          <w:rFonts w:ascii="Arial" w:eastAsiaTheme="majorEastAsia" w:hAnsi="Arial" w:cs="Arial"/>
        </w:rPr>
        <w:t>Investigate Regional and Demographic Variations</w:t>
      </w:r>
      <w:r w:rsidRPr="006C0B1F">
        <w:rPr>
          <w:rFonts w:ascii="Arial" w:hAnsi="Arial" w:cs="Arial"/>
          <w:color w:val="000000" w:themeColor="text1"/>
          <w:szCs w:val="22"/>
        </w:rPr>
        <w:br/>
        <w:t>More research is needed on gender, ethnicity, and regional inequalities in substance misuse. This will support equitable distribution of resources (ONS, 2023).</w:t>
      </w:r>
    </w:p>
    <w:p w14:paraId="432501C6" w14:textId="0E615D1F" w:rsidR="006C0B1F" w:rsidRPr="000C2547" w:rsidRDefault="00007F2C" w:rsidP="00303E61">
      <w:pPr>
        <w:pStyle w:val="NormalWeb"/>
        <w:numPr>
          <w:ilvl w:val="0"/>
          <w:numId w:val="20"/>
        </w:numPr>
        <w:spacing w:line="360" w:lineRule="auto"/>
        <w:rPr>
          <w:rFonts w:ascii="Arial" w:hAnsi="Arial" w:cs="Arial"/>
          <w:color w:val="000000" w:themeColor="text1"/>
          <w:szCs w:val="22"/>
        </w:rPr>
      </w:pPr>
      <w:r w:rsidRPr="006C0B1F">
        <w:rPr>
          <w:rFonts w:ascii="Arial" w:eastAsiaTheme="majorEastAsia" w:hAnsi="Arial" w:cs="Arial"/>
        </w:rPr>
        <w:t>Explore Digital Health Innovation</w:t>
      </w:r>
      <w:r w:rsidRPr="006C0B1F">
        <w:rPr>
          <w:rFonts w:ascii="Arial" w:hAnsi="Arial" w:cs="Arial"/>
          <w:b/>
          <w:bCs/>
          <w:color w:val="000000" w:themeColor="text1"/>
          <w:szCs w:val="22"/>
        </w:rPr>
        <w:br/>
      </w:r>
      <w:r w:rsidRPr="006C0B1F">
        <w:rPr>
          <w:rFonts w:ascii="Arial" w:hAnsi="Arial" w:cs="Arial"/>
          <w:color w:val="000000" w:themeColor="text1"/>
          <w:szCs w:val="22"/>
        </w:rPr>
        <w:t>Remote and online treatment models can improve access for those in rural or under-resourced areas, but digital exclusion must be addressed.</w:t>
      </w:r>
    </w:p>
    <w:p w14:paraId="7B9A88CE" w14:textId="77777777" w:rsidR="00007F2C" w:rsidRPr="006C0B1F" w:rsidRDefault="00007F2C" w:rsidP="006C0B1F">
      <w:pPr>
        <w:pStyle w:val="Heading1"/>
      </w:pPr>
      <w:bookmarkStart w:id="81" w:name="_Toc214836731"/>
      <w:r w:rsidRPr="006C0B1F">
        <w:rPr>
          <w:rStyle w:val="Strong"/>
          <w:rFonts w:eastAsiaTheme="majorEastAsia"/>
          <w:b/>
          <w:bCs/>
        </w:rPr>
        <w:lastRenderedPageBreak/>
        <w:t>5.5 Reflection on the Research Process</w:t>
      </w:r>
      <w:bookmarkEnd w:id="81"/>
    </w:p>
    <w:p w14:paraId="727F3906"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Carrying out this project has been both intellectually challenging and personally meaningful. By using a </w:t>
      </w:r>
      <w:r w:rsidRPr="00901E26">
        <w:rPr>
          <w:rFonts w:eastAsiaTheme="majorEastAsia" w:cs="Arial"/>
          <w:color w:val="000000" w:themeColor="text1"/>
          <w:szCs w:val="22"/>
        </w:rPr>
        <w:t>desk-based, literature-based approach</w:t>
      </w:r>
      <w:r w:rsidRPr="00901E26">
        <w:rPr>
          <w:rFonts w:cs="Arial"/>
          <w:color w:val="000000" w:themeColor="text1"/>
          <w:szCs w:val="22"/>
        </w:rPr>
        <w:t>, the study drew together a broad range of perspectives to understand a deeply complex social issue. Following </w:t>
      </w:r>
      <w:r w:rsidRPr="00901E26">
        <w:rPr>
          <w:rFonts w:eastAsiaTheme="majorEastAsia" w:cs="Arial"/>
          <w:color w:val="000000" w:themeColor="text1"/>
          <w:szCs w:val="22"/>
        </w:rPr>
        <w:t>Aveyard’s (2023)</w:t>
      </w:r>
      <w:r w:rsidRPr="00901E26">
        <w:rPr>
          <w:rFonts w:cs="Arial"/>
          <w:color w:val="000000" w:themeColor="text1"/>
          <w:szCs w:val="22"/>
        </w:rPr>
        <w:t> systematic review process ensured that every stage from search strategy to critical appraisal was transparent and replicable.</w:t>
      </w:r>
    </w:p>
    <w:p w14:paraId="15BB947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Using </w:t>
      </w:r>
      <w:r w:rsidRPr="00901E26">
        <w:rPr>
          <w:rFonts w:eastAsiaTheme="majorEastAsia" w:cs="Arial"/>
          <w:color w:val="000000" w:themeColor="text1"/>
          <w:szCs w:val="22"/>
        </w:rPr>
        <w:t>Braun and Clarke’s (2006)</w:t>
      </w:r>
      <w:r w:rsidRPr="00901E26">
        <w:rPr>
          <w:rFonts w:cs="Arial"/>
          <w:color w:val="000000" w:themeColor="text1"/>
          <w:szCs w:val="22"/>
        </w:rPr>
        <w:t> thematic analysis gave structure and depth to the interpretation of sources, while </w:t>
      </w:r>
      <w:r w:rsidRPr="00901E26">
        <w:rPr>
          <w:rFonts w:eastAsiaTheme="majorEastAsia" w:cs="Arial"/>
          <w:color w:val="000000" w:themeColor="text1"/>
          <w:szCs w:val="22"/>
        </w:rPr>
        <w:t>Cottrell’s (2017)</w:t>
      </w:r>
      <w:r w:rsidRPr="00901E26">
        <w:rPr>
          <w:rFonts w:cs="Arial"/>
          <w:color w:val="000000" w:themeColor="text1"/>
          <w:szCs w:val="22"/>
        </w:rPr>
        <w:t> guidance on critical thinking encouraged reflection and careful questioning of assumptions. These combined frameworks helped transform a large body of secondary data into a coherent, evidence-driven argument.</w:t>
      </w:r>
    </w:p>
    <w:p w14:paraId="583C5C3F"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Working with literature on addiction and poverty also required emotional sensitivity. Many studies reveal human suffering behind the statistics. Recognising these realities reminded me that behind every dataset are people, families, communities, and individuals who deserve compassion, as well as support. This awareness shaped how I interpreted findings and reinforced the importance of ethical, respectful research practice.</w:t>
      </w:r>
    </w:p>
    <w:p w14:paraId="1EABB8C0" w14:textId="77777777" w:rsidR="00007F2C" w:rsidRPr="00901E26" w:rsidRDefault="00007F2C" w:rsidP="00901E26">
      <w:pPr>
        <w:spacing w:line="360" w:lineRule="auto"/>
        <w:rPr>
          <w:rFonts w:cs="Arial"/>
          <w:color w:val="000000" w:themeColor="text1"/>
          <w:szCs w:val="22"/>
        </w:rPr>
      </w:pPr>
    </w:p>
    <w:p w14:paraId="3CDB6BC0" w14:textId="77777777" w:rsidR="00007F2C" w:rsidRPr="006C0B1F" w:rsidRDefault="00007F2C" w:rsidP="006C0B1F">
      <w:pPr>
        <w:pStyle w:val="Heading1"/>
      </w:pPr>
      <w:bookmarkStart w:id="82" w:name="_Toc214836732"/>
      <w:r w:rsidRPr="006C0B1F">
        <w:rPr>
          <w:rStyle w:val="Strong"/>
          <w:rFonts w:eastAsiaTheme="majorEastAsia"/>
          <w:b/>
          <w:bCs/>
        </w:rPr>
        <w:t>5.6 Study Limitations</w:t>
      </w:r>
      <w:bookmarkEnd w:id="82"/>
    </w:p>
    <w:p w14:paraId="48C181F6" w14:textId="77777777" w:rsidR="00007F2C" w:rsidRPr="00901E26" w:rsidRDefault="00007F2C"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While the study offers valuable insights, some limitations remain.</w:t>
      </w:r>
    </w:p>
    <w:p w14:paraId="42A392B5" w14:textId="77777777" w:rsidR="00007F2C" w:rsidRPr="00901E26" w:rsidRDefault="00007F2C" w:rsidP="00303E61">
      <w:pPr>
        <w:pStyle w:val="NormalWeb"/>
        <w:numPr>
          <w:ilvl w:val="0"/>
          <w:numId w:val="16"/>
        </w:numPr>
        <w:spacing w:line="360" w:lineRule="auto"/>
        <w:rPr>
          <w:rFonts w:ascii="Arial" w:hAnsi="Arial" w:cs="Arial"/>
          <w:color w:val="000000" w:themeColor="text1"/>
          <w:szCs w:val="22"/>
        </w:rPr>
      </w:pPr>
      <w:r w:rsidRPr="006C0B1F">
        <w:rPr>
          <w:rStyle w:val="Strong"/>
          <w:rFonts w:ascii="Arial" w:eastAsiaTheme="majorEastAsia" w:hAnsi="Arial" w:cs="Arial"/>
          <w:b w:val="0"/>
          <w:bCs w:val="0"/>
          <w:color w:val="000000" w:themeColor="text1"/>
          <w:szCs w:val="22"/>
        </w:rPr>
        <w:t>Dependence on Secondary Data:</w:t>
      </w:r>
      <w:r w:rsidRPr="006C0B1F">
        <w:rPr>
          <w:rStyle w:val="apple-converted-space"/>
          <w:rFonts w:ascii="Arial" w:hAnsi="Arial" w:cs="Arial"/>
          <w:b/>
          <w:bCs/>
          <w:color w:val="000000" w:themeColor="text1"/>
          <w:szCs w:val="22"/>
        </w:rPr>
        <w:t> </w:t>
      </w:r>
      <w:r w:rsidRPr="00901E26">
        <w:rPr>
          <w:rFonts w:ascii="Arial" w:hAnsi="Arial" w:cs="Arial"/>
          <w:color w:val="000000" w:themeColor="text1"/>
          <w:szCs w:val="22"/>
        </w:rPr>
        <w:t>Without primary data collection, individual voices could not be captured directly. Future research could involve interviews with service users to gain richer, lived perspectives.</w:t>
      </w:r>
    </w:p>
    <w:p w14:paraId="18400984" w14:textId="77777777" w:rsidR="00007F2C" w:rsidRPr="00901E26" w:rsidRDefault="00007F2C" w:rsidP="00303E61">
      <w:pPr>
        <w:pStyle w:val="NormalWeb"/>
        <w:numPr>
          <w:ilvl w:val="0"/>
          <w:numId w:val="16"/>
        </w:numPr>
        <w:spacing w:line="360" w:lineRule="auto"/>
        <w:rPr>
          <w:rFonts w:ascii="Arial" w:hAnsi="Arial" w:cs="Arial"/>
          <w:color w:val="000000" w:themeColor="text1"/>
          <w:szCs w:val="22"/>
        </w:rPr>
      </w:pPr>
      <w:r w:rsidRPr="006C0B1F">
        <w:rPr>
          <w:rStyle w:val="Strong"/>
          <w:rFonts w:ascii="Arial" w:eastAsiaTheme="majorEastAsia" w:hAnsi="Arial" w:cs="Arial"/>
          <w:b w:val="0"/>
          <w:bCs w:val="0"/>
          <w:color w:val="000000" w:themeColor="text1"/>
          <w:szCs w:val="22"/>
        </w:rPr>
        <w:t>Geographical Focus:</w:t>
      </w:r>
      <w:r w:rsidRPr="00901E26">
        <w:rPr>
          <w:rStyle w:val="apple-converted-space"/>
          <w:rFonts w:ascii="Arial" w:hAnsi="Arial" w:cs="Arial"/>
          <w:color w:val="000000" w:themeColor="text1"/>
          <w:szCs w:val="22"/>
        </w:rPr>
        <w:t> </w:t>
      </w:r>
      <w:r w:rsidRPr="00901E26">
        <w:rPr>
          <w:rFonts w:ascii="Arial" w:hAnsi="Arial" w:cs="Arial"/>
          <w:color w:val="000000" w:themeColor="text1"/>
          <w:szCs w:val="22"/>
        </w:rPr>
        <w:t>The study focused on England; results may differ in Scotland, Wales, or Northern Ireland due to variations in health policy.</w:t>
      </w:r>
    </w:p>
    <w:p w14:paraId="6BB9C5AC" w14:textId="77777777" w:rsidR="00007F2C" w:rsidRPr="00901E26" w:rsidRDefault="00007F2C" w:rsidP="00303E61">
      <w:pPr>
        <w:pStyle w:val="NormalWeb"/>
        <w:numPr>
          <w:ilvl w:val="0"/>
          <w:numId w:val="16"/>
        </w:numPr>
        <w:spacing w:line="360" w:lineRule="auto"/>
        <w:rPr>
          <w:rFonts w:ascii="Arial" w:hAnsi="Arial" w:cs="Arial"/>
          <w:color w:val="000000" w:themeColor="text1"/>
          <w:szCs w:val="22"/>
        </w:rPr>
      </w:pPr>
      <w:r w:rsidRPr="006C0B1F">
        <w:rPr>
          <w:rStyle w:val="Strong"/>
          <w:rFonts w:ascii="Arial" w:eastAsiaTheme="majorEastAsia" w:hAnsi="Arial" w:cs="Arial"/>
          <w:b w:val="0"/>
          <w:bCs w:val="0"/>
          <w:color w:val="000000" w:themeColor="text1"/>
          <w:szCs w:val="22"/>
        </w:rPr>
        <w:t>Inconsistent Data Quality:</w:t>
      </w:r>
      <w:r w:rsidRPr="00901E26">
        <w:rPr>
          <w:rStyle w:val="apple-converted-space"/>
          <w:rFonts w:ascii="Arial" w:hAnsi="Arial" w:cs="Arial"/>
          <w:color w:val="000000" w:themeColor="text1"/>
          <w:szCs w:val="22"/>
        </w:rPr>
        <w:t> </w:t>
      </w:r>
      <w:r w:rsidRPr="00901E26">
        <w:rPr>
          <w:rFonts w:ascii="Arial" w:hAnsi="Arial" w:cs="Arial"/>
          <w:color w:val="000000" w:themeColor="text1"/>
          <w:szCs w:val="22"/>
        </w:rPr>
        <w:t>Different studies used different definitions and measures, making direct comparison difficult.</w:t>
      </w:r>
    </w:p>
    <w:p w14:paraId="50E14494" w14:textId="77777777" w:rsidR="00007F2C" w:rsidRPr="00901E26" w:rsidRDefault="00007F2C" w:rsidP="00303E61">
      <w:pPr>
        <w:pStyle w:val="NormalWeb"/>
        <w:numPr>
          <w:ilvl w:val="0"/>
          <w:numId w:val="16"/>
        </w:numPr>
        <w:spacing w:line="360" w:lineRule="auto"/>
        <w:rPr>
          <w:rFonts w:ascii="Arial" w:hAnsi="Arial" w:cs="Arial"/>
          <w:color w:val="000000" w:themeColor="text1"/>
          <w:szCs w:val="22"/>
        </w:rPr>
      </w:pPr>
      <w:r w:rsidRPr="006C0B1F">
        <w:rPr>
          <w:rStyle w:val="Strong"/>
          <w:rFonts w:ascii="Arial" w:eastAsiaTheme="majorEastAsia" w:hAnsi="Arial" w:cs="Arial"/>
          <w:b w:val="0"/>
          <w:bCs w:val="0"/>
          <w:color w:val="000000" w:themeColor="text1"/>
          <w:szCs w:val="22"/>
        </w:rPr>
        <w:t>Time Constraints:</w:t>
      </w:r>
      <w:r w:rsidRPr="00901E26">
        <w:rPr>
          <w:rStyle w:val="apple-converted-space"/>
          <w:rFonts w:ascii="Arial" w:hAnsi="Arial" w:cs="Arial"/>
          <w:color w:val="000000" w:themeColor="text1"/>
          <w:szCs w:val="22"/>
        </w:rPr>
        <w:t> </w:t>
      </w:r>
      <w:r w:rsidRPr="00901E26">
        <w:rPr>
          <w:rFonts w:ascii="Arial" w:hAnsi="Arial" w:cs="Arial"/>
          <w:color w:val="000000" w:themeColor="text1"/>
          <w:szCs w:val="22"/>
        </w:rPr>
        <w:t>The 12-week timeframe limited the exploration of emerging areas such as gender-specific addiction or youth vulnerability.</w:t>
      </w:r>
    </w:p>
    <w:p w14:paraId="6D10CD96" w14:textId="7D9814A2" w:rsidR="00007F2C" w:rsidRDefault="00007F2C"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Despite these limits, the systematic design and transparent analysis enhance the study’s credibility and ensure its findings remain relevant for academic and policy audiences.</w:t>
      </w:r>
    </w:p>
    <w:p w14:paraId="4E5C971E" w14:textId="77777777" w:rsidR="006C0B1F" w:rsidRPr="00901E26" w:rsidRDefault="006C0B1F" w:rsidP="00901E26">
      <w:pPr>
        <w:pStyle w:val="NormalWeb"/>
        <w:spacing w:line="360" w:lineRule="auto"/>
        <w:rPr>
          <w:rFonts w:ascii="Arial" w:hAnsi="Arial" w:cs="Arial"/>
          <w:color w:val="000000" w:themeColor="text1"/>
          <w:szCs w:val="22"/>
        </w:rPr>
      </w:pPr>
    </w:p>
    <w:p w14:paraId="38ABDBF1" w14:textId="4C9027E8" w:rsidR="00007F2C" w:rsidRPr="006C0B1F" w:rsidRDefault="00007F2C" w:rsidP="006C0B1F">
      <w:pPr>
        <w:pStyle w:val="Heading1"/>
      </w:pPr>
      <w:bookmarkStart w:id="83" w:name="_Toc214836733"/>
      <w:r w:rsidRPr="006C0B1F">
        <w:rPr>
          <w:rStyle w:val="Strong"/>
          <w:rFonts w:eastAsiaTheme="majorEastAsia"/>
          <w:b/>
          <w:bCs/>
        </w:rPr>
        <w:lastRenderedPageBreak/>
        <w:t>5.7 Conclusion</w:t>
      </w:r>
      <w:bookmarkEnd w:id="83"/>
    </w:p>
    <w:p w14:paraId="34218E7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dissertation concludes that </w:t>
      </w:r>
      <w:r w:rsidRPr="00901E26">
        <w:rPr>
          <w:rFonts w:eastAsiaTheme="majorEastAsia" w:cs="Arial"/>
          <w:color w:val="000000" w:themeColor="text1"/>
          <w:szCs w:val="22"/>
        </w:rPr>
        <w:t>poverty and inequality are the strongest determinants of substance misuse and untreated mental health disorders in England.</w:t>
      </w:r>
      <w:r w:rsidRPr="00901E26">
        <w:rPr>
          <w:rFonts w:cs="Arial"/>
          <w:color w:val="000000" w:themeColor="text1"/>
          <w:szCs w:val="22"/>
        </w:rPr>
        <w:t> These are not personal weaknesses; they are predictable outcomes of social systems that leave people behind.</w:t>
      </w:r>
    </w:p>
    <w:p w14:paraId="0663EE09"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Breaking this cycle requires courage and compassion:</w:t>
      </w:r>
    </w:p>
    <w:p w14:paraId="42AF9195" w14:textId="77777777" w:rsidR="00007F2C" w:rsidRPr="00901E26" w:rsidRDefault="00007F2C" w:rsidP="00303E61">
      <w:pPr>
        <w:pStyle w:val="ListParagraph"/>
        <w:numPr>
          <w:ilvl w:val="0"/>
          <w:numId w:val="19"/>
        </w:numPr>
        <w:spacing w:before="100" w:beforeAutospacing="1" w:after="100" w:afterAutospacing="1" w:line="360" w:lineRule="auto"/>
        <w:rPr>
          <w:rFonts w:cs="Arial"/>
          <w:color w:val="000000" w:themeColor="text1"/>
          <w:szCs w:val="22"/>
        </w:rPr>
      </w:pPr>
      <w:r w:rsidRPr="00901E26">
        <w:rPr>
          <w:rFonts w:cs="Arial"/>
          <w:color w:val="000000" w:themeColor="text1"/>
          <w:szCs w:val="22"/>
        </w:rPr>
        <w:t>Recognising that poverty is a public health issue.</w:t>
      </w:r>
    </w:p>
    <w:p w14:paraId="6470D173" w14:textId="77777777" w:rsidR="00007F2C" w:rsidRPr="00901E26" w:rsidRDefault="00007F2C" w:rsidP="00303E61">
      <w:pPr>
        <w:pStyle w:val="ListParagraph"/>
        <w:numPr>
          <w:ilvl w:val="0"/>
          <w:numId w:val="19"/>
        </w:numPr>
        <w:spacing w:before="100" w:beforeAutospacing="1" w:after="100" w:afterAutospacing="1" w:line="360" w:lineRule="auto"/>
        <w:rPr>
          <w:rFonts w:cs="Arial"/>
          <w:color w:val="000000" w:themeColor="text1"/>
          <w:szCs w:val="22"/>
        </w:rPr>
      </w:pPr>
      <w:r w:rsidRPr="00901E26">
        <w:rPr>
          <w:rFonts w:cs="Arial"/>
          <w:color w:val="000000" w:themeColor="text1"/>
          <w:szCs w:val="22"/>
        </w:rPr>
        <w:t>Embedding trauma-informed, integrated care into every service.</w:t>
      </w:r>
    </w:p>
    <w:p w14:paraId="57201E30" w14:textId="77777777" w:rsidR="00007F2C" w:rsidRPr="00901E26" w:rsidRDefault="00007F2C" w:rsidP="00303E61">
      <w:pPr>
        <w:pStyle w:val="ListParagraph"/>
        <w:numPr>
          <w:ilvl w:val="0"/>
          <w:numId w:val="19"/>
        </w:numPr>
        <w:spacing w:before="100" w:beforeAutospacing="1" w:after="100" w:afterAutospacing="1" w:line="360" w:lineRule="auto"/>
        <w:rPr>
          <w:rFonts w:cs="Arial"/>
          <w:color w:val="000000" w:themeColor="text1"/>
          <w:szCs w:val="22"/>
        </w:rPr>
      </w:pPr>
      <w:r w:rsidRPr="00901E26">
        <w:rPr>
          <w:rFonts w:cs="Arial"/>
          <w:color w:val="000000" w:themeColor="text1"/>
          <w:szCs w:val="22"/>
        </w:rPr>
        <w:t>Invest in people and communities, not just programmes.</w:t>
      </w:r>
    </w:p>
    <w:p w14:paraId="0633097B"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evidence indicates that meaningful progress depends on collaboration between policymakers, healthcare providers, and the public. Echoing </w:t>
      </w:r>
      <w:r w:rsidRPr="00901E26">
        <w:rPr>
          <w:rFonts w:eastAsiaTheme="majorEastAsia" w:cs="Arial"/>
          <w:color w:val="000000" w:themeColor="text1"/>
          <w:szCs w:val="22"/>
        </w:rPr>
        <w:t>Marmot (2020)</w:t>
      </w:r>
      <w:r w:rsidRPr="00901E26">
        <w:rPr>
          <w:rFonts w:cs="Arial"/>
          <w:color w:val="000000" w:themeColor="text1"/>
          <w:szCs w:val="22"/>
        </w:rPr>
        <w:t> and </w:t>
      </w:r>
      <w:r w:rsidRPr="00901E26">
        <w:rPr>
          <w:rFonts w:eastAsiaTheme="majorEastAsia" w:cs="Arial"/>
          <w:color w:val="000000" w:themeColor="text1"/>
          <w:szCs w:val="22"/>
        </w:rPr>
        <w:t>Black (2021)</w:t>
      </w:r>
      <w:r w:rsidRPr="00901E26">
        <w:rPr>
          <w:rFonts w:cs="Arial"/>
          <w:color w:val="000000" w:themeColor="text1"/>
          <w:szCs w:val="22"/>
        </w:rPr>
        <w:t>, building a fairer society means ensuring that health equity is at the heart of every decision.</w:t>
      </w:r>
    </w:p>
    <w:p w14:paraId="6EFF78B1" w14:textId="77777777" w:rsidR="00007F2C" w:rsidRPr="00901E26" w:rsidRDefault="00007F2C" w:rsidP="00901E26">
      <w:pPr>
        <w:spacing w:before="100" w:beforeAutospacing="1" w:after="100" w:afterAutospacing="1" w:line="360" w:lineRule="auto"/>
        <w:rPr>
          <w:rFonts w:cs="Arial"/>
          <w:color w:val="000000" w:themeColor="text1"/>
          <w:szCs w:val="22"/>
        </w:rPr>
      </w:pPr>
      <w:r w:rsidRPr="006C0B1F">
        <w:rPr>
          <w:rFonts w:eastAsiaTheme="majorEastAsia" w:cs="Arial"/>
          <w:color w:val="000000" w:themeColor="text1"/>
          <w:szCs w:val="22"/>
        </w:rPr>
        <w:t>Final Reflection:</w:t>
      </w:r>
      <w:r w:rsidRPr="00901E26">
        <w:rPr>
          <w:rFonts w:cs="Arial"/>
          <w:color w:val="000000" w:themeColor="text1"/>
          <w:szCs w:val="22"/>
        </w:rPr>
        <w:br/>
        <w:t>This research began as an academic project, but it became a human story about resilience, injustice, and hope. The findings call not only for reform but for empathy: to see addiction and mental distress as conditions that thrive in inequality and to respond with fairness, inclusion, and understanding.</w:t>
      </w:r>
    </w:p>
    <w:p w14:paraId="59C6034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1C799B7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004E96DA" w14:textId="77777777" w:rsidR="00007F2C" w:rsidRPr="00901E26" w:rsidRDefault="00007F2C" w:rsidP="00901E26">
      <w:pPr>
        <w:spacing w:line="360" w:lineRule="auto"/>
        <w:rPr>
          <w:rFonts w:cs="Arial"/>
          <w:color w:val="000000" w:themeColor="text1"/>
          <w:szCs w:val="22"/>
        </w:rPr>
      </w:pPr>
    </w:p>
    <w:p w14:paraId="61FDE284" w14:textId="77777777" w:rsidR="00007F2C" w:rsidRPr="00901E26" w:rsidRDefault="00007F2C" w:rsidP="00901E26">
      <w:pPr>
        <w:spacing w:line="360" w:lineRule="auto"/>
        <w:rPr>
          <w:rFonts w:cs="Arial"/>
          <w:color w:val="000000" w:themeColor="text1"/>
          <w:szCs w:val="22"/>
        </w:rPr>
      </w:pPr>
    </w:p>
    <w:p w14:paraId="63E7BA12" w14:textId="77777777" w:rsidR="00007F2C" w:rsidRPr="00901E26" w:rsidRDefault="00007F2C" w:rsidP="00901E26">
      <w:pPr>
        <w:spacing w:line="360" w:lineRule="auto"/>
        <w:rPr>
          <w:rFonts w:cs="Arial"/>
          <w:color w:val="000000" w:themeColor="text1"/>
          <w:szCs w:val="22"/>
        </w:rPr>
      </w:pPr>
    </w:p>
    <w:p w14:paraId="4BDA1DC7" w14:textId="77777777" w:rsidR="00007F2C" w:rsidRPr="00901E26" w:rsidRDefault="00007F2C" w:rsidP="00901E26">
      <w:pPr>
        <w:spacing w:line="360" w:lineRule="auto"/>
        <w:rPr>
          <w:rFonts w:cs="Arial"/>
          <w:color w:val="000000" w:themeColor="text1"/>
          <w:szCs w:val="22"/>
        </w:rPr>
      </w:pPr>
    </w:p>
    <w:p w14:paraId="09B541F3" w14:textId="107DFD42" w:rsidR="00007F2C" w:rsidRDefault="00007F2C" w:rsidP="00901E26">
      <w:pPr>
        <w:spacing w:line="360" w:lineRule="auto"/>
        <w:rPr>
          <w:rFonts w:cs="Arial"/>
          <w:color w:val="000000" w:themeColor="text1"/>
          <w:szCs w:val="22"/>
        </w:rPr>
      </w:pPr>
    </w:p>
    <w:p w14:paraId="4C6984F3" w14:textId="5F9FDCD7" w:rsidR="003D23D0" w:rsidRDefault="003D23D0" w:rsidP="00901E26">
      <w:pPr>
        <w:spacing w:line="360" w:lineRule="auto"/>
        <w:rPr>
          <w:rFonts w:cs="Arial"/>
          <w:color w:val="000000" w:themeColor="text1"/>
          <w:szCs w:val="22"/>
        </w:rPr>
      </w:pPr>
    </w:p>
    <w:p w14:paraId="12E80A50" w14:textId="4F91B963" w:rsidR="003D23D0" w:rsidRDefault="003D23D0" w:rsidP="00901E26">
      <w:pPr>
        <w:spacing w:line="360" w:lineRule="auto"/>
        <w:rPr>
          <w:rFonts w:cs="Arial"/>
          <w:color w:val="000000" w:themeColor="text1"/>
          <w:szCs w:val="22"/>
        </w:rPr>
      </w:pPr>
    </w:p>
    <w:p w14:paraId="2481EEC5" w14:textId="7CCBB237" w:rsidR="003D23D0" w:rsidRDefault="003D23D0" w:rsidP="00901E26">
      <w:pPr>
        <w:spacing w:line="360" w:lineRule="auto"/>
        <w:rPr>
          <w:rFonts w:cs="Arial"/>
          <w:color w:val="000000" w:themeColor="text1"/>
          <w:szCs w:val="22"/>
        </w:rPr>
      </w:pPr>
    </w:p>
    <w:p w14:paraId="2D80DEBE" w14:textId="4B7355AC" w:rsidR="003D23D0" w:rsidRDefault="003D23D0" w:rsidP="00901E26">
      <w:pPr>
        <w:spacing w:line="360" w:lineRule="auto"/>
        <w:rPr>
          <w:rFonts w:cs="Arial"/>
          <w:color w:val="000000" w:themeColor="text1"/>
          <w:szCs w:val="22"/>
        </w:rPr>
      </w:pPr>
    </w:p>
    <w:p w14:paraId="22AA9448" w14:textId="32A8C22D" w:rsidR="003D23D0" w:rsidRDefault="003D23D0" w:rsidP="00901E26">
      <w:pPr>
        <w:spacing w:line="360" w:lineRule="auto"/>
        <w:rPr>
          <w:rFonts w:cs="Arial"/>
          <w:color w:val="000000" w:themeColor="text1"/>
          <w:szCs w:val="22"/>
        </w:rPr>
      </w:pPr>
    </w:p>
    <w:p w14:paraId="0F2E006F" w14:textId="77777777" w:rsidR="003D23D0" w:rsidRPr="00901E26" w:rsidRDefault="003D23D0" w:rsidP="00901E26">
      <w:pPr>
        <w:spacing w:line="360" w:lineRule="auto"/>
        <w:rPr>
          <w:rFonts w:cs="Arial"/>
          <w:color w:val="000000" w:themeColor="text1"/>
          <w:szCs w:val="22"/>
        </w:rPr>
      </w:pPr>
    </w:p>
    <w:p w14:paraId="74E84E35" w14:textId="21AFAF7B" w:rsidR="00334658" w:rsidRPr="00334658" w:rsidRDefault="00656CF3" w:rsidP="00334658">
      <w:pPr>
        <w:pStyle w:val="Heading1"/>
      </w:pPr>
      <w:bookmarkStart w:id="84" w:name="_Toc214836734"/>
      <w:r w:rsidRPr="00901E26">
        <w:lastRenderedPageBreak/>
        <w:t>References</w:t>
      </w:r>
      <w:bookmarkEnd w:id="84"/>
    </w:p>
    <w:p w14:paraId="0F0D2B23" w14:textId="77777777" w:rsidR="00334658" w:rsidRPr="003D23D0" w:rsidRDefault="00334658" w:rsidP="003D23D0">
      <w:pPr>
        <w:spacing w:after="240" w:line="360" w:lineRule="auto"/>
        <w:rPr>
          <w:rFonts w:cs="Arial"/>
          <w:color w:val="000000" w:themeColor="text1"/>
          <w:szCs w:val="22"/>
        </w:rPr>
      </w:pPr>
      <w:r w:rsidRPr="003D23D0">
        <w:rPr>
          <w:rFonts w:cs="Arial"/>
          <w:color w:val="000000" w:themeColor="text1"/>
          <w:szCs w:val="22"/>
        </w:rPr>
        <w:t>Aday, L.A. and Andersen, R. (</w:t>
      </w:r>
      <w:r>
        <w:rPr>
          <w:rFonts w:cs="Arial"/>
          <w:color w:val="000000" w:themeColor="text1"/>
          <w:szCs w:val="22"/>
        </w:rPr>
        <w:t>1974</w:t>
      </w:r>
      <w:r w:rsidRPr="003D23D0">
        <w:rPr>
          <w:rFonts w:cs="Arial"/>
          <w:color w:val="000000" w:themeColor="text1"/>
          <w:szCs w:val="22"/>
        </w:rPr>
        <w:t>). A Framework for the Study of Access to Medical Care. </w:t>
      </w:r>
      <w:r w:rsidRPr="003D23D0">
        <w:rPr>
          <w:rFonts w:cs="Arial"/>
          <w:i/>
          <w:iCs/>
          <w:color w:val="000000" w:themeColor="text1"/>
          <w:szCs w:val="22"/>
        </w:rPr>
        <w:t>Health Services Research</w:t>
      </w:r>
      <w:r w:rsidRPr="003D23D0">
        <w:rPr>
          <w:rFonts w:cs="Arial"/>
          <w:color w:val="000000" w:themeColor="text1"/>
          <w:szCs w:val="22"/>
        </w:rPr>
        <w:t>,</w:t>
      </w:r>
      <w:r>
        <w:rPr>
          <w:rFonts w:cs="Arial"/>
          <w:color w:val="000000" w:themeColor="text1"/>
          <w:szCs w:val="22"/>
        </w:rPr>
        <w:t xml:space="preserve"> </w:t>
      </w:r>
      <w:r w:rsidRPr="003D23D0">
        <w:rPr>
          <w:rFonts w:cs="Arial"/>
          <w:color w:val="000000" w:themeColor="text1"/>
          <w:szCs w:val="22"/>
        </w:rPr>
        <w:t xml:space="preserve">9(3), p.208. Available at: </w:t>
      </w:r>
      <w:hyperlink r:id="rId9" w:history="1">
        <w:r w:rsidRPr="003D23D0">
          <w:rPr>
            <w:rStyle w:val="Hyperlink"/>
            <w:rFonts w:cs="Arial"/>
            <w:color w:val="000000" w:themeColor="text1"/>
            <w:szCs w:val="22"/>
          </w:rPr>
          <w:t>https://pmc.ncbi.nlm.nih.gov/articles/PMC1071804/</w:t>
        </w:r>
      </w:hyperlink>
      <w:r w:rsidRPr="003D23D0">
        <w:rPr>
          <w:rFonts w:cs="Arial"/>
          <w:color w:val="000000" w:themeColor="text1"/>
          <w:szCs w:val="22"/>
        </w:rPr>
        <w:t xml:space="preserve">. </w:t>
      </w:r>
      <w:r w:rsidRPr="00935115">
        <w:rPr>
          <w:rFonts w:cs="Arial"/>
          <w:color w:val="000000" w:themeColor="text1"/>
          <w:szCs w:val="22"/>
        </w:rPr>
        <w:t>(Accessed: 20 June 2025).</w:t>
      </w:r>
    </w:p>
    <w:p w14:paraId="073C9624" w14:textId="77777777" w:rsidR="00334658" w:rsidRDefault="00334658" w:rsidP="003D23D0">
      <w:pPr>
        <w:spacing w:after="240" w:line="360" w:lineRule="auto"/>
        <w:rPr>
          <w:rFonts w:cs="Arial"/>
          <w:color w:val="000000"/>
          <w:szCs w:val="22"/>
        </w:rPr>
      </w:pPr>
      <w:r w:rsidRPr="003D23D0">
        <w:rPr>
          <w:rFonts w:cs="Arial"/>
          <w:color w:val="000000"/>
          <w:szCs w:val="22"/>
        </w:rPr>
        <w:t>Adler, N.E. and Newman, K. (2002). Socioeconomic Disparities In Health: Pathways And Policies. </w:t>
      </w:r>
      <w:r w:rsidRPr="003D23D0">
        <w:rPr>
          <w:rFonts w:cs="Arial"/>
          <w:i/>
          <w:iCs/>
          <w:color w:val="000000"/>
          <w:szCs w:val="22"/>
        </w:rPr>
        <w:t>Health Affairs</w:t>
      </w:r>
      <w:r w:rsidRPr="003D23D0">
        <w:rPr>
          <w:rFonts w:cs="Arial"/>
          <w:color w:val="000000"/>
          <w:szCs w:val="22"/>
        </w:rPr>
        <w:t>, [online] 21(2), pp.60–76.</w:t>
      </w:r>
      <w:r>
        <w:rPr>
          <w:rFonts w:cs="Arial"/>
          <w:color w:val="000000"/>
          <w:szCs w:val="22"/>
        </w:rPr>
        <w:t xml:space="preserve"> Available at:</w:t>
      </w:r>
      <w:r w:rsidRPr="003D23D0">
        <w:rPr>
          <w:rFonts w:cs="Arial"/>
          <w:color w:val="000000"/>
          <w:szCs w:val="22"/>
        </w:rPr>
        <w:t xml:space="preserve"> doi:https://doi.org/10.1377/hlthaff.21.2.60.</w:t>
      </w:r>
      <w:r>
        <w:rPr>
          <w:rFonts w:cs="Arial"/>
          <w:color w:val="000000"/>
          <w:szCs w:val="22"/>
        </w:rPr>
        <w:t xml:space="preserve"> </w:t>
      </w:r>
    </w:p>
    <w:p w14:paraId="3A588DF0" w14:textId="77777777" w:rsidR="00334658" w:rsidRPr="003D23D0" w:rsidRDefault="00334658" w:rsidP="003D23D0">
      <w:pPr>
        <w:spacing w:after="240" w:line="360" w:lineRule="auto"/>
        <w:rPr>
          <w:rFonts w:cs="Arial"/>
          <w:color w:val="000000"/>
          <w:szCs w:val="22"/>
        </w:rPr>
      </w:pPr>
      <w:r w:rsidRPr="00935115">
        <w:rPr>
          <w:rFonts w:cs="Arial"/>
          <w:color w:val="000000" w:themeColor="text1"/>
          <w:szCs w:val="22"/>
        </w:rPr>
        <w:t>Alcohol Change UK (2022) </w:t>
      </w:r>
      <w:r w:rsidRPr="00935115">
        <w:rPr>
          <w:rFonts w:cs="Arial"/>
          <w:i/>
          <w:iCs/>
          <w:color w:val="000000" w:themeColor="text1"/>
          <w:szCs w:val="22"/>
        </w:rPr>
        <w:t>Alcohol Statistics 2022.</w:t>
      </w:r>
      <w:r w:rsidRPr="00935115">
        <w:rPr>
          <w:rFonts w:cs="Arial"/>
          <w:color w:val="000000" w:themeColor="text1"/>
          <w:szCs w:val="22"/>
        </w:rPr>
        <w:t> Available at: </w:t>
      </w:r>
      <w:hyperlink r:id="rId10" w:history="1">
        <w:r w:rsidRPr="00935115">
          <w:rPr>
            <w:rStyle w:val="Hyperlink"/>
            <w:rFonts w:cs="Arial"/>
            <w:color w:val="000000" w:themeColor="text1"/>
            <w:szCs w:val="22"/>
          </w:rPr>
          <w:t>https://alcoholchange.org.uk/facts-faqs/facts</w:t>
        </w:r>
      </w:hyperlink>
      <w:r w:rsidRPr="003D23D0">
        <w:rPr>
          <w:rFonts w:cs="Arial"/>
          <w:color w:val="000000" w:themeColor="text1"/>
          <w:szCs w:val="22"/>
        </w:rPr>
        <w:t xml:space="preserve"> </w:t>
      </w:r>
      <w:r w:rsidRPr="00935115">
        <w:rPr>
          <w:rFonts w:cs="Arial"/>
          <w:color w:val="000000" w:themeColor="text1"/>
          <w:szCs w:val="22"/>
        </w:rPr>
        <w:t>(Accessed: 20 June 2025).</w:t>
      </w:r>
    </w:p>
    <w:p w14:paraId="724A0621" w14:textId="77777777" w:rsidR="00334658" w:rsidRPr="003D23D0" w:rsidRDefault="00334658" w:rsidP="003D23D0">
      <w:pPr>
        <w:spacing w:line="360" w:lineRule="auto"/>
        <w:rPr>
          <w:rFonts w:cs="Arial"/>
          <w:color w:val="000000" w:themeColor="text1"/>
          <w:szCs w:val="22"/>
          <w:shd w:val="clear" w:color="auto" w:fill="FFFFFF"/>
        </w:rPr>
      </w:pPr>
      <w:r w:rsidRPr="00543333">
        <w:rPr>
          <w:rFonts w:cs="Arial"/>
          <w:color w:val="000000" w:themeColor="text1"/>
          <w:szCs w:val="22"/>
          <w:shd w:val="clear" w:color="auto" w:fill="FFFFFF"/>
        </w:rPr>
        <w:t>Alexander, M. (2020) </w:t>
      </w:r>
      <w:r w:rsidRPr="00543333">
        <w:rPr>
          <w:rFonts w:cs="Arial"/>
          <w:i/>
          <w:iCs/>
          <w:color w:val="000000" w:themeColor="text1"/>
          <w:szCs w:val="22"/>
        </w:rPr>
        <w:t>The new Jim Crow : mass incarceration in the age of colorblindness /</w:t>
      </w:r>
      <w:r w:rsidRPr="00543333">
        <w:rPr>
          <w:rFonts w:cs="Arial"/>
          <w:color w:val="000000" w:themeColor="text1"/>
          <w:szCs w:val="22"/>
          <w:shd w:val="clear" w:color="auto" w:fill="FFFFFF"/>
        </w:rPr>
        <w:t xml:space="preserve">. New York : The New Press,. Available at: </w:t>
      </w:r>
      <w:hyperlink r:id="rId11" w:history="1">
        <w:r w:rsidRPr="00543333">
          <w:rPr>
            <w:rStyle w:val="Hyperlink"/>
            <w:rFonts w:cs="Arial"/>
            <w:color w:val="000000" w:themeColor="text1"/>
            <w:szCs w:val="22"/>
            <w:shd w:val="clear" w:color="auto" w:fill="FFFFFF"/>
          </w:rPr>
          <w:t>https://doi.org/10.2307/jj.26193249</w:t>
        </w:r>
      </w:hyperlink>
      <w:r w:rsidRPr="00543333">
        <w:rPr>
          <w:rFonts w:cs="Arial"/>
          <w:color w:val="000000" w:themeColor="text1"/>
          <w:szCs w:val="22"/>
          <w:shd w:val="clear" w:color="auto" w:fill="FFFFFF"/>
        </w:rPr>
        <w:t>.</w:t>
      </w:r>
    </w:p>
    <w:p w14:paraId="1CDA06F1"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br/>
        <w:t>American Psychiatric Association (APA), 2022. </w:t>
      </w:r>
      <w:r w:rsidRPr="003D23D0">
        <w:rPr>
          <w:rFonts w:cs="Arial"/>
          <w:i/>
          <w:iCs/>
          <w:color w:val="000000" w:themeColor="text1"/>
          <w:szCs w:val="22"/>
        </w:rPr>
        <w:t>Diagnostic and Statistical Manual of Mental Disorders (5th ed., Text Revision)</w:t>
      </w:r>
      <w:r w:rsidRPr="003D23D0">
        <w:rPr>
          <w:rFonts w:cs="Arial"/>
          <w:color w:val="000000" w:themeColor="text1"/>
          <w:szCs w:val="22"/>
        </w:rPr>
        <w:t>. Washington, DC: APA Publishing.</w:t>
      </w:r>
    </w:p>
    <w:p w14:paraId="73491534" w14:textId="77777777" w:rsidR="00334658" w:rsidRDefault="00334658" w:rsidP="003D23D0">
      <w:pPr>
        <w:spacing w:line="360" w:lineRule="auto"/>
        <w:rPr>
          <w:rFonts w:cs="Arial"/>
          <w:color w:val="000000" w:themeColor="text1"/>
          <w:szCs w:val="22"/>
          <w:shd w:val="clear" w:color="auto" w:fill="FFFFFF"/>
        </w:rPr>
      </w:pPr>
      <w:r w:rsidRPr="008B3B6B">
        <w:rPr>
          <w:rFonts w:cs="Arial"/>
          <w:color w:val="000000" w:themeColor="text1"/>
          <w:szCs w:val="22"/>
          <w:shd w:val="clear" w:color="auto" w:fill="FFFFFF"/>
        </w:rPr>
        <w:t>Aveyard, H. (2014) </w:t>
      </w:r>
      <w:r w:rsidRPr="008B3B6B">
        <w:rPr>
          <w:rFonts w:cs="Arial"/>
          <w:i/>
          <w:iCs/>
          <w:color w:val="000000" w:themeColor="text1"/>
          <w:szCs w:val="22"/>
        </w:rPr>
        <w:t>Doing a literature review in health and social care : a practical guide</w:t>
      </w:r>
      <w:r w:rsidRPr="008B3B6B">
        <w:rPr>
          <w:rFonts w:cs="Arial"/>
          <w:color w:val="000000" w:themeColor="text1"/>
          <w:szCs w:val="22"/>
          <w:shd w:val="clear" w:color="auto" w:fill="FFFFFF"/>
        </w:rPr>
        <w:t>. Third edition. Maidenhead, England: McGraw -Hill Education/Open University Press.</w:t>
      </w:r>
    </w:p>
    <w:p w14:paraId="55BF5AEF" w14:textId="77777777" w:rsidR="00334658" w:rsidRPr="003D23D0" w:rsidRDefault="00334658" w:rsidP="003D23D0">
      <w:pPr>
        <w:spacing w:after="240" w:line="360" w:lineRule="auto"/>
        <w:rPr>
          <w:rFonts w:cs="Arial"/>
          <w:color w:val="000000" w:themeColor="text1"/>
          <w:szCs w:val="22"/>
        </w:rPr>
      </w:pPr>
      <w:r w:rsidRPr="00152064">
        <w:rPr>
          <w:rFonts w:cs="Arial"/>
          <w:color w:val="000000" w:themeColor="text1"/>
          <w:szCs w:val="22"/>
        </w:rPr>
        <w:t>Aveyard, H. (2023). </w:t>
      </w:r>
      <w:r w:rsidRPr="00152064">
        <w:rPr>
          <w:rFonts w:cs="Arial"/>
          <w:i/>
          <w:iCs/>
          <w:color w:val="000000" w:themeColor="text1"/>
          <w:szCs w:val="22"/>
        </w:rPr>
        <w:t>Doing a Literature Review in Health and Social Care: A Practical Guide 5e</w:t>
      </w:r>
      <w:r w:rsidRPr="003D23D0">
        <w:rPr>
          <w:rFonts w:cs="Arial"/>
          <w:color w:val="000000" w:themeColor="text1"/>
          <w:szCs w:val="22"/>
        </w:rPr>
        <w:t xml:space="preserve">. </w:t>
      </w:r>
      <w:r w:rsidRPr="00152064">
        <w:rPr>
          <w:rFonts w:cs="Arial"/>
          <w:i/>
          <w:iCs/>
          <w:color w:val="000000" w:themeColor="text1"/>
          <w:szCs w:val="22"/>
        </w:rPr>
        <w:t>Google Books</w:t>
      </w:r>
      <w:r w:rsidRPr="00152064">
        <w:rPr>
          <w:rFonts w:cs="Arial"/>
          <w:color w:val="000000" w:themeColor="text1"/>
          <w:szCs w:val="22"/>
        </w:rPr>
        <w:t>. McGraw-Hill Education (UK). Available at:</w:t>
      </w:r>
      <w:r w:rsidRPr="003D23D0">
        <w:rPr>
          <w:rFonts w:cs="Arial"/>
          <w:color w:val="000000" w:themeColor="text1"/>
          <w:szCs w:val="22"/>
        </w:rPr>
        <w:t xml:space="preserve"> </w:t>
      </w:r>
      <w:hyperlink r:id="rId12" w:history="1">
        <w:r w:rsidRPr="00152064">
          <w:rPr>
            <w:rStyle w:val="Hyperlink"/>
            <w:rFonts w:cs="Arial"/>
            <w:color w:val="000000" w:themeColor="text1"/>
            <w:szCs w:val="22"/>
          </w:rPr>
          <w:t>https://books.google.co.uk/books?hl=en&amp;lr=&amp;id=65W1EAAAQBAJ&amp;oi=fnd&amp;pg=PR11&amp;dq=Aveyard</w:t>
        </w:r>
      </w:hyperlink>
      <w:r w:rsidRPr="003D23D0">
        <w:rPr>
          <w:rFonts w:cs="Arial"/>
          <w:color w:val="000000" w:themeColor="text1"/>
          <w:szCs w:val="22"/>
        </w:rPr>
        <w:t xml:space="preserve"> (</w:t>
      </w:r>
      <w:r w:rsidRPr="00152064">
        <w:rPr>
          <w:rFonts w:cs="Arial"/>
          <w:color w:val="000000" w:themeColor="text1"/>
          <w:szCs w:val="22"/>
        </w:rPr>
        <w:t>Accessed 12 Sep. 2025</w:t>
      </w:r>
      <w:r w:rsidRPr="003D23D0">
        <w:rPr>
          <w:rFonts w:cs="Arial"/>
          <w:color w:val="000000" w:themeColor="text1"/>
          <w:szCs w:val="22"/>
        </w:rPr>
        <w:t>)</w:t>
      </w:r>
      <w:r w:rsidRPr="00152064">
        <w:rPr>
          <w:rFonts w:cs="Arial"/>
          <w:color w:val="000000" w:themeColor="text1"/>
          <w:szCs w:val="22"/>
        </w:rPr>
        <w:t>.</w:t>
      </w:r>
    </w:p>
    <w:p w14:paraId="29106428"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Bambra, C., Lynch, J. &amp; Smith, K. E. (2020). </w:t>
      </w:r>
      <w:r w:rsidRPr="003D23D0">
        <w:rPr>
          <w:rFonts w:cs="Arial"/>
          <w:i/>
          <w:iCs/>
          <w:color w:val="000000" w:themeColor="text1"/>
          <w:szCs w:val="22"/>
        </w:rPr>
        <w:t>The Unequal Pandemic: COVID-19 and Health Inequalities.</w:t>
      </w:r>
      <w:r w:rsidRPr="003D23D0">
        <w:rPr>
          <w:rFonts w:cs="Arial"/>
          <w:color w:val="000000" w:themeColor="text1"/>
          <w:szCs w:val="22"/>
        </w:rPr>
        <w:t> Bristol: Policy Press.</w:t>
      </w:r>
      <w:r w:rsidRPr="003D23D0">
        <w:rPr>
          <w:rFonts w:cs="Arial"/>
          <w:color w:val="000000" w:themeColor="text1"/>
          <w:szCs w:val="22"/>
        </w:rPr>
        <w:br/>
        <w:t>Available at: </w:t>
      </w:r>
      <w:hyperlink r:id="rId13" w:tgtFrame="_new" w:history="1">
        <w:r w:rsidRPr="003D23D0">
          <w:rPr>
            <w:rFonts w:cs="Arial"/>
            <w:color w:val="000000" w:themeColor="text1"/>
            <w:szCs w:val="22"/>
            <w:u w:val="single"/>
          </w:rPr>
          <w:t>https://policy.bristoluniversitypress.co.uk/the-unequal-pandemic</w:t>
        </w:r>
      </w:hyperlink>
      <w:r w:rsidRPr="003D23D0">
        <w:rPr>
          <w:rFonts w:cs="Arial"/>
          <w:color w:val="000000" w:themeColor="text1"/>
          <w:szCs w:val="22"/>
        </w:rPr>
        <w:t> (</w:t>
      </w:r>
      <w:r w:rsidRPr="00152064">
        <w:rPr>
          <w:rFonts w:cs="Arial"/>
          <w:color w:val="000000" w:themeColor="text1"/>
          <w:szCs w:val="22"/>
        </w:rPr>
        <w:t>Accessed 12 Sep. 2025</w:t>
      </w:r>
      <w:r w:rsidRPr="003D23D0">
        <w:rPr>
          <w:rFonts w:cs="Arial"/>
          <w:color w:val="000000" w:themeColor="text1"/>
          <w:szCs w:val="22"/>
        </w:rPr>
        <w:t>)</w:t>
      </w:r>
      <w:r w:rsidRPr="00152064">
        <w:rPr>
          <w:rFonts w:cs="Arial"/>
          <w:color w:val="000000" w:themeColor="text1"/>
          <w:szCs w:val="22"/>
        </w:rPr>
        <w:t>.</w:t>
      </w:r>
    </w:p>
    <w:p w14:paraId="74DF2A7F" w14:textId="77777777" w:rsidR="00334658" w:rsidRPr="003D23D0" w:rsidRDefault="00334658" w:rsidP="003D23D0">
      <w:pPr>
        <w:spacing w:after="240" w:line="360" w:lineRule="auto"/>
        <w:rPr>
          <w:rFonts w:cs="Arial"/>
          <w:color w:val="000000" w:themeColor="text1"/>
          <w:szCs w:val="22"/>
        </w:rPr>
      </w:pPr>
      <w:r w:rsidRPr="003D23D0">
        <w:rPr>
          <w:rFonts w:cs="Arial"/>
          <w:color w:val="000000"/>
          <w:szCs w:val="22"/>
        </w:rPr>
        <w:t>Becker, H. (1963). </w:t>
      </w:r>
      <w:r w:rsidRPr="003D23D0">
        <w:rPr>
          <w:rFonts w:cs="Arial"/>
          <w:i/>
          <w:iCs/>
          <w:color w:val="000000"/>
          <w:szCs w:val="22"/>
        </w:rPr>
        <w:t>Outsiders: Studies In The Sociology Of Deviance</w:t>
      </w:r>
      <w:r w:rsidRPr="003D23D0">
        <w:rPr>
          <w:rFonts w:cs="Arial"/>
          <w:color w:val="000000"/>
          <w:szCs w:val="22"/>
        </w:rPr>
        <w:t xml:space="preserve">. New York: The Free </w:t>
      </w:r>
      <w:r w:rsidRPr="003D23D0">
        <w:rPr>
          <w:rFonts w:cs="Arial"/>
          <w:color w:val="000000" w:themeColor="text1"/>
          <w:szCs w:val="22"/>
        </w:rPr>
        <w:t xml:space="preserve">Press. Available at: </w:t>
      </w:r>
      <w:hyperlink r:id="rId14" w:history="1">
        <w:r w:rsidRPr="003D23D0">
          <w:rPr>
            <w:rStyle w:val="Hyperlink"/>
            <w:rFonts w:cs="Arial"/>
            <w:color w:val="000000" w:themeColor="text1"/>
            <w:szCs w:val="22"/>
          </w:rPr>
          <w:t>https://monoskop.org/images/2/2b/Becker_Howard_Outsiders_Studies_In_The_Sociogy_Of_Deviance_1963.pdf</w:t>
        </w:r>
      </w:hyperlink>
      <w:r w:rsidRPr="003D23D0">
        <w:rPr>
          <w:rFonts w:cs="Arial"/>
          <w:color w:val="000000" w:themeColor="text1"/>
          <w:szCs w:val="22"/>
        </w:rPr>
        <w:t>. (</w:t>
      </w:r>
      <w:r w:rsidRPr="00152064">
        <w:rPr>
          <w:rFonts w:cs="Arial"/>
          <w:color w:val="000000" w:themeColor="text1"/>
          <w:szCs w:val="22"/>
        </w:rPr>
        <w:t xml:space="preserve">Accessed </w:t>
      </w:r>
      <w:r w:rsidRPr="003D23D0">
        <w:rPr>
          <w:rFonts w:cs="Arial"/>
          <w:color w:val="000000" w:themeColor="text1"/>
          <w:szCs w:val="22"/>
        </w:rPr>
        <w:t>02</w:t>
      </w:r>
      <w:r w:rsidRPr="00152064">
        <w:rPr>
          <w:rFonts w:cs="Arial"/>
          <w:color w:val="000000" w:themeColor="text1"/>
          <w:szCs w:val="22"/>
        </w:rPr>
        <w:t xml:space="preserve"> Sep. 2025</w:t>
      </w:r>
      <w:r w:rsidRPr="003D23D0">
        <w:rPr>
          <w:rFonts w:cs="Arial"/>
          <w:color w:val="000000" w:themeColor="text1"/>
          <w:szCs w:val="22"/>
        </w:rPr>
        <w:t>)</w:t>
      </w:r>
      <w:r w:rsidRPr="00152064">
        <w:rPr>
          <w:rFonts w:cs="Arial"/>
          <w:color w:val="000000" w:themeColor="text1"/>
          <w:szCs w:val="22"/>
        </w:rPr>
        <w:t>.</w:t>
      </w:r>
    </w:p>
    <w:p w14:paraId="306E2D6B"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 xml:space="preserve">Berridge, V. (2013). </w:t>
      </w:r>
      <w:r w:rsidRPr="003D23D0">
        <w:rPr>
          <w:rFonts w:cs="Arial"/>
          <w:i/>
          <w:iCs/>
          <w:color w:val="000000" w:themeColor="text1"/>
          <w:szCs w:val="22"/>
        </w:rPr>
        <w:t>Demons: Our Changing Attitudes to Alcohol</w:t>
      </w:r>
      <w:r w:rsidRPr="003D23D0">
        <w:rPr>
          <w:rFonts w:cs="Arial"/>
          <w:color w:val="000000" w:themeColor="text1"/>
          <w:szCs w:val="22"/>
        </w:rPr>
        <w:t xml:space="preserve">, Tobacco, and Drugs. Oxford: Oxford University Press. doi:10.1093/acprof:oso/9780199604982.001.0001. Available at: </w:t>
      </w:r>
      <w:hyperlink r:id="rId15" w:history="1">
        <w:r w:rsidRPr="003D23D0">
          <w:rPr>
            <w:rStyle w:val="Hyperlink"/>
            <w:rFonts w:cs="Arial"/>
            <w:color w:val="000000" w:themeColor="text1"/>
            <w:szCs w:val="22"/>
          </w:rPr>
          <w:t>https://academic.oup.com/book/9780199604982</w:t>
        </w:r>
      </w:hyperlink>
      <w:r w:rsidRPr="003D23D0">
        <w:rPr>
          <w:rFonts w:cs="Arial"/>
          <w:color w:val="000000" w:themeColor="text1"/>
          <w:szCs w:val="22"/>
        </w:rPr>
        <w:t xml:space="preserve"> (Accessed: 6 Aug. 2025).</w:t>
      </w:r>
    </w:p>
    <w:p w14:paraId="0DD12F47" w14:textId="77777777" w:rsidR="00334658" w:rsidRPr="00677A5C" w:rsidRDefault="00334658" w:rsidP="003D23D0">
      <w:pPr>
        <w:spacing w:after="240" w:line="360" w:lineRule="auto"/>
        <w:rPr>
          <w:rFonts w:cs="Arial"/>
          <w:color w:val="000000" w:themeColor="text1"/>
          <w:szCs w:val="22"/>
        </w:rPr>
      </w:pPr>
      <w:r w:rsidRPr="00677A5C">
        <w:rPr>
          <w:rFonts w:cs="Arial"/>
          <w:color w:val="000000" w:themeColor="text1"/>
          <w:szCs w:val="22"/>
        </w:rPr>
        <w:t>Black, D.C. (2021). </w:t>
      </w:r>
      <w:r w:rsidRPr="00677A5C">
        <w:rPr>
          <w:rFonts w:cs="Arial"/>
          <w:i/>
          <w:iCs/>
          <w:color w:val="000000" w:themeColor="text1"/>
          <w:szCs w:val="22"/>
        </w:rPr>
        <w:t>Dame Carol Black’s Independent Review of Drugs Review of drugs part two: prevention, treatment and recovery: annexes Dame Carol Black</w:t>
      </w:r>
      <w:r w:rsidRPr="00677A5C">
        <w:rPr>
          <w:rFonts w:cs="Arial"/>
          <w:color w:val="000000" w:themeColor="text1"/>
          <w:szCs w:val="22"/>
        </w:rPr>
        <w:t>.</w:t>
      </w:r>
      <w:r w:rsidRPr="003D23D0">
        <w:rPr>
          <w:rFonts w:cs="Arial"/>
          <w:color w:val="000000" w:themeColor="text1"/>
          <w:szCs w:val="22"/>
        </w:rPr>
        <w:t xml:space="preserve"> </w:t>
      </w:r>
      <w:r w:rsidRPr="00677A5C">
        <w:rPr>
          <w:rFonts w:cs="Arial"/>
          <w:color w:val="000000" w:themeColor="text1"/>
          <w:szCs w:val="22"/>
        </w:rPr>
        <w:t xml:space="preserve">Available at: </w:t>
      </w:r>
      <w:hyperlink r:id="rId16" w:history="1">
        <w:r w:rsidRPr="00677A5C">
          <w:rPr>
            <w:rStyle w:val="Hyperlink"/>
            <w:rFonts w:cs="Arial"/>
            <w:color w:val="000000" w:themeColor="text1"/>
            <w:szCs w:val="22"/>
          </w:rPr>
          <w:t>https://assets.publishing.service.gov.uk/media/60eef5588fa8f50c768386fd/independent-review-of-drugs-part-2-annexes.pdf</w:t>
        </w:r>
      </w:hyperlink>
      <w:r w:rsidRPr="00677A5C">
        <w:rPr>
          <w:rFonts w:cs="Arial"/>
          <w:color w:val="000000" w:themeColor="text1"/>
          <w:szCs w:val="22"/>
        </w:rPr>
        <w:t>.</w:t>
      </w:r>
      <w:r w:rsidRPr="003D23D0">
        <w:rPr>
          <w:rFonts w:cs="Arial"/>
          <w:color w:val="000000" w:themeColor="text1"/>
          <w:szCs w:val="22"/>
        </w:rPr>
        <w:t xml:space="preserve"> (</w:t>
      </w:r>
      <w:r w:rsidRPr="001D1EB8">
        <w:rPr>
          <w:rFonts w:cs="Arial"/>
          <w:color w:val="000000" w:themeColor="text1"/>
          <w:szCs w:val="22"/>
        </w:rPr>
        <w:t xml:space="preserve">Accessed: 6 </w:t>
      </w:r>
      <w:r w:rsidRPr="003D23D0">
        <w:rPr>
          <w:rFonts w:cs="Arial"/>
          <w:color w:val="000000" w:themeColor="text1"/>
          <w:szCs w:val="22"/>
        </w:rPr>
        <w:t>Sep</w:t>
      </w:r>
      <w:r w:rsidRPr="001D1EB8">
        <w:rPr>
          <w:rFonts w:cs="Arial"/>
          <w:color w:val="000000" w:themeColor="text1"/>
          <w:szCs w:val="22"/>
        </w:rPr>
        <w:t>. 2025</w:t>
      </w:r>
      <w:r w:rsidRPr="003D23D0">
        <w:rPr>
          <w:rFonts w:cs="Arial"/>
          <w:color w:val="000000" w:themeColor="text1"/>
          <w:szCs w:val="22"/>
        </w:rPr>
        <w:t>)</w:t>
      </w:r>
      <w:r w:rsidRPr="001D1EB8">
        <w:rPr>
          <w:rFonts w:cs="Arial"/>
          <w:color w:val="000000" w:themeColor="text1"/>
          <w:szCs w:val="22"/>
        </w:rPr>
        <w:t>.</w:t>
      </w:r>
    </w:p>
    <w:p w14:paraId="2D0F5C42" w14:textId="77777777" w:rsidR="00334658" w:rsidRPr="003D23D0" w:rsidRDefault="00334658" w:rsidP="003D23D0">
      <w:pPr>
        <w:spacing w:before="100" w:beforeAutospacing="1" w:after="100" w:afterAutospacing="1" w:line="360" w:lineRule="auto"/>
        <w:rPr>
          <w:rFonts w:cs="Arial"/>
          <w:color w:val="000000" w:themeColor="text1"/>
          <w:szCs w:val="22"/>
        </w:rPr>
      </w:pPr>
      <w:r w:rsidRPr="001D1EB8">
        <w:rPr>
          <w:rFonts w:cs="Arial"/>
          <w:color w:val="000000" w:themeColor="text1"/>
          <w:szCs w:val="22"/>
        </w:rPr>
        <w:t>Blakeslee, S.</w:t>
      </w:r>
      <w:r w:rsidRPr="003D23D0">
        <w:rPr>
          <w:rFonts w:cs="Arial"/>
          <w:color w:val="000000" w:themeColor="text1"/>
          <w:szCs w:val="22"/>
        </w:rPr>
        <w:t xml:space="preserve"> (</w:t>
      </w:r>
      <w:r w:rsidRPr="001D1EB8">
        <w:rPr>
          <w:rFonts w:cs="Arial"/>
          <w:color w:val="000000" w:themeColor="text1"/>
          <w:szCs w:val="22"/>
        </w:rPr>
        <w:t>2004</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The CRAAP Test: Evaluating Sources for Credibility.</w:t>
      </w:r>
      <w:r w:rsidRPr="001D1EB8">
        <w:rPr>
          <w:rFonts w:cs="Arial"/>
          <w:color w:val="000000" w:themeColor="text1"/>
          <w:szCs w:val="22"/>
        </w:rPr>
        <w:t> California State University, Chico. Available at: </w:t>
      </w:r>
      <w:hyperlink r:id="rId17" w:tgtFrame="_new" w:history="1">
        <w:r w:rsidRPr="001D1EB8">
          <w:rPr>
            <w:rFonts w:cs="Arial"/>
            <w:color w:val="000000" w:themeColor="text1"/>
            <w:szCs w:val="22"/>
            <w:u w:val="single"/>
          </w:rPr>
          <w:t>https://library.csuchico.edu/sites/default/files/craap-test.pdf</w:t>
        </w:r>
      </w:hyperlink>
      <w:r w:rsidRPr="001D1EB8">
        <w:rPr>
          <w:rFonts w:cs="Arial"/>
          <w:color w:val="000000" w:themeColor="text1"/>
          <w:szCs w:val="22"/>
        </w:rPr>
        <w:t> </w:t>
      </w:r>
      <w:r w:rsidRPr="003D23D0">
        <w:rPr>
          <w:rFonts w:cs="Arial"/>
          <w:color w:val="000000" w:themeColor="text1"/>
          <w:szCs w:val="22"/>
        </w:rPr>
        <w:t>(</w:t>
      </w:r>
      <w:r w:rsidRPr="001D1EB8">
        <w:rPr>
          <w:rFonts w:cs="Arial"/>
          <w:color w:val="000000" w:themeColor="text1"/>
          <w:szCs w:val="22"/>
        </w:rPr>
        <w:t xml:space="preserve">Accessed: 6 </w:t>
      </w:r>
      <w:r w:rsidRPr="003D23D0">
        <w:rPr>
          <w:rFonts w:cs="Arial"/>
          <w:color w:val="000000" w:themeColor="text1"/>
          <w:szCs w:val="22"/>
        </w:rPr>
        <w:t>Sep</w:t>
      </w:r>
      <w:r w:rsidRPr="001D1EB8">
        <w:rPr>
          <w:rFonts w:cs="Arial"/>
          <w:color w:val="000000" w:themeColor="text1"/>
          <w:szCs w:val="22"/>
        </w:rPr>
        <w:t>. 2025</w:t>
      </w:r>
      <w:r w:rsidRPr="003D23D0">
        <w:rPr>
          <w:rFonts w:cs="Arial"/>
          <w:color w:val="000000" w:themeColor="text1"/>
          <w:szCs w:val="22"/>
        </w:rPr>
        <w:t>)</w:t>
      </w:r>
      <w:r w:rsidRPr="001D1EB8">
        <w:rPr>
          <w:rFonts w:cs="Arial"/>
          <w:color w:val="000000" w:themeColor="text1"/>
          <w:szCs w:val="22"/>
        </w:rPr>
        <w:t>.</w:t>
      </w:r>
    </w:p>
    <w:p w14:paraId="2D6F947F" w14:textId="6BEBCD0F" w:rsidR="00334658" w:rsidRPr="003D23D0" w:rsidRDefault="00334658" w:rsidP="00334658">
      <w:pPr>
        <w:spacing w:line="360" w:lineRule="auto"/>
        <w:rPr>
          <w:rFonts w:cs="Arial"/>
          <w:color w:val="000000" w:themeColor="text1"/>
          <w:szCs w:val="22"/>
        </w:rPr>
      </w:pPr>
      <w:r w:rsidRPr="003D23D0">
        <w:rPr>
          <w:rFonts w:cs="Arial"/>
          <w:color w:val="000000" w:themeColor="text1"/>
          <w:szCs w:val="22"/>
          <w:shd w:val="clear" w:color="auto" w:fill="FFFFFF"/>
        </w:rPr>
        <w:t>Boland, A.</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et al.</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(2020) ‘Doing A Systematic Review: A Student’s Guide’,</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International coaching psychology review</w:t>
      </w:r>
      <w:r w:rsidRPr="003D23D0">
        <w:rPr>
          <w:rFonts w:cs="Arial"/>
          <w:color w:val="000000" w:themeColor="text1"/>
          <w:szCs w:val="22"/>
          <w:shd w:val="clear" w:color="auto" w:fill="FFFFFF"/>
        </w:rPr>
        <w:t xml:space="preserve">. Leicester: British Psychological Society, pp. 119–120. Available at: </w:t>
      </w:r>
      <w:hyperlink r:id="rId18" w:history="1">
        <w:r w:rsidRPr="003D23D0">
          <w:rPr>
            <w:rStyle w:val="Hyperlink"/>
            <w:rFonts w:cs="Arial"/>
            <w:color w:val="000000" w:themeColor="text1"/>
            <w:szCs w:val="22"/>
            <w:shd w:val="clear" w:color="auto" w:fill="FFFFFF"/>
          </w:rPr>
          <w:t>https://doi.org/10.53841/bpsicpr.2020.15.2.119</w:t>
        </w:r>
      </w:hyperlink>
      <w:r w:rsidRPr="003D23D0">
        <w:rPr>
          <w:rFonts w:cs="Arial"/>
          <w:color w:val="000000" w:themeColor="text1"/>
          <w:szCs w:val="22"/>
          <w:shd w:val="clear" w:color="auto" w:fill="FFFFFF"/>
        </w:rPr>
        <w:t xml:space="preserve">. </w:t>
      </w:r>
      <w:r w:rsidRPr="001D1EB8">
        <w:rPr>
          <w:rFonts w:cs="Arial"/>
          <w:color w:val="000000" w:themeColor="text1"/>
          <w:szCs w:val="22"/>
        </w:rPr>
        <w:br/>
        <w:t>Boland, A., Cherry, M. and Dickson, R.,</w:t>
      </w:r>
      <w:r w:rsidRPr="003D23D0">
        <w:rPr>
          <w:rFonts w:cs="Arial"/>
          <w:color w:val="000000" w:themeColor="text1"/>
          <w:szCs w:val="22"/>
        </w:rPr>
        <w:t xml:space="preserve"> (</w:t>
      </w:r>
      <w:r w:rsidRPr="001D1EB8">
        <w:rPr>
          <w:rFonts w:cs="Arial"/>
          <w:color w:val="000000" w:themeColor="text1"/>
          <w:szCs w:val="22"/>
        </w:rPr>
        <w:t>2017</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Doing a Systematic Review: A Student’s Guide.</w:t>
      </w:r>
      <w:r w:rsidRPr="001D1EB8">
        <w:rPr>
          <w:rFonts w:cs="Arial"/>
          <w:color w:val="000000" w:themeColor="text1"/>
          <w:szCs w:val="22"/>
        </w:rPr>
        <w:t> 2nd ed.</w:t>
      </w:r>
      <w:r w:rsidRPr="003D23D0">
        <w:rPr>
          <w:rFonts w:cs="Arial"/>
          <w:color w:val="000000" w:themeColor="text1"/>
          <w:szCs w:val="22"/>
        </w:rPr>
        <w:t xml:space="preserve"> Available at: </w:t>
      </w:r>
      <w:hyperlink r:id="rId19" w:anchor="v=onepage&amp;q&amp;f=false" w:history="1">
        <w:r w:rsidRPr="003D23D0">
          <w:rPr>
            <w:rStyle w:val="Hyperlink"/>
            <w:rFonts w:cs="Arial"/>
            <w:color w:val="000000" w:themeColor="text1"/>
            <w:szCs w:val="22"/>
          </w:rPr>
          <w:t>https://books.google.co.uk/books?hl=en&amp;lr=&amp;id=Zpc3DwAAQBAJ&amp;oi=fnd&amp;pg=PP1&amp;dq=Doing+a+Systematic+Review:+A+Student’s+Guide.+2nd+ed.&amp;ots=KjI78ALSA5&amp;sig=URTqa_rqi5W6MNNWmUbT6vimRHY&amp;redir_esc=y#v=onepage&amp;q&amp;f=false</w:t>
        </w:r>
      </w:hyperlink>
      <w:r w:rsidRPr="003D23D0">
        <w:rPr>
          <w:rFonts w:cs="Arial"/>
          <w:color w:val="000000" w:themeColor="text1"/>
          <w:szCs w:val="22"/>
        </w:rPr>
        <w:t xml:space="preserve"> </w:t>
      </w:r>
      <w:r w:rsidRPr="00935115">
        <w:rPr>
          <w:rFonts w:cs="Arial"/>
          <w:color w:val="000000" w:themeColor="text1"/>
          <w:szCs w:val="22"/>
        </w:rPr>
        <w:t>(Accessed: 20 June 2025).</w:t>
      </w:r>
    </w:p>
    <w:p w14:paraId="2CA0A108" w14:textId="77777777" w:rsidR="00334658" w:rsidRPr="003D23D0" w:rsidRDefault="00334658" w:rsidP="003D23D0">
      <w:pPr>
        <w:spacing w:before="100" w:beforeAutospacing="1" w:after="100" w:afterAutospacing="1" w:line="360" w:lineRule="auto"/>
        <w:rPr>
          <w:rFonts w:cs="Arial"/>
          <w:color w:val="000000" w:themeColor="text1"/>
          <w:szCs w:val="22"/>
        </w:rPr>
      </w:pPr>
      <w:r w:rsidRPr="001D1EB8">
        <w:rPr>
          <w:rFonts w:cs="Arial"/>
          <w:color w:val="000000" w:themeColor="text1"/>
          <w:szCs w:val="22"/>
        </w:rPr>
        <w:br/>
        <w:t xml:space="preserve">Booth, A., Sutton, A. and Papaioannou, D., </w:t>
      </w:r>
      <w:r w:rsidRPr="003D23D0">
        <w:rPr>
          <w:rFonts w:cs="Arial"/>
          <w:color w:val="000000" w:themeColor="text1"/>
          <w:szCs w:val="22"/>
        </w:rPr>
        <w:t>(</w:t>
      </w:r>
      <w:r w:rsidRPr="001D1EB8">
        <w:rPr>
          <w:rFonts w:cs="Arial"/>
          <w:color w:val="000000" w:themeColor="text1"/>
          <w:szCs w:val="22"/>
        </w:rPr>
        <w:t>2016</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Systematic Approaches to a Successful Literature Review.</w:t>
      </w:r>
      <w:r w:rsidRPr="001D1EB8">
        <w:rPr>
          <w:rFonts w:cs="Arial"/>
          <w:color w:val="000000" w:themeColor="text1"/>
          <w:szCs w:val="22"/>
        </w:rPr>
        <w:t> 2nd ed. London: SAGE.</w:t>
      </w:r>
    </w:p>
    <w:p w14:paraId="43DF2361" w14:textId="00873401" w:rsidR="00334658" w:rsidRPr="003D23D0" w:rsidRDefault="00334658" w:rsidP="00334658">
      <w:pPr>
        <w:spacing w:line="360" w:lineRule="auto"/>
        <w:rPr>
          <w:rFonts w:cs="Arial"/>
          <w:color w:val="000000" w:themeColor="text1"/>
          <w:szCs w:val="22"/>
        </w:rPr>
      </w:pPr>
      <w:r w:rsidRPr="003D23D0">
        <w:rPr>
          <w:rFonts w:cs="Arial"/>
          <w:color w:val="000000" w:themeColor="text1"/>
          <w:szCs w:val="22"/>
          <w:shd w:val="clear" w:color="auto" w:fill="FFFFFF"/>
        </w:rPr>
        <w:t>Braun, V. and Clarke, V. (2006) ‘Using thematic analysis in psychology’,</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Qualitative research in psychology</w:t>
      </w:r>
      <w:r w:rsidRPr="003D23D0">
        <w:rPr>
          <w:rFonts w:cs="Arial"/>
          <w:color w:val="000000" w:themeColor="text1"/>
          <w:szCs w:val="22"/>
          <w:shd w:val="clear" w:color="auto" w:fill="FFFFFF"/>
        </w:rPr>
        <w:t xml:space="preserve">, 3(2), pp. 77–101. Available at: </w:t>
      </w:r>
      <w:hyperlink r:id="rId20" w:history="1">
        <w:r w:rsidRPr="003D23D0">
          <w:rPr>
            <w:rStyle w:val="Hyperlink"/>
            <w:rFonts w:cs="Arial"/>
            <w:color w:val="000000" w:themeColor="text1"/>
            <w:szCs w:val="22"/>
            <w:shd w:val="clear" w:color="auto" w:fill="FFFFFF"/>
          </w:rPr>
          <w:t>https://doi.org/10.1191/1478088706qp063oa</w:t>
        </w:r>
      </w:hyperlink>
      <w:r w:rsidRPr="003D23D0">
        <w:rPr>
          <w:rFonts w:cs="Arial"/>
          <w:color w:val="000000" w:themeColor="text1"/>
          <w:szCs w:val="22"/>
          <w:shd w:val="clear" w:color="auto" w:fill="FFFFFF"/>
        </w:rPr>
        <w:t xml:space="preserve">. </w:t>
      </w:r>
      <w:r w:rsidRPr="001D1EB8">
        <w:rPr>
          <w:rFonts w:cs="Arial"/>
          <w:color w:val="000000" w:themeColor="text1"/>
          <w:szCs w:val="22"/>
        </w:rPr>
        <w:br/>
        <w:t xml:space="preserve">Braun, V. and Clarke, V., </w:t>
      </w:r>
      <w:r w:rsidRPr="003D23D0">
        <w:rPr>
          <w:rFonts w:cs="Arial"/>
          <w:color w:val="000000" w:themeColor="text1"/>
          <w:szCs w:val="22"/>
        </w:rPr>
        <w:t>(</w:t>
      </w:r>
      <w:r w:rsidRPr="001D1EB8">
        <w:rPr>
          <w:rFonts w:cs="Arial"/>
          <w:color w:val="000000" w:themeColor="text1"/>
          <w:szCs w:val="22"/>
        </w:rPr>
        <w:t>2022</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Thematic Analysis: A Practical Guide.</w:t>
      </w:r>
      <w:r w:rsidRPr="001D1EB8">
        <w:rPr>
          <w:rFonts w:cs="Arial"/>
          <w:color w:val="000000" w:themeColor="text1"/>
          <w:szCs w:val="22"/>
        </w:rPr>
        <w:t> </w:t>
      </w:r>
      <w:r w:rsidRPr="003D23D0">
        <w:rPr>
          <w:rFonts w:cs="Arial"/>
          <w:color w:val="000000" w:themeColor="text1"/>
          <w:szCs w:val="22"/>
          <w:shd w:val="clear" w:color="auto" w:fill="FFFFFF"/>
        </w:rPr>
        <w:t xml:space="preserve">Available at: </w:t>
      </w:r>
      <w:hyperlink r:id="rId21" w:history="1">
        <w:r w:rsidRPr="003D23D0">
          <w:rPr>
            <w:rStyle w:val="Hyperlink"/>
            <w:rFonts w:cs="Arial"/>
            <w:color w:val="000000" w:themeColor="text1"/>
            <w:szCs w:val="22"/>
            <w:shd w:val="clear" w:color="auto" w:fill="FFFFFF"/>
          </w:rPr>
          <w:t>https://www.researchgate.net/profile/David-Morgan-43/post/How_to_teach_and_or_supervise_qualitatve_data_analysis/attachment/5d448bd33843b0b9825d91e4/AS%3A787530584698880%401564773331825/download/Braun+12+APA+Handbook.pdf</w:t>
        </w:r>
      </w:hyperlink>
      <w:r w:rsidRPr="003D23D0">
        <w:rPr>
          <w:rFonts w:cs="Arial"/>
          <w:color w:val="000000" w:themeColor="text1"/>
          <w:szCs w:val="22"/>
          <w:shd w:val="clear" w:color="auto" w:fill="FFFFFF"/>
        </w:rPr>
        <w:t xml:space="preserve"> </w:t>
      </w:r>
      <w:r w:rsidRPr="003D23D0">
        <w:rPr>
          <w:rFonts w:cs="Arial"/>
          <w:color w:val="000000" w:themeColor="text1"/>
          <w:szCs w:val="22"/>
        </w:rPr>
        <w:t>(</w:t>
      </w:r>
      <w:r w:rsidRPr="001D1EB8">
        <w:rPr>
          <w:rFonts w:cs="Arial"/>
          <w:color w:val="000000" w:themeColor="text1"/>
          <w:szCs w:val="22"/>
        </w:rPr>
        <w:t xml:space="preserve">Accessed: 6 </w:t>
      </w:r>
      <w:r w:rsidRPr="003D23D0">
        <w:rPr>
          <w:rFonts w:cs="Arial"/>
          <w:color w:val="000000" w:themeColor="text1"/>
          <w:szCs w:val="22"/>
        </w:rPr>
        <w:t>Sep</w:t>
      </w:r>
      <w:r w:rsidRPr="001D1EB8">
        <w:rPr>
          <w:rFonts w:cs="Arial"/>
          <w:color w:val="000000" w:themeColor="text1"/>
          <w:szCs w:val="22"/>
        </w:rPr>
        <w:t>. 2025</w:t>
      </w:r>
      <w:r w:rsidRPr="003D23D0">
        <w:rPr>
          <w:rFonts w:cs="Arial"/>
          <w:color w:val="000000" w:themeColor="text1"/>
          <w:szCs w:val="22"/>
        </w:rPr>
        <w:t>)</w:t>
      </w:r>
      <w:r w:rsidRPr="001D1EB8">
        <w:rPr>
          <w:rFonts w:cs="Arial"/>
          <w:color w:val="000000" w:themeColor="text1"/>
          <w:szCs w:val="22"/>
        </w:rPr>
        <w:t>.</w:t>
      </w:r>
    </w:p>
    <w:p w14:paraId="625D1C19"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BROWN, P.J., STOUT, R.L. and GANNON-ROWLEY, J. (1998) ‘Substance use disorder-PTSD comorbidity : Patients’ perceptions of symptom interplay and treatment issues’,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Journal of substance abuse treatment</w:t>
      </w:r>
      <w:r w:rsidRPr="003D23D0">
        <w:rPr>
          <w:rFonts w:cs="Arial"/>
          <w:color w:val="000000" w:themeColor="text1"/>
          <w:szCs w:val="22"/>
          <w:shd w:val="clear" w:color="auto" w:fill="FFFFFF"/>
        </w:rPr>
        <w:t xml:space="preserve">, 15(5), pp. 445–448. Available at: </w:t>
      </w:r>
      <w:hyperlink r:id="rId22" w:history="1">
        <w:r w:rsidRPr="003D23D0">
          <w:rPr>
            <w:rStyle w:val="Hyperlink"/>
            <w:rFonts w:cs="Arial"/>
            <w:color w:val="000000" w:themeColor="text1"/>
            <w:szCs w:val="22"/>
            <w:shd w:val="clear" w:color="auto" w:fill="FFFFFF"/>
          </w:rPr>
          <w:t>https://doi.org/10.1016/S0740-5472(97)00286-9</w:t>
        </w:r>
      </w:hyperlink>
      <w:r w:rsidRPr="003D23D0">
        <w:rPr>
          <w:rFonts w:cs="Arial"/>
          <w:color w:val="000000" w:themeColor="text1"/>
          <w:szCs w:val="22"/>
          <w:shd w:val="clear" w:color="auto" w:fill="FFFFFF"/>
        </w:rPr>
        <w:t xml:space="preserve">. </w:t>
      </w:r>
    </w:p>
    <w:p w14:paraId="290BDF73"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 xml:space="preserve">Clark, I. (2016) ‘Book Review: </w:t>
      </w:r>
      <w:r w:rsidRPr="003D23D0">
        <w:rPr>
          <w:rFonts w:cs="Arial"/>
          <w:i/>
          <w:iCs/>
          <w:color w:val="000000" w:themeColor="text1"/>
          <w:szCs w:val="22"/>
          <w:shd w:val="clear" w:color="auto" w:fill="FFFFFF"/>
        </w:rPr>
        <w:t>Systematic Approaches to a Successful Literature Review</w:t>
      </w:r>
      <w:r w:rsidRPr="003D23D0">
        <w:rPr>
          <w:rFonts w:cs="Arial"/>
          <w:color w:val="000000" w:themeColor="text1"/>
          <w:szCs w:val="22"/>
          <w:shd w:val="clear" w:color="auto" w:fill="FFFFFF"/>
        </w:rPr>
        <w:t xml:space="preserve">’. School of Psychology, University of East London. Available at: </w:t>
      </w:r>
      <w:hyperlink r:id="rId23" w:history="1">
        <w:r w:rsidRPr="003D23D0">
          <w:rPr>
            <w:rStyle w:val="Hyperlink"/>
            <w:rFonts w:cs="Arial"/>
            <w:color w:val="000000" w:themeColor="text1"/>
            <w:szCs w:val="22"/>
            <w:shd w:val="clear" w:color="auto" w:fill="FFFFFF"/>
          </w:rPr>
          <w:t>https://doi.org/10.15123/uel.84y7v</w:t>
        </w:r>
      </w:hyperlink>
      <w:r w:rsidRPr="003D23D0">
        <w:rPr>
          <w:rFonts w:cs="Arial"/>
          <w:color w:val="000000" w:themeColor="text1"/>
          <w:szCs w:val="22"/>
          <w:shd w:val="clear" w:color="auto" w:fill="FFFFFF"/>
        </w:rPr>
        <w:t xml:space="preserve">. </w:t>
      </w:r>
    </w:p>
    <w:p w14:paraId="4787F5A0" w14:textId="77777777" w:rsidR="00334658" w:rsidRPr="003D23D0" w:rsidRDefault="00334658" w:rsidP="003D23D0">
      <w:pPr>
        <w:spacing w:after="240" w:line="360" w:lineRule="auto"/>
        <w:rPr>
          <w:rFonts w:cs="Arial"/>
          <w:color w:val="000000" w:themeColor="text1"/>
          <w:szCs w:val="22"/>
        </w:rPr>
      </w:pPr>
      <w:r w:rsidRPr="008B3B6B">
        <w:rPr>
          <w:rFonts w:cs="Arial"/>
          <w:color w:val="000000" w:themeColor="text1"/>
          <w:szCs w:val="22"/>
        </w:rPr>
        <w:t>Clarke, V. and Braun, V. (2017). Thematic Analysis. </w:t>
      </w:r>
      <w:r w:rsidRPr="008B3B6B">
        <w:rPr>
          <w:rFonts w:cs="Arial"/>
          <w:i/>
          <w:iCs/>
          <w:color w:val="000000" w:themeColor="text1"/>
          <w:szCs w:val="22"/>
        </w:rPr>
        <w:t>The Journal of Positive Psychology</w:t>
      </w:r>
      <w:r w:rsidRPr="008B3B6B">
        <w:rPr>
          <w:rFonts w:cs="Arial"/>
          <w:color w:val="000000" w:themeColor="text1"/>
          <w:szCs w:val="22"/>
        </w:rPr>
        <w:t xml:space="preserve">, 12(3), pp.297–298. </w:t>
      </w:r>
      <w:r w:rsidRPr="003D23D0">
        <w:rPr>
          <w:rFonts w:cs="Arial"/>
          <w:color w:val="000000" w:themeColor="text1"/>
          <w:szCs w:val="22"/>
        </w:rPr>
        <w:t xml:space="preserve">Available at: </w:t>
      </w:r>
      <w:hyperlink r:id="rId24" w:history="1">
        <w:r w:rsidRPr="008B3B6B">
          <w:rPr>
            <w:rStyle w:val="Hyperlink"/>
            <w:rFonts w:cs="Arial"/>
            <w:color w:val="000000" w:themeColor="text1"/>
            <w:szCs w:val="22"/>
          </w:rPr>
          <w:t>https://doi.org/10.1080/17439760.2016.1262613</w:t>
        </w:r>
      </w:hyperlink>
      <w:r w:rsidRPr="008B3B6B">
        <w:rPr>
          <w:rFonts w:cs="Arial"/>
          <w:color w:val="000000" w:themeColor="text1"/>
          <w:szCs w:val="22"/>
        </w:rPr>
        <w:t>.</w:t>
      </w:r>
      <w:r w:rsidRPr="003D23D0">
        <w:rPr>
          <w:rFonts w:cs="Arial"/>
          <w:color w:val="000000" w:themeColor="text1"/>
          <w:szCs w:val="22"/>
        </w:rPr>
        <w:t xml:space="preserve"> </w:t>
      </w:r>
      <w:r w:rsidRPr="001D1EB8">
        <w:rPr>
          <w:rFonts w:cs="Arial"/>
          <w:color w:val="000000" w:themeColor="text1"/>
          <w:szCs w:val="22"/>
        </w:rPr>
        <w:br/>
        <w:t>Cottrell, S.</w:t>
      </w:r>
      <w:r w:rsidRPr="003D23D0">
        <w:rPr>
          <w:rFonts w:cs="Arial"/>
          <w:color w:val="000000" w:themeColor="text1"/>
          <w:szCs w:val="22"/>
        </w:rPr>
        <w:t xml:space="preserve"> (</w:t>
      </w:r>
      <w:r w:rsidRPr="001D1EB8">
        <w:rPr>
          <w:rFonts w:cs="Arial"/>
          <w:color w:val="000000" w:themeColor="text1"/>
          <w:szCs w:val="22"/>
        </w:rPr>
        <w:t>2017</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Critical Thinking Skills: Developing Effective Analysis, Argument and Reflection.</w:t>
      </w:r>
      <w:r w:rsidRPr="001D1EB8">
        <w:rPr>
          <w:rFonts w:cs="Arial"/>
          <w:color w:val="000000" w:themeColor="text1"/>
          <w:szCs w:val="22"/>
        </w:rPr>
        <w:t> 3rd ed. London: Palgrave Macmillan.</w:t>
      </w:r>
      <w:r w:rsidRPr="003D23D0">
        <w:rPr>
          <w:rFonts w:cs="Arial"/>
          <w:color w:val="000000" w:themeColor="text1"/>
          <w:szCs w:val="22"/>
        </w:rPr>
        <w:t xml:space="preserve"> </w:t>
      </w:r>
      <w:r w:rsidRPr="001D1EB8">
        <w:rPr>
          <w:rFonts w:cs="Arial"/>
          <w:color w:val="000000" w:themeColor="text1"/>
          <w:szCs w:val="22"/>
        </w:rPr>
        <w:t xml:space="preserve">Available </w:t>
      </w:r>
      <w:r w:rsidRPr="001D1EB8">
        <w:rPr>
          <w:rFonts w:cs="Arial"/>
          <w:color w:val="000000" w:themeColor="text1"/>
          <w:szCs w:val="22"/>
        </w:rPr>
        <w:lastRenderedPageBreak/>
        <w:t>at: </w:t>
      </w:r>
      <w:hyperlink r:id="rId25" w:history="1">
        <w:r w:rsidRPr="001D1EB8">
          <w:rPr>
            <w:rStyle w:val="Hyperlink"/>
            <w:rFonts w:cs="Arial"/>
            <w:color w:val="000000" w:themeColor="text1"/>
            <w:szCs w:val="22"/>
          </w:rPr>
          <w:t>https://www.macmillanihe.com/page/detail/Critical-Thinking-Skills/?K=9781137550507</w:t>
        </w:r>
      </w:hyperlink>
      <w:r w:rsidRPr="003D23D0">
        <w:rPr>
          <w:rFonts w:cs="Arial"/>
          <w:color w:val="000000" w:themeColor="text1"/>
          <w:szCs w:val="22"/>
        </w:rPr>
        <w:t xml:space="preserve"> (</w:t>
      </w:r>
      <w:r w:rsidRPr="001D1EB8">
        <w:rPr>
          <w:rFonts w:cs="Arial"/>
          <w:color w:val="000000" w:themeColor="text1"/>
          <w:szCs w:val="22"/>
        </w:rPr>
        <w:t>Accessed: 6 Nov. 2025</w:t>
      </w:r>
      <w:r w:rsidRPr="003D23D0">
        <w:rPr>
          <w:rFonts w:cs="Arial"/>
          <w:color w:val="000000" w:themeColor="text1"/>
          <w:szCs w:val="22"/>
        </w:rPr>
        <w:t>)</w:t>
      </w:r>
      <w:r w:rsidRPr="001D1EB8">
        <w:rPr>
          <w:rFonts w:cs="Arial"/>
          <w:color w:val="000000" w:themeColor="text1"/>
          <w:szCs w:val="22"/>
        </w:rPr>
        <w:t>.</w:t>
      </w:r>
    </w:p>
    <w:p w14:paraId="45E6D377" w14:textId="77777777" w:rsidR="00334658" w:rsidRPr="003D23D0" w:rsidRDefault="00334658" w:rsidP="003D23D0">
      <w:pPr>
        <w:spacing w:after="240" w:line="360" w:lineRule="auto"/>
        <w:rPr>
          <w:rFonts w:cs="Arial"/>
          <w:color w:val="000000" w:themeColor="text1"/>
          <w:szCs w:val="22"/>
        </w:rPr>
      </w:pPr>
      <w:r w:rsidRPr="003D23D0">
        <w:rPr>
          <w:rFonts w:cs="Arial"/>
          <w:color w:val="000000" w:themeColor="text1"/>
          <w:szCs w:val="22"/>
        </w:rPr>
        <w:t>Creswell, J.W. and Poth, C.N. (2018). </w:t>
      </w:r>
      <w:r w:rsidRPr="003D23D0">
        <w:rPr>
          <w:rFonts w:cs="Arial"/>
          <w:i/>
          <w:iCs/>
          <w:color w:val="000000" w:themeColor="text1"/>
          <w:szCs w:val="22"/>
        </w:rPr>
        <w:t xml:space="preserve">Creswell and Poth, 2018, </w:t>
      </w:r>
      <w:r w:rsidRPr="003D23D0">
        <w:rPr>
          <w:rStyle w:val="Emphasis"/>
          <w:rFonts w:cs="Arial"/>
          <w:color w:val="000000" w:themeColor="text1"/>
          <w:szCs w:val="22"/>
        </w:rPr>
        <w:t xml:space="preserve">Qualitative Inquiry and </w:t>
      </w:r>
      <w:r w:rsidRPr="00772E44">
        <w:rPr>
          <w:rStyle w:val="Emphasis"/>
          <w:rFonts w:cs="Arial"/>
          <w:color w:val="000000" w:themeColor="text1"/>
          <w:szCs w:val="22"/>
        </w:rPr>
        <w:t>Research Design: Choosing Among Five Approaches.</w:t>
      </w:r>
      <w:r w:rsidRPr="00772E44">
        <w:rPr>
          <w:rStyle w:val="apple-converted-space"/>
          <w:rFonts w:cs="Arial"/>
          <w:color w:val="000000" w:themeColor="text1"/>
          <w:szCs w:val="22"/>
        </w:rPr>
        <w:t> </w:t>
      </w:r>
      <w:r w:rsidRPr="00772E44">
        <w:rPr>
          <w:rFonts w:cs="Arial"/>
          <w:color w:val="000000" w:themeColor="text1"/>
          <w:szCs w:val="22"/>
        </w:rPr>
        <w:t>4th</w:t>
      </w:r>
      <w:r w:rsidRPr="003D23D0">
        <w:rPr>
          <w:rFonts w:cs="Arial"/>
          <w:color w:val="000000" w:themeColor="text1"/>
          <w:szCs w:val="22"/>
        </w:rPr>
        <w:t xml:space="preserve">. Available at: </w:t>
      </w:r>
      <w:hyperlink r:id="rId26" w:history="1">
        <w:r w:rsidRPr="003D23D0">
          <w:rPr>
            <w:rStyle w:val="Hyperlink"/>
            <w:rFonts w:cs="Arial"/>
            <w:color w:val="000000" w:themeColor="text1"/>
            <w:szCs w:val="22"/>
          </w:rPr>
          <w:t>https://pubhtml5.com/enuk/cykh/Creswell_and_Poth%2C_2018%2C_Qualitative_Inquiry_4th/</w:t>
        </w:r>
      </w:hyperlink>
      <w:r w:rsidRPr="003D23D0">
        <w:rPr>
          <w:rFonts w:cs="Arial"/>
          <w:color w:val="000000" w:themeColor="text1"/>
          <w:szCs w:val="22"/>
        </w:rPr>
        <w:t>.</w:t>
      </w:r>
      <w:r w:rsidRPr="00772E44">
        <w:rPr>
          <w:rFonts w:cs="Arial"/>
          <w:color w:val="000000" w:themeColor="text1"/>
          <w:szCs w:val="22"/>
        </w:rPr>
        <w:t xml:space="preserve"> (</w:t>
      </w:r>
      <w:r w:rsidRPr="001D1EB8">
        <w:rPr>
          <w:rFonts w:cs="Arial"/>
          <w:color w:val="000000" w:themeColor="text1"/>
          <w:szCs w:val="22"/>
        </w:rPr>
        <w:t xml:space="preserve">Accessed: </w:t>
      </w:r>
      <w:r w:rsidRPr="00772E44">
        <w:rPr>
          <w:rFonts w:cs="Arial"/>
          <w:color w:val="000000" w:themeColor="text1"/>
          <w:szCs w:val="22"/>
        </w:rPr>
        <w:t>19 Aug</w:t>
      </w:r>
      <w:r w:rsidRPr="001D1EB8">
        <w:rPr>
          <w:rFonts w:cs="Arial"/>
          <w:color w:val="000000" w:themeColor="text1"/>
          <w:szCs w:val="22"/>
        </w:rPr>
        <w:t>. 2025</w:t>
      </w:r>
      <w:r w:rsidRPr="00772E44">
        <w:rPr>
          <w:rFonts w:cs="Arial"/>
          <w:color w:val="000000" w:themeColor="text1"/>
          <w:szCs w:val="22"/>
        </w:rPr>
        <w:t>)</w:t>
      </w:r>
      <w:r w:rsidRPr="001D1EB8">
        <w:rPr>
          <w:rFonts w:cs="Arial"/>
          <w:color w:val="000000" w:themeColor="text1"/>
          <w:szCs w:val="22"/>
        </w:rPr>
        <w:t>.</w:t>
      </w:r>
    </w:p>
    <w:p w14:paraId="434B5BFD"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Dasgupta, N., Beletsky, L. &amp; Ciccarone, D., (2018). ‘Opioid crisis: No easy fix to its social and economic determinants.’ </w:t>
      </w:r>
      <w:r w:rsidRPr="003D23D0">
        <w:rPr>
          <w:rFonts w:cs="Arial"/>
          <w:i/>
          <w:iCs/>
          <w:color w:val="000000" w:themeColor="text1"/>
          <w:szCs w:val="22"/>
        </w:rPr>
        <w:t>American Journal of Public Health</w:t>
      </w:r>
      <w:r w:rsidRPr="003D23D0">
        <w:rPr>
          <w:rFonts w:cs="Arial"/>
          <w:color w:val="000000" w:themeColor="text1"/>
          <w:szCs w:val="22"/>
        </w:rPr>
        <w:t xml:space="preserve">, 108(2), pp.182-186. </w:t>
      </w:r>
      <w:r w:rsidRPr="003D23D0">
        <w:rPr>
          <w:rFonts w:cs="Arial"/>
          <w:color w:val="000000" w:themeColor="text1"/>
          <w:szCs w:val="22"/>
        </w:rPr>
        <w:br/>
        <w:t>Available at: </w:t>
      </w:r>
      <w:hyperlink r:id="rId27" w:tgtFrame="_new" w:history="1">
        <w:r w:rsidRPr="003D23D0">
          <w:rPr>
            <w:rFonts w:cs="Arial"/>
            <w:color w:val="000000" w:themeColor="text1"/>
            <w:szCs w:val="22"/>
            <w:u w:val="single"/>
          </w:rPr>
          <w:t>https://ajph.aphapublications.org/doi/full/10.2105/AJPH.2017.304187</w:t>
        </w:r>
      </w:hyperlink>
      <w:r>
        <w:rPr>
          <w:rFonts w:cs="Arial"/>
          <w:color w:val="000000" w:themeColor="text1"/>
          <w:szCs w:val="22"/>
        </w:rPr>
        <w:t xml:space="preserve">. </w:t>
      </w:r>
      <w:r w:rsidRPr="003D23D0">
        <w:rPr>
          <w:rFonts w:cs="Arial"/>
          <w:color w:val="000000" w:themeColor="text1"/>
          <w:szCs w:val="22"/>
        </w:rPr>
        <w:t>(</w:t>
      </w:r>
      <w:r w:rsidRPr="001D1EB8">
        <w:rPr>
          <w:rFonts w:cs="Arial"/>
          <w:color w:val="000000" w:themeColor="text1"/>
          <w:szCs w:val="22"/>
        </w:rPr>
        <w:t xml:space="preserve">Accessed: </w:t>
      </w:r>
      <w:r>
        <w:rPr>
          <w:rFonts w:cs="Arial"/>
          <w:color w:val="000000" w:themeColor="text1"/>
          <w:szCs w:val="22"/>
        </w:rPr>
        <w:t>19 Aug</w:t>
      </w:r>
      <w:r w:rsidRPr="001D1EB8">
        <w:rPr>
          <w:rFonts w:cs="Arial"/>
          <w:color w:val="000000" w:themeColor="text1"/>
          <w:szCs w:val="22"/>
        </w:rPr>
        <w:t>. 2025</w:t>
      </w:r>
      <w:r w:rsidRPr="003D23D0">
        <w:rPr>
          <w:rFonts w:cs="Arial"/>
          <w:color w:val="000000" w:themeColor="text1"/>
          <w:szCs w:val="22"/>
        </w:rPr>
        <w:t>)</w:t>
      </w:r>
      <w:r w:rsidRPr="001D1EB8">
        <w:rPr>
          <w:rFonts w:cs="Arial"/>
          <w:color w:val="000000" w:themeColor="text1"/>
          <w:szCs w:val="22"/>
        </w:rPr>
        <w:t>.</w:t>
      </w:r>
      <w:r w:rsidRPr="003D23D0">
        <w:rPr>
          <w:rFonts w:cs="Arial"/>
          <w:color w:val="000000" w:themeColor="text1"/>
          <w:szCs w:val="22"/>
        </w:rPr>
        <w:br/>
        <w:t xml:space="preserve">Department for Work and Pensions (DWP), </w:t>
      </w:r>
      <w:r>
        <w:rPr>
          <w:rFonts w:cs="Arial"/>
          <w:color w:val="000000" w:themeColor="text1"/>
          <w:szCs w:val="22"/>
        </w:rPr>
        <w:t>(</w:t>
      </w:r>
      <w:r w:rsidRPr="003D23D0">
        <w:rPr>
          <w:rFonts w:cs="Arial"/>
          <w:color w:val="000000" w:themeColor="text1"/>
          <w:szCs w:val="22"/>
        </w:rPr>
        <w:t>2023</w:t>
      </w:r>
      <w:r>
        <w:rPr>
          <w:rFonts w:cs="Arial"/>
          <w:color w:val="000000" w:themeColor="text1"/>
          <w:szCs w:val="22"/>
        </w:rPr>
        <w:t>)</w:t>
      </w:r>
      <w:r w:rsidRPr="003D23D0">
        <w:rPr>
          <w:rFonts w:cs="Arial"/>
          <w:color w:val="000000" w:themeColor="text1"/>
          <w:szCs w:val="22"/>
        </w:rPr>
        <w:t>. </w:t>
      </w:r>
      <w:r w:rsidRPr="003D23D0">
        <w:rPr>
          <w:rFonts w:cs="Arial"/>
          <w:i/>
          <w:iCs/>
          <w:color w:val="000000" w:themeColor="text1"/>
          <w:szCs w:val="22"/>
        </w:rPr>
        <w:t>Households Below Average Income: Analysis of the UK Income Distribution</w:t>
      </w:r>
      <w:r w:rsidRPr="003D23D0">
        <w:rPr>
          <w:rFonts w:cs="Arial"/>
          <w:color w:val="000000" w:themeColor="text1"/>
          <w:szCs w:val="22"/>
        </w:rPr>
        <w:t xml:space="preserve">. London: DWP. Available at: </w:t>
      </w:r>
      <w:hyperlink r:id="rId28" w:history="1">
        <w:r w:rsidRPr="003D23D0">
          <w:rPr>
            <w:rStyle w:val="Hyperlink"/>
            <w:rFonts w:cs="Arial"/>
            <w:color w:val="000000" w:themeColor="text1"/>
            <w:szCs w:val="22"/>
          </w:rPr>
          <w:t>https://www.gov.uk/government/statistics/households-below-average-income-for-financial-years-ending-1995-to-2023/households-below-average-income-an-analysis-of-the-uk-income-distribution-fye-1995-to-fye-2023</w:t>
        </w:r>
      </w:hyperlink>
      <w:r w:rsidRPr="003D23D0">
        <w:rPr>
          <w:rFonts w:cs="Arial"/>
          <w:color w:val="000000" w:themeColor="text1"/>
          <w:szCs w:val="22"/>
        </w:rPr>
        <w:t xml:space="preserve"> (Accessed: 6 Nov. 2025).</w:t>
      </w:r>
    </w:p>
    <w:p w14:paraId="3D14D7FF"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Department for Work and Pensions (2023)</w:t>
      </w:r>
      <w:r w:rsidRPr="009C72BD">
        <w:rPr>
          <w:rStyle w:val="apple-converted-space"/>
          <w:rFonts w:cs="Arial"/>
          <w:color w:val="000000" w:themeColor="text1"/>
          <w:szCs w:val="22"/>
        </w:rPr>
        <w:t> </w:t>
      </w:r>
      <w:r w:rsidRPr="009C72BD">
        <w:rPr>
          <w:rStyle w:val="Emphasis"/>
          <w:rFonts w:cs="Arial"/>
          <w:color w:val="000000" w:themeColor="text1"/>
          <w:szCs w:val="22"/>
        </w:rPr>
        <w:t>Households below average income: An analysis of the income distribution 1994/95 to 2021/22.</w:t>
      </w:r>
      <w:r w:rsidRPr="009C72BD">
        <w:rPr>
          <w:rStyle w:val="apple-converted-space"/>
          <w:rFonts w:cs="Arial"/>
          <w:color w:val="000000" w:themeColor="text1"/>
          <w:szCs w:val="22"/>
        </w:rPr>
        <w:t> </w:t>
      </w:r>
      <w:r w:rsidRPr="009C72BD">
        <w:rPr>
          <w:rFonts w:cs="Arial"/>
          <w:color w:val="000000" w:themeColor="text1"/>
          <w:szCs w:val="22"/>
        </w:rPr>
        <w:t>DWP. Available at:</w:t>
      </w:r>
      <w:r w:rsidRPr="009C72BD">
        <w:rPr>
          <w:rStyle w:val="apple-converted-space"/>
          <w:rFonts w:cs="Arial"/>
          <w:color w:val="000000" w:themeColor="text1"/>
          <w:szCs w:val="22"/>
        </w:rPr>
        <w:t> </w:t>
      </w:r>
      <w:hyperlink r:id="rId29" w:tgtFrame="_new" w:history="1">
        <w:r w:rsidRPr="009C72BD">
          <w:rPr>
            <w:rStyle w:val="Hyperlink"/>
            <w:rFonts w:cs="Arial"/>
            <w:color w:val="000000" w:themeColor="text1"/>
            <w:szCs w:val="22"/>
          </w:rPr>
          <w:t>https://www.gov.uk/government/statistics</w:t>
        </w:r>
      </w:hyperlink>
      <w:r w:rsidRPr="009C72BD">
        <w:rPr>
          <w:rStyle w:val="apple-converted-space"/>
          <w:rFonts w:cs="Arial"/>
          <w:color w:val="000000" w:themeColor="text1"/>
          <w:szCs w:val="22"/>
        </w:rPr>
        <w:t> </w:t>
      </w:r>
      <w:r w:rsidRPr="009C72BD">
        <w:rPr>
          <w:rFonts w:cs="Arial"/>
          <w:color w:val="000000" w:themeColor="text1"/>
          <w:szCs w:val="22"/>
        </w:rPr>
        <w:t xml:space="preserve">(Accessed: </w:t>
      </w:r>
      <w:r>
        <w:rPr>
          <w:rFonts w:cs="Arial"/>
          <w:color w:val="000000" w:themeColor="text1"/>
          <w:szCs w:val="22"/>
        </w:rPr>
        <w:t>10</w:t>
      </w:r>
      <w:r w:rsidRPr="009C72BD">
        <w:rPr>
          <w:rFonts w:cs="Arial"/>
          <w:color w:val="000000" w:themeColor="text1"/>
          <w:szCs w:val="22"/>
        </w:rPr>
        <w:t xml:space="preserve"> Nov 202</w:t>
      </w:r>
      <w:r>
        <w:rPr>
          <w:rFonts w:cs="Arial"/>
          <w:color w:val="000000" w:themeColor="text1"/>
          <w:szCs w:val="22"/>
        </w:rPr>
        <w:t>5</w:t>
      </w:r>
      <w:r w:rsidRPr="009C72BD">
        <w:rPr>
          <w:rFonts w:cs="Arial"/>
          <w:color w:val="000000" w:themeColor="text1"/>
          <w:szCs w:val="22"/>
        </w:rPr>
        <w:t>).</w:t>
      </w:r>
    </w:p>
    <w:p w14:paraId="63AF185E"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 xml:space="preserve">EMCDDA (2022). </w:t>
      </w:r>
      <w:r w:rsidRPr="003D23D0">
        <w:rPr>
          <w:rFonts w:cs="Arial"/>
          <w:i/>
          <w:iCs/>
          <w:color w:val="000000" w:themeColor="text1"/>
          <w:szCs w:val="22"/>
        </w:rPr>
        <w:t>European Drug Report 2022:</w:t>
      </w:r>
      <w:r w:rsidRPr="003D23D0">
        <w:rPr>
          <w:rFonts w:cs="Arial"/>
          <w:color w:val="000000" w:themeColor="text1"/>
          <w:szCs w:val="22"/>
        </w:rPr>
        <w:t xml:space="preserve"> </w:t>
      </w:r>
      <w:r w:rsidRPr="003D23D0">
        <w:rPr>
          <w:rFonts w:cs="Arial"/>
          <w:i/>
          <w:iCs/>
          <w:color w:val="000000" w:themeColor="text1"/>
          <w:szCs w:val="22"/>
        </w:rPr>
        <w:t>Trends and Developments</w:t>
      </w:r>
      <w:r w:rsidRPr="003D23D0">
        <w:rPr>
          <w:rFonts w:cs="Arial"/>
          <w:color w:val="000000" w:themeColor="text1"/>
          <w:szCs w:val="22"/>
        </w:rPr>
        <w:t xml:space="preserve">. Luxembourg: Publications Office of the European Union. Available at: </w:t>
      </w:r>
      <w:hyperlink r:id="rId30" w:history="1">
        <w:r w:rsidRPr="003D23D0">
          <w:rPr>
            <w:rStyle w:val="Hyperlink"/>
            <w:rFonts w:cs="Arial"/>
            <w:color w:val="000000" w:themeColor="text1"/>
            <w:szCs w:val="22"/>
          </w:rPr>
          <w:t>https://www.emcdda.europa.eu/publications/edr/trends-developments/2022_en</w:t>
        </w:r>
      </w:hyperlink>
      <w:r w:rsidRPr="003D23D0">
        <w:rPr>
          <w:rFonts w:cs="Arial"/>
          <w:color w:val="000000" w:themeColor="text1"/>
          <w:szCs w:val="22"/>
        </w:rPr>
        <w:t xml:space="preserve"> (Accessed: 6 Nov. 2025). </w:t>
      </w:r>
    </w:p>
    <w:p w14:paraId="4F46B9F8"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EMCDDA (2023) </w:t>
      </w:r>
      <w:r w:rsidRPr="00935115">
        <w:rPr>
          <w:rFonts w:cs="Arial"/>
          <w:i/>
          <w:iCs/>
          <w:color w:val="000000" w:themeColor="text1"/>
          <w:szCs w:val="22"/>
        </w:rPr>
        <w:t>European Drug Report 2023: Trends and Developments.</w:t>
      </w:r>
      <w:r w:rsidRPr="00935115">
        <w:rPr>
          <w:rFonts w:cs="Arial"/>
          <w:color w:val="000000" w:themeColor="text1"/>
          <w:szCs w:val="22"/>
        </w:rPr>
        <w:t> Lisbon: European Monitoring Centre for Drugs and Drug Addiction. Available at: </w:t>
      </w:r>
      <w:hyperlink r:id="rId31" w:tgtFrame="_new" w:history="1">
        <w:r w:rsidRPr="00935115">
          <w:rPr>
            <w:rFonts w:cs="Arial"/>
            <w:color w:val="000000" w:themeColor="text1"/>
            <w:szCs w:val="22"/>
            <w:u w:val="single"/>
          </w:rPr>
          <w:t>https://www.emcdda.europa.eu</w:t>
        </w:r>
      </w:hyperlink>
      <w:r w:rsidRPr="00935115">
        <w:rPr>
          <w:rFonts w:cs="Arial"/>
          <w:color w:val="000000" w:themeColor="text1"/>
          <w:szCs w:val="22"/>
        </w:rPr>
        <w:t> (Accessed: 2 July 2025).</w:t>
      </w:r>
    </w:p>
    <w:p w14:paraId="6759478B" w14:textId="77777777" w:rsidR="00334658" w:rsidRPr="009C72BD" w:rsidRDefault="00334658" w:rsidP="00334658">
      <w:pPr>
        <w:spacing w:line="360" w:lineRule="auto"/>
        <w:rPr>
          <w:rFonts w:cs="Arial"/>
          <w:color w:val="000000" w:themeColor="text1"/>
          <w:szCs w:val="22"/>
        </w:rPr>
      </w:pPr>
      <w:r w:rsidRPr="009C72BD">
        <w:rPr>
          <w:rFonts w:cs="Arial"/>
          <w:color w:val="000000" w:themeColor="text1"/>
          <w:szCs w:val="22"/>
        </w:rPr>
        <w:t>Engel, G.L. (1977) </w:t>
      </w:r>
      <w:r w:rsidRPr="009C72BD">
        <w:rPr>
          <w:rFonts w:cs="Arial"/>
          <w:i/>
          <w:iCs/>
          <w:color w:val="000000" w:themeColor="text1"/>
          <w:szCs w:val="22"/>
        </w:rPr>
        <w:t>The need for a new medical model: A challenge for biomedicine.</w:t>
      </w:r>
      <w:r w:rsidRPr="009C72BD">
        <w:rPr>
          <w:rFonts w:cs="Arial"/>
          <w:color w:val="000000" w:themeColor="text1"/>
          <w:szCs w:val="22"/>
        </w:rPr>
        <w:t> Science, 196(4286), pp.129–136.</w:t>
      </w:r>
    </w:p>
    <w:p w14:paraId="671A8147"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Farmer, P. (2004) ‘An Anthropology of Structural Violence’,</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Current anthropology</w:t>
      </w:r>
      <w:r w:rsidRPr="003D23D0">
        <w:rPr>
          <w:rFonts w:cs="Arial"/>
          <w:color w:val="000000" w:themeColor="text1"/>
          <w:szCs w:val="22"/>
          <w:shd w:val="clear" w:color="auto" w:fill="FFFFFF"/>
        </w:rPr>
        <w:t xml:space="preserve">, 45(3), pp. 305–325. Available at: </w:t>
      </w:r>
      <w:hyperlink r:id="rId32" w:history="1">
        <w:r w:rsidRPr="003D23D0">
          <w:rPr>
            <w:rStyle w:val="Hyperlink"/>
            <w:rFonts w:cs="Arial"/>
            <w:color w:val="000000" w:themeColor="text1"/>
            <w:szCs w:val="22"/>
            <w:shd w:val="clear" w:color="auto" w:fill="FFFFFF"/>
          </w:rPr>
          <w:t>https://doi.org/10.1086/382250</w:t>
        </w:r>
      </w:hyperlink>
      <w:r w:rsidRPr="003D23D0">
        <w:rPr>
          <w:rFonts w:cs="Arial"/>
          <w:color w:val="000000" w:themeColor="text1"/>
          <w:szCs w:val="22"/>
          <w:shd w:val="clear" w:color="auto" w:fill="FFFFFF"/>
        </w:rPr>
        <w:t xml:space="preserve">. </w:t>
      </w:r>
    </w:p>
    <w:p w14:paraId="6B7B9EC7"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Finlay, L., (2012). Debating phenomenological methods. In</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Hermeneutic phenomenology in education: Method and practice</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 xml:space="preserve">(pp. 17-37). Rotterdam: SensePublishers. Available at: </w:t>
      </w:r>
      <w:hyperlink r:id="rId33" w:history="1">
        <w:r w:rsidRPr="003D23D0">
          <w:rPr>
            <w:rStyle w:val="Hyperlink"/>
            <w:rFonts w:cs="Arial"/>
            <w:color w:val="000000" w:themeColor="text1"/>
            <w:szCs w:val="22"/>
            <w:shd w:val="clear" w:color="auto" w:fill="FFFFFF"/>
          </w:rPr>
          <w:t>https://journals.library.ualberta.ca/pandpr/index.php/pandpr/article/download/19818/15336</w:t>
        </w:r>
      </w:hyperlink>
      <w:r w:rsidRPr="003D23D0">
        <w:rPr>
          <w:rFonts w:cs="Arial"/>
          <w:color w:val="000000" w:themeColor="text1"/>
          <w:szCs w:val="22"/>
          <w:shd w:val="clear" w:color="auto" w:fill="FFFFFF"/>
        </w:rPr>
        <w:t xml:space="preserve">. </w:t>
      </w:r>
      <w:r w:rsidRPr="003D23D0">
        <w:rPr>
          <w:rFonts w:cs="Arial"/>
          <w:color w:val="000000" w:themeColor="text1"/>
          <w:szCs w:val="22"/>
        </w:rPr>
        <w:t>(Accessed: 6 Nov. 2025).</w:t>
      </w:r>
    </w:p>
    <w:p w14:paraId="338427CF" w14:textId="6CB4B473" w:rsidR="00334658" w:rsidRPr="00334658" w:rsidRDefault="00334658" w:rsidP="003D23D0">
      <w:pPr>
        <w:spacing w:line="360" w:lineRule="auto"/>
        <w:rPr>
          <w:rFonts w:cs="Arial"/>
          <w:color w:val="000000" w:themeColor="text1"/>
          <w:szCs w:val="22"/>
          <w:shd w:val="clear" w:color="auto" w:fill="FFFFFF"/>
        </w:rPr>
      </w:pPr>
      <w:r w:rsidRPr="001D1EB8">
        <w:rPr>
          <w:rFonts w:cs="Arial"/>
          <w:color w:val="000000" w:themeColor="text1"/>
          <w:szCs w:val="22"/>
        </w:rPr>
        <w:lastRenderedPageBreak/>
        <w:br/>
        <w:t xml:space="preserve">Greenhalgh, T. </w:t>
      </w:r>
      <w:r w:rsidRPr="003D23D0">
        <w:rPr>
          <w:rFonts w:cs="Arial"/>
          <w:color w:val="000000" w:themeColor="text1"/>
          <w:szCs w:val="22"/>
        </w:rPr>
        <w:t>(</w:t>
      </w:r>
      <w:r w:rsidRPr="001D1EB8">
        <w:rPr>
          <w:rFonts w:cs="Arial"/>
          <w:color w:val="000000" w:themeColor="text1"/>
          <w:szCs w:val="22"/>
        </w:rPr>
        <w:t>2019</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How to Read a Paper: The Basics of Evidence-Based Medicine and Healthcare.</w:t>
      </w:r>
      <w:r w:rsidRPr="001D1EB8">
        <w:rPr>
          <w:rFonts w:cs="Arial"/>
          <w:color w:val="000000" w:themeColor="text1"/>
          <w:szCs w:val="22"/>
        </w:rPr>
        <w:t> 6th ed. Chichester: Wiley-Blackwell.</w:t>
      </w:r>
      <w:r w:rsidRPr="003D23D0">
        <w:rPr>
          <w:rFonts w:cs="Arial"/>
          <w:color w:val="000000" w:themeColor="text1"/>
          <w:szCs w:val="22"/>
        </w:rPr>
        <w:t xml:space="preserve"> </w:t>
      </w:r>
      <w:r w:rsidRPr="003D23D0">
        <w:rPr>
          <w:rFonts w:cs="Arial"/>
          <w:color w:val="000000" w:themeColor="text1"/>
          <w:szCs w:val="22"/>
          <w:shd w:val="clear" w:color="auto" w:fill="FFFFFF"/>
        </w:rPr>
        <w:t xml:space="preserve">Available at: </w:t>
      </w:r>
      <w:hyperlink r:id="rId34" w:history="1">
        <w:r w:rsidRPr="003D23D0">
          <w:rPr>
            <w:rStyle w:val="Hyperlink"/>
            <w:rFonts w:cs="Arial"/>
            <w:color w:val="000000" w:themeColor="text1"/>
            <w:szCs w:val="22"/>
            <w:shd w:val="clear" w:color="auto" w:fill="FFFFFF"/>
          </w:rPr>
          <w:t>https://content.e-bookshelf.de/media/reading/L-12549069-30fab85148.pdf</w:t>
        </w:r>
      </w:hyperlink>
      <w:r w:rsidRPr="003D23D0">
        <w:rPr>
          <w:rFonts w:cs="Arial"/>
          <w:color w:val="000000" w:themeColor="text1"/>
          <w:szCs w:val="22"/>
          <w:shd w:val="clear" w:color="auto" w:fill="FFFFFF"/>
        </w:rPr>
        <w:t xml:space="preserve">. </w:t>
      </w:r>
      <w:r w:rsidRPr="003D23D0">
        <w:rPr>
          <w:rFonts w:cs="Arial"/>
          <w:color w:val="000000" w:themeColor="text1"/>
          <w:szCs w:val="22"/>
        </w:rPr>
        <w:t>(Accessed: 10 Aug. 2025).</w:t>
      </w:r>
    </w:p>
    <w:p w14:paraId="6FF7FFD8"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Greenhalgh, T.M. and Dijkstra, P. (2024).</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How to Read a Paper: The Basics of Evidence-based Healthcare</w:t>
      </w:r>
      <w:r w:rsidRPr="003D23D0">
        <w:rPr>
          <w:rFonts w:cs="Arial"/>
          <w:color w:val="000000" w:themeColor="text1"/>
          <w:szCs w:val="22"/>
          <w:shd w:val="clear" w:color="auto" w:fill="FFFFFF"/>
        </w:rPr>
        <w:t xml:space="preserve">. John Wiley &amp; Sons. Available at: </w:t>
      </w:r>
      <w:hyperlink r:id="rId35" w:anchor="v=onepage&amp;q&amp;f=false" w:history="1">
        <w:r w:rsidRPr="003D23D0">
          <w:rPr>
            <w:rStyle w:val="Hyperlink"/>
            <w:rFonts w:cs="Arial"/>
            <w:color w:val="000000" w:themeColor="text1"/>
            <w:szCs w:val="22"/>
            <w:shd w:val="clear" w:color="auto" w:fill="FFFFFF"/>
          </w:rPr>
          <w:t>https://books.google.co.uk/books?hl=en&amp;lr=&amp;id=L_YvEQAAQBAJ&amp;oi=fnd&amp;pg=PR12&amp;dq=How+to+Read+a+Paper:+the+Basics+of+Evidence-Based+Healthcare,+7th+Edition&amp;ots=F28FSKoKI1&amp;sig=c4bPEIMzeXz-DpLKNnoKfaTiYSQ&amp;redir_esc=y#v=onepage&amp;q&amp;f=false</w:t>
        </w:r>
      </w:hyperlink>
      <w:r w:rsidRPr="003D23D0">
        <w:rPr>
          <w:rFonts w:cs="Arial"/>
          <w:color w:val="000000" w:themeColor="text1"/>
          <w:szCs w:val="22"/>
          <w:shd w:val="clear" w:color="auto" w:fill="FFFFFF"/>
        </w:rPr>
        <w:t xml:space="preserve"> </w:t>
      </w:r>
      <w:r w:rsidRPr="003D23D0">
        <w:rPr>
          <w:rFonts w:cs="Arial"/>
          <w:color w:val="000000" w:themeColor="text1"/>
          <w:szCs w:val="22"/>
        </w:rPr>
        <w:t>(Accessed: 20 Aug. 2025).</w:t>
      </w:r>
    </w:p>
    <w:p w14:paraId="181F04E5"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 xml:space="preserve">Greenwald, G. (2009). </w:t>
      </w:r>
      <w:r w:rsidRPr="003D23D0">
        <w:rPr>
          <w:rFonts w:cs="Arial"/>
          <w:i/>
          <w:iCs/>
          <w:color w:val="000000" w:themeColor="text1"/>
          <w:szCs w:val="22"/>
        </w:rPr>
        <w:t>Drug Decriminalization in Portugal: Lessons for Creating Fair and Successful Drug Policies.</w:t>
      </w:r>
      <w:r w:rsidRPr="003D23D0">
        <w:rPr>
          <w:rFonts w:cs="Arial"/>
          <w:color w:val="000000" w:themeColor="text1"/>
          <w:szCs w:val="22"/>
        </w:rPr>
        <w:t xml:space="preserve"> Washington DC: Cato Institute. Available at: </w:t>
      </w:r>
      <w:hyperlink r:id="rId36" w:history="1">
        <w:r w:rsidRPr="003D23D0">
          <w:rPr>
            <w:rStyle w:val="Hyperlink"/>
            <w:rFonts w:cs="Arial"/>
            <w:color w:val="000000" w:themeColor="text1"/>
            <w:szCs w:val="22"/>
          </w:rPr>
          <w:t>https://www.cato.org/publications/white-paper/drug-decriminalization-portugal-lessons-creating-fair-successful</w:t>
        </w:r>
      </w:hyperlink>
      <w:r w:rsidRPr="003D23D0">
        <w:rPr>
          <w:rFonts w:cs="Arial"/>
          <w:color w:val="000000" w:themeColor="text1"/>
          <w:szCs w:val="22"/>
        </w:rPr>
        <w:t xml:space="preserve"> (Accessed: 6 Nov. 2025). </w:t>
      </w:r>
    </w:p>
    <w:p w14:paraId="4384F427" w14:textId="77777777" w:rsidR="00334658" w:rsidRDefault="00334658" w:rsidP="00334658">
      <w:pPr>
        <w:spacing w:before="100" w:beforeAutospacing="1" w:after="100" w:afterAutospacing="1" w:line="360" w:lineRule="auto"/>
        <w:rPr>
          <w:rFonts w:cs="Arial"/>
          <w:color w:val="000000" w:themeColor="text1"/>
          <w:szCs w:val="22"/>
        </w:rPr>
      </w:pPr>
      <w:r w:rsidRPr="009C72BD">
        <w:rPr>
          <w:rFonts w:cs="Arial"/>
          <w:color w:val="000000" w:themeColor="text1"/>
          <w:szCs w:val="22"/>
        </w:rPr>
        <w:t>Hart, J.T. (1971) </w:t>
      </w:r>
      <w:r w:rsidRPr="009C72BD">
        <w:rPr>
          <w:rFonts w:cs="Arial"/>
          <w:i/>
          <w:iCs/>
          <w:color w:val="000000" w:themeColor="text1"/>
          <w:szCs w:val="22"/>
        </w:rPr>
        <w:t>The inverse care law.</w:t>
      </w:r>
      <w:r w:rsidRPr="009C72BD">
        <w:rPr>
          <w:rFonts w:cs="Arial"/>
          <w:color w:val="000000" w:themeColor="text1"/>
          <w:szCs w:val="22"/>
        </w:rPr>
        <w:t> The Lancet, 297(7696), pp.405–412.</w:t>
      </w:r>
    </w:p>
    <w:p w14:paraId="4B9661F6" w14:textId="665AC6AE" w:rsidR="00334658" w:rsidRPr="00334658" w:rsidRDefault="00334658" w:rsidP="00334658">
      <w:pPr>
        <w:spacing w:before="100" w:beforeAutospacing="1" w:after="100" w:afterAutospacing="1" w:line="360" w:lineRule="auto"/>
        <w:rPr>
          <w:rFonts w:cs="Arial"/>
          <w:color w:val="000000" w:themeColor="text1"/>
          <w:szCs w:val="22"/>
        </w:rPr>
      </w:pPr>
      <w:r w:rsidRPr="003D23D0">
        <w:rPr>
          <w:rFonts w:cs="Arial"/>
          <w:color w:val="000000" w:themeColor="text1"/>
          <w:szCs w:val="22"/>
          <w:shd w:val="clear" w:color="auto" w:fill="FFFFFF"/>
        </w:rPr>
        <w:t>Hartung, F.E. (1965) ‘Outsiders: Studies in the Sociology of Deviance’,</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Journal of criminal law, criminology &amp; police science</w:t>
      </w:r>
      <w:r w:rsidRPr="003D23D0">
        <w:rPr>
          <w:rFonts w:cs="Arial"/>
          <w:color w:val="000000" w:themeColor="text1"/>
          <w:szCs w:val="22"/>
          <w:shd w:val="clear" w:color="auto" w:fill="FFFFFF"/>
        </w:rPr>
        <w:t xml:space="preserve">. Williams &amp; Wilkins Company, pp. 230–231. Available at: </w:t>
      </w:r>
      <w:hyperlink r:id="rId37" w:history="1">
        <w:r w:rsidRPr="003D23D0">
          <w:rPr>
            <w:rStyle w:val="Hyperlink"/>
            <w:rFonts w:cs="Arial"/>
            <w:color w:val="000000" w:themeColor="text1"/>
            <w:szCs w:val="22"/>
            <w:shd w:val="clear" w:color="auto" w:fill="FFFFFF"/>
          </w:rPr>
          <w:t>https://doi.org/10.2307/1140513</w:t>
        </w:r>
      </w:hyperlink>
      <w:r w:rsidRPr="003D23D0">
        <w:rPr>
          <w:rFonts w:cs="Arial"/>
          <w:color w:val="000000" w:themeColor="text1"/>
          <w:szCs w:val="22"/>
          <w:shd w:val="clear" w:color="auto" w:fill="FFFFFF"/>
        </w:rPr>
        <w:t xml:space="preserve">. </w:t>
      </w:r>
      <w:r>
        <w:rPr>
          <w:rFonts w:cs="Arial"/>
          <w:color w:val="000000" w:themeColor="text1"/>
          <w:szCs w:val="22"/>
          <w:shd w:val="clear" w:color="auto" w:fill="FFFFFF"/>
        </w:rPr>
        <w:t xml:space="preserve"> </w:t>
      </w:r>
    </w:p>
    <w:p w14:paraId="6338F09C"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Hatzenbuehler, M. L., Phelan, J.C. &amp; Link, B.G., (2013). ‘Stigma as a fundamental cause of population health inequalities.’ </w:t>
      </w:r>
      <w:r w:rsidRPr="003D23D0">
        <w:rPr>
          <w:rFonts w:cs="Arial"/>
          <w:i/>
          <w:iCs/>
          <w:color w:val="000000" w:themeColor="text1"/>
          <w:szCs w:val="22"/>
        </w:rPr>
        <w:t>American Journal of Public Health</w:t>
      </w:r>
      <w:r w:rsidRPr="003D23D0">
        <w:rPr>
          <w:rFonts w:cs="Arial"/>
          <w:color w:val="000000" w:themeColor="text1"/>
          <w:szCs w:val="22"/>
        </w:rPr>
        <w:t xml:space="preserve">, 103(5), pp.813-821. </w:t>
      </w:r>
      <w:r w:rsidRPr="003D23D0">
        <w:rPr>
          <w:rFonts w:cs="Arial"/>
          <w:color w:val="000000" w:themeColor="text1"/>
          <w:szCs w:val="22"/>
        </w:rPr>
        <w:br/>
        <w:t>Available at: </w:t>
      </w:r>
      <w:hyperlink r:id="rId38" w:tgtFrame="_new" w:history="1">
        <w:r w:rsidRPr="003D23D0">
          <w:rPr>
            <w:rFonts w:cs="Arial"/>
            <w:color w:val="000000" w:themeColor="text1"/>
            <w:szCs w:val="22"/>
            <w:u w:val="single"/>
          </w:rPr>
          <w:t>https://ajph.aphapublications.org/doi/10.2105/AJPH.2012.301069</w:t>
        </w:r>
      </w:hyperlink>
      <w:r w:rsidRPr="003D23D0">
        <w:rPr>
          <w:rFonts w:cs="Arial"/>
          <w:color w:val="000000" w:themeColor="text1"/>
          <w:szCs w:val="22"/>
        </w:rPr>
        <w:t> (Accessed: 6 Nov. 2025).</w:t>
      </w:r>
    </w:p>
    <w:p w14:paraId="592E90BC"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Home Office, (2025). </w:t>
      </w:r>
      <w:r w:rsidRPr="003D23D0">
        <w:rPr>
          <w:rFonts w:cs="Arial"/>
          <w:i/>
          <w:iCs/>
          <w:color w:val="000000" w:themeColor="text1"/>
          <w:szCs w:val="22"/>
        </w:rPr>
        <w:t>Misuse of Drugs Act 1971.</w:t>
      </w:r>
      <w:r w:rsidRPr="003D23D0">
        <w:rPr>
          <w:rFonts w:cs="Arial"/>
          <w:color w:val="000000" w:themeColor="text1"/>
          <w:szCs w:val="22"/>
        </w:rPr>
        <w:t> London: HMSO.</w:t>
      </w:r>
      <w:r w:rsidRPr="003D23D0">
        <w:rPr>
          <w:rFonts w:cs="Arial"/>
          <w:color w:val="000000" w:themeColor="text1"/>
          <w:szCs w:val="22"/>
        </w:rPr>
        <w:br/>
        <w:t>Available at: </w:t>
      </w:r>
      <w:hyperlink r:id="rId39" w:tgtFrame="_new" w:history="1">
        <w:r w:rsidRPr="003D23D0">
          <w:rPr>
            <w:rFonts w:cs="Arial"/>
            <w:color w:val="000000" w:themeColor="text1"/>
            <w:szCs w:val="22"/>
            <w:u w:val="single"/>
          </w:rPr>
          <w:t>https://www.legislation.gov.uk/ukpga/1971/38/contents/enacted</w:t>
        </w:r>
      </w:hyperlink>
      <w:r w:rsidRPr="003D23D0">
        <w:rPr>
          <w:rFonts w:cs="Arial"/>
          <w:color w:val="000000" w:themeColor="text1"/>
          <w:szCs w:val="22"/>
        </w:rPr>
        <w:t> (Accessed: 6 Nov. 2025).</w:t>
      </w:r>
    </w:p>
    <w:p w14:paraId="670C9F41" w14:textId="3C33FEAE"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Hughes, C. E. &amp; Stevens, A., (2010). ‘What can we learn from the Portuguese decriminalization of illicit drugs?’ </w:t>
      </w:r>
      <w:r w:rsidRPr="003D23D0">
        <w:rPr>
          <w:rFonts w:cs="Arial"/>
          <w:i/>
          <w:iCs/>
          <w:color w:val="000000" w:themeColor="text1"/>
          <w:szCs w:val="22"/>
        </w:rPr>
        <w:t>British Journal of Criminology</w:t>
      </w:r>
      <w:r w:rsidRPr="003D23D0">
        <w:rPr>
          <w:rFonts w:cs="Arial"/>
          <w:color w:val="000000" w:themeColor="text1"/>
          <w:szCs w:val="22"/>
        </w:rPr>
        <w:t xml:space="preserve">, 50(6), pp.999-1022. </w:t>
      </w:r>
      <w:r w:rsidRPr="003D23D0">
        <w:rPr>
          <w:rFonts w:cs="Arial"/>
          <w:color w:val="000000" w:themeColor="text1"/>
          <w:szCs w:val="22"/>
        </w:rPr>
        <w:br/>
        <w:t>Available at: </w:t>
      </w:r>
      <w:hyperlink r:id="rId40" w:history="1">
        <w:r w:rsidRPr="003D23D0">
          <w:rPr>
            <w:rStyle w:val="Hyperlink"/>
            <w:rFonts w:cs="Arial"/>
            <w:color w:val="000000" w:themeColor="text1"/>
            <w:szCs w:val="22"/>
          </w:rPr>
          <w:t>https://academic.oup.com/bjc/article/50/6/999/608687</w:t>
        </w:r>
      </w:hyperlink>
      <w:r w:rsidRPr="003D23D0">
        <w:rPr>
          <w:rFonts w:cs="Arial"/>
          <w:color w:val="000000" w:themeColor="text1"/>
          <w:szCs w:val="22"/>
        </w:rPr>
        <w:t xml:space="preserve"> (Accessed: 6 Nov. 2025).</w:t>
      </w:r>
      <w:r w:rsidRPr="002D4C10">
        <w:rPr>
          <w:rFonts w:cs="Arial"/>
          <w:color w:val="000000" w:themeColor="text1"/>
          <w:szCs w:val="22"/>
        </w:rPr>
        <w:br/>
        <w:t>Hughes, K. et al., 2017. ‘The effect of multiple adverse childhood experiences on health: a systematic review and meta-analysis’, </w:t>
      </w:r>
      <w:r w:rsidRPr="002D4C10">
        <w:rPr>
          <w:rFonts w:cs="Arial"/>
          <w:i/>
          <w:iCs/>
          <w:color w:val="000000" w:themeColor="text1"/>
          <w:szCs w:val="22"/>
        </w:rPr>
        <w:t>The Lancet Public Health</w:t>
      </w:r>
      <w:r w:rsidRPr="002D4C10">
        <w:rPr>
          <w:rFonts w:cs="Arial"/>
          <w:color w:val="000000" w:themeColor="text1"/>
          <w:szCs w:val="22"/>
        </w:rPr>
        <w:t xml:space="preserve">, 2(8), e356–e366. </w:t>
      </w:r>
      <w:hyperlink r:id="rId41" w:history="1">
        <w:r w:rsidRPr="003D23D0">
          <w:rPr>
            <w:rStyle w:val="Hyperlink"/>
            <w:rFonts w:cs="Arial"/>
            <w:color w:val="000000" w:themeColor="text1"/>
            <w:szCs w:val="22"/>
          </w:rPr>
          <w:t>https://</w:t>
        </w:r>
        <w:r w:rsidRPr="002D4C10">
          <w:rPr>
            <w:rStyle w:val="Hyperlink"/>
            <w:rFonts w:cs="Arial"/>
            <w:color w:val="000000" w:themeColor="text1"/>
            <w:szCs w:val="22"/>
          </w:rPr>
          <w:t>doi:10.1016/S2468-2667</w:t>
        </w:r>
        <w:r w:rsidRPr="003D23D0">
          <w:rPr>
            <w:rStyle w:val="Hyperlink"/>
            <w:rFonts w:cs="Arial"/>
            <w:color w:val="000000" w:themeColor="text1"/>
            <w:szCs w:val="22"/>
          </w:rPr>
          <w:t xml:space="preserve"> </w:t>
        </w:r>
        <w:r w:rsidRPr="002D4C10">
          <w:rPr>
            <w:rStyle w:val="Hyperlink"/>
            <w:rFonts w:cs="Arial"/>
            <w:color w:val="000000" w:themeColor="text1"/>
            <w:szCs w:val="22"/>
          </w:rPr>
          <w:t>(17)30118-4</w:t>
        </w:r>
      </w:hyperlink>
      <w:r w:rsidRPr="002D4C10">
        <w:rPr>
          <w:rFonts w:cs="Arial"/>
          <w:color w:val="000000" w:themeColor="text1"/>
          <w:szCs w:val="22"/>
        </w:rPr>
        <w:t>.</w:t>
      </w:r>
      <w:r w:rsidRPr="003D23D0">
        <w:rPr>
          <w:rFonts w:cs="Arial"/>
          <w:color w:val="000000" w:themeColor="text1"/>
          <w:szCs w:val="22"/>
        </w:rPr>
        <w:t xml:space="preserve"> </w:t>
      </w:r>
    </w:p>
    <w:p w14:paraId="6A466A8F"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Hughes, K., Bellis, M.A., Hardcastle, K.A., et al. (2017) </w:t>
      </w:r>
      <w:r w:rsidRPr="009C72BD">
        <w:rPr>
          <w:rFonts w:cs="Arial"/>
          <w:i/>
          <w:iCs/>
          <w:color w:val="000000" w:themeColor="text1"/>
          <w:szCs w:val="22"/>
        </w:rPr>
        <w:t>The effect of multiple adverse childhood experiences on health: A systematic review and meta-analysis.</w:t>
      </w:r>
      <w:r w:rsidRPr="009C72BD">
        <w:rPr>
          <w:rFonts w:cs="Arial"/>
          <w:color w:val="000000" w:themeColor="text1"/>
          <w:szCs w:val="22"/>
        </w:rPr>
        <w:t> The Lancet Public Health, 2(8), pp.e356–e366.</w:t>
      </w:r>
    </w:p>
    <w:p w14:paraId="2A72EA02"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lastRenderedPageBreak/>
        <w:br/>
        <w:t>Hughes, K., Bellis, M.A., Hardcastle, K.A., Sethi, D., Butchart, A., Mikton, C., Jones, L. &amp; Dunne, M.P., (2017). The effect of multiple adverse childhood experiences on health: a systematic review and meta-analysis. </w:t>
      </w:r>
      <w:r w:rsidRPr="003D23D0">
        <w:rPr>
          <w:rFonts w:cs="Arial"/>
          <w:i/>
          <w:iCs/>
          <w:color w:val="000000" w:themeColor="text1"/>
          <w:szCs w:val="22"/>
        </w:rPr>
        <w:t>The Lancet Public Health</w:t>
      </w:r>
      <w:r w:rsidRPr="003D23D0">
        <w:rPr>
          <w:rFonts w:cs="Arial"/>
          <w:color w:val="000000" w:themeColor="text1"/>
          <w:szCs w:val="22"/>
        </w:rPr>
        <w:t>, 2(8), e356-e366. doi:10.1016/S2468-2667(17)30118-4. Available at: </w:t>
      </w:r>
      <w:hyperlink r:id="rId42" w:history="1">
        <w:r w:rsidRPr="003D23D0">
          <w:rPr>
            <w:rStyle w:val="Hyperlink"/>
            <w:rFonts w:cs="Arial"/>
            <w:color w:val="000000" w:themeColor="text1"/>
            <w:szCs w:val="22"/>
          </w:rPr>
          <w:t>https://www.thelancet.com/journals/lanpub/article/PIIS2468-2667(17)30118-4/fulltext</w:t>
        </w:r>
      </w:hyperlink>
      <w:r w:rsidRPr="003D23D0">
        <w:rPr>
          <w:rFonts w:cs="Arial"/>
          <w:color w:val="000000" w:themeColor="text1"/>
          <w:szCs w:val="22"/>
        </w:rPr>
        <w:t xml:space="preserve"> (Accessed 5 Nov. 2025).</w:t>
      </w:r>
    </w:p>
    <w:p w14:paraId="15882473" w14:textId="77777777" w:rsidR="00334658" w:rsidRPr="003D23D0"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Institute of Health Equity (2023) </w:t>
      </w:r>
      <w:r w:rsidRPr="00935115">
        <w:rPr>
          <w:rFonts w:cs="Arial"/>
          <w:i/>
          <w:iCs/>
          <w:color w:val="000000" w:themeColor="text1"/>
          <w:szCs w:val="22"/>
        </w:rPr>
        <w:t>Health Equity in England: The Marmot Review 10 Years On – Update.</w:t>
      </w:r>
      <w:r w:rsidRPr="00935115">
        <w:rPr>
          <w:rFonts w:cs="Arial"/>
          <w:color w:val="000000" w:themeColor="text1"/>
          <w:szCs w:val="22"/>
        </w:rPr>
        <w:t> London: UCL.</w:t>
      </w:r>
      <w:r w:rsidRPr="003D23D0">
        <w:rPr>
          <w:rFonts w:cs="Arial"/>
          <w:color w:val="000000" w:themeColor="text1"/>
          <w:szCs w:val="22"/>
        </w:rPr>
        <w:t xml:space="preserve"> Available at: </w:t>
      </w:r>
      <w:hyperlink r:id="rId43" w:history="1">
        <w:r w:rsidRPr="003D23D0">
          <w:rPr>
            <w:rStyle w:val="Hyperlink"/>
            <w:rFonts w:cs="Arial"/>
            <w:color w:val="000000" w:themeColor="text1"/>
            <w:szCs w:val="22"/>
          </w:rPr>
          <w:t>https://www.instituteofhealthequity.org/resources-reports/fair-society-healthy-lives-the-marmot-review</w:t>
        </w:r>
      </w:hyperlink>
      <w:r w:rsidRPr="003D23D0">
        <w:rPr>
          <w:rFonts w:cs="Arial"/>
          <w:color w:val="000000" w:themeColor="text1"/>
          <w:szCs w:val="22"/>
        </w:rPr>
        <w:t xml:space="preserve"> (Accessed 16 Sep. 2025).</w:t>
      </w:r>
    </w:p>
    <w:p w14:paraId="22EAFB76"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Joseph Rowntree Foundation (2023) </w:t>
      </w:r>
      <w:r w:rsidRPr="009C72BD">
        <w:rPr>
          <w:rFonts w:cs="Arial"/>
          <w:i/>
          <w:iCs/>
          <w:color w:val="000000" w:themeColor="text1"/>
          <w:szCs w:val="22"/>
        </w:rPr>
        <w:t>UK Poverty 2023: The essential overview.</w:t>
      </w:r>
      <w:r w:rsidRPr="009C72BD">
        <w:rPr>
          <w:rFonts w:cs="Arial"/>
          <w:color w:val="000000" w:themeColor="text1"/>
          <w:szCs w:val="22"/>
        </w:rPr>
        <w:t xml:space="preserve"> JRF. Available at: https://www.jrf.org.uk/report/UK-poverty-2023 (Accessed: </w:t>
      </w:r>
      <w:r>
        <w:rPr>
          <w:rFonts w:cs="Arial"/>
          <w:color w:val="000000" w:themeColor="text1"/>
          <w:szCs w:val="22"/>
        </w:rPr>
        <w:t>10</w:t>
      </w:r>
      <w:r w:rsidRPr="009C72BD">
        <w:rPr>
          <w:rFonts w:cs="Arial"/>
          <w:color w:val="000000" w:themeColor="text1"/>
          <w:szCs w:val="22"/>
        </w:rPr>
        <w:t xml:space="preserve"> Nov 202</w:t>
      </w:r>
      <w:r>
        <w:rPr>
          <w:rFonts w:cs="Arial"/>
          <w:color w:val="000000" w:themeColor="text1"/>
          <w:szCs w:val="22"/>
        </w:rPr>
        <w:t>5</w:t>
      </w:r>
      <w:r w:rsidRPr="009C72BD">
        <w:rPr>
          <w:rFonts w:cs="Arial"/>
          <w:color w:val="000000" w:themeColor="text1"/>
          <w:szCs w:val="22"/>
        </w:rPr>
        <w:t>).</w:t>
      </w:r>
    </w:p>
    <w:p w14:paraId="2BBDB3BD"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Karamanos, A.</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et al.</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(2022) ‘Adverse childhood experiences and adolescent drug use in the UK: The moderating role of socioeconomic position and ethnicity’,</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SSM - population health</w:t>
      </w:r>
      <w:r w:rsidRPr="003D23D0">
        <w:rPr>
          <w:rFonts w:cs="Arial"/>
          <w:color w:val="000000" w:themeColor="text1"/>
          <w:szCs w:val="22"/>
          <w:shd w:val="clear" w:color="auto" w:fill="FFFFFF"/>
        </w:rPr>
        <w:t xml:space="preserve">, 19. Available at: </w:t>
      </w:r>
      <w:hyperlink r:id="rId44" w:history="1">
        <w:r w:rsidRPr="003D23D0">
          <w:rPr>
            <w:rStyle w:val="Hyperlink"/>
            <w:rFonts w:cs="Arial"/>
            <w:color w:val="000000" w:themeColor="text1"/>
            <w:szCs w:val="22"/>
            <w:shd w:val="clear" w:color="auto" w:fill="FFFFFF"/>
          </w:rPr>
          <w:t>https://doi.org/10.1016/j.ssmph.2022.101142</w:t>
        </w:r>
      </w:hyperlink>
      <w:r w:rsidRPr="003D23D0">
        <w:rPr>
          <w:rFonts w:cs="Arial"/>
          <w:color w:val="000000" w:themeColor="text1"/>
          <w:szCs w:val="22"/>
          <w:shd w:val="clear" w:color="auto" w:fill="FFFFFF"/>
        </w:rPr>
        <w:t xml:space="preserve">. </w:t>
      </w:r>
    </w:p>
    <w:p w14:paraId="27A51348"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Kerr, T., Mitra, S., Kennedy, M. C. &amp; McNeil, R., (2017). ‘Supervised injection facilities in Canada: past, present, and future.’ </w:t>
      </w:r>
      <w:r w:rsidRPr="003D23D0">
        <w:rPr>
          <w:rFonts w:cs="Arial"/>
          <w:i/>
          <w:iCs/>
          <w:color w:val="000000" w:themeColor="text1"/>
          <w:szCs w:val="22"/>
        </w:rPr>
        <w:t>Harm Reduction Journal</w:t>
      </w:r>
      <w:r w:rsidRPr="003D23D0">
        <w:rPr>
          <w:rFonts w:cs="Arial"/>
          <w:color w:val="000000" w:themeColor="text1"/>
          <w:szCs w:val="22"/>
        </w:rPr>
        <w:t>, 14(28). doi:10.1186/s12954-017-0154-1. Available at: </w:t>
      </w:r>
      <w:hyperlink r:id="rId45" w:tgtFrame="_new" w:history="1">
        <w:r w:rsidRPr="003D23D0">
          <w:rPr>
            <w:rFonts w:cs="Arial"/>
            <w:color w:val="000000" w:themeColor="text1"/>
            <w:szCs w:val="22"/>
            <w:u w:val="single"/>
          </w:rPr>
          <w:t>https://harmreductionjournal.biomedcentral.com/articles/10.1186/s12954-017-0154-1</w:t>
        </w:r>
      </w:hyperlink>
      <w:r w:rsidRPr="003D23D0">
        <w:rPr>
          <w:rFonts w:cs="Arial"/>
          <w:color w:val="000000" w:themeColor="text1"/>
          <w:szCs w:val="22"/>
        </w:rPr>
        <w:t> (Accessed: 6 Nov. 2025).</w:t>
      </w:r>
    </w:p>
    <w:p w14:paraId="02E17EC9" w14:textId="77777777" w:rsidR="00334658" w:rsidRPr="003D23D0" w:rsidRDefault="00334658" w:rsidP="003D23D0">
      <w:pPr>
        <w:spacing w:after="240" w:line="360" w:lineRule="auto"/>
        <w:rPr>
          <w:rFonts w:cs="Arial"/>
          <w:color w:val="000000" w:themeColor="text1"/>
          <w:szCs w:val="22"/>
        </w:rPr>
      </w:pPr>
      <w:r w:rsidRPr="00BA4FAC">
        <w:rPr>
          <w:rFonts w:cs="Arial"/>
          <w:color w:val="000000" w:themeColor="text1"/>
          <w:szCs w:val="22"/>
        </w:rPr>
        <w:t>Khantzian, E.J. (1997). The self-medication Hypothesis of Substance Use disorders: a Reconsideration and Recent Applications. </w:t>
      </w:r>
      <w:r w:rsidRPr="00BA4FAC">
        <w:rPr>
          <w:rFonts w:cs="Arial"/>
          <w:i/>
          <w:iCs/>
          <w:color w:val="000000" w:themeColor="text1"/>
          <w:szCs w:val="22"/>
        </w:rPr>
        <w:t>Harvard Review of Psychiatry</w:t>
      </w:r>
      <w:r w:rsidRPr="00BA4FAC">
        <w:rPr>
          <w:rFonts w:cs="Arial"/>
          <w:color w:val="000000" w:themeColor="text1"/>
          <w:szCs w:val="22"/>
        </w:rPr>
        <w:t xml:space="preserve">, 4(5), pp.231–244. </w:t>
      </w:r>
      <w:r w:rsidRPr="003D23D0">
        <w:rPr>
          <w:rFonts w:cs="Arial"/>
          <w:color w:val="000000" w:themeColor="text1"/>
          <w:szCs w:val="22"/>
        </w:rPr>
        <w:t xml:space="preserve">Available at: </w:t>
      </w:r>
      <w:r w:rsidRPr="00BA4FAC">
        <w:rPr>
          <w:rFonts w:cs="Arial"/>
          <w:color w:val="000000" w:themeColor="text1"/>
          <w:szCs w:val="22"/>
        </w:rPr>
        <w:t>doi:https://doi.org/10.3109/10673229709030550.</w:t>
      </w:r>
      <w:r w:rsidRPr="003D23D0">
        <w:rPr>
          <w:rFonts w:cs="Arial"/>
          <w:color w:val="000000" w:themeColor="text1"/>
          <w:szCs w:val="22"/>
        </w:rPr>
        <w:t xml:space="preserve"> </w:t>
      </w:r>
    </w:p>
    <w:p w14:paraId="1FC99F64"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Kwong, A.S.F.</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et al.</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(2021) ‘Mental health before and during the COVID-19 pandemic in two longitudinal UK population cohorts’,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British journal of psychiatry</w:t>
      </w:r>
      <w:r w:rsidRPr="003D23D0">
        <w:rPr>
          <w:rFonts w:cs="Arial"/>
          <w:color w:val="000000" w:themeColor="text1"/>
          <w:szCs w:val="22"/>
          <w:shd w:val="clear" w:color="auto" w:fill="FFFFFF"/>
        </w:rPr>
        <w:t xml:space="preserve">, 218(6), pp. 334–343. Available at: </w:t>
      </w:r>
      <w:hyperlink r:id="rId46" w:history="1">
        <w:r w:rsidRPr="003D23D0">
          <w:rPr>
            <w:rStyle w:val="Hyperlink"/>
            <w:rFonts w:cs="Arial"/>
            <w:color w:val="000000" w:themeColor="text1"/>
            <w:szCs w:val="22"/>
            <w:shd w:val="clear" w:color="auto" w:fill="FFFFFF"/>
          </w:rPr>
          <w:t>https://doi.org/10.1192/bjp.2020.242</w:t>
        </w:r>
      </w:hyperlink>
      <w:r w:rsidRPr="003D23D0">
        <w:rPr>
          <w:rFonts w:cs="Arial"/>
          <w:color w:val="000000" w:themeColor="text1"/>
          <w:szCs w:val="22"/>
          <w:shd w:val="clear" w:color="auto" w:fill="FFFFFF"/>
        </w:rPr>
        <w:t>.</w:t>
      </w:r>
    </w:p>
    <w:p w14:paraId="14F485EA"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Lister, R. and Deacon, A. (2004) ‘Poverty’,</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Social policy and society : a journal of the Social Policy Association</w:t>
      </w:r>
      <w:r w:rsidRPr="003D23D0">
        <w:rPr>
          <w:rFonts w:cs="Arial"/>
          <w:color w:val="000000" w:themeColor="text1"/>
          <w:szCs w:val="22"/>
          <w:shd w:val="clear" w:color="auto" w:fill="FFFFFF"/>
        </w:rPr>
        <w:t>, pp. 447–455.</w:t>
      </w:r>
    </w:p>
    <w:p w14:paraId="03C23089"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Lloyd, C., King, R. and Moore, L. (2019) </w:t>
      </w:r>
      <w:r w:rsidRPr="009C72BD">
        <w:rPr>
          <w:rFonts w:cs="Arial"/>
          <w:i/>
          <w:iCs/>
          <w:color w:val="000000" w:themeColor="text1"/>
          <w:szCs w:val="22"/>
        </w:rPr>
        <w:t>Subjective barriers to accessing mental health services: A qualitative review.</w:t>
      </w:r>
      <w:r w:rsidRPr="009C72BD">
        <w:rPr>
          <w:rFonts w:cs="Arial"/>
          <w:color w:val="000000" w:themeColor="text1"/>
          <w:szCs w:val="22"/>
        </w:rPr>
        <w:t>Journal of Mental Health, 28(3), pp.234–245.</w:t>
      </w:r>
    </w:p>
    <w:p w14:paraId="07E349C4" w14:textId="5026AE50" w:rsidR="00334658" w:rsidRDefault="00334658" w:rsidP="00334658">
      <w:pPr>
        <w:spacing w:before="100" w:beforeAutospacing="1" w:after="100" w:afterAutospacing="1" w:line="360" w:lineRule="auto"/>
        <w:rPr>
          <w:rFonts w:cs="Arial"/>
          <w:color w:val="000000" w:themeColor="text1"/>
          <w:szCs w:val="22"/>
        </w:rPr>
      </w:pPr>
      <w:r w:rsidRPr="00935115">
        <w:rPr>
          <w:rFonts w:cs="Arial"/>
          <w:color w:val="000000" w:themeColor="text1"/>
          <w:szCs w:val="22"/>
        </w:rPr>
        <w:t>Lloyd, C., Steadman, K., and Murphy, H. (2019) </w:t>
      </w:r>
      <w:r w:rsidRPr="00935115">
        <w:rPr>
          <w:rFonts w:cs="Arial"/>
          <w:i/>
          <w:iCs/>
          <w:color w:val="000000" w:themeColor="text1"/>
          <w:szCs w:val="22"/>
        </w:rPr>
        <w:t>Insecure Work and Mental Health: Evidence Review.</w:t>
      </w:r>
      <w:r w:rsidRPr="00935115">
        <w:rPr>
          <w:rFonts w:cs="Arial"/>
          <w:color w:val="000000" w:themeColor="text1"/>
          <w:szCs w:val="22"/>
        </w:rPr>
        <w:t> The Work Foundation. Available at: </w:t>
      </w:r>
      <w:hyperlink r:id="rId47" w:tgtFrame="_new" w:history="1">
        <w:r w:rsidRPr="00935115">
          <w:rPr>
            <w:rFonts w:cs="Arial"/>
            <w:color w:val="000000" w:themeColor="text1"/>
            <w:szCs w:val="22"/>
            <w:u w:val="single"/>
          </w:rPr>
          <w:t>https://www.theworkfoundation.com</w:t>
        </w:r>
      </w:hyperlink>
      <w:r w:rsidRPr="00935115">
        <w:rPr>
          <w:rFonts w:cs="Arial"/>
          <w:color w:val="000000" w:themeColor="text1"/>
          <w:szCs w:val="22"/>
        </w:rPr>
        <w:t> (Accessed: 5 June 2025).</w:t>
      </w:r>
      <w:r w:rsidRPr="002D4C10">
        <w:rPr>
          <w:rFonts w:cs="Arial"/>
          <w:color w:val="000000" w:themeColor="text1"/>
          <w:szCs w:val="22"/>
        </w:rPr>
        <w:br/>
        <w:t xml:space="preserve">Lloyd, C., Waghorn, G. &amp; Williams, P.L., </w:t>
      </w:r>
      <w:r w:rsidRPr="003D23D0">
        <w:rPr>
          <w:rFonts w:cs="Arial"/>
          <w:color w:val="000000" w:themeColor="text1"/>
          <w:szCs w:val="22"/>
        </w:rPr>
        <w:t>(</w:t>
      </w:r>
      <w:r w:rsidRPr="002D4C10">
        <w:rPr>
          <w:rFonts w:cs="Arial"/>
          <w:color w:val="000000" w:themeColor="text1"/>
          <w:szCs w:val="22"/>
        </w:rPr>
        <w:t>2019</w:t>
      </w:r>
      <w:r w:rsidRPr="003D23D0">
        <w:rPr>
          <w:rFonts w:cs="Arial"/>
          <w:color w:val="000000" w:themeColor="text1"/>
          <w:szCs w:val="22"/>
        </w:rPr>
        <w:t>)</w:t>
      </w:r>
      <w:r w:rsidRPr="002D4C10">
        <w:rPr>
          <w:rFonts w:cs="Arial"/>
          <w:color w:val="000000" w:themeColor="text1"/>
          <w:szCs w:val="22"/>
        </w:rPr>
        <w:t xml:space="preserve">. ‘The role of social and economic factors in </w:t>
      </w:r>
      <w:r w:rsidRPr="002D4C10">
        <w:rPr>
          <w:rFonts w:cs="Arial"/>
          <w:color w:val="000000" w:themeColor="text1"/>
          <w:szCs w:val="22"/>
        </w:rPr>
        <w:lastRenderedPageBreak/>
        <w:t>recovery from addiction’, </w:t>
      </w:r>
      <w:r w:rsidRPr="002D4C10">
        <w:rPr>
          <w:rFonts w:cs="Arial"/>
          <w:i/>
          <w:iCs/>
          <w:color w:val="000000" w:themeColor="text1"/>
          <w:szCs w:val="22"/>
        </w:rPr>
        <w:t>Addiction Research &amp; Theory</w:t>
      </w:r>
      <w:r w:rsidRPr="002D4C10">
        <w:rPr>
          <w:rFonts w:cs="Arial"/>
          <w:color w:val="000000" w:themeColor="text1"/>
          <w:szCs w:val="22"/>
        </w:rPr>
        <w:t xml:space="preserve">, 27(1), pp.1–9. </w:t>
      </w:r>
      <w:r w:rsidRPr="003D23D0">
        <w:rPr>
          <w:rFonts w:cs="Arial"/>
          <w:color w:val="000000" w:themeColor="text1"/>
          <w:szCs w:val="22"/>
        </w:rPr>
        <w:t>Available at: </w:t>
      </w:r>
      <w:hyperlink r:id="rId48" w:history="1">
        <w:r w:rsidRPr="003D23D0">
          <w:rPr>
            <w:rStyle w:val="Hyperlink"/>
            <w:rFonts w:cs="Arial"/>
            <w:color w:val="000000" w:themeColor="text1"/>
            <w:szCs w:val="22"/>
          </w:rPr>
          <w:t>https://</w:t>
        </w:r>
        <w:r w:rsidRPr="002D4C10">
          <w:rPr>
            <w:rStyle w:val="Hyperlink"/>
            <w:rFonts w:cs="Arial"/>
            <w:color w:val="000000" w:themeColor="text1"/>
            <w:szCs w:val="22"/>
          </w:rPr>
          <w:t>doi:10.1080/16066359.2018.1478429</w:t>
        </w:r>
      </w:hyperlink>
      <w:r w:rsidRPr="002D4C10">
        <w:rPr>
          <w:rFonts w:cs="Arial"/>
          <w:color w:val="000000" w:themeColor="text1"/>
          <w:szCs w:val="22"/>
        </w:rPr>
        <w:t>.</w:t>
      </w:r>
      <w:r w:rsidRPr="003D23D0">
        <w:rPr>
          <w:rFonts w:cs="Arial"/>
          <w:color w:val="000000" w:themeColor="text1"/>
          <w:szCs w:val="22"/>
        </w:rPr>
        <w:t xml:space="preserve"> </w:t>
      </w:r>
    </w:p>
    <w:p w14:paraId="3591A039" w14:textId="77777777" w:rsidR="00334658" w:rsidRPr="003D23D0" w:rsidRDefault="00334658" w:rsidP="003D23D0">
      <w:pPr>
        <w:spacing w:after="240" w:line="360" w:lineRule="auto"/>
        <w:rPr>
          <w:rFonts w:cs="Arial"/>
          <w:color w:val="000000" w:themeColor="text1"/>
          <w:szCs w:val="22"/>
        </w:rPr>
      </w:pPr>
      <w:r w:rsidRPr="00353708">
        <w:rPr>
          <w:rFonts w:cs="Arial"/>
          <w:color w:val="000000" w:themeColor="text1"/>
          <w:szCs w:val="22"/>
        </w:rPr>
        <w:t>Marmot, M., Allen, J., Boyce, T., Goldblatt, P. and Morrison, J. (2020). </w:t>
      </w:r>
      <w:r w:rsidRPr="00353708">
        <w:rPr>
          <w:rFonts w:cs="Arial"/>
          <w:i/>
          <w:iCs/>
          <w:color w:val="000000" w:themeColor="text1"/>
          <w:szCs w:val="22"/>
        </w:rPr>
        <w:t>Health Equity in England: the Marmot Review 10 Years On</w:t>
      </w:r>
      <w:r w:rsidRPr="00353708">
        <w:rPr>
          <w:rFonts w:cs="Arial"/>
          <w:color w:val="000000" w:themeColor="text1"/>
          <w:szCs w:val="22"/>
        </w:rPr>
        <w:t xml:space="preserve">. Institute of Health Equity. Available at: </w:t>
      </w:r>
      <w:hyperlink r:id="rId49" w:history="1">
        <w:r w:rsidRPr="00353708">
          <w:rPr>
            <w:rStyle w:val="Hyperlink"/>
            <w:rFonts w:cs="Arial"/>
            <w:color w:val="000000" w:themeColor="text1"/>
            <w:szCs w:val="22"/>
          </w:rPr>
          <w:t>https://www.instituteofhealthequity.org/resources-reports/marmot-review-10-years-on/the-marmot-review-10-years-on-full-report.pdf</w:t>
        </w:r>
      </w:hyperlink>
      <w:r w:rsidRPr="00353708">
        <w:rPr>
          <w:rFonts w:cs="Arial"/>
          <w:color w:val="000000" w:themeColor="text1"/>
          <w:szCs w:val="22"/>
        </w:rPr>
        <w:t>.</w:t>
      </w:r>
      <w:r w:rsidRPr="003D23D0">
        <w:rPr>
          <w:rFonts w:cs="Arial"/>
          <w:color w:val="000000" w:themeColor="text1"/>
          <w:szCs w:val="22"/>
        </w:rPr>
        <w:t xml:space="preserve"> (Accessed: 6 Sep. 2025).</w:t>
      </w:r>
    </w:p>
    <w:p w14:paraId="2EBC7124"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Meadows, D.H. (2008) </w:t>
      </w:r>
      <w:r w:rsidRPr="003D23D0">
        <w:rPr>
          <w:rFonts w:cs="Arial"/>
          <w:i/>
          <w:iCs/>
          <w:color w:val="000000" w:themeColor="text1"/>
          <w:szCs w:val="22"/>
        </w:rPr>
        <w:t>Thinking in systems : a primer</w:t>
      </w:r>
      <w:r w:rsidRPr="003D23D0">
        <w:rPr>
          <w:rFonts w:cs="Arial"/>
          <w:color w:val="000000" w:themeColor="text1"/>
          <w:szCs w:val="22"/>
          <w:shd w:val="clear" w:color="auto" w:fill="FFFFFF"/>
        </w:rPr>
        <w:t>. Edited by D. Wright. White River Junction, Vt: Chelsea Green Pub.</w:t>
      </w:r>
    </w:p>
    <w:p w14:paraId="0E4D4208" w14:textId="77777777" w:rsidR="00334658"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Mind (2022) </w:t>
      </w:r>
      <w:r w:rsidRPr="00935115">
        <w:rPr>
          <w:rFonts w:cs="Arial"/>
          <w:i/>
          <w:iCs/>
          <w:color w:val="000000" w:themeColor="text1"/>
          <w:szCs w:val="22"/>
        </w:rPr>
        <w:t>Mental Health in the Pandemic: Inequality and Recovery.</w:t>
      </w:r>
      <w:r w:rsidRPr="00935115">
        <w:rPr>
          <w:rFonts w:cs="Arial"/>
          <w:color w:val="000000" w:themeColor="text1"/>
          <w:szCs w:val="22"/>
        </w:rPr>
        <w:t> London: Mind. Available at: </w:t>
      </w:r>
      <w:hyperlink r:id="rId50" w:tgtFrame="_new" w:history="1">
        <w:r w:rsidRPr="00935115">
          <w:rPr>
            <w:rFonts w:cs="Arial"/>
            <w:color w:val="000000" w:themeColor="text1"/>
            <w:szCs w:val="22"/>
            <w:u w:val="single"/>
          </w:rPr>
          <w:t>https://www.mind.org.uk</w:t>
        </w:r>
      </w:hyperlink>
      <w:r w:rsidRPr="00935115">
        <w:rPr>
          <w:rFonts w:cs="Arial"/>
          <w:color w:val="000000" w:themeColor="text1"/>
          <w:szCs w:val="22"/>
        </w:rPr>
        <w:t> (Accessed: 10 June 2025).</w:t>
      </w:r>
    </w:p>
    <w:p w14:paraId="6456F46C" w14:textId="1884DD8C" w:rsidR="00334658" w:rsidRDefault="00334658" w:rsidP="00334658">
      <w:pPr>
        <w:spacing w:line="360" w:lineRule="auto"/>
        <w:rPr>
          <w:rFonts w:cs="Arial"/>
          <w:color w:val="000000" w:themeColor="text1"/>
          <w:szCs w:val="22"/>
        </w:rPr>
      </w:pPr>
      <w:r w:rsidRPr="009C72BD">
        <w:rPr>
          <w:rFonts w:cs="Arial"/>
          <w:color w:val="000000" w:themeColor="text1"/>
          <w:szCs w:val="22"/>
        </w:rPr>
        <w:t>Mind (2023)</w:t>
      </w:r>
      <w:r w:rsidRPr="009C72BD">
        <w:rPr>
          <w:rStyle w:val="apple-converted-space"/>
          <w:rFonts w:cs="Arial"/>
          <w:color w:val="000000" w:themeColor="text1"/>
          <w:szCs w:val="22"/>
        </w:rPr>
        <w:t> </w:t>
      </w:r>
      <w:r w:rsidRPr="009C72BD">
        <w:rPr>
          <w:rStyle w:val="Emphasis"/>
          <w:rFonts w:cs="Arial"/>
          <w:color w:val="000000" w:themeColor="text1"/>
          <w:szCs w:val="22"/>
        </w:rPr>
        <w:t>Mental health problems: An introduction.</w:t>
      </w:r>
      <w:r w:rsidRPr="009C72BD">
        <w:rPr>
          <w:rStyle w:val="apple-converted-space"/>
          <w:rFonts w:cs="Arial"/>
          <w:color w:val="000000" w:themeColor="text1"/>
          <w:szCs w:val="22"/>
        </w:rPr>
        <w:t> </w:t>
      </w:r>
      <w:r w:rsidRPr="009C72BD">
        <w:rPr>
          <w:rFonts w:cs="Arial"/>
          <w:color w:val="000000" w:themeColor="text1"/>
          <w:szCs w:val="22"/>
        </w:rPr>
        <w:t>Available at:</w:t>
      </w:r>
      <w:r w:rsidRPr="009C72BD">
        <w:rPr>
          <w:rStyle w:val="apple-converted-space"/>
          <w:rFonts w:cs="Arial"/>
          <w:color w:val="000000" w:themeColor="text1"/>
          <w:szCs w:val="22"/>
        </w:rPr>
        <w:t> </w:t>
      </w:r>
      <w:hyperlink r:id="rId51" w:tgtFrame="_new" w:history="1">
        <w:r w:rsidRPr="009C72BD">
          <w:rPr>
            <w:rStyle w:val="Hyperlink"/>
            <w:rFonts w:cs="Arial"/>
            <w:color w:val="000000" w:themeColor="text1"/>
            <w:szCs w:val="22"/>
          </w:rPr>
          <w:t>https://www.mind.org.uk</w:t>
        </w:r>
      </w:hyperlink>
      <w:r w:rsidRPr="009C72BD">
        <w:rPr>
          <w:rStyle w:val="apple-converted-space"/>
          <w:rFonts w:cs="Arial"/>
          <w:color w:val="000000" w:themeColor="text1"/>
          <w:szCs w:val="22"/>
        </w:rPr>
        <w:t> </w:t>
      </w:r>
      <w:r w:rsidRPr="009C72BD">
        <w:rPr>
          <w:rFonts w:cs="Arial"/>
          <w:color w:val="000000" w:themeColor="text1"/>
          <w:szCs w:val="22"/>
        </w:rPr>
        <w:t xml:space="preserve">(Accessed: </w:t>
      </w:r>
      <w:r>
        <w:rPr>
          <w:rFonts w:cs="Arial"/>
          <w:color w:val="000000" w:themeColor="text1"/>
          <w:szCs w:val="22"/>
        </w:rPr>
        <w:t>10</w:t>
      </w:r>
      <w:r w:rsidRPr="009C72BD">
        <w:rPr>
          <w:rFonts w:cs="Arial"/>
          <w:color w:val="000000" w:themeColor="text1"/>
          <w:szCs w:val="22"/>
        </w:rPr>
        <w:t xml:space="preserve"> November 202</w:t>
      </w:r>
      <w:r>
        <w:rPr>
          <w:rFonts w:cs="Arial"/>
          <w:color w:val="000000" w:themeColor="text1"/>
          <w:szCs w:val="22"/>
        </w:rPr>
        <w:t>5</w:t>
      </w:r>
      <w:r w:rsidRPr="009C72BD">
        <w:rPr>
          <w:rFonts w:cs="Arial"/>
          <w:color w:val="000000" w:themeColor="text1"/>
          <w:szCs w:val="22"/>
        </w:rPr>
        <w:t>).</w:t>
      </w:r>
      <w:r w:rsidRPr="003D23D0">
        <w:rPr>
          <w:rFonts w:cs="Arial"/>
          <w:color w:val="000000" w:themeColor="text1"/>
          <w:szCs w:val="22"/>
        </w:rPr>
        <w:br/>
        <w:t>Mind, (2023). </w:t>
      </w:r>
      <w:r w:rsidRPr="003D23D0">
        <w:rPr>
          <w:rFonts w:cs="Arial"/>
          <w:i/>
          <w:iCs/>
          <w:color w:val="000000" w:themeColor="text1"/>
          <w:szCs w:val="22"/>
        </w:rPr>
        <w:t>Mental Health in the UK: Barriers to Accessing Support.</w:t>
      </w:r>
      <w:r w:rsidRPr="003D23D0">
        <w:rPr>
          <w:rFonts w:cs="Arial"/>
          <w:color w:val="000000" w:themeColor="text1"/>
          <w:szCs w:val="22"/>
        </w:rPr>
        <w:t> London: Mind. Available at: </w:t>
      </w:r>
      <w:hyperlink r:id="rId52" w:tgtFrame="_new" w:history="1">
        <w:r w:rsidRPr="003D23D0">
          <w:rPr>
            <w:rFonts w:cs="Arial"/>
            <w:color w:val="000000" w:themeColor="text1"/>
            <w:szCs w:val="22"/>
            <w:u w:val="single"/>
          </w:rPr>
          <w:t>https://www.mind.org.uk/information-support/guides-to-support-and-services/seeking-help-for-a-mental-health-problem/facing-and-overcoming-barriers/</w:t>
        </w:r>
      </w:hyperlink>
      <w:r w:rsidRPr="003D23D0">
        <w:rPr>
          <w:rFonts w:cs="Arial"/>
          <w:color w:val="000000" w:themeColor="text1"/>
          <w:szCs w:val="22"/>
        </w:rPr>
        <w:t> (Accessed 5 Nov. 2025).</w:t>
      </w:r>
      <w:r w:rsidRPr="002D4C10">
        <w:rPr>
          <w:rFonts w:cs="Arial"/>
          <w:color w:val="000000" w:themeColor="text1"/>
          <w:szCs w:val="22"/>
        </w:rPr>
        <w:br/>
        <w:t xml:space="preserve">Molina, G. &amp; Whittaker, A., </w:t>
      </w:r>
      <w:r w:rsidRPr="003D23D0">
        <w:rPr>
          <w:rFonts w:cs="Arial"/>
          <w:color w:val="000000" w:themeColor="text1"/>
          <w:szCs w:val="22"/>
        </w:rPr>
        <w:t>(</w:t>
      </w:r>
      <w:r w:rsidRPr="002D4C10">
        <w:rPr>
          <w:rFonts w:cs="Arial"/>
          <w:color w:val="000000" w:themeColor="text1"/>
          <w:szCs w:val="22"/>
        </w:rPr>
        <w:t>2022</w:t>
      </w:r>
      <w:r w:rsidRPr="003D23D0">
        <w:rPr>
          <w:rFonts w:cs="Arial"/>
          <w:color w:val="000000" w:themeColor="text1"/>
          <w:szCs w:val="22"/>
        </w:rPr>
        <w:t>)</w:t>
      </w:r>
      <w:r w:rsidRPr="002D4C10">
        <w:rPr>
          <w:rFonts w:cs="Arial"/>
          <w:color w:val="000000" w:themeColor="text1"/>
          <w:szCs w:val="22"/>
        </w:rPr>
        <w:t>. ‘Treatment of PTSD and substance use disorder in adults with a history of ACEs: A systematic review’, </w:t>
      </w:r>
      <w:r w:rsidRPr="002D4C10">
        <w:rPr>
          <w:rFonts w:cs="Arial"/>
          <w:i/>
          <w:iCs/>
          <w:color w:val="000000" w:themeColor="text1"/>
          <w:szCs w:val="22"/>
        </w:rPr>
        <w:t>Drug and Alcohol Dependence Reports</w:t>
      </w:r>
      <w:r w:rsidRPr="002D4C10">
        <w:rPr>
          <w:rFonts w:cs="Arial"/>
          <w:color w:val="000000" w:themeColor="text1"/>
          <w:szCs w:val="22"/>
        </w:rPr>
        <w:t>, 2, 100028.</w:t>
      </w:r>
      <w:r w:rsidRPr="003D23D0">
        <w:rPr>
          <w:rFonts w:cs="Arial"/>
          <w:color w:val="000000" w:themeColor="text1"/>
          <w:szCs w:val="22"/>
        </w:rPr>
        <w:t xml:space="preserve"> Available at:</w:t>
      </w:r>
      <w:r w:rsidRPr="002D4C10">
        <w:rPr>
          <w:rFonts w:cs="Arial"/>
          <w:color w:val="000000" w:themeColor="text1"/>
          <w:szCs w:val="22"/>
        </w:rPr>
        <w:t xml:space="preserve"> </w:t>
      </w:r>
      <w:hyperlink r:id="rId53" w:history="1">
        <w:r w:rsidRPr="003D23D0">
          <w:rPr>
            <w:rStyle w:val="Hyperlink"/>
            <w:rFonts w:cs="Arial"/>
            <w:color w:val="000000" w:themeColor="text1"/>
            <w:szCs w:val="22"/>
          </w:rPr>
          <w:t>https://</w:t>
        </w:r>
        <w:r w:rsidRPr="002D4C10">
          <w:rPr>
            <w:rStyle w:val="Hyperlink"/>
            <w:rFonts w:cs="Arial"/>
            <w:color w:val="000000" w:themeColor="text1"/>
            <w:szCs w:val="22"/>
          </w:rPr>
          <w:t>doi:10.1016/j.dadr.2022.100028</w:t>
        </w:r>
      </w:hyperlink>
      <w:r w:rsidRPr="002D4C10">
        <w:rPr>
          <w:rFonts w:cs="Arial"/>
          <w:color w:val="000000" w:themeColor="text1"/>
          <w:szCs w:val="22"/>
        </w:rPr>
        <w:t>.</w:t>
      </w:r>
      <w:r w:rsidRPr="003D23D0">
        <w:rPr>
          <w:rFonts w:cs="Arial"/>
          <w:color w:val="000000" w:themeColor="text1"/>
          <w:szCs w:val="22"/>
        </w:rPr>
        <w:t xml:space="preserve">   </w:t>
      </w:r>
    </w:p>
    <w:p w14:paraId="76EBC9D8" w14:textId="77777777" w:rsidR="00334658" w:rsidRPr="003D23D0"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Molina, G. and Whittaker, A. (2022) ‘Treatment of post-traumatic stress disorder and substance use disorder in adults with a history of adverse childhood experiences: A systematic review of psychological interventions’,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Drug and alcohol dependence reports</w:t>
      </w:r>
      <w:r w:rsidRPr="003D23D0">
        <w:rPr>
          <w:rFonts w:cs="Arial"/>
          <w:color w:val="000000" w:themeColor="text1"/>
          <w:szCs w:val="22"/>
          <w:shd w:val="clear" w:color="auto" w:fill="FFFFFF"/>
        </w:rPr>
        <w:t xml:space="preserve">, 2. Available at: </w:t>
      </w:r>
      <w:hyperlink r:id="rId54" w:history="1">
        <w:r w:rsidRPr="003D23D0">
          <w:rPr>
            <w:rStyle w:val="Hyperlink"/>
            <w:rFonts w:cs="Arial"/>
            <w:color w:val="000000" w:themeColor="text1"/>
            <w:szCs w:val="22"/>
            <w:shd w:val="clear" w:color="auto" w:fill="FFFFFF"/>
          </w:rPr>
          <w:t>https://doi.org/10.1016/j.dadr.2022.100028</w:t>
        </w:r>
      </w:hyperlink>
      <w:r w:rsidRPr="003D23D0">
        <w:rPr>
          <w:rFonts w:cs="Arial"/>
          <w:color w:val="000000" w:themeColor="text1"/>
          <w:szCs w:val="22"/>
          <w:shd w:val="clear" w:color="auto" w:fill="FFFFFF"/>
        </w:rPr>
        <w:t xml:space="preserve">. </w:t>
      </w:r>
      <w:r w:rsidRPr="003D23D0">
        <w:rPr>
          <w:rFonts w:cs="Arial"/>
          <w:color w:val="000000" w:themeColor="text1"/>
          <w:szCs w:val="22"/>
        </w:rPr>
        <w:t>(Accessed 5 Nov. 2025).</w:t>
      </w:r>
    </w:p>
    <w:p w14:paraId="4EAB5D60"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National Institute for Health and Care Excellence (2021)</w:t>
      </w:r>
      <w:r w:rsidRPr="009C72BD">
        <w:rPr>
          <w:rStyle w:val="apple-converted-space"/>
          <w:rFonts w:cs="Arial"/>
          <w:color w:val="000000" w:themeColor="text1"/>
          <w:szCs w:val="22"/>
        </w:rPr>
        <w:t> </w:t>
      </w:r>
      <w:r w:rsidRPr="009C72BD">
        <w:rPr>
          <w:rStyle w:val="Emphasis"/>
          <w:rFonts w:cs="Arial"/>
          <w:color w:val="000000" w:themeColor="text1"/>
          <w:szCs w:val="22"/>
        </w:rPr>
        <w:t>Coexisting severe mental illness and substance misuse: community health and social care services (NG58).</w:t>
      </w:r>
      <w:r w:rsidRPr="009C72BD">
        <w:rPr>
          <w:rStyle w:val="apple-converted-space"/>
          <w:rFonts w:cs="Arial"/>
          <w:color w:val="000000" w:themeColor="text1"/>
          <w:szCs w:val="22"/>
        </w:rPr>
        <w:t> </w:t>
      </w:r>
      <w:r w:rsidRPr="009C72BD">
        <w:rPr>
          <w:rFonts w:cs="Arial"/>
          <w:color w:val="000000" w:themeColor="text1"/>
          <w:szCs w:val="22"/>
        </w:rPr>
        <w:t>Available at:</w:t>
      </w:r>
      <w:r w:rsidRPr="009C72BD">
        <w:rPr>
          <w:rStyle w:val="apple-converted-space"/>
          <w:rFonts w:cs="Arial"/>
          <w:color w:val="000000" w:themeColor="text1"/>
          <w:szCs w:val="22"/>
        </w:rPr>
        <w:t> </w:t>
      </w:r>
      <w:hyperlink r:id="rId55" w:tgtFrame="_new" w:history="1">
        <w:r w:rsidRPr="009C72BD">
          <w:rPr>
            <w:rStyle w:val="Hyperlink"/>
            <w:rFonts w:cs="Arial"/>
            <w:color w:val="000000" w:themeColor="text1"/>
            <w:szCs w:val="22"/>
          </w:rPr>
          <w:t>https://www.nice.org.uk/guidance/ng58</w:t>
        </w:r>
      </w:hyperlink>
      <w:r w:rsidRPr="009C72BD">
        <w:rPr>
          <w:rStyle w:val="apple-converted-space"/>
          <w:rFonts w:cs="Arial"/>
          <w:color w:val="000000" w:themeColor="text1"/>
          <w:szCs w:val="22"/>
        </w:rPr>
        <w:t> </w:t>
      </w:r>
      <w:r w:rsidRPr="009C72BD">
        <w:rPr>
          <w:rFonts w:cs="Arial"/>
          <w:color w:val="000000" w:themeColor="text1"/>
          <w:szCs w:val="22"/>
        </w:rPr>
        <w:t xml:space="preserve">(Accessed: </w:t>
      </w:r>
      <w:r>
        <w:rPr>
          <w:rFonts w:cs="Arial"/>
          <w:color w:val="000000" w:themeColor="text1"/>
          <w:szCs w:val="22"/>
        </w:rPr>
        <w:t>11</w:t>
      </w:r>
      <w:r w:rsidRPr="009C72BD">
        <w:rPr>
          <w:rFonts w:cs="Arial"/>
          <w:color w:val="000000" w:themeColor="text1"/>
          <w:szCs w:val="22"/>
        </w:rPr>
        <w:t xml:space="preserve"> Nov 2024).</w:t>
      </w:r>
    </w:p>
    <w:p w14:paraId="1F2A1A19"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National Institute for Health and Care Excellence (2022)</w:t>
      </w:r>
      <w:r w:rsidRPr="009C72BD">
        <w:rPr>
          <w:rStyle w:val="apple-converted-space"/>
          <w:rFonts w:cs="Arial"/>
          <w:color w:val="000000" w:themeColor="text1"/>
          <w:szCs w:val="22"/>
        </w:rPr>
        <w:t> </w:t>
      </w:r>
      <w:r w:rsidRPr="009C72BD">
        <w:rPr>
          <w:rStyle w:val="Emphasis"/>
          <w:rFonts w:cs="Arial"/>
          <w:color w:val="000000" w:themeColor="text1"/>
          <w:szCs w:val="22"/>
        </w:rPr>
        <w:t>Integrated care systems and mental health: service guidance.</w:t>
      </w:r>
      <w:r w:rsidRPr="009C72BD">
        <w:rPr>
          <w:rFonts w:cs="Arial"/>
          <w:color w:val="000000" w:themeColor="text1"/>
          <w:szCs w:val="22"/>
        </w:rPr>
        <w:t>Available at:</w:t>
      </w:r>
      <w:r w:rsidRPr="009C72BD">
        <w:rPr>
          <w:rStyle w:val="apple-converted-space"/>
          <w:rFonts w:cs="Arial"/>
          <w:color w:val="000000" w:themeColor="text1"/>
          <w:szCs w:val="22"/>
        </w:rPr>
        <w:t> </w:t>
      </w:r>
      <w:hyperlink r:id="rId56" w:tgtFrame="_new" w:history="1">
        <w:r w:rsidRPr="009C72BD">
          <w:rPr>
            <w:rStyle w:val="Hyperlink"/>
            <w:rFonts w:cs="Arial"/>
            <w:color w:val="000000" w:themeColor="text1"/>
            <w:szCs w:val="22"/>
          </w:rPr>
          <w:t>https://www.nice.org.uk</w:t>
        </w:r>
      </w:hyperlink>
      <w:r w:rsidRPr="009C72BD">
        <w:rPr>
          <w:rStyle w:val="apple-converted-space"/>
          <w:rFonts w:cs="Arial"/>
          <w:color w:val="000000" w:themeColor="text1"/>
          <w:szCs w:val="22"/>
        </w:rPr>
        <w:t> </w:t>
      </w:r>
      <w:r w:rsidRPr="009C72BD">
        <w:rPr>
          <w:rFonts w:cs="Arial"/>
          <w:color w:val="000000" w:themeColor="text1"/>
          <w:szCs w:val="22"/>
        </w:rPr>
        <w:t xml:space="preserve">(Accessed: </w:t>
      </w:r>
      <w:r>
        <w:rPr>
          <w:rFonts w:cs="Arial"/>
          <w:color w:val="000000" w:themeColor="text1"/>
          <w:szCs w:val="22"/>
        </w:rPr>
        <w:t>11</w:t>
      </w:r>
      <w:r w:rsidRPr="009C72BD">
        <w:rPr>
          <w:rFonts w:cs="Arial"/>
          <w:color w:val="000000" w:themeColor="text1"/>
          <w:szCs w:val="22"/>
        </w:rPr>
        <w:t xml:space="preserve"> November 202</w:t>
      </w:r>
      <w:r>
        <w:rPr>
          <w:rFonts w:cs="Arial"/>
          <w:color w:val="000000" w:themeColor="text1"/>
          <w:szCs w:val="22"/>
        </w:rPr>
        <w:t>5</w:t>
      </w:r>
      <w:r w:rsidRPr="009C72BD">
        <w:rPr>
          <w:rFonts w:cs="Arial"/>
          <w:color w:val="000000" w:themeColor="text1"/>
          <w:szCs w:val="22"/>
        </w:rPr>
        <w:t>).</w:t>
      </w:r>
    </w:p>
    <w:p w14:paraId="2D37EBFA"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br/>
        <w:t>National Institute for Health and Care Excellence (NICE), 2021. </w:t>
      </w:r>
      <w:r w:rsidRPr="003D23D0">
        <w:rPr>
          <w:rFonts w:cs="Arial"/>
          <w:i/>
          <w:iCs/>
          <w:color w:val="000000" w:themeColor="text1"/>
          <w:szCs w:val="22"/>
        </w:rPr>
        <w:t>Coexisting Severe Mental Illness and Substance Misuse: Community Health and Social Care Services.</w:t>
      </w:r>
      <w:r w:rsidRPr="003D23D0">
        <w:rPr>
          <w:rFonts w:cs="Arial"/>
          <w:color w:val="000000" w:themeColor="text1"/>
          <w:szCs w:val="22"/>
        </w:rPr>
        <w:t xml:space="preserve"> NICE Guideline NG58. London: NICE. </w:t>
      </w:r>
    </w:p>
    <w:p w14:paraId="5564A6D1"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lastRenderedPageBreak/>
        <w:t>NHS Confederation (2022) </w:t>
      </w:r>
      <w:r w:rsidRPr="00935115">
        <w:rPr>
          <w:rFonts w:cs="Arial"/>
          <w:i/>
          <w:iCs/>
          <w:color w:val="000000" w:themeColor="text1"/>
          <w:szCs w:val="22"/>
        </w:rPr>
        <w:t>Addiction and Mental Health: Integrating Services for Better Outcomes.</w:t>
      </w:r>
      <w:r w:rsidRPr="00935115">
        <w:rPr>
          <w:rFonts w:cs="Arial"/>
          <w:color w:val="000000" w:themeColor="text1"/>
          <w:szCs w:val="22"/>
        </w:rPr>
        <w:t> London: NHS Confederation.</w:t>
      </w:r>
    </w:p>
    <w:p w14:paraId="11608754"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NHS Digital (2023) </w:t>
      </w:r>
      <w:r w:rsidRPr="00935115">
        <w:rPr>
          <w:rFonts w:cs="Arial"/>
          <w:i/>
          <w:iCs/>
          <w:color w:val="000000" w:themeColor="text1"/>
          <w:szCs w:val="22"/>
        </w:rPr>
        <w:t>Adult Substance Misuse Treatment Statistics 2022–23.</w:t>
      </w:r>
      <w:r w:rsidRPr="00935115">
        <w:rPr>
          <w:rFonts w:cs="Arial"/>
          <w:color w:val="000000" w:themeColor="text1"/>
          <w:szCs w:val="22"/>
        </w:rPr>
        <w:t> Available at: </w:t>
      </w:r>
      <w:hyperlink r:id="rId57" w:tgtFrame="_new" w:history="1">
        <w:r w:rsidRPr="00935115">
          <w:rPr>
            <w:rFonts w:cs="Arial"/>
            <w:color w:val="000000" w:themeColor="text1"/>
            <w:szCs w:val="22"/>
            <w:u w:val="single"/>
          </w:rPr>
          <w:t>https://digital.nhs.uk/data-and-information/publications</w:t>
        </w:r>
      </w:hyperlink>
      <w:r w:rsidRPr="00935115">
        <w:rPr>
          <w:rFonts w:cs="Arial"/>
          <w:color w:val="000000" w:themeColor="text1"/>
          <w:szCs w:val="22"/>
        </w:rPr>
        <w:t> (Accessed: 1 July 2025).</w:t>
      </w:r>
    </w:p>
    <w:p w14:paraId="3F346E78"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br/>
        <w:t>NHS Digital, 2022. </w:t>
      </w:r>
      <w:r w:rsidRPr="003D23D0">
        <w:rPr>
          <w:rFonts w:cs="Arial"/>
          <w:i/>
          <w:iCs/>
          <w:color w:val="000000" w:themeColor="text1"/>
          <w:szCs w:val="22"/>
        </w:rPr>
        <w:t>Adult Psychiatric Morbidity Survey: Mental Health and Wellbeing, England, 2022.</w:t>
      </w:r>
      <w:r w:rsidRPr="003D23D0">
        <w:rPr>
          <w:rFonts w:cs="Arial"/>
          <w:color w:val="000000" w:themeColor="text1"/>
          <w:szCs w:val="22"/>
        </w:rPr>
        <w:t> Leeds: NHS Digital.</w:t>
      </w:r>
    </w:p>
    <w:p w14:paraId="597EB9F9"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NHS England (2023) </w:t>
      </w:r>
      <w:r w:rsidRPr="00935115">
        <w:rPr>
          <w:rFonts w:cs="Arial"/>
          <w:i/>
          <w:iCs/>
          <w:color w:val="000000" w:themeColor="text1"/>
          <w:szCs w:val="22"/>
        </w:rPr>
        <w:t>Long Term Plan Progress Report.</w:t>
      </w:r>
      <w:r w:rsidRPr="00935115">
        <w:rPr>
          <w:rFonts w:cs="Arial"/>
          <w:color w:val="000000" w:themeColor="text1"/>
          <w:szCs w:val="22"/>
        </w:rPr>
        <w:t> London: NHS England.</w:t>
      </w:r>
    </w:p>
    <w:p w14:paraId="6DB17120"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NHS England, (2019). </w:t>
      </w:r>
      <w:r w:rsidRPr="003D23D0">
        <w:rPr>
          <w:rFonts w:cs="Arial"/>
          <w:i/>
          <w:iCs/>
          <w:color w:val="000000" w:themeColor="text1"/>
          <w:szCs w:val="22"/>
        </w:rPr>
        <w:t>The NHS Long Term Plan.</w:t>
      </w:r>
      <w:r w:rsidRPr="003D23D0">
        <w:rPr>
          <w:rFonts w:cs="Arial"/>
          <w:color w:val="000000" w:themeColor="text1"/>
          <w:szCs w:val="22"/>
        </w:rPr>
        <w:t> London: NHS.</w:t>
      </w:r>
      <w:r w:rsidRPr="003D23D0">
        <w:rPr>
          <w:rFonts w:cs="Arial"/>
          <w:color w:val="000000" w:themeColor="text1"/>
          <w:szCs w:val="22"/>
        </w:rPr>
        <w:br/>
        <w:t>Available at: </w:t>
      </w:r>
      <w:hyperlink r:id="rId58" w:tgtFrame="_new" w:history="1">
        <w:r w:rsidRPr="003D23D0">
          <w:rPr>
            <w:rFonts w:cs="Arial"/>
            <w:color w:val="000000" w:themeColor="text1"/>
            <w:szCs w:val="22"/>
            <w:u w:val="single"/>
          </w:rPr>
          <w:t>https://www.longtermplan.nhs.uk</w:t>
        </w:r>
      </w:hyperlink>
      <w:r w:rsidRPr="003D23D0">
        <w:rPr>
          <w:rFonts w:cs="Arial"/>
          <w:color w:val="000000" w:themeColor="text1"/>
          <w:szCs w:val="22"/>
        </w:rPr>
        <w:t> (Accessed: 6 Nov. 2025).</w:t>
      </w:r>
    </w:p>
    <w:p w14:paraId="4B4DD980"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NICE (2016) </w:t>
      </w:r>
      <w:r w:rsidRPr="00935115">
        <w:rPr>
          <w:rFonts w:cs="Arial"/>
          <w:i/>
          <w:iCs/>
          <w:color w:val="000000" w:themeColor="text1"/>
          <w:szCs w:val="22"/>
        </w:rPr>
        <w:t>Coexisting Severe Mental Illness and Substance Misuse: Community Health and Social Care Services.</w:t>
      </w:r>
      <w:r w:rsidRPr="00935115">
        <w:rPr>
          <w:rFonts w:cs="Arial"/>
          <w:color w:val="000000" w:themeColor="text1"/>
          <w:szCs w:val="22"/>
        </w:rPr>
        <w:t>NG58.</w:t>
      </w:r>
    </w:p>
    <w:p w14:paraId="049DED87" w14:textId="77777777" w:rsidR="00334658" w:rsidRPr="003D23D0" w:rsidRDefault="00334658" w:rsidP="003D23D0">
      <w:pPr>
        <w:spacing w:line="360" w:lineRule="auto"/>
        <w:rPr>
          <w:rFonts w:cs="Arial"/>
          <w:color w:val="000000" w:themeColor="text1"/>
          <w:szCs w:val="22"/>
        </w:rPr>
      </w:pPr>
      <w:r w:rsidRPr="002D4C10">
        <w:rPr>
          <w:rFonts w:cs="Arial"/>
          <w:color w:val="000000" w:themeColor="text1"/>
          <w:szCs w:val="22"/>
        </w:rPr>
        <w:br/>
        <w:t>NICE, 2021. </w:t>
      </w:r>
      <w:r w:rsidRPr="002D4C10">
        <w:rPr>
          <w:rFonts w:cs="Arial"/>
          <w:i/>
          <w:iCs/>
          <w:color w:val="000000" w:themeColor="text1"/>
          <w:szCs w:val="22"/>
        </w:rPr>
        <w:t>Coexisting Severe Mental Illness and Substance Misuse: Community Health and Social Care Services.</w:t>
      </w:r>
      <w:r w:rsidRPr="002D4C10">
        <w:rPr>
          <w:rFonts w:cs="Arial"/>
          <w:color w:val="000000" w:themeColor="text1"/>
          <w:szCs w:val="22"/>
        </w:rPr>
        <w:t> NICE Guideline NG58.</w:t>
      </w:r>
    </w:p>
    <w:p w14:paraId="39AE0858"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Noble, H. and Heale, R. (2019) ‘Triangulation in research, with examples’,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Evidence-based nursing</w:t>
      </w:r>
      <w:r w:rsidRPr="003D23D0">
        <w:rPr>
          <w:rFonts w:cs="Arial"/>
          <w:color w:val="000000" w:themeColor="text1"/>
          <w:szCs w:val="22"/>
          <w:shd w:val="clear" w:color="auto" w:fill="FFFFFF"/>
        </w:rPr>
        <w:t xml:space="preserve">, 22(3), pp. 67–68. Available at: </w:t>
      </w:r>
      <w:hyperlink r:id="rId59" w:history="1">
        <w:r w:rsidRPr="003D23D0">
          <w:rPr>
            <w:rStyle w:val="Hyperlink"/>
            <w:rFonts w:cs="Arial"/>
            <w:color w:val="000000" w:themeColor="text1"/>
            <w:szCs w:val="22"/>
            <w:shd w:val="clear" w:color="auto" w:fill="FFFFFF"/>
          </w:rPr>
          <w:t>https://doi.org/10.1136/ebnurs-2019-103145</w:t>
        </w:r>
      </w:hyperlink>
      <w:r w:rsidRPr="003D23D0">
        <w:rPr>
          <w:rFonts w:cs="Arial"/>
          <w:color w:val="000000" w:themeColor="text1"/>
          <w:szCs w:val="22"/>
          <w:shd w:val="clear" w:color="auto" w:fill="FFFFFF"/>
        </w:rPr>
        <w:t xml:space="preserve">. </w:t>
      </w:r>
    </w:p>
    <w:p w14:paraId="30783657" w14:textId="53F97CC5" w:rsidR="00334658" w:rsidRPr="00334658" w:rsidRDefault="00334658" w:rsidP="00334658">
      <w:pPr>
        <w:spacing w:before="100" w:beforeAutospacing="1" w:after="100" w:afterAutospacing="1" w:line="360" w:lineRule="auto"/>
        <w:rPr>
          <w:rFonts w:cs="Arial"/>
          <w:color w:val="000000" w:themeColor="text1"/>
          <w:szCs w:val="22"/>
        </w:rPr>
      </w:pPr>
      <w:r w:rsidRPr="00935115">
        <w:rPr>
          <w:rFonts w:cs="Arial"/>
          <w:color w:val="000000" w:themeColor="text1"/>
          <w:szCs w:val="22"/>
        </w:rPr>
        <w:t>Office for National Statistics (ONS) (2022) </w:t>
      </w:r>
      <w:r w:rsidRPr="00935115">
        <w:rPr>
          <w:rFonts w:cs="Arial"/>
          <w:i/>
          <w:iCs/>
          <w:color w:val="000000" w:themeColor="text1"/>
          <w:szCs w:val="22"/>
        </w:rPr>
        <w:t>Drug Misuse in England and Wales: Year Ending June 2022.</w:t>
      </w:r>
      <w:r w:rsidRPr="00935115">
        <w:rPr>
          <w:rFonts w:cs="Arial"/>
          <w:color w:val="000000" w:themeColor="text1"/>
          <w:szCs w:val="22"/>
        </w:rPr>
        <w:t> Available at: </w:t>
      </w:r>
      <w:hyperlink r:id="rId60" w:tgtFrame="_new" w:history="1">
        <w:r w:rsidRPr="00935115">
          <w:rPr>
            <w:rFonts w:cs="Arial"/>
            <w:color w:val="000000" w:themeColor="text1"/>
            <w:szCs w:val="22"/>
            <w:u w:val="single"/>
          </w:rPr>
          <w:t>https://www.ons.gov.uk/peoplepopulationandcommunity</w:t>
        </w:r>
      </w:hyperlink>
      <w:r w:rsidRPr="00935115">
        <w:rPr>
          <w:rFonts w:cs="Arial"/>
          <w:color w:val="000000" w:themeColor="text1"/>
          <w:szCs w:val="22"/>
        </w:rPr>
        <w:t> (Accessed: 20 June 2025).</w:t>
      </w:r>
      <w:r w:rsidRPr="002D4C10">
        <w:rPr>
          <w:rFonts w:cs="Arial"/>
          <w:color w:val="000000" w:themeColor="text1"/>
          <w:szCs w:val="22"/>
        </w:rPr>
        <w:br/>
      </w:r>
      <w:r w:rsidRPr="003D23D0">
        <w:rPr>
          <w:rFonts w:cs="Arial"/>
          <w:color w:val="000000" w:themeColor="text1"/>
          <w:szCs w:val="22"/>
          <w:shd w:val="clear" w:color="auto" w:fill="FFFFFF"/>
        </w:rPr>
        <w:t>Page, M.J.</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et al.</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(2021) ‘The PRISMA 2020 statement: an updated guideline for reporting systematic reviews’,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BMJ (Online)</w:t>
      </w:r>
      <w:r w:rsidRPr="003D23D0">
        <w:rPr>
          <w:rFonts w:cs="Arial"/>
          <w:color w:val="000000" w:themeColor="text1"/>
          <w:szCs w:val="22"/>
          <w:shd w:val="clear" w:color="auto" w:fill="FFFFFF"/>
        </w:rPr>
        <w:t xml:space="preserve">, 372, p. n71. Available at: </w:t>
      </w:r>
      <w:hyperlink r:id="rId61" w:history="1">
        <w:r w:rsidRPr="003D23D0">
          <w:rPr>
            <w:rStyle w:val="Hyperlink"/>
            <w:rFonts w:cs="Arial"/>
            <w:color w:val="000000" w:themeColor="text1"/>
            <w:szCs w:val="22"/>
            <w:shd w:val="clear" w:color="auto" w:fill="FFFFFF"/>
          </w:rPr>
          <w:t>https://doi.org/10.1136/bmj.n71</w:t>
        </w:r>
      </w:hyperlink>
      <w:r w:rsidRPr="003D23D0">
        <w:rPr>
          <w:rFonts w:cs="Arial"/>
          <w:color w:val="000000" w:themeColor="text1"/>
          <w:szCs w:val="22"/>
          <w:shd w:val="clear" w:color="auto" w:fill="FFFFFF"/>
        </w:rPr>
        <w:t xml:space="preserve">. </w:t>
      </w:r>
    </w:p>
    <w:p w14:paraId="0EC97742"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Papaioannou, D., Sutton, A. and Booth, A., (2016). Systematic approaches to a successful literature review.</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Systematic approaches to a successful literature review</w:t>
      </w:r>
      <w:r w:rsidRPr="003D23D0">
        <w:rPr>
          <w:rFonts w:cs="Arial"/>
          <w:color w:val="000000" w:themeColor="text1"/>
          <w:szCs w:val="22"/>
          <w:shd w:val="clear" w:color="auto" w:fill="FFFFFF"/>
        </w:rPr>
        <w:t>, pp.1-336.</w:t>
      </w:r>
    </w:p>
    <w:p w14:paraId="61F0D5AC" w14:textId="77777777" w:rsidR="00334658" w:rsidRPr="009D6F64" w:rsidRDefault="00334658" w:rsidP="003D23D0">
      <w:pPr>
        <w:spacing w:after="240" w:line="360" w:lineRule="auto"/>
        <w:rPr>
          <w:rFonts w:cs="Arial"/>
          <w:color w:val="000000" w:themeColor="text1"/>
          <w:szCs w:val="22"/>
        </w:rPr>
      </w:pPr>
      <w:r w:rsidRPr="009D6F64">
        <w:rPr>
          <w:rFonts w:cs="Arial"/>
          <w:color w:val="000000" w:themeColor="text1"/>
          <w:szCs w:val="22"/>
        </w:rPr>
        <w:t>Pierce, M., Hope, H., Ford, T., Hatch, S., Hotopf, M., John, A., Kontopantelis, E., Webb, R., Wessely, S., McManus, S. and Abel, K.M. (2020). Mental Health before and during the COVID-19 pandemic: a Longitudinal Probability Sample Survey of the UK Population. </w:t>
      </w:r>
      <w:r w:rsidRPr="009D6F64">
        <w:rPr>
          <w:rFonts w:cs="Arial"/>
          <w:i/>
          <w:iCs/>
          <w:color w:val="000000" w:themeColor="text1"/>
          <w:szCs w:val="22"/>
        </w:rPr>
        <w:t>The Lancet Psychiatry</w:t>
      </w:r>
      <w:r w:rsidRPr="009D6F64">
        <w:rPr>
          <w:rFonts w:cs="Arial"/>
          <w:color w:val="000000" w:themeColor="text1"/>
          <w:szCs w:val="22"/>
        </w:rPr>
        <w:t>, 7(10), pp.883–892.</w:t>
      </w:r>
      <w:r w:rsidRPr="003D23D0">
        <w:rPr>
          <w:rFonts w:cs="Arial"/>
          <w:color w:val="000000" w:themeColor="text1"/>
          <w:szCs w:val="22"/>
        </w:rPr>
        <w:t xml:space="preserve"> Available at: </w:t>
      </w:r>
      <w:hyperlink r:id="rId62" w:history="1">
        <w:r w:rsidRPr="009D6F64">
          <w:rPr>
            <w:rStyle w:val="Hyperlink"/>
            <w:rFonts w:cs="Arial"/>
            <w:color w:val="000000" w:themeColor="text1"/>
            <w:szCs w:val="22"/>
          </w:rPr>
          <w:t>https://doi.org/10.1016/S2215-0366(20)30308-4</w:t>
        </w:r>
      </w:hyperlink>
      <w:r w:rsidRPr="003D23D0">
        <w:rPr>
          <w:rFonts w:cs="Arial"/>
          <w:color w:val="000000" w:themeColor="text1"/>
          <w:szCs w:val="22"/>
        </w:rPr>
        <w:t xml:space="preserve">.  </w:t>
      </w:r>
    </w:p>
    <w:p w14:paraId="55A93740" w14:textId="68D531C2" w:rsidR="00334658" w:rsidRDefault="00334658" w:rsidP="00334658">
      <w:pPr>
        <w:spacing w:before="100" w:beforeAutospacing="1" w:after="100" w:afterAutospacing="1" w:line="360" w:lineRule="auto"/>
        <w:rPr>
          <w:rFonts w:cs="Arial"/>
          <w:color w:val="000000" w:themeColor="text1"/>
          <w:szCs w:val="22"/>
        </w:rPr>
      </w:pPr>
      <w:r w:rsidRPr="003D23D0">
        <w:rPr>
          <w:rFonts w:cs="Arial"/>
          <w:color w:val="000000" w:themeColor="text1"/>
          <w:szCs w:val="22"/>
        </w:rPr>
        <w:lastRenderedPageBreak/>
        <w:t xml:space="preserve">Public Health England (2021). Adult Substance Misuse Treatment Statistics 2020–21. London: PHE. Available at: </w:t>
      </w:r>
      <w:hyperlink r:id="rId63" w:history="1">
        <w:r w:rsidRPr="003D23D0">
          <w:rPr>
            <w:rStyle w:val="Hyperlink"/>
            <w:rFonts w:cs="Arial"/>
            <w:color w:val="000000" w:themeColor="text1"/>
            <w:szCs w:val="22"/>
          </w:rPr>
          <w:t>https://www.gov.uk/government/statistics/substance-misuse-treatment-for-adults-statistics-2020-to-2021</w:t>
        </w:r>
      </w:hyperlink>
      <w:r w:rsidRPr="003D23D0">
        <w:rPr>
          <w:rFonts w:cs="Arial"/>
          <w:color w:val="000000" w:themeColor="text1"/>
          <w:szCs w:val="22"/>
        </w:rPr>
        <w:t xml:space="preserve"> (Accessed: 6 Nov. 2025). </w:t>
      </w:r>
    </w:p>
    <w:p w14:paraId="0020F846"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Public Health England (2023) </w:t>
      </w:r>
      <w:r w:rsidRPr="00935115">
        <w:rPr>
          <w:rFonts w:cs="Arial"/>
          <w:i/>
          <w:iCs/>
          <w:color w:val="000000" w:themeColor="text1"/>
          <w:szCs w:val="22"/>
        </w:rPr>
        <w:t>Annual Report on Drug-Related Deaths in England 2023.</w:t>
      </w:r>
      <w:r w:rsidRPr="00935115">
        <w:rPr>
          <w:rFonts w:cs="Arial"/>
          <w:color w:val="000000" w:themeColor="text1"/>
          <w:szCs w:val="22"/>
        </w:rPr>
        <w:t> London: PHE.</w:t>
      </w:r>
    </w:p>
    <w:p w14:paraId="0BE13760"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Room, R., (2005). ‘Stigma, social inequality and alcohol and drug use.’ </w:t>
      </w:r>
      <w:r w:rsidRPr="003D23D0">
        <w:rPr>
          <w:rFonts w:cs="Arial"/>
          <w:i/>
          <w:iCs/>
          <w:color w:val="000000" w:themeColor="text1"/>
          <w:szCs w:val="22"/>
        </w:rPr>
        <w:t>Drug and Alcohol Review</w:t>
      </w:r>
      <w:r w:rsidRPr="003D23D0">
        <w:rPr>
          <w:rFonts w:cs="Arial"/>
          <w:color w:val="000000" w:themeColor="text1"/>
          <w:szCs w:val="22"/>
        </w:rPr>
        <w:t>, 24(2), pp.143-155. doi:10.1080/09595230500102434.</w:t>
      </w:r>
      <w:r w:rsidRPr="003D23D0">
        <w:rPr>
          <w:rFonts w:cs="Arial"/>
          <w:color w:val="000000" w:themeColor="text1"/>
          <w:szCs w:val="22"/>
        </w:rPr>
        <w:br/>
        <w:t>Available at: </w:t>
      </w:r>
      <w:hyperlink r:id="rId64" w:tgtFrame="_new" w:history="1">
        <w:r w:rsidRPr="003D23D0">
          <w:rPr>
            <w:rFonts w:cs="Arial"/>
            <w:color w:val="000000" w:themeColor="text1"/>
            <w:szCs w:val="22"/>
            <w:u w:val="single"/>
          </w:rPr>
          <w:t>https://onlinelibrary.wiley.com/doi/10.1080/09595230500102434</w:t>
        </w:r>
      </w:hyperlink>
      <w:r w:rsidRPr="003D23D0">
        <w:rPr>
          <w:rFonts w:cs="Arial"/>
          <w:color w:val="000000" w:themeColor="text1"/>
          <w:szCs w:val="22"/>
        </w:rPr>
        <w:t> (Accessed: 6 Nov. 2025).</w:t>
      </w:r>
    </w:p>
    <w:p w14:paraId="5A161C37"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Sanz Cortés, A. (2022) ‘Diagnostic and Statistical Manual of Mental Disorders, Fifth Edition, Text Revision (DSM-5-TR). American Psychiatric Association, 2022. https://doi.org/10.1176/ appi.books.9780890425787’,</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Psicooncología : investigación y clinica biopsicosocial en oncología.</w:t>
      </w:r>
      <w:r w:rsidRPr="003D23D0">
        <w:rPr>
          <w:rFonts w:cs="Arial"/>
          <w:color w:val="000000" w:themeColor="text1"/>
          <w:szCs w:val="22"/>
          <w:shd w:val="clear" w:color="auto" w:fill="FFFFFF"/>
        </w:rPr>
        <w:t xml:space="preserve">, 19(2), pp. 339–340. Available at: </w:t>
      </w:r>
      <w:hyperlink r:id="rId65" w:history="1">
        <w:r w:rsidRPr="003D23D0">
          <w:rPr>
            <w:rStyle w:val="Hyperlink"/>
            <w:rFonts w:cs="Arial"/>
            <w:color w:val="000000" w:themeColor="text1"/>
            <w:szCs w:val="22"/>
            <w:shd w:val="clear" w:color="auto" w:fill="FFFFFF"/>
          </w:rPr>
          <w:t>https://doi.org/10.5209/psic.84045</w:t>
        </w:r>
      </w:hyperlink>
      <w:r w:rsidRPr="003D23D0">
        <w:rPr>
          <w:rFonts w:cs="Arial"/>
          <w:color w:val="000000" w:themeColor="text1"/>
          <w:szCs w:val="22"/>
          <w:shd w:val="clear" w:color="auto" w:fill="FFFFFF"/>
        </w:rPr>
        <w:t xml:space="preserve">. </w:t>
      </w:r>
    </w:p>
    <w:p w14:paraId="1D4556FF"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Silver, H., (1994). ‘Social exclusion and social solidarity: three paradigms.’ </w:t>
      </w:r>
      <w:r w:rsidRPr="003D23D0">
        <w:rPr>
          <w:rFonts w:cs="Arial"/>
          <w:i/>
          <w:iCs/>
          <w:color w:val="000000" w:themeColor="text1"/>
          <w:szCs w:val="22"/>
        </w:rPr>
        <w:t>International Labour Review</w:t>
      </w:r>
      <w:r w:rsidRPr="003D23D0">
        <w:rPr>
          <w:rFonts w:cs="Arial"/>
          <w:color w:val="000000" w:themeColor="text1"/>
          <w:szCs w:val="22"/>
        </w:rPr>
        <w:t>, 133(5–6), pp.531-578.</w:t>
      </w:r>
      <w:r w:rsidRPr="003D23D0">
        <w:rPr>
          <w:rFonts w:cs="Arial"/>
          <w:color w:val="000000" w:themeColor="text1"/>
          <w:szCs w:val="22"/>
        </w:rPr>
        <w:br/>
        <w:t>Available at: </w:t>
      </w:r>
      <w:hyperlink r:id="rId66" w:history="1">
        <w:r w:rsidRPr="003D23D0">
          <w:rPr>
            <w:rStyle w:val="Hyperlink"/>
            <w:rFonts w:cs="Arial"/>
            <w:color w:val="000000" w:themeColor="text1"/>
            <w:szCs w:val="22"/>
          </w:rPr>
          <w:t>https://onlinelibrary.wiley.com/doi/10.1111/j.1564-913X.1994.tb00553.x</w:t>
        </w:r>
      </w:hyperlink>
      <w:r w:rsidRPr="003D23D0">
        <w:rPr>
          <w:rFonts w:cs="Arial"/>
          <w:color w:val="000000" w:themeColor="text1"/>
          <w:szCs w:val="22"/>
        </w:rPr>
        <w:t xml:space="preserve"> (Accessed: 10 Aug. 2025).</w:t>
      </w:r>
    </w:p>
    <w:p w14:paraId="082723D8"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Sinha, R., (2008) ‘Chronic stress, drug use and vulnerability to addiction.’ </w:t>
      </w:r>
      <w:r w:rsidRPr="003D23D0">
        <w:rPr>
          <w:rFonts w:cs="Arial"/>
          <w:i/>
          <w:iCs/>
          <w:color w:val="000000" w:themeColor="text1"/>
          <w:szCs w:val="22"/>
        </w:rPr>
        <w:t>Annals of the New York Academy of Sciences</w:t>
      </w:r>
      <w:r w:rsidRPr="003D23D0">
        <w:rPr>
          <w:rFonts w:cs="Arial"/>
          <w:color w:val="000000" w:themeColor="text1"/>
          <w:szCs w:val="22"/>
        </w:rPr>
        <w:t>, 1141, pp.105-130. Available at: </w:t>
      </w:r>
      <w:hyperlink r:id="rId67" w:tgtFrame="_new" w:history="1">
        <w:r w:rsidRPr="003D23D0">
          <w:rPr>
            <w:rFonts w:cs="Arial"/>
            <w:color w:val="000000" w:themeColor="text1"/>
            <w:szCs w:val="22"/>
            <w:u w:val="single"/>
          </w:rPr>
          <w:t>https://nyaspubs.onlinelibrary.wiley.com/doi/10.1196/annals.1441.030</w:t>
        </w:r>
      </w:hyperlink>
      <w:r w:rsidRPr="003D23D0">
        <w:rPr>
          <w:rFonts w:cs="Arial"/>
          <w:color w:val="000000" w:themeColor="text1"/>
          <w:szCs w:val="22"/>
        </w:rPr>
        <w:t> (Accessed: 6 Nov. 2025).</w:t>
      </w:r>
    </w:p>
    <w:p w14:paraId="6096D994" w14:textId="77777777" w:rsidR="00334658" w:rsidRDefault="00334658" w:rsidP="003D23D0">
      <w:pPr>
        <w:spacing w:line="360" w:lineRule="auto"/>
        <w:rPr>
          <w:rFonts w:cs="Arial"/>
          <w:color w:val="000000" w:themeColor="text1"/>
          <w:szCs w:val="22"/>
          <w:shd w:val="clear" w:color="auto" w:fill="FFFFFF"/>
        </w:rPr>
      </w:pPr>
      <w:r w:rsidRPr="00EB40A3">
        <w:rPr>
          <w:rFonts w:cs="Arial"/>
          <w:color w:val="000000" w:themeColor="text1"/>
          <w:szCs w:val="22"/>
          <w:shd w:val="clear" w:color="auto" w:fill="FFFFFF"/>
        </w:rPr>
        <w:t>Stevens, A. (2019) ‘“Being human” and the “moral sidestep” in drug policy: Explaining government inaction on opioid-related deaths in the UK’, </w:t>
      </w:r>
      <w:r w:rsidRPr="00EB40A3">
        <w:rPr>
          <w:rFonts w:cs="Arial"/>
          <w:i/>
          <w:iCs/>
          <w:color w:val="000000" w:themeColor="text1"/>
          <w:szCs w:val="22"/>
        </w:rPr>
        <w:t>Addictive behaviors</w:t>
      </w:r>
      <w:r w:rsidRPr="00EB40A3">
        <w:rPr>
          <w:rFonts w:cs="Arial"/>
          <w:color w:val="000000" w:themeColor="text1"/>
          <w:szCs w:val="22"/>
          <w:shd w:val="clear" w:color="auto" w:fill="FFFFFF"/>
        </w:rPr>
        <w:t xml:space="preserve">, 90, pp. 444–450. Available at: </w:t>
      </w:r>
      <w:hyperlink r:id="rId68" w:history="1">
        <w:r w:rsidRPr="00EB40A3">
          <w:rPr>
            <w:rStyle w:val="Hyperlink"/>
            <w:rFonts w:cs="Arial"/>
            <w:color w:val="000000" w:themeColor="text1"/>
            <w:szCs w:val="22"/>
            <w:shd w:val="clear" w:color="auto" w:fill="FFFFFF"/>
          </w:rPr>
          <w:t>https://doi.org/10.1016/j.addbeh.2018.08.036</w:t>
        </w:r>
      </w:hyperlink>
      <w:r w:rsidRPr="00EB40A3">
        <w:rPr>
          <w:rFonts w:cs="Arial"/>
          <w:color w:val="000000" w:themeColor="text1"/>
          <w:szCs w:val="22"/>
          <w:shd w:val="clear" w:color="auto" w:fill="FFFFFF"/>
        </w:rPr>
        <w:t>.</w:t>
      </w:r>
    </w:p>
    <w:p w14:paraId="1625E0E1"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Stevens, A. and Zampini, G.F. (2018) ‘Drug policy constellations: A Habermasian approach for understanding English drug policy’,</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The International journal of drug policy</w:t>
      </w:r>
      <w:r w:rsidRPr="003D23D0">
        <w:rPr>
          <w:rFonts w:cs="Arial"/>
          <w:color w:val="000000" w:themeColor="text1"/>
          <w:szCs w:val="22"/>
          <w:shd w:val="clear" w:color="auto" w:fill="FFFFFF"/>
        </w:rPr>
        <w:t xml:space="preserve">, 57, pp. 61–71. Available at: </w:t>
      </w:r>
      <w:hyperlink r:id="rId69" w:history="1">
        <w:r w:rsidRPr="003D23D0">
          <w:rPr>
            <w:rStyle w:val="Hyperlink"/>
            <w:rFonts w:cs="Arial"/>
            <w:color w:val="000000" w:themeColor="text1"/>
            <w:szCs w:val="22"/>
            <w:shd w:val="clear" w:color="auto" w:fill="FFFFFF"/>
          </w:rPr>
          <w:t>https://doi.org/10.1016/j.drugpo.2018.03.030</w:t>
        </w:r>
      </w:hyperlink>
      <w:r w:rsidRPr="003D23D0">
        <w:rPr>
          <w:rFonts w:cs="Arial"/>
          <w:color w:val="000000" w:themeColor="text1"/>
          <w:szCs w:val="22"/>
          <w:shd w:val="clear" w:color="auto" w:fill="FFFFFF"/>
        </w:rPr>
        <w:t>.</w:t>
      </w:r>
    </w:p>
    <w:p w14:paraId="4630D09C"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Stevens, A., (2019) </w:t>
      </w:r>
      <w:r w:rsidRPr="003D23D0">
        <w:rPr>
          <w:rFonts w:cs="Arial"/>
          <w:i/>
          <w:iCs/>
          <w:color w:val="000000" w:themeColor="text1"/>
          <w:szCs w:val="22"/>
        </w:rPr>
        <w:t>Principles of Drug Policy: The Politics of Drugs and Their Control.</w:t>
      </w:r>
      <w:r w:rsidRPr="003D23D0">
        <w:rPr>
          <w:rFonts w:cs="Arial"/>
          <w:color w:val="000000" w:themeColor="text1"/>
          <w:szCs w:val="22"/>
        </w:rPr>
        <w:t> Basingstoke: Palgrave Macmillan.</w:t>
      </w:r>
      <w:r w:rsidRPr="003D23D0">
        <w:rPr>
          <w:rFonts w:cs="Arial"/>
          <w:color w:val="000000" w:themeColor="text1"/>
          <w:szCs w:val="22"/>
        </w:rPr>
        <w:br/>
        <w:t>Available at: </w:t>
      </w:r>
      <w:hyperlink r:id="rId70" w:history="1">
        <w:r w:rsidRPr="003D23D0">
          <w:rPr>
            <w:rStyle w:val="Hyperlink"/>
            <w:rFonts w:cs="Arial"/>
            <w:color w:val="000000" w:themeColor="text1"/>
            <w:szCs w:val="22"/>
          </w:rPr>
          <w:t>https://link.springer.com/book/10.1007/978-3-030-25595-1</w:t>
        </w:r>
      </w:hyperlink>
      <w:r w:rsidRPr="003D23D0">
        <w:rPr>
          <w:rFonts w:cs="Arial"/>
          <w:color w:val="000000" w:themeColor="text1"/>
          <w:szCs w:val="22"/>
        </w:rPr>
        <w:t xml:space="preserve"> (Accessed: 11 Aug. 2025).</w:t>
      </w:r>
    </w:p>
    <w:p w14:paraId="765D9563" w14:textId="77777777" w:rsidR="00334658" w:rsidRDefault="00334658" w:rsidP="00334658">
      <w:pPr>
        <w:spacing w:before="100" w:beforeAutospacing="1" w:after="100" w:afterAutospacing="1" w:line="360" w:lineRule="auto"/>
        <w:rPr>
          <w:rFonts w:cs="Arial"/>
          <w:color w:val="000000" w:themeColor="text1"/>
          <w:szCs w:val="22"/>
        </w:rPr>
      </w:pPr>
      <w:r w:rsidRPr="00937805">
        <w:rPr>
          <w:rFonts w:cs="Arial"/>
          <w:color w:val="000000" w:themeColor="text1"/>
          <w:szCs w:val="22"/>
        </w:rPr>
        <w:t xml:space="preserve">Stevens, A., </w:t>
      </w:r>
      <w:r w:rsidRPr="003D23D0">
        <w:rPr>
          <w:rFonts w:cs="Arial"/>
          <w:color w:val="000000" w:themeColor="text1"/>
          <w:szCs w:val="22"/>
        </w:rPr>
        <w:t>(</w:t>
      </w:r>
      <w:r w:rsidRPr="00937805">
        <w:rPr>
          <w:rFonts w:cs="Arial"/>
          <w:color w:val="000000" w:themeColor="text1"/>
          <w:szCs w:val="22"/>
        </w:rPr>
        <w:t>2024</w:t>
      </w:r>
      <w:r w:rsidRPr="003D23D0">
        <w:rPr>
          <w:rFonts w:cs="Arial"/>
          <w:color w:val="000000" w:themeColor="text1"/>
          <w:szCs w:val="22"/>
        </w:rPr>
        <w:t>)</w:t>
      </w:r>
      <w:r w:rsidRPr="00937805">
        <w:rPr>
          <w:rFonts w:cs="Arial"/>
          <w:color w:val="000000" w:themeColor="text1"/>
          <w:szCs w:val="22"/>
        </w:rPr>
        <w:t>. Policy Constellation: A Critical Realist Approach. In </w:t>
      </w:r>
      <w:r w:rsidRPr="00937805">
        <w:rPr>
          <w:rFonts w:cs="Arial"/>
          <w:i/>
          <w:iCs/>
          <w:color w:val="000000" w:themeColor="text1"/>
          <w:szCs w:val="22"/>
        </w:rPr>
        <w:t>Drug Policy Constellations</w:t>
      </w:r>
      <w:r w:rsidRPr="00937805">
        <w:rPr>
          <w:rFonts w:cs="Arial"/>
          <w:color w:val="000000" w:themeColor="text1"/>
          <w:szCs w:val="22"/>
        </w:rPr>
        <w:t> (pp. 33-41). Bristol University Press.</w:t>
      </w:r>
    </w:p>
    <w:p w14:paraId="2D027E30" w14:textId="1CDD71A5" w:rsidR="00334658" w:rsidRPr="00334658" w:rsidRDefault="00334658" w:rsidP="00334658">
      <w:pPr>
        <w:spacing w:before="100" w:beforeAutospacing="1" w:after="100" w:afterAutospacing="1" w:line="360" w:lineRule="auto"/>
        <w:rPr>
          <w:rFonts w:cs="Arial"/>
          <w:color w:val="000000" w:themeColor="text1"/>
          <w:szCs w:val="22"/>
        </w:rPr>
      </w:pPr>
      <w:r w:rsidRPr="003D23D0">
        <w:rPr>
          <w:rFonts w:cs="Arial"/>
          <w:color w:val="000000" w:themeColor="text1"/>
          <w:szCs w:val="22"/>
          <w:shd w:val="clear" w:color="auto" w:fill="FFFFFF"/>
        </w:rPr>
        <w:lastRenderedPageBreak/>
        <w:t>Stimson, G.V. (1995) ‘Aids and injecting drug use in the United Kingdom, 1987–1993: The policy response and the prevention of the epidemic’,</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Social science &amp; medicine (1982)</w:t>
      </w:r>
      <w:r w:rsidRPr="003D23D0">
        <w:rPr>
          <w:rFonts w:cs="Arial"/>
          <w:color w:val="000000" w:themeColor="text1"/>
          <w:szCs w:val="22"/>
          <w:shd w:val="clear" w:color="auto" w:fill="FFFFFF"/>
        </w:rPr>
        <w:t xml:space="preserve">, 41(5), pp. 699–716. Available at: </w:t>
      </w:r>
      <w:hyperlink r:id="rId71" w:history="1">
        <w:r w:rsidRPr="003D23D0">
          <w:rPr>
            <w:rStyle w:val="Hyperlink"/>
            <w:rFonts w:cs="Arial"/>
            <w:color w:val="000000" w:themeColor="text1"/>
            <w:szCs w:val="22"/>
            <w:shd w:val="clear" w:color="auto" w:fill="FFFFFF"/>
          </w:rPr>
          <w:t>https://doi.org/10.1016/0277-9536(94)00435-V</w:t>
        </w:r>
      </w:hyperlink>
      <w:r w:rsidRPr="003D23D0">
        <w:rPr>
          <w:rFonts w:cs="Arial"/>
          <w:color w:val="000000" w:themeColor="text1"/>
          <w:szCs w:val="22"/>
          <w:shd w:val="clear" w:color="auto" w:fill="FFFFFF"/>
        </w:rPr>
        <w:t xml:space="preserve">. </w:t>
      </w:r>
    </w:p>
    <w:p w14:paraId="53AFBA46"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Stimson, G.V. (1995) </w:t>
      </w:r>
      <w:r w:rsidRPr="009C72BD">
        <w:rPr>
          <w:rFonts w:cs="Arial"/>
          <w:i/>
          <w:iCs/>
          <w:color w:val="000000" w:themeColor="text1"/>
          <w:szCs w:val="22"/>
        </w:rPr>
        <w:t>Harm reduction: Coming of age.</w:t>
      </w:r>
      <w:r w:rsidRPr="009C72BD">
        <w:rPr>
          <w:rFonts w:cs="Arial"/>
          <w:color w:val="000000" w:themeColor="text1"/>
          <w:szCs w:val="22"/>
        </w:rPr>
        <w:t> International Journal of Drug Policy, 6(2), pp.67–69.</w:t>
      </w:r>
    </w:p>
    <w:p w14:paraId="1789EA2C" w14:textId="77777777" w:rsidR="00334658" w:rsidRDefault="00334658" w:rsidP="003D23D0">
      <w:pPr>
        <w:spacing w:line="360" w:lineRule="auto"/>
        <w:rPr>
          <w:rFonts w:cs="Arial"/>
          <w:color w:val="000000" w:themeColor="text1"/>
          <w:szCs w:val="22"/>
        </w:rPr>
      </w:pPr>
      <w:r w:rsidRPr="00935115">
        <w:rPr>
          <w:rFonts w:cs="Arial"/>
          <w:color w:val="000000" w:themeColor="text1"/>
          <w:szCs w:val="22"/>
        </w:rPr>
        <w:t>Turning Point (2022) </w:t>
      </w:r>
      <w:r w:rsidRPr="00935115">
        <w:rPr>
          <w:rFonts w:cs="Arial"/>
          <w:i/>
          <w:iCs/>
          <w:color w:val="000000" w:themeColor="text1"/>
          <w:szCs w:val="22"/>
        </w:rPr>
        <w:t>Integrated Substance Misuse and Mental Health Services: A Practical Framework.</w:t>
      </w:r>
      <w:r w:rsidRPr="00935115">
        <w:rPr>
          <w:rFonts w:cs="Arial"/>
          <w:color w:val="000000" w:themeColor="text1"/>
          <w:szCs w:val="22"/>
        </w:rPr>
        <w:t> London: Turning Point.</w:t>
      </w:r>
      <w:r w:rsidRPr="003D23D0">
        <w:rPr>
          <w:rFonts w:cs="Arial"/>
          <w:color w:val="000000" w:themeColor="text1"/>
          <w:szCs w:val="22"/>
        </w:rPr>
        <w:t xml:space="preserve"> Available at: </w:t>
      </w:r>
      <w:hyperlink r:id="rId72" w:history="1">
        <w:r w:rsidRPr="003D23D0">
          <w:rPr>
            <w:rStyle w:val="Hyperlink"/>
            <w:rFonts w:cs="Arial"/>
            <w:color w:val="000000" w:themeColor="text1"/>
            <w:szCs w:val="22"/>
          </w:rPr>
          <w:t>https://www.turning-point.co.uk/_themesdelivery/turningpoint23/assets/downloads/Reports%20and%20strategy%20page%20downloads/SUMH%20Resource%20Pack%20July%202021%20(1).pdf</w:t>
        </w:r>
      </w:hyperlink>
      <w:r w:rsidRPr="003D23D0">
        <w:rPr>
          <w:rFonts w:cs="Arial"/>
          <w:color w:val="000000" w:themeColor="text1"/>
          <w:szCs w:val="22"/>
        </w:rPr>
        <w:t xml:space="preserve"> (Accessed: 11 Aug. 2025).</w:t>
      </w:r>
    </w:p>
    <w:p w14:paraId="20E94C30" w14:textId="77777777" w:rsidR="00334658" w:rsidRPr="003D23D0" w:rsidRDefault="00334658" w:rsidP="003D23D0">
      <w:pPr>
        <w:spacing w:after="240" w:line="360" w:lineRule="auto"/>
        <w:rPr>
          <w:rFonts w:cs="Arial"/>
          <w:color w:val="000000" w:themeColor="text1"/>
          <w:szCs w:val="22"/>
        </w:rPr>
      </w:pPr>
      <w:r w:rsidRPr="003D23D0">
        <w:rPr>
          <w:rFonts w:cs="Arial"/>
          <w:color w:val="000000" w:themeColor="text1"/>
          <w:szCs w:val="22"/>
        </w:rPr>
        <w:t>United Nations Office on Drugs and Crime (2023). </w:t>
      </w:r>
      <w:r w:rsidRPr="003D23D0">
        <w:rPr>
          <w:rFonts w:cs="Arial"/>
          <w:i/>
          <w:iCs/>
          <w:color w:val="000000" w:themeColor="text1"/>
          <w:szCs w:val="22"/>
        </w:rPr>
        <w:t>World Drug Report</w:t>
      </w:r>
      <w:r w:rsidRPr="003D23D0">
        <w:rPr>
          <w:rFonts w:cs="Arial"/>
          <w:color w:val="000000" w:themeColor="text1"/>
          <w:szCs w:val="22"/>
        </w:rPr>
        <w:t xml:space="preserve">. Available at: </w:t>
      </w:r>
      <w:hyperlink r:id="rId73" w:history="1">
        <w:r w:rsidRPr="003D23D0">
          <w:rPr>
            <w:rStyle w:val="Hyperlink"/>
            <w:rFonts w:cs="Arial"/>
            <w:color w:val="000000" w:themeColor="text1"/>
            <w:szCs w:val="22"/>
          </w:rPr>
          <w:t>https://www.unodc.org/res/WDR-2023/WDR23_Exsum_fin_DP.pdf</w:t>
        </w:r>
      </w:hyperlink>
      <w:r w:rsidRPr="003D23D0">
        <w:rPr>
          <w:rFonts w:cs="Arial"/>
          <w:color w:val="000000" w:themeColor="text1"/>
          <w:szCs w:val="22"/>
        </w:rPr>
        <w:t>. (Accessed: 6 Nov. 2025).</w:t>
      </w:r>
    </w:p>
    <w:p w14:paraId="311C9BBD"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United Nations Office on Drugs and Crime (UNODC) (2022). World Drug Report 2022. Vienna: United Nations. Available at: https://www.unodc.org/unodc/en/data-and-analysis/world-drug-report-2022.html (Accessed: 5 June 2025).</w:t>
      </w:r>
    </w:p>
    <w:p w14:paraId="67709B75" w14:textId="7F38FDFB" w:rsidR="00334658" w:rsidRPr="003D23D0" w:rsidRDefault="00334658" w:rsidP="00334658">
      <w:pPr>
        <w:spacing w:after="240" w:line="360" w:lineRule="auto"/>
        <w:rPr>
          <w:rFonts w:cs="Arial"/>
          <w:color w:val="000000" w:themeColor="text1"/>
          <w:szCs w:val="22"/>
        </w:rPr>
      </w:pPr>
      <w:r w:rsidRPr="00F14487">
        <w:rPr>
          <w:rFonts w:cs="Arial"/>
          <w:color w:val="000000" w:themeColor="text1"/>
          <w:szCs w:val="22"/>
        </w:rPr>
        <w:t>University of Wales Trinity Saint David (2022). </w:t>
      </w:r>
      <w:r w:rsidRPr="00F14487">
        <w:rPr>
          <w:rFonts w:cs="Arial"/>
          <w:i/>
          <w:iCs/>
          <w:color w:val="000000" w:themeColor="text1"/>
          <w:szCs w:val="22"/>
        </w:rPr>
        <w:t>Research Ethics &amp; Integrity Code of Practice</w:t>
      </w:r>
      <w:r w:rsidRPr="00F14487">
        <w:rPr>
          <w:rFonts w:cs="Arial"/>
          <w:color w:val="000000" w:themeColor="text1"/>
          <w:szCs w:val="22"/>
        </w:rPr>
        <w:t>.</w:t>
      </w:r>
      <w:r w:rsidRPr="003D23D0">
        <w:rPr>
          <w:rFonts w:cs="Arial"/>
          <w:color w:val="000000" w:themeColor="text1"/>
          <w:szCs w:val="22"/>
        </w:rPr>
        <w:t xml:space="preserve"> </w:t>
      </w:r>
      <w:r w:rsidRPr="00F14487">
        <w:rPr>
          <w:rFonts w:cs="Arial"/>
          <w:color w:val="000000" w:themeColor="text1"/>
          <w:szCs w:val="22"/>
        </w:rPr>
        <w:t xml:space="preserve">Uwtsd.ac.uk. Available at: https://moodle.uwtsd.ac.uk/pluginfile.php/1025142/mod_resource/content/1/research-ethics-and-integrity-code-of-practice-jul-2022.pdf </w:t>
      </w:r>
      <w:r w:rsidRPr="003D23D0">
        <w:rPr>
          <w:rFonts w:cs="Arial"/>
          <w:color w:val="000000" w:themeColor="text1"/>
          <w:szCs w:val="22"/>
        </w:rPr>
        <w:t>(</w:t>
      </w:r>
      <w:r w:rsidRPr="00F14487">
        <w:rPr>
          <w:rFonts w:cs="Arial"/>
          <w:color w:val="000000" w:themeColor="text1"/>
          <w:szCs w:val="22"/>
        </w:rPr>
        <w:t>Accessed 17 Aug. 2025</w:t>
      </w:r>
      <w:r w:rsidRPr="003D23D0">
        <w:rPr>
          <w:rFonts w:cs="Arial"/>
          <w:color w:val="000000" w:themeColor="text1"/>
          <w:szCs w:val="22"/>
        </w:rPr>
        <w:t>)</w:t>
      </w:r>
      <w:r w:rsidRPr="00F14487">
        <w:rPr>
          <w:rFonts w:cs="Arial"/>
          <w:color w:val="000000" w:themeColor="text1"/>
          <w:szCs w:val="22"/>
        </w:rPr>
        <w:t>.</w:t>
      </w:r>
      <w:r w:rsidRPr="001D1EB8">
        <w:rPr>
          <w:rFonts w:cs="Arial"/>
          <w:color w:val="000000" w:themeColor="text1"/>
          <w:szCs w:val="22"/>
        </w:rPr>
        <w:br/>
        <w:t xml:space="preserve">University of Wales Trinity Saint David (UWTSD), </w:t>
      </w:r>
      <w:r w:rsidRPr="003D23D0">
        <w:rPr>
          <w:rFonts w:cs="Arial"/>
          <w:color w:val="000000" w:themeColor="text1"/>
          <w:szCs w:val="22"/>
        </w:rPr>
        <w:t>(</w:t>
      </w:r>
      <w:r w:rsidRPr="001D1EB8">
        <w:rPr>
          <w:rFonts w:cs="Arial"/>
          <w:color w:val="000000" w:themeColor="text1"/>
          <w:szCs w:val="22"/>
        </w:rPr>
        <w:t>2024</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Library and Academic Skills: Harvard Referencing Guide.</w:t>
      </w:r>
      <w:r w:rsidRPr="003D23D0">
        <w:rPr>
          <w:rFonts w:cs="Arial"/>
          <w:i/>
          <w:iCs/>
          <w:color w:val="000000" w:themeColor="text1"/>
          <w:szCs w:val="22"/>
        </w:rPr>
        <w:t xml:space="preserve"> </w:t>
      </w:r>
      <w:r w:rsidRPr="001D1EB8">
        <w:rPr>
          <w:rFonts w:cs="Arial"/>
          <w:color w:val="000000" w:themeColor="text1"/>
          <w:szCs w:val="22"/>
        </w:rPr>
        <w:t>Available at:</w:t>
      </w:r>
      <w:r w:rsidRPr="003D23D0">
        <w:rPr>
          <w:rFonts w:cs="Arial"/>
          <w:color w:val="000000" w:themeColor="text1"/>
          <w:szCs w:val="22"/>
        </w:rPr>
        <w:t xml:space="preserve"> </w:t>
      </w:r>
      <w:r w:rsidRPr="001D1EB8">
        <w:rPr>
          <w:rFonts w:cs="Arial"/>
          <w:color w:val="000000" w:themeColor="text1"/>
          <w:szCs w:val="22"/>
        </w:rPr>
        <w:t>https://uwtsd.ac.uk/library/referencing/ </w:t>
      </w:r>
      <w:r w:rsidRPr="003D23D0">
        <w:rPr>
          <w:rFonts w:cs="Arial"/>
          <w:color w:val="000000" w:themeColor="text1"/>
          <w:szCs w:val="22"/>
        </w:rPr>
        <w:t>(</w:t>
      </w:r>
      <w:r w:rsidRPr="001D1EB8">
        <w:rPr>
          <w:rFonts w:cs="Arial"/>
          <w:color w:val="000000" w:themeColor="text1"/>
          <w:szCs w:val="22"/>
        </w:rPr>
        <w:t>Accessed: 6 Nov. 2025</w:t>
      </w:r>
      <w:r w:rsidRPr="003D23D0">
        <w:rPr>
          <w:rFonts w:cs="Arial"/>
          <w:color w:val="000000" w:themeColor="text1"/>
          <w:szCs w:val="22"/>
        </w:rPr>
        <w:t>)</w:t>
      </w:r>
      <w:r w:rsidRPr="001D1EB8">
        <w:rPr>
          <w:rFonts w:cs="Arial"/>
          <w:color w:val="000000" w:themeColor="text1"/>
          <w:szCs w:val="22"/>
        </w:rPr>
        <w:t>.</w:t>
      </w:r>
      <w:r w:rsidRPr="003D23D0">
        <w:rPr>
          <w:rFonts w:cs="Arial"/>
          <w:color w:val="000000" w:themeColor="text1"/>
          <w:szCs w:val="22"/>
        </w:rPr>
        <w:t xml:space="preserve"> </w:t>
      </w:r>
    </w:p>
    <w:p w14:paraId="6608B8C2"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UNODC (2022)</w:t>
      </w:r>
      <w:r w:rsidRPr="003D23D0">
        <w:rPr>
          <w:rFonts w:cs="Arial"/>
          <w:color w:val="000000" w:themeColor="text1"/>
          <w:szCs w:val="22"/>
        </w:rPr>
        <w:t>.</w:t>
      </w:r>
      <w:r w:rsidRPr="00935115">
        <w:rPr>
          <w:rFonts w:cs="Arial"/>
          <w:i/>
          <w:iCs/>
          <w:color w:val="000000" w:themeColor="text1"/>
          <w:szCs w:val="22"/>
        </w:rPr>
        <w:t>World Drug Report 2022.</w:t>
      </w:r>
      <w:r w:rsidRPr="00935115">
        <w:rPr>
          <w:rFonts w:cs="Arial"/>
          <w:color w:val="000000" w:themeColor="text1"/>
          <w:szCs w:val="22"/>
        </w:rPr>
        <w:t> United Nations Office on Drugs and Crime. Available at: </w:t>
      </w:r>
      <w:hyperlink r:id="rId74" w:tgtFrame="_new" w:history="1">
        <w:r w:rsidRPr="00935115">
          <w:rPr>
            <w:rFonts w:cs="Arial"/>
            <w:color w:val="000000" w:themeColor="text1"/>
            <w:szCs w:val="22"/>
            <w:u w:val="single"/>
          </w:rPr>
          <w:t>https://www.unodc.org/unodc/en/data-and-analysis/world-drug-report-2022.html</w:t>
        </w:r>
      </w:hyperlink>
      <w:r w:rsidRPr="00935115">
        <w:rPr>
          <w:rFonts w:cs="Arial"/>
          <w:color w:val="000000" w:themeColor="text1"/>
          <w:szCs w:val="22"/>
        </w:rPr>
        <w:t> (Accessed: 5 June 2025).</w:t>
      </w:r>
    </w:p>
    <w:p w14:paraId="77A4E1D6"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UNODC (United Nations Office on Drugs and Crime), 2022. </w:t>
      </w:r>
      <w:r w:rsidRPr="003D23D0">
        <w:rPr>
          <w:rFonts w:cs="Arial"/>
          <w:i/>
          <w:iCs/>
          <w:color w:val="000000" w:themeColor="text1"/>
          <w:szCs w:val="22"/>
        </w:rPr>
        <w:t>World Drug Report 2022.</w:t>
      </w:r>
      <w:r w:rsidRPr="003D23D0">
        <w:rPr>
          <w:rFonts w:cs="Arial"/>
          <w:color w:val="000000" w:themeColor="text1"/>
          <w:szCs w:val="22"/>
        </w:rPr>
        <w:t> Vienna: United Nations.</w:t>
      </w:r>
      <w:r w:rsidRPr="003D23D0">
        <w:rPr>
          <w:rFonts w:cs="Arial"/>
          <w:color w:val="000000" w:themeColor="text1"/>
          <w:szCs w:val="22"/>
        </w:rPr>
        <w:br/>
        <w:t>Available at: </w:t>
      </w:r>
      <w:hyperlink r:id="rId75" w:tgtFrame="_new" w:history="1">
        <w:r w:rsidRPr="003D23D0">
          <w:rPr>
            <w:rFonts w:cs="Arial"/>
            <w:color w:val="000000" w:themeColor="text1"/>
            <w:szCs w:val="22"/>
            <w:u w:val="single"/>
          </w:rPr>
          <w:t>https://www.unodc.org/unodc/en/data-and-analysis/world-drug-report-2022.html</w:t>
        </w:r>
      </w:hyperlink>
      <w:r w:rsidRPr="003D23D0">
        <w:rPr>
          <w:rFonts w:cs="Arial"/>
          <w:color w:val="000000" w:themeColor="text1"/>
          <w:szCs w:val="22"/>
        </w:rPr>
        <w:t> (Accessed: 6 Nov. 2025).</w:t>
      </w:r>
    </w:p>
    <w:p w14:paraId="0B78B626"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Whitehead, M. (1992) ‘The concepts and principles of equity and health’, </w:t>
      </w:r>
      <w:r w:rsidRPr="00935115">
        <w:rPr>
          <w:rFonts w:cs="Arial"/>
          <w:i/>
          <w:iCs/>
          <w:color w:val="000000" w:themeColor="text1"/>
          <w:szCs w:val="22"/>
        </w:rPr>
        <w:t>Health Promotion International</w:t>
      </w:r>
      <w:r w:rsidRPr="00935115">
        <w:rPr>
          <w:rFonts w:cs="Arial"/>
          <w:color w:val="000000" w:themeColor="text1"/>
          <w:szCs w:val="22"/>
        </w:rPr>
        <w:t>, 6(3), pp. 217–228. doi: 10.1093/heapro/6.3.217.</w:t>
      </w:r>
    </w:p>
    <w:p w14:paraId="30F07665"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lastRenderedPageBreak/>
        <w:t xml:space="preserve">WHO (2019). World Health Organization: </w:t>
      </w:r>
      <w:r w:rsidRPr="003D23D0">
        <w:rPr>
          <w:rFonts w:cs="Arial"/>
          <w:i/>
          <w:iCs/>
          <w:color w:val="000000" w:themeColor="text1"/>
          <w:szCs w:val="22"/>
        </w:rPr>
        <w:t>Social Determinants of Health.</w:t>
      </w:r>
      <w:r w:rsidRPr="003D23D0">
        <w:rPr>
          <w:rFonts w:cs="Arial"/>
          <w:color w:val="000000" w:themeColor="text1"/>
          <w:szCs w:val="22"/>
        </w:rPr>
        <w:t> Geneva: WHO.</w:t>
      </w:r>
      <w:r w:rsidRPr="003D23D0">
        <w:rPr>
          <w:rFonts w:cs="Arial"/>
          <w:color w:val="000000" w:themeColor="text1"/>
          <w:szCs w:val="22"/>
        </w:rPr>
        <w:br/>
        <w:t>Available at: </w:t>
      </w:r>
      <w:hyperlink r:id="rId76" w:tgtFrame="_new" w:history="1">
        <w:r w:rsidRPr="003D23D0">
          <w:rPr>
            <w:rFonts w:cs="Arial"/>
            <w:color w:val="000000" w:themeColor="text1"/>
            <w:szCs w:val="22"/>
            <w:u w:val="single"/>
          </w:rPr>
          <w:t>https://www.who.int/health-topics/social-determinants-of-health</w:t>
        </w:r>
      </w:hyperlink>
      <w:r w:rsidRPr="003D23D0">
        <w:rPr>
          <w:rFonts w:cs="Arial"/>
          <w:color w:val="000000" w:themeColor="text1"/>
          <w:szCs w:val="22"/>
        </w:rPr>
        <w:t> (Accessed: 6 Nov. 2025).</w:t>
      </w:r>
    </w:p>
    <w:p w14:paraId="1700A337"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 xml:space="preserve">WHO (2022). World Mental Health Report: </w:t>
      </w:r>
      <w:r w:rsidRPr="003D23D0">
        <w:rPr>
          <w:rFonts w:cs="Arial"/>
          <w:i/>
          <w:iCs/>
          <w:color w:val="000000" w:themeColor="text1"/>
          <w:szCs w:val="22"/>
        </w:rPr>
        <w:t>Transforming Mental Health for All</w:t>
      </w:r>
      <w:r w:rsidRPr="003D23D0">
        <w:rPr>
          <w:rFonts w:cs="Arial"/>
          <w:color w:val="000000" w:themeColor="text1"/>
          <w:szCs w:val="22"/>
        </w:rPr>
        <w:t>. Geneva: WHO. Available at: https://www.who.int/publications/i/item/9789240049338 (Accessed: 6 Nov. 2025).</w:t>
      </w:r>
    </w:p>
    <w:p w14:paraId="0E822922"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WHO (2023). </w:t>
      </w:r>
      <w:r w:rsidRPr="003D23D0">
        <w:rPr>
          <w:rFonts w:cs="Arial"/>
          <w:i/>
          <w:iCs/>
          <w:color w:val="000000" w:themeColor="text1"/>
          <w:szCs w:val="22"/>
        </w:rPr>
        <w:t>Global status report on alcohol and health and treatment of substance use disorders</w:t>
      </w:r>
      <w:r w:rsidRPr="003D23D0">
        <w:rPr>
          <w:rFonts w:cs="Arial"/>
          <w:color w:val="000000" w:themeColor="text1"/>
          <w:szCs w:val="22"/>
        </w:rPr>
        <w:t xml:space="preserve">. www.who.int. Available at: </w:t>
      </w:r>
      <w:hyperlink r:id="rId77" w:history="1">
        <w:r w:rsidRPr="003D23D0">
          <w:rPr>
            <w:rStyle w:val="Hyperlink"/>
            <w:rFonts w:cs="Arial"/>
            <w:color w:val="000000" w:themeColor="text1"/>
            <w:szCs w:val="22"/>
          </w:rPr>
          <w:t>https://www.who.int/publications/i/item/9789240096745</w:t>
        </w:r>
      </w:hyperlink>
      <w:r w:rsidRPr="003D23D0">
        <w:rPr>
          <w:rFonts w:cs="Arial"/>
          <w:color w:val="000000" w:themeColor="text1"/>
          <w:szCs w:val="22"/>
        </w:rPr>
        <w:t>. (Accessed: 6 Nov. 2025).</w:t>
      </w:r>
    </w:p>
    <w:p w14:paraId="3270C103"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WHO (2024). </w:t>
      </w:r>
      <w:r w:rsidRPr="003D23D0">
        <w:rPr>
          <w:rFonts w:cs="Arial"/>
          <w:i/>
          <w:iCs/>
          <w:color w:val="000000" w:themeColor="text1"/>
          <w:szCs w:val="22"/>
        </w:rPr>
        <w:t>Towards an action plan on alcohol</w:t>
      </w:r>
      <w:r w:rsidRPr="003D23D0">
        <w:rPr>
          <w:rFonts w:cs="Arial"/>
          <w:color w:val="000000" w:themeColor="text1"/>
          <w:szCs w:val="22"/>
        </w:rPr>
        <w:t xml:space="preserve">. www.who.int. Available at: </w:t>
      </w:r>
      <w:hyperlink r:id="rId78" w:history="1">
        <w:r w:rsidRPr="003D23D0">
          <w:rPr>
            <w:rStyle w:val="Hyperlink"/>
            <w:rFonts w:cs="Arial"/>
            <w:color w:val="000000" w:themeColor="text1"/>
            <w:szCs w:val="22"/>
          </w:rPr>
          <w:t>https://www.who.int/teams/mental-health-and-substance-use/alcohol-drugs-and-addictive-behaviours/alcohol/our-activities/towards-and-action-plan-on-alcohol</w:t>
        </w:r>
      </w:hyperlink>
      <w:r w:rsidRPr="003D23D0">
        <w:rPr>
          <w:rFonts w:cs="Arial"/>
          <w:color w:val="000000" w:themeColor="text1"/>
          <w:szCs w:val="22"/>
        </w:rPr>
        <w:t>. (Accessed: 6 Nov. 2025).</w:t>
      </w:r>
    </w:p>
    <w:p w14:paraId="2AA96AC1"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br/>
        <w:t>World Health Organization (WHO), 2021. </w:t>
      </w:r>
      <w:r w:rsidRPr="003D23D0">
        <w:rPr>
          <w:rFonts w:cs="Arial"/>
          <w:i/>
          <w:iCs/>
          <w:color w:val="000000" w:themeColor="text1"/>
          <w:szCs w:val="22"/>
        </w:rPr>
        <w:t>Lexicon of Alcohol and Drug Terms.</w:t>
      </w:r>
      <w:r w:rsidRPr="003D23D0">
        <w:rPr>
          <w:rFonts w:cs="Arial"/>
          <w:color w:val="000000" w:themeColor="text1"/>
          <w:szCs w:val="22"/>
        </w:rPr>
        <w:t xml:space="preserve"> Geneva: WHO. Available at: </w:t>
      </w:r>
      <w:hyperlink r:id="rId79" w:history="1">
        <w:r w:rsidRPr="003D23D0">
          <w:rPr>
            <w:rStyle w:val="Hyperlink"/>
            <w:rFonts w:cs="Arial"/>
            <w:color w:val="000000" w:themeColor="text1"/>
            <w:szCs w:val="22"/>
          </w:rPr>
          <w:t>https://www.who.int/publications/i/item/9241544686</w:t>
        </w:r>
      </w:hyperlink>
      <w:r w:rsidRPr="003D23D0">
        <w:rPr>
          <w:rFonts w:cs="Arial"/>
          <w:color w:val="000000" w:themeColor="text1"/>
          <w:szCs w:val="22"/>
        </w:rPr>
        <w:t>. (Accessed: 6 Nov. 2025).</w:t>
      </w:r>
    </w:p>
    <w:p w14:paraId="40713FB6" w14:textId="77777777" w:rsidR="00334658" w:rsidRPr="003D23D0" w:rsidRDefault="00334658" w:rsidP="003D23D0">
      <w:pPr>
        <w:spacing w:after="240" w:line="360" w:lineRule="auto"/>
        <w:rPr>
          <w:rFonts w:cs="Arial"/>
          <w:color w:val="000000" w:themeColor="text1"/>
          <w:szCs w:val="22"/>
        </w:rPr>
      </w:pPr>
      <w:r w:rsidRPr="003D23D0">
        <w:rPr>
          <w:rFonts w:cs="Arial"/>
          <w:color w:val="000000" w:themeColor="text1"/>
          <w:szCs w:val="22"/>
        </w:rPr>
        <w:t>Zubin, J. and Spring, B. (1977). Vulnerability--a new view of schizophrenia. </w:t>
      </w:r>
      <w:r w:rsidRPr="003D23D0">
        <w:rPr>
          <w:rFonts w:cs="Arial"/>
          <w:i/>
          <w:iCs/>
          <w:color w:val="000000" w:themeColor="text1"/>
          <w:szCs w:val="22"/>
        </w:rPr>
        <w:t>Journal of abnormal psychology</w:t>
      </w:r>
      <w:r w:rsidRPr="003D23D0">
        <w:rPr>
          <w:rFonts w:cs="Arial"/>
          <w:color w:val="000000" w:themeColor="text1"/>
          <w:szCs w:val="22"/>
        </w:rPr>
        <w:t>, 86(2), pp.103–26. Available at: doi:https://doi.org/10.1037//0021-843x.86.2.103.</w:t>
      </w:r>
    </w:p>
    <w:p w14:paraId="2F10E6ED" w14:textId="77777777" w:rsidR="003D23D0" w:rsidRPr="00901E26" w:rsidRDefault="003D23D0" w:rsidP="003D23D0">
      <w:pPr>
        <w:spacing w:line="360" w:lineRule="auto"/>
        <w:rPr>
          <w:rFonts w:cs="Arial"/>
          <w:color w:val="000000" w:themeColor="text1"/>
          <w:szCs w:val="22"/>
        </w:rPr>
      </w:pPr>
    </w:p>
    <w:p w14:paraId="60D2154C" w14:textId="7687DF92" w:rsidR="00C1113F" w:rsidRPr="00901E26" w:rsidRDefault="00C1113F" w:rsidP="00901E26">
      <w:pPr>
        <w:spacing w:after="240" w:line="360" w:lineRule="auto"/>
        <w:rPr>
          <w:rFonts w:cs="Arial"/>
          <w:color w:val="000000" w:themeColor="text1"/>
          <w:szCs w:val="22"/>
        </w:rPr>
      </w:pPr>
    </w:p>
    <w:p w14:paraId="5598D182" w14:textId="62AA509A" w:rsidR="00C1113F" w:rsidRPr="00901E26" w:rsidRDefault="00C1113F" w:rsidP="00901E26">
      <w:pPr>
        <w:spacing w:after="240" w:line="360" w:lineRule="auto"/>
        <w:rPr>
          <w:rFonts w:cs="Arial"/>
          <w:color w:val="000000" w:themeColor="text1"/>
          <w:szCs w:val="22"/>
        </w:rPr>
      </w:pPr>
    </w:p>
    <w:p w14:paraId="3AE2FEC2" w14:textId="31543803" w:rsidR="00C1113F" w:rsidRPr="00901E26" w:rsidRDefault="00C1113F" w:rsidP="00901E26">
      <w:pPr>
        <w:spacing w:after="240" w:line="360" w:lineRule="auto"/>
        <w:rPr>
          <w:rFonts w:cs="Arial"/>
          <w:color w:val="000000" w:themeColor="text1"/>
          <w:szCs w:val="22"/>
        </w:rPr>
      </w:pPr>
    </w:p>
    <w:p w14:paraId="06F59546" w14:textId="166C4B2A" w:rsidR="00C1113F" w:rsidRPr="00901E26" w:rsidRDefault="00C1113F" w:rsidP="00901E26">
      <w:pPr>
        <w:spacing w:after="240" w:line="360" w:lineRule="auto"/>
        <w:rPr>
          <w:rFonts w:cs="Arial"/>
          <w:color w:val="000000" w:themeColor="text1"/>
          <w:szCs w:val="22"/>
        </w:rPr>
      </w:pPr>
    </w:p>
    <w:p w14:paraId="538C4E97" w14:textId="48AFE9DF" w:rsidR="00C1113F" w:rsidRPr="00901E26" w:rsidRDefault="00C1113F" w:rsidP="00901E26">
      <w:pPr>
        <w:spacing w:after="240" w:line="360" w:lineRule="auto"/>
        <w:rPr>
          <w:rFonts w:cs="Arial"/>
          <w:color w:val="000000" w:themeColor="text1"/>
          <w:szCs w:val="22"/>
        </w:rPr>
      </w:pPr>
    </w:p>
    <w:p w14:paraId="60ECF129" w14:textId="5DE2B9A4" w:rsidR="00104BAA" w:rsidRDefault="00104BAA" w:rsidP="00901E26">
      <w:pPr>
        <w:spacing w:line="360" w:lineRule="auto"/>
        <w:rPr>
          <w:rFonts w:cs="Arial"/>
          <w:color w:val="000000" w:themeColor="text1"/>
          <w:szCs w:val="22"/>
        </w:rPr>
      </w:pPr>
    </w:p>
    <w:p w14:paraId="5DF8BA05" w14:textId="2A053745" w:rsidR="00334658" w:rsidRDefault="00334658" w:rsidP="00901E26">
      <w:pPr>
        <w:spacing w:line="360" w:lineRule="auto"/>
        <w:rPr>
          <w:rFonts w:cs="Arial"/>
          <w:color w:val="000000" w:themeColor="text1"/>
          <w:szCs w:val="22"/>
        </w:rPr>
      </w:pPr>
    </w:p>
    <w:p w14:paraId="252629A9" w14:textId="0DA52399" w:rsidR="00334658" w:rsidRDefault="00334658" w:rsidP="00901E26">
      <w:pPr>
        <w:spacing w:line="360" w:lineRule="auto"/>
        <w:rPr>
          <w:rFonts w:cs="Arial"/>
          <w:color w:val="000000" w:themeColor="text1"/>
          <w:szCs w:val="22"/>
        </w:rPr>
      </w:pPr>
    </w:p>
    <w:p w14:paraId="13534D45" w14:textId="542251B8" w:rsidR="00334658" w:rsidRDefault="00334658" w:rsidP="00901E26">
      <w:pPr>
        <w:spacing w:line="360" w:lineRule="auto"/>
        <w:rPr>
          <w:rFonts w:cs="Arial"/>
          <w:color w:val="000000" w:themeColor="text1"/>
          <w:szCs w:val="22"/>
        </w:rPr>
      </w:pPr>
    </w:p>
    <w:p w14:paraId="43A5D7E2" w14:textId="641EBA43" w:rsidR="00334658" w:rsidRDefault="00334658" w:rsidP="00901E26">
      <w:pPr>
        <w:spacing w:line="360" w:lineRule="auto"/>
        <w:rPr>
          <w:rFonts w:cs="Arial"/>
          <w:color w:val="000000" w:themeColor="text1"/>
          <w:szCs w:val="22"/>
        </w:rPr>
      </w:pPr>
    </w:p>
    <w:p w14:paraId="09DC76C8" w14:textId="77777777" w:rsidR="00334658" w:rsidRPr="00901E26" w:rsidRDefault="00334658" w:rsidP="00901E26">
      <w:pPr>
        <w:spacing w:line="360" w:lineRule="auto"/>
        <w:rPr>
          <w:rFonts w:cs="Arial"/>
          <w:color w:val="000000" w:themeColor="text1"/>
          <w:szCs w:val="22"/>
        </w:rPr>
      </w:pPr>
    </w:p>
    <w:p w14:paraId="1BFE22D9" w14:textId="5F80E882" w:rsidR="00104BAA" w:rsidRPr="00E47702" w:rsidRDefault="006B3A77" w:rsidP="006B3A77">
      <w:pPr>
        <w:pStyle w:val="Heading1"/>
        <w:rPr>
          <w:rFonts w:cs="Arial"/>
          <w:szCs w:val="22"/>
        </w:rPr>
      </w:pPr>
      <w:bookmarkStart w:id="85" w:name="_Toc214836735"/>
      <w:r w:rsidRPr="00E47702">
        <w:rPr>
          <w:rFonts w:cs="Arial"/>
          <w:szCs w:val="22"/>
        </w:rPr>
        <w:lastRenderedPageBreak/>
        <w:t>Appendix A: Thematic</w:t>
      </w:r>
      <w:r w:rsidR="00104BAA" w:rsidRPr="00E47702">
        <w:rPr>
          <w:rFonts w:cs="Arial"/>
          <w:szCs w:val="22"/>
        </w:rPr>
        <w:t xml:space="preserve"> Summary Matrix</w:t>
      </w:r>
      <w:bookmarkEnd w:id="85"/>
    </w:p>
    <w:tbl>
      <w:tblPr>
        <w:tblStyle w:val="TableGrid"/>
        <w:tblW w:w="11340" w:type="dxa"/>
        <w:tblInd w:w="-1139" w:type="dxa"/>
        <w:tblLook w:val="04A0" w:firstRow="1" w:lastRow="0" w:firstColumn="1" w:lastColumn="0" w:noHBand="0" w:noVBand="1"/>
      </w:tblPr>
      <w:tblGrid>
        <w:gridCol w:w="2641"/>
        <w:gridCol w:w="1709"/>
        <w:gridCol w:w="1558"/>
        <w:gridCol w:w="1525"/>
        <w:gridCol w:w="1296"/>
        <w:gridCol w:w="2611"/>
      </w:tblGrid>
      <w:tr w:rsidR="00901E26" w:rsidRPr="00E47702" w14:paraId="0884D4E4" w14:textId="77777777" w:rsidTr="00104BAA">
        <w:tc>
          <w:tcPr>
            <w:tcW w:w="2640" w:type="dxa"/>
            <w:hideMark/>
          </w:tcPr>
          <w:p w14:paraId="4319F543"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Theme</w:t>
            </w:r>
          </w:p>
        </w:tc>
        <w:tc>
          <w:tcPr>
            <w:tcW w:w="0" w:type="auto"/>
            <w:hideMark/>
          </w:tcPr>
          <w:p w14:paraId="55E2D285"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Definition / Scope</w:t>
            </w:r>
          </w:p>
        </w:tc>
        <w:tc>
          <w:tcPr>
            <w:tcW w:w="0" w:type="auto"/>
            <w:hideMark/>
          </w:tcPr>
          <w:p w14:paraId="79B32795"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Key Data &amp; Statistics</w:t>
            </w:r>
          </w:p>
        </w:tc>
        <w:tc>
          <w:tcPr>
            <w:tcW w:w="0" w:type="auto"/>
            <w:hideMark/>
          </w:tcPr>
          <w:p w14:paraId="69027537"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Core Theories / Models</w:t>
            </w:r>
          </w:p>
        </w:tc>
        <w:tc>
          <w:tcPr>
            <w:tcW w:w="0" w:type="auto"/>
            <w:hideMark/>
          </w:tcPr>
          <w:p w14:paraId="1E57A303"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Example Studies &amp; Sources</w:t>
            </w:r>
          </w:p>
        </w:tc>
        <w:tc>
          <w:tcPr>
            <w:tcW w:w="2611" w:type="dxa"/>
            <w:hideMark/>
          </w:tcPr>
          <w:p w14:paraId="23157060"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Connection to Research Question</w:t>
            </w:r>
          </w:p>
        </w:tc>
      </w:tr>
      <w:tr w:rsidR="00901E26" w:rsidRPr="00E47702" w14:paraId="621BCEE4" w14:textId="77777777" w:rsidTr="00104BAA">
        <w:tc>
          <w:tcPr>
            <w:tcW w:w="2640" w:type="dxa"/>
            <w:hideMark/>
          </w:tcPr>
          <w:p w14:paraId="6AE7E347" w14:textId="77777777" w:rsidR="00104BAA" w:rsidRPr="00104BAA" w:rsidRDefault="00104BAA" w:rsidP="00901E26">
            <w:pPr>
              <w:spacing w:line="360" w:lineRule="auto"/>
              <w:rPr>
                <w:rFonts w:cs="Arial"/>
                <w:color w:val="000000" w:themeColor="text1"/>
                <w:sz w:val="18"/>
                <w:szCs w:val="18"/>
              </w:rPr>
            </w:pPr>
            <w:r w:rsidRPr="00104BAA">
              <w:rPr>
                <w:rFonts w:cs="Arial"/>
                <w:b/>
                <w:bCs/>
                <w:color w:val="000000" w:themeColor="text1"/>
                <w:sz w:val="18"/>
                <w:szCs w:val="18"/>
              </w:rPr>
              <w:t>1. Socioeconomic Disadvantage and Substance Misuse</w:t>
            </w:r>
          </w:p>
        </w:tc>
        <w:tc>
          <w:tcPr>
            <w:tcW w:w="0" w:type="auto"/>
            <w:hideMark/>
          </w:tcPr>
          <w:p w14:paraId="5D06FA53"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Explores how poverty, unemployment, and inequality drive substance use in England’s most deprived areas.</w:t>
            </w:r>
          </w:p>
        </w:tc>
        <w:tc>
          <w:tcPr>
            <w:tcW w:w="0" w:type="auto"/>
            <w:hideMark/>
          </w:tcPr>
          <w:p w14:paraId="6FBE32C4"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ONS (2022): Drug misuse rates twice as high in lowest income quintile. PHE (2021): 64% of deaths in bottom decile.</w:t>
            </w:r>
          </w:p>
        </w:tc>
        <w:tc>
          <w:tcPr>
            <w:tcW w:w="0" w:type="auto"/>
            <w:hideMark/>
          </w:tcPr>
          <w:p w14:paraId="6EAE89A1"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Social Determinants of Health (Marmot, 2020); Structural Violence (Farmer, 2004).</w:t>
            </w:r>
          </w:p>
        </w:tc>
        <w:tc>
          <w:tcPr>
            <w:tcW w:w="0" w:type="auto"/>
            <w:hideMark/>
          </w:tcPr>
          <w:p w14:paraId="38E2CC37"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Black (2021); Karamanos et al. (2022); UNODC (2022).</w:t>
            </w:r>
          </w:p>
        </w:tc>
        <w:tc>
          <w:tcPr>
            <w:tcW w:w="2611" w:type="dxa"/>
            <w:hideMark/>
          </w:tcPr>
          <w:p w14:paraId="6FC13504"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Low-income status increases exposure to social risk factors influencing misuse.</w:t>
            </w:r>
          </w:p>
        </w:tc>
      </w:tr>
      <w:tr w:rsidR="00901E26" w:rsidRPr="00E47702" w14:paraId="283F6892" w14:textId="77777777" w:rsidTr="00104BAA">
        <w:tc>
          <w:tcPr>
            <w:tcW w:w="2640" w:type="dxa"/>
            <w:hideMark/>
          </w:tcPr>
          <w:p w14:paraId="5FDCE528" w14:textId="77777777" w:rsidR="00104BAA" w:rsidRPr="00104BAA" w:rsidRDefault="00104BAA" w:rsidP="00901E26">
            <w:pPr>
              <w:spacing w:line="360" w:lineRule="auto"/>
              <w:rPr>
                <w:rFonts w:cs="Arial"/>
                <w:color w:val="000000" w:themeColor="text1"/>
                <w:sz w:val="18"/>
                <w:szCs w:val="18"/>
              </w:rPr>
            </w:pPr>
            <w:r w:rsidRPr="00104BAA">
              <w:rPr>
                <w:rFonts w:cs="Arial"/>
                <w:b/>
                <w:bCs/>
                <w:color w:val="000000" w:themeColor="text1"/>
                <w:sz w:val="18"/>
                <w:szCs w:val="18"/>
              </w:rPr>
              <w:t>2. Untreated Mental Health and Substance Misuse</w:t>
            </w:r>
          </w:p>
        </w:tc>
        <w:tc>
          <w:tcPr>
            <w:tcW w:w="0" w:type="auto"/>
            <w:hideMark/>
          </w:tcPr>
          <w:p w14:paraId="385011B0"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Focuses on comorbidity of addiction and unaddressed mental disorders.</w:t>
            </w:r>
          </w:p>
        </w:tc>
        <w:tc>
          <w:tcPr>
            <w:tcW w:w="0" w:type="auto"/>
            <w:hideMark/>
          </w:tcPr>
          <w:p w14:paraId="72C364D3"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NHS Digital (2023): 46% of clients in treatment have dual diagnoses.</w:t>
            </w:r>
          </w:p>
        </w:tc>
        <w:tc>
          <w:tcPr>
            <w:tcW w:w="0" w:type="auto"/>
            <w:hideMark/>
          </w:tcPr>
          <w:p w14:paraId="4CFFF554"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Self-Medication Hypothesis (Khantzian, 1997); Stress-Vulnerability Model (Zubin &amp; Spring, 1977).</w:t>
            </w:r>
          </w:p>
        </w:tc>
        <w:tc>
          <w:tcPr>
            <w:tcW w:w="0" w:type="auto"/>
            <w:hideMark/>
          </w:tcPr>
          <w:p w14:paraId="127368F7"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Molina &amp; Whittaker (2022); Pierce et al. (2020); Kwong et al. (2020).</w:t>
            </w:r>
          </w:p>
        </w:tc>
        <w:tc>
          <w:tcPr>
            <w:tcW w:w="2611" w:type="dxa"/>
            <w:hideMark/>
          </w:tcPr>
          <w:p w14:paraId="708E9036"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Highlights how mental-health inequities reinforce substance-misuse risk.</w:t>
            </w:r>
          </w:p>
        </w:tc>
      </w:tr>
      <w:tr w:rsidR="00901E26" w:rsidRPr="00E47702" w14:paraId="2CDF0105" w14:textId="77777777" w:rsidTr="00104BAA">
        <w:tc>
          <w:tcPr>
            <w:tcW w:w="2640" w:type="dxa"/>
            <w:hideMark/>
          </w:tcPr>
          <w:p w14:paraId="239B73BF" w14:textId="77777777" w:rsidR="00104BAA" w:rsidRPr="00104BAA" w:rsidRDefault="00104BAA" w:rsidP="00901E26">
            <w:pPr>
              <w:spacing w:line="360" w:lineRule="auto"/>
              <w:rPr>
                <w:rFonts w:cs="Arial"/>
                <w:color w:val="000000" w:themeColor="text1"/>
                <w:sz w:val="18"/>
                <w:szCs w:val="18"/>
              </w:rPr>
            </w:pPr>
            <w:r w:rsidRPr="00104BAA">
              <w:rPr>
                <w:rFonts w:cs="Arial"/>
                <w:b/>
                <w:bCs/>
                <w:color w:val="000000" w:themeColor="text1"/>
                <w:sz w:val="18"/>
                <w:szCs w:val="18"/>
              </w:rPr>
              <w:t>3. Barriers to Access and Support Services</w:t>
            </w:r>
          </w:p>
        </w:tc>
        <w:tc>
          <w:tcPr>
            <w:tcW w:w="0" w:type="auto"/>
            <w:hideMark/>
          </w:tcPr>
          <w:p w14:paraId="1DB41D89"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Examines factors limiting access to treatment and mental-health services.</w:t>
            </w:r>
          </w:p>
        </w:tc>
        <w:tc>
          <w:tcPr>
            <w:tcW w:w="0" w:type="auto"/>
            <w:hideMark/>
          </w:tcPr>
          <w:p w14:paraId="21DDDE9F"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PHE (2021): 55% first-appointment attendance in lowest quintile. NHS (2023): 17% service decline since 2013.</w:t>
            </w:r>
          </w:p>
        </w:tc>
        <w:tc>
          <w:tcPr>
            <w:tcW w:w="0" w:type="auto"/>
            <w:hideMark/>
          </w:tcPr>
          <w:p w14:paraId="57B24909"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Access Equity Framework (Aday &amp; Andersen, 1974); Health Inequality Theory (Whitehead, 1992).</w:t>
            </w:r>
          </w:p>
        </w:tc>
        <w:tc>
          <w:tcPr>
            <w:tcW w:w="0" w:type="auto"/>
            <w:hideMark/>
          </w:tcPr>
          <w:p w14:paraId="6DA8BEDA"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Mind (2022); Lloyd et al. (2019); Alcohol Change UK (2022).</w:t>
            </w:r>
          </w:p>
        </w:tc>
        <w:tc>
          <w:tcPr>
            <w:tcW w:w="2611" w:type="dxa"/>
            <w:hideMark/>
          </w:tcPr>
          <w:p w14:paraId="7DAE9033"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Illustrates how systemic barriers perpetuate deprivation and untreated need.</w:t>
            </w:r>
          </w:p>
        </w:tc>
      </w:tr>
      <w:tr w:rsidR="00901E26" w:rsidRPr="00E47702" w14:paraId="1A2A156F" w14:textId="77777777" w:rsidTr="00104BAA">
        <w:tc>
          <w:tcPr>
            <w:tcW w:w="2640" w:type="dxa"/>
            <w:hideMark/>
          </w:tcPr>
          <w:p w14:paraId="0236E67A" w14:textId="77777777" w:rsidR="00104BAA" w:rsidRPr="00104BAA" w:rsidRDefault="00104BAA" w:rsidP="00901E26">
            <w:pPr>
              <w:spacing w:line="360" w:lineRule="auto"/>
              <w:rPr>
                <w:rFonts w:cs="Arial"/>
                <w:color w:val="000000" w:themeColor="text1"/>
                <w:sz w:val="18"/>
                <w:szCs w:val="18"/>
              </w:rPr>
            </w:pPr>
            <w:r w:rsidRPr="00104BAA">
              <w:rPr>
                <w:rFonts w:cs="Arial"/>
                <w:b/>
                <w:bCs/>
                <w:color w:val="000000" w:themeColor="text1"/>
                <w:sz w:val="18"/>
                <w:szCs w:val="18"/>
              </w:rPr>
              <w:t>4. Policy Responses and Structural Inequalities</w:t>
            </w:r>
          </w:p>
        </w:tc>
        <w:tc>
          <w:tcPr>
            <w:tcW w:w="0" w:type="auto"/>
            <w:hideMark/>
          </w:tcPr>
          <w:p w14:paraId="0F3478A4"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Evaluates UK and international policy interventions.</w:t>
            </w:r>
          </w:p>
        </w:tc>
        <w:tc>
          <w:tcPr>
            <w:tcW w:w="0" w:type="auto"/>
            <w:hideMark/>
          </w:tcPr>
          <w:p w14:paraId="6B04E666"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UK Gov (2023): 4,907 drug-related deaths (record high). WHO (2023): 70% of states prioritise enforcement.</w:t>
            </w:r>
          </w:p>
        </w:tc>
        <w:tc>
          <w:tcPr>
            <w:tcW w:w="0" w:type="auto"/>
            <w:hideMark/>
          </w:tcPr>
          <w:p w14:paraId="3607B816"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Systems-Change Theory (Meadows, 2008); Public-Health Model.</w:t>
            </w:r>
          </w:p>
        </w:tc>
        <w:tc>
          <w:tcPr>
            <w:tcW w:w="0" w:type="auto"/>
            <w:hideMark/>
          </w:tcPr>
          <w:p w14:paraId="612E0685"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Marmot (2020); EMCDDA (2023); Stevens (2019).</w:t>
            </w:r>
          </w:p>
        </w:tc>
        <w:tc>
          <w:tcPr>
            <w:tcW w:w="2611" w:type="dxa"/>
            <w:hideMark/>
          </w:tcPr>
          <w:p w14:paraId="3DBD170D"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Connects macro policy design to micro-level social outcomes.</w:t>
            </w:r>
          </w:p>
        </w:tc>
      </w:tr>
    </w:tbl>
    <w:p w14:paraId="0CD8E84C" w14:textId="20CA65BD" w:rsidR="00104BAA" w:rsidRPr="00E47702" w:rsidRDefault="00104BAA" w:rsidP="00901E26">
      <w:pPr>
        <w:spacing w:line="360" w:lineRule="auto"/>
        <w:rPr>
          <w:rFonts w:cs="Arial"/>
          <w:color w:val="000000" w:themeColor="text1"/>
          <w:sz w:val="18"/>
          <w:szCs w:val="18"/>
        </w:rPr>
      </w:pPr>
    </w:p>
    <w:p w14:paraId="0FADC47A" w14:textId="1857345F" w:rsidR="00E93FB4" w:rsidRPr="00E47702" w:rsidRDefault="00E93FB4" w:rsidP="00901E26">
      <w:pPr>
        <w:spacing w:line="360" w:lineRule="auto"/>
        <w:rPr>
          <w:rFonts w:cs="Arial"/>
          <w:color w:val="000000" w:themeColor="text1"/>
          <w:sz w:val="18"/>
          <w:szCs w:val="18"/>
        </w:rPr>
      </w:pPr>
    </w:p>
    <w:p w14:paraId="6480CEE4" w14:textId="3C8DEB60" w:rsidR="00E93FB4" w:rsidRPr="00E47702" w:rsidRDefault="00E93FB4" w:rsidP="00901E26">
      <w:pPr>
        <w:spacing w:line="360" w:lineRule="auto"/>
        <w:rPr>
          <w:rFonts w:cs="Arial"/>
          <w:color w:val="000000" w:themeColor="text1"/>
          <w:sz w:val="18"/>
          <w:szCs w:val="18"/>
        </w:rPr>
      </w:pPr>
    </w:p>
    <w:p w14:paraId="2B8BA6F4" w14:textId="57020B0E" w:rsidR="00E93FB4" w:rsidRPr="00E47702" w:rsidRDefault="00E93FB4" w:rsidP="00901E26">
      <w:pPr>
        <w:spacing w:line="360" w:lineRule="auto"/>
        <w:rPr>
          <w:rFonts w:cs="Arial"/>
          <w:color w:val="000000" w:themeColor="text1"/>
          <w:sz w:val="18"/>
          <w:szCs w:val="18"/>
        </w:rPr>
      </w:pPr>
    </w:p>
    <w:p w14:paraId="046F0F9A" w14:textId="33B63B06" w:rsidR="00D65B71" w:rsidRPr="00E47702" w:rsidRDefault="00D65B71" w:rsidP="00901E26">
      <w:pPr>
        <w:spacing w:line="360" w:lineRule="auto"/>
        <w:rPr>
          <w:rFonts w:cs="Arial"/>
          <w:color w:val="000000" w:themeColor="text1"/>
          <w:sz w:val="18"/>
          <w:szCs w:val="18"/>
        </w:rPr>
      </w:pPr>
    </w:p>
    <w:p w14:paraId="0AAFE261" w14:textId="77777777" w:rsidR="006B3A77" w:rsidRPr="00E47702" w:rsidRDefault="006B3A77" w:rsidP="00901E26">
      <w:pPr>
        <w:pStyle w:val="Heading1"/>
        <w:spacing w:line="360" w:lineRule="auto"/>
        <w:rPr>
          <w:rFonts w:cs="Arial"/>
          <w:color w:val="000000" w:themeColor="text1"/>
          <w:sz w:val="18"/>
          <w:szCs w:val="18"/>
        </w:rPr>
      </w:pPr>
    </w:p>
    <w:p w14:paraId="41CF943A" w14:textId="77777777" w:rsidR="00986C2E" w:rsidRPr="00833777" w:rsidRDefault="00986C2E" w:rsidP="00833777">
      <w:pPr>
        <w:pStyle w:val="Heading1"/>
      </w:pPr>
      <w:bookmarkStart w:id="86" w:name="_Toc214836736"/>
      <w:r w:rsidRPr="00833777">
        <w:lastRenderedPageBreak/>
        <w:t>colour-coded style table</w:t>
      </w:r>
      <w:bookmarkEnd w:id="86"/>
    </w:p>
    <w:tbl>
      <w:tblPr>
        <w:tblStyle w:val="GridTable1Light-Accent1"/>
        <w:tblW w:w="10308" w:type="dxa"/>
        <w:tblInd w:w="-656" w:type="dxa"/>
        <w:tblLook w:val="04A0" w:firstRow="1" w:lastRow="0" w:firstColumn="1" w:lastColumn="0" w:noHBand="0" w:noVBand="1"/>
      </w:tblPr>
      <w:tblGrid>
        <w:gridCol w:w="1000"/>
        <w:gridCol w:w="1167"/>
        <w:gridCol w:w="987"/>
        <w:gridCol w:w="1146"/>
        <w:gridCol w:w="1138"/>
        <w:gridCol w:w="1127"/>
        <w:gridCol w:w="1753"/>
        <w:gridCol w:w="1093"/>
        <w:gridCol w:w="897"/>
      </w:tblGrid>
      <w:tr w:rsidR="00986C2E" w:rsidRPr="007F111F" w14:paraId="1E2AC833" w14:textId="77777777" w:rsidTr="00986C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5" w:type="dxa"/>
          </w:tcPr>
          <w:p w14:paraId="2DD9C69A" w14:textId="571D89E6" w:rsidR="00986C2E" w:rsidRPr="00986C2E" w:rsidRDefault="00986C2E" w:rsidP="009526E9">
            <w:pPr>
              <w:jc w:val="center"/>
              <w:rPr>
                <w:rFonts w:cs="Arial"/>
                <w:sz w:val="18"/>
                <w:szCs w:val="18"/>
              </w:rPr>
            </w:pPr>
            <w:r w:rsidRPr="00986C2E">
              <w:rPr>
                <w:rFonts w:cs="Arial"/>
                <w:sz w:val="18"/>
                <w:szCs w:val="18"/>
              </w:rPr>
              <w:t xml:space="preserve">Study </w:t>
            </w:r>
          </w:p>
        </w:tc>
        <w:tc>
          <w:tcPr>
            <w:tcW w:w="1149" w:type="dxa"/>
          </w:tcPr>
          <w:p w14:paraId="16A4D8B7"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Author &amp; Year</w:t>
            </w:r>
          </w:p>
        </w:tc>
        <w:tc>
          <w:tcPr>
            <w:tcW w:w="930" w:type="dxa"/>
          </w:tcPr>
          <w:p w14:paraId="4D1AA4FE"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Study Type</w:t>
            </w:r>
          </w:p>
        </w:tc>
        <w:tc>
          <w:tcPr>
            <w:tcW w:w="1140" w:type="dxa"/>
          </w:tcPr>
          <w:p w14:paraId="12388D2D"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Population / Context</w:t>
            </w:r>
          </w:p>
        </w:tc>
        <w:tc>
          <w:tcPr>
            <w:tcW w:w="1143" w:type="dxa"/>
          </w:tcPr>
          <w:p w14:paraId="1E8CB637" w14:textId="72BC2E53"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 xml:space="preserve">Income Findings </w:t>
            </w:r>
          </w:p>
        </w:tc>
        <w:tc>
          <w:tcPr>
            <w:tcW w:w="1091" w:type="dxa"/>
          </w:tcPr>
          <w:p w14:paraId="17371EAB" w14:textId="0C2A8B5D"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 xml:space="preserve">Substance Misuse </w:t>
            </w:r>
          </w:p>
        </w:tc>
        <w:tc>
          <w:tcPr>
            <w:tcW w:w="1760" w:type="dxa"/>
          </w:tcPr>
          <w:p w14:paraId="38A052EC" w14:textId="57312149"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 xml:space="preserve">Mental Health </w:t>
            </w:r>
          </w:p>
        </w:tc>
        <w:tc>
          <w:tcPr>
            <w:tcW w:w="1100" w:type="dxa"/>
          </w:tcPr>
          <w:p w14:paraId="799A088A"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Access Barriers (Purple)</w:t>
            </w:r>
          </w:p>
        </w:tc>
        <w:tc>
          <w:tcPr>
            <w:tcW w:w="880" w:type="dxa"/>
          </w:tcPr>
          <w:p w14:paraId="25468A0D"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Themes</w:t>
            </w:r>
          </w:p>
        </w:tc>
      </w:tr>
      <w:tr w:rsidR="00986C2E" w:rsidRPr="007F111F" w14:paraId="2B7FD0C2"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6A4F1E32" w14:textId="77777777" w:rsidR="00986C2E" w:rsidRPr="00986C2E" w:rsidRDefault="00986C2E" w:rsidP="009526E9">
            <w:pPr>
              <w:jc w:val="center"/>
              <w:rPr>
                <w:rFonts w:cs="Arial"/>
                <w:sz w:val="18"/>
                <w:szCs w:val="18"/>
              </w:rPr>
            </w:pPr>
            <w:r w:rsidRPr="00986C2E">
              <w:rPr>
                <w:rFonts w:cs="Arial"/>
                <w:sz w:val="18"/>
                <w:szCs w:val="18"/>
              </w:rPr>
              <w:t>1</w:t>
            </w:r>
          </w:p>
        </w:tc>
        <w:tc>
          <w:tcPr>
            <w:tcW w:w="1149" w:type="dxa"/>
          </w:tcPr>
          <w:p w14:paraId="784663E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Black, 2021</w:t>
            </w:r>
          </w:p>
        </w:tc>
        <w:tc>
          <w:tcPr>
            <w:tcW w:w="930" w:type="dxa"/>
          </w:tcPr>
          <w:p w14:paraId="3F73FC9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Gov Review</w:t>
            </w:r>
          </w:p>
        </w:tc>
        <w:tc>
          <w:tcPr>
            <w:tcW w:w="1140" w:type="dxa"/>
          </w:tcPr>
          <w:p w14:paraId="5FAE455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3BA6C03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Low-income high risk</w:t>
            </w:r>
          </w:p>
        </w:tc>
        <w:tc>
          <w:tcPr>
            <w:tcW w:w="1091" w:type="dxa"/>
            <w:shd w:val="clear" w:color="auto" w:fill="FBE4D5" w:themeFill="accent2" w:themeFillTint="33"/>
          </w:tcPr>
          <w:p w14:paraId="0729053B"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Higher addiction rates</w:t>
            </w:r>
          </w:p>
        </w:tc>
        <w:tc>
          <w:tcPr>
            <w:tcW w:w="1760" w:type="dxa"/>
            <w:shd w:val="clear" w:color="auto" w:fill="E2EFD9" w:themeFill="accent6" w:themeFillTint="33"/>
          </w:tcPr>
          <w:p w14:paraId="4BBA569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MH neglect worsens</w:t>
            </w:r>
          </w:p>
        </w:tc>
        <w:tc>
          <w:tcPr>
            <w:tcW w:w="1100" w:type="dxa"/>
            <w:shd w:val="clear" w:color="auto" w:fill="FFF2CC" w:themeFill="accent4" w:themeFillTint="33"/>
          </w:tcPr>
          <w:p w14:paraId="4698B48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Funding cuts</w:t>
            </w:r>
          </w:p>
        </w:tc>
        <w:tc>
          <w:tcPr>
            <w:tcW w:w="880" w:type="dxa"/>
          </w:tcPr>
          <w:p w14:paraId="6B515D9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1,2,3,4</w:t>
            </w:r>
          </w:p>
        </w:tc>
      </w:tr>
      <w:tr w:rsidR="00986C2E" w:rsidRPr="007F111F" w14:paraId="225D79E7"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61785BCC" w14:textId="77777777" w:rsidR="00986C2E" w:rsidRPr="00986C2E" w:rsidRDefault="00986C2E" w:rsidP="009526E9">
            <w:pPr>
              <w:jc w:val="center"/>
              <w:rPr>
                <w:rFonts w:cs="Arial"/>
                <w:sz w:val="18"/>
                <w:szCs w:val="18"/>
              </w:rPr>
            </w:pPr>
            <w:r w:rsidRPr="00986C2E">
              <w:rPr>
                <w:rFonts w:cs="Arial"/>
                <w:sz w:val="18"/>
                <w:szCs w:val="18"/>
              </w:rPr>
              <w:t>2</w:t>
            </w:r>
          </w:p>
        </w:tc>
        <w:tc>
          <w:tcPr>
            <w:tcW w:w="1149" w:type="dxa"/>
          </w:tcPr>
          <w:p w14:paraId="6166793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Marmot, 2020</w:t>
            </w:r>
          </w:p>
        </w:tc>
        <w:tc>
          <w:tcPr>
            <w:tcW w:w="930" w:type="dxa"/>
          </w:tcPr>
          <w:p w14:paraId="334570E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Policy report</w:t>
            </w:r>
          </w:p>
        </w:tc>
        <w:tc>
          <w:tcPr>
            <w:tcW w:w="1140" w:type="dxa"/>
          </w:tcPr>
          <w:p w14:paraId="0A09F92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3BA945A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Poverty drives outcomes</w:t>
            </w:r>
          </w:p>
        </w:tc>
        <w:tc>
          <w:tcPr>
            <w:tcW w:w="1091" w:type="dxa"/>
            <w:shd w:val="clear" w:color="auto" w:fill="FBE4D5" w:themeFill="accent2" w:themeFillTint="33"/>
          </w:tcPr>
          <w:p w14:paraId="67E31A9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Stress increases misuse</w:t>
            </w:r>
          </w:p>
        </w:tc>
        <w:tc>
          <w:tcPr>
            <w:tcW w:w="1760" w:type="dxa"/>
            <w:shd w:val="clear" w:color="auto" w:fill="E2EFD9" w:themeFill="accent6" w:themeFillTint="33"/>
          </w:tcPr>
          <w:p w14:paraId="0E80392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Higher distress</w:t>
            </w:r>
          </w:p>
        </w:tc>
        <w:tc>
          <w:tcPr>
            <w:tcW w:w="1100" w:type="dxa"/>
            <w:shd w:val="clear" w:color="auto" w:fill="FFF2CC" w:themeFill="accent4" w:themeFillTint="33"/>
          </w:tcPr>
          <w:p w14:paraId="681C366C"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Service inequality</w:t>
            </w:r>
          </w:p>
        </w:tc>
        <w:tc>
          <w:tcPr>
            <w:tcW w:w="880" w:type="dxa"/>
          </w:tcPr>
          <w:p w14:paraId="1D60B71C"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1,2,3,4</w:t>
            </w:r>
          </w:p>
        </w:tc>
      </w:tr>
      <w:tr w:rsidR="00986C2E" w:rsidRPr="007F111F" w14:paraId="5B95DD35"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771A4664" w14:textId="77777777" w:rsidR="00986C2E" w:rsidRPr="00986C2E" w:rsidRDefault="00986C2E" w:rsidP="009526E9">
            <w:pPr>
              <w:jc w:val="center"/>
              <w:rPr>
                <w:rFonts w:cs="Arial"/>
                <w:sz w:val="18"/>
                <w:szCs w:val="18"/>
              </w:rPr>
            </w:pPr>
            <w:r w:rsidRPr="00986C2E">
              <w:rPr>
                <w:rFonts w:cs="Arial"/>
                <w:sz w:val="18"/>
                <w:szCs w:val="18"/>
              </w:rPr>
              <w:t>3</w:t>
            </w:r>
          </w:p>
        </w:tc>
        <w:tc>
          <w:tcPr>
            <w:tcW w:w="1149" w:type="dxa"/>
          </w:tcPr>
          <w:p w14:paraId="460B625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Mind, 2022</w:t>
            </w:r>
          </w:p>
        </w:tc>
        <w:tc>
          <w:tcPr>
            <w:tcW w:w="930" w:type="dxa"/>
          </w:tcPr>
          <w:p w14:paraId="3DC9635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Charity report</w:t>
            </w:r>
          </w:p>
        </w:tc>
        <w:tc>
          <w:tcPr>
            <w:tcW w:w="1140" w:type="dxa"/>
          </w:tcPr>
          <w:p w14:paraId="71F4435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w:t>
            </w:r>
          </w:p>
        </w:tc>
        <w:tc>
          <w:tcPr>
            <w:tcW w:w="1143" w:type="dxa"/>
            <w:shd w:val="clear" w:color="auto" w:fill="D9E2F3" w:themeFill="accent1" w:themeFillTint="33"/>
          </w:tcPr>
          <w:p w14:paraId="42C73DF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Financial stress</w:t>
            </w:r>
          </w:p>
        </w:tc>
        <w:tc>
          <w:tcPr>
            <w:tcW w:w="1091" w:type="dxa"/>
            <w:shd w:val="clear" w:color="auto" w:fill="FBE4D5" w:themeFill="accent2" w:themeFillTint="33"/>
          </w:tcPr>
          <w:p w14:paraId="709FECF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Self-medication</w:t>
            </w:r>
          </w:p>
        </w:tc>
        <w:tc>
          <w:tcPr>
            <w:tcW w:w="1760" w:type="dxa"/>
            <w:shd w:val="clear" w:color="auto" w:fill="E2EFD9" w:themeFill="accent6" w:themeFillTint="33"/>
          </w:tcPr>
          <w:p w14:paraId="425386B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 untreated MH</w:t>
            </w:r>
          </w:p>
        </w:tc>
        <w:tc>
          <w:tcPr>
            <w:tcW w:w="1100" w:type="dxa"/>
            <w:shd w:val="clear" w:color="auto" w:fill="FFF2CC" w:themeFill="accent4" w:themeFillTint="33"/>
          </w:tcPr>
          <w:p w14:paraId="19640E66"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Wait times</w:t>
            </w:r>
          </w:p>
        </w:tc>
        <w:tc>
          <w:tcPr>
            <w:tcW w:w="880" w:type="dxa"/>
          </w:tcPr>
          <w:p w14:paraId="2E89127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2,3</w:t>
            </w:r>
          </w:p>
        </w:tc>
      </w:tr>
      <w:tr w:rsidR="00986C2E" w:rsidRPr="007F111F" w14:paraId="0D9FB6BD"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1F5417C4" w14:textId="77777777" w:rsidR="00986C2E" w:rsidRPr="00986C2E" w:rsidRDefault="00986C2E" w:rsidP="009526E9">
            <w:pPr>
              <w:jc w:val="center"/>
              <w:rPr>
                <w:rFonts w:cs="Arial"/>
                <w:sz w:val="18"/>
                <w:szCs w:val="18"/>
              </w:rPr>
            </w:pPr>
            <w:r w:rsidRPr="00986C2E">
              <w:rPr>
                <w:rFonts w:cs="Arial"/>
                <w:sz w:val="18"/>
                <w:szCs w:val="18"/>
              </w:rPr>
              <w:t>4</w:t>
            </w:r>
          </w:p>
        </w:tc>
        <w:tc>
          <w:tcPr>
            <w:tcW w:w="1149" w:type="dxa"/>
          </w:tcPr>
          <w:p w14:paraId="7820880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Pierce et al., 2020</w:t>
            </w:r>
          </w:p>
        </w:tc>
        <w:tc>
          <w:tcPr>
            <w:tcW w:w="930" w:type="dxa"/>
          </w:tcPr>
          <w:p w14:paraId="1310505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Cohort</w:t>
            </w:r>
          </w:p>
        </w:tc>
        <w:tc>
          <w:tcPr>
            <w:tcW w:w="1140" w:type="dxa"/>
          </w:tcPr>
          <w:p w14:paraId="73E7BA2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 adults</w:t>
            </w:r>
          </w:p>
        </w:tc>
        <w:tc>
          <w:tcPr>
            <w:tcW w:w="1143" w:type="dxa"/>
            <w:shd w:val="clear" w:color="auto" w:fill="D9E2F3" w:themeFill="accent1" w:themeFillTint="33"/>
          </w:tcPr>
          <w:p w14:paraId="1BDD571E"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COVID inequality</w:t>
            </w:r>
          </w:p>
        </w:tc>
        <w:tc>
          <w:tcPr>
            <w:tcW w:w="1091" w:type="dxa"/>
            <w:shd w:val="clear" w:color="auto" w:fill="FBE4D5" w:themeFill="accent2" w:themeFillTint="33"/>
          </w:tcPr>
          <w:p w14:paraId="1563D19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Increased use</w:t>
            </w:r>
          </w:p>
        </w:tc>
        <w:tc>
          <w:tcPr>
            <w:tcW w:w="1760" w:type="dxa"/>
            <w:shd w:val="clear" w:color="auto" w:fill="E2EFD9" w:themeFill="accent6" w:themeFillTint="33"/>
          </w:tcPr>
          <w:p w14:paraId="316BA64E"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Decline in MH</w:t>
            </w:r>
          </w:p>
        </w:tc>
        <w:tc>
          <w:tcPr>
            <w:tcW w:w="1100" w:type="dxa"/>
            <w:shd w:val="clear" w:color="auto" w:fill="FFF2CC" w:themeFill="accent4" w:themeFillTint="33"/>
          </w:tcPr>
          <w:p w14:paraId="09D7D721"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Loss of support</w:t>
            </w:r>
          </w:p>
        </w:tc>
        <w:tc>
          <w:tcPr>
            <w:tcW w:w="880" w:type="dxa"/>
          </w:tcPr>
          <w:p w14:paraId="3864C9D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2,5</w:t>
            </w:r>
          </w:p>
        </w:tc>
      </w:tr>
      <w:tr w:rsidR="00986C2E" w:rsidRPr="007F111F" w14:paraId="7D3A7571"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33239A4" w14:textId="77777777" w:rsidR="00986C2E" w:rsidRPr="00986C2E" w:rsidRDefault="00986C2E" w:rsidP="009526E9">
            <w:pPr>
              <w:jc w:val="center"/>
              <w:rPr>
                <w:rFonts w:cs="Arial"/>
                <w:sz w:val="18"/>
                <w:szCs w:val="18"/>
              </w:rPr>
            </w:pPr>
            <w:r w:rsidRPr="00986C2E">
              <w:rPr>
                <w:rFonts w:cs="Arial"/>
                <w:sz w:val="18"/>
                <w:szCs w:val="18"/>
              </w:rPr>
              <w:t>5</w:t>
            </w:r>
          </w:p>
        </w:tc>
        <w:tc>
          <w:tcPr>
            <w:tcW w:w="1149" w:type="dxa"/>
          </w:tcPr>
          <w:p w14:paraId="78DA1F44"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Karamanos et al., 2022</w:t>
            </w:r>
          </w:p>
        </w:tc>
        <w:tc>
          <w:tcPr>
            <w:tcW w:w="930" w:type="dxa"/>
          </w:tcPr>
          <w:p w14:paraId="62EE79F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Quant</w:t>
            </w:r>
          </w:p>
        </w:tc>
        <w:tc>
          <w:tcPr>
            <w:tcW w:w="1140" w:type="dxa"/>
          </w:tcPr>
          <w:p w14:paraId="71CA327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 teens</w:t>
            </w:r>
          </w:p>
        </w:tc>
        <w:tc>
          <w:tcPr>
            <w:tcW w:w="1143" w:type="dxa"/>
            <w:shd w:val="clear" w:color="auto" w:fill="D9E2F3" w:themeFill="accent1" w:themeFillTint="33"/>
          </w:tcPr>
          <w:p w14:paraId="74FF572C"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Deprivation moderates risk</w:t>
            </w:r>
          </w:p>
        </w:tc>
        <w:tc>
          <w:tcPr>
            <w:tcW w:w="1091" w:type="dxa"/>
            <w:shd w:val="clear" w:color="auto" w:fill="FBE4D5" w:themeFill="accent2" w:themeFillTint="33"/>
          </w:tcPr>
          <w:p w14:paraId="02C01FB6"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Higher drug use</w:t>
            </w:r>
          </w:p>
        </w:tc>
        <w:tc>
          <w:tcPr>
            <w:tcW w:w="1760" w:type="dxa"/>
            <w:shd w:val="clear" w:color="auto" w:fill="E2EFD9" w:themeFill="accent6" w:themeFillTint="33"/>
          </w:tcPr>
          <w:p w14:paraId="1F8D2BD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Trauma link</w:t>
            </w:r>
          </w:p>
        </w:tc>
        <w:tc>
          <w:tcPr>
            <w:tcW w:w="1100" w:type="dxa"/>
            <w:shd w:val="clear" w:color="auto" w:fill="FFF2CC" w:themeFill="accent4" w:themeFillTint="33"/>
          </w:tcPr>
          <w:p w14:paraId="05D681DE"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w:t>
            </w:r>
          </w:p>
        </w:tc>
        <w:tc>
          <w:tcPr>
            <w:tcW w:w="880" w:type="dxa"/>
          </w:tcPr>
          <w:p w14:paraId="1140C7B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w:t>
            </w:r>
          </w:p>
        </w:tc>
      </w:tr>
      <w:tr w:rsidR="00986C2E" w:rsidRPr="007F111F" w14:paraId="726910A6"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6B87892" w14:textId="77777777" w:rsidR="00986C2E" w:rsidRPr="00986C2E" w:rsidRDefault="00986C2E" w:rsidP="009526E9">
            <w:pPr>
              <w:jc w:val="center"/>
              <w:rPr>
                <w:rFonts w:cs="Arial"/>
                <w:sz w:val="18"/>
                <w:szCs w:val="18"/>
              </w:rPr>
            </w:pPr>
            <w:r w:rsidRPr="00986C2E">
              <w:rPr>
                <w:rFonts w:cs="Arial"/>
                <w:sz w:val="18"/>
                <w:szCs w:val="18"/>
              </w:rPr>
              <w:t>6</w:t>
            </w:r>
          </w:p>
        </w:tc>
        <w:tc>
          <w:tcPr>
            <w:tcW w:w="1149" w:type="dxa"/>
          </w:tcPr>
          <w:p w14:paraId="2DF6511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NHS Digital, 2023</w:t>
            </w:r>
          </w:p>
        </w:tc>
        <w:tc>
          <w:tcPr>
            <w:tcW w:w="930" w:type="dxa"/>
          </w:tcPr>
          <w:p w14:paraId="5D91568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Dataset</w:t>
            </w:r>
          </w:p>
        </w:tc>
        <w:tc>
          <w:tcPr>
            <w:tcW w:w="1140" w:type="dxa"/>
          </w:tcPr>
          <w:p w14:paraId="2BB0CF2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39081D21"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Most in low SES</w:t>
            </w:r>
          </w:p>
        </w:tc>
        <w:tc>
          <w:tcPr>
            <w:tcW w:w="1091" w:type="dxa"/>
            <w:shd w:val="clear" w:color="auto" w:fill="FBE4D5" w:themeFill="accent2" w:themeFillTint="33"/>
          </w:tcPr>
          <w:p w14:paraId="07524E8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 admissions</w:t>
            </w:r>
          </w:p>
        </w:tc>
        <w:tc>
          <w:tcPr>
            <w:tcW w:w="1760" w:type="dxa"/>
            <w:shd w:val="clear" w:color="auto" w:fill="E2EFD9" w:themeFill="accent6" w:themeFillTint="33"/>
          </w:tcPr>
          <w:p w14:paraId="7B9BA58C"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Anxiety/depression</w:t>
            </w:r>
          </w:p>
        </w:tc>
        <w:tc>
          <w:tcPr>
            <w:tcW w:w="1100" w:type="dxa"/>
            <w:shd w:val="clear" w:color="auto" w:fill="FFF2CC" w:themeFill="accent4" w:themeFillTint="33"/>
          </w:tcPr>
          <w:p w14:paraId="1D2AEC84"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Cost/travel</w:t>
            </w:r>
          </w:p>
        </w:tc>
        <w:tc>
          <w:tcPr>
            <w:tcW w:w="880" w:type="dxa"/>
          </w:tcPr>
          <w:p w14:paraId="12C032C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w:t>
            </w:r>
          </w:p>
        </w:tc>
      </w:tr>
      <w:tr w:rsidR="00986C2E" w:rsidRPr="007F111F" w14:paraId="6F18D460"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3B0A305" w14:textId="77777777" w:rsidR="00986C2E" w:rsidRPr="00986C2E" w:rsidRDefault="00986C2E" w:rsidP="009526E9">
            <w:pPr>
              <w:jc w:val="center"/>
              <w:rPr>
                <w:rFonts w:cs="Arial"/>
                <w:sz w:val="18"/>
                <w:szCs w:val="18"/>
              </w:rPr>
            </w:pPr>
            <w:r w:rsidRPr="00986C2E">
              <w:rPr>
                <w:rFonts w:cs="Arial"/>
                <w:sz w:val="18"/>
                <w:szCs w:val="18"/>
              </w:rPr>
              <w:t>7</w:t>
            </w:r>
          </w:p>
        </w:tc>
        <w:tc>
          <w:tcPr>
            <w:tcW w:w="1149" w:type="dxa"/>
          </w:tcPr>
          <w:p w14:paraId="6A6AD44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ONS, 2023</w:t>
            </w:r>
          </w:p>
        </w:tc>
        <w:tc>
          <w:tcPr>
            <w:tcW w:w="930" w:type="dxa"/>
          </w:tcPr>
          <w:p w14:paraId="1F5D887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Gov data</w:t>
            </w:r>
          </w:p>
        </w:tc>
        <w:tc>
          <w:tcPr>
            <w:tcW w:w="1140" w:type="dxa"/>
          </w:tcPr>
          <w:p w14:paraId="624A438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560D989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5× drug deaths</w:t>
            </w:r>
          </w:p>
        </w:tc>
        <w:tc>
          <w:tcPr>
            <w:tcW w:w="1091" w:type="dxa"/>
            <w:shd w:val="clear" w:color="auto" w:fill="FBE4D5" w:themeFill="accent2" w:themeFillTint="33"/>
          </w:tcPr>
          <w:p w14:paraId="62A4A19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 mortality</w:t>
            </w:r>
          </w:p>
        </w:tc>
        <w:tc>
          <w:tcPr>
            <w:tcW w:w="1760" w:type="dxa"/>
            <w:shd w:val="clear" w:color="auto" w:fill="E2EFD9" w:themeFill="accent6" w:themeFillTint="33"/>
          </w:tcPr>
          <w:p w14:paraId="60D70C0B"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 distress</w:t>
            </w:r>
          </w:p>
        </w:tc>
        <w:tc>
          <w:tcPr>
            <w:tcW w:w="1100" w:type="dxa"/>
            <w:shd w:val="clear" w:color="auto" w:fill="FFF2CC" w:themeFill="accent4" w:themeFillTint="33"/>
          </w:tcPr>
          <w:p w14:paraId="34F5F011"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w:t>
            </w:r>
          </w:p>
        </w:tc>
        <w:tc>
          <w:tcPr>
            <w:tcW w:w="880" w:type="dxa"/>
          </w:tcPr>
          <w:p w14:paraId="5A078F7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w:t>
            </w:r>
          </w:p>
        </w:tc>
      </w:tr>
      <w:tr w:rsidR="00986C2E" w:rsidRPr="007F111F" w14:paraId="24D74720"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26984D87" w14:textId="77777777" w:rsidR="00986C2E" w:rsidRPr="00986C2E" w:rsidRDefault="00986C2E" w:rsidP="009526E9">
            <w:pPr>
              <w:jc w:val="center"/>
              <w:rPr>
                <w:rFonts w:cs="Arial"/>
                <w:sz w:val="18"/>
                <w:szCs w:val="18"/>
              </w:rPr>
            </w:pPr>
            <w:r w:rsidRPr="00986C2E">
              <w:rPr>
                <w:rFonts w:cs="Arial"/>
                <w:sz w:val="18"/>
                <w:szCs w:val="18"/>
              </w:rPr>
              <w:t>8</w:t>
            </w:r>
          </w:p>
        </w:tc>
        <w:tc>
          <w:tcPr>
            <w:tcW w:w="1149" w:type="dxa"/>
          </w:tcPr>
          <w:p w14:paraId="3BE3083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Molina &amp; Whittaker, 2022</w:t>
            </w:r>
          </w:p>
        </w:tc>
        <w:tc>
          <w:tcPr>
            <w:tcW w:w="930" w:type="dxa"/>
          </w:tcPr>
          <w:p w14:paraId="0FBDF29B"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Mixed</w:t>
            </w:r>
          </w:p>
        </w:tc>
        <w:tc>
          <w:tcPr>
            <w:tcW w:w="1140" w:type="dxa"/>
          </w:tcPr>
          <w:p w14:paraId="0510DDA2"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Adults w/ ACEs</w:t>
            </w:r>
          </w:p>
        </w:tc>
        <w:tc>
          <w:tcPr>
            <w:tcW w:w="1143" w:type="dxa"/>
            <w:shd w:val="clear" w:color="auto" w:fill="D9E2F3" w:themeFill="accent1" w:themeFillTint="33"/>
          </w:tcPr>
          <w:p w14:paraId="7313419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Poverty + ACEs</w:t>
            </w:r>
          </w:p>
        </w:tc>
        <w:tc>
          <w:tcPr>
            <w:tcW w:w="1091" w:type="dxa"/>
            <w:shd w:val="clear" w:color="auto" w:fill="FBE4D5" w:themeFill="accent2" w:themeFillTint="33"/>
          </w:tcPr>
          <w:p w14:paraId="44C8A22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Relapse risk</w:t>
            </w:r>
          </w:p>
        </w:tc>
        <w:tc>
          <w:tcPr>
            <w:tcW w:w="1760" w:type="dxa"/>
            <w:shd w:val="clear" w:color="auto" w:fill="E2EFD9" w:themeFill="accent6" w:themeFillTint="33"/>
          </w:tcPr>
          <w:p w14:paraId="6001EA6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Trauma</w:t>
            </w:r>
          </w:p>
        </w:tc>
        <w:tc>
          <w:tcPr>
            <w:tcW w:w="1100" w:type="dxa"/>
            <w:shd w:val="clear" w:color="auto" w:fill="FFF2CC" w:themeFill="accent4" w:themeFillTint="33"/>
          </w:tcPr>
          <w:p w14:paraId="448AD77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Low trauma care</w:t>
            </w:r>
          </w:p>
        </w:tc>
        <w:tc>
          <w:tcPr>
            <w:tcW w:w="880" w:type="dxa"/>
          </w:tcPr>
          <w:p w14:paraId="1D7822A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w:t>
            </w:r>
          </w:p>
        </w:tc>
      </w:tr>
      <w:tr w:rsidR="00986C2E" w:rsidRPr="007F111F" w14:paraId="7D65A9FB"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71D06F43" w14:textId="77777777" w:rsidR="00986C2E" w:rsidRPr="00986C2E" w:rsidRDefault="00986C2E" w:rsidP="009526E9">
            <w:pPr>
              <w:jc w:val="center"/>
              <w:rPr>
                <w:rFonts w:cs="Arial"/>
                <w:sz w:val="18"/>
                <w:szCs w:val="18"/>
              </w:rPr>
            </w:pPr>
            <w:r w:rsidRPr="00986C2E">
              <w:rPr>
                <w:rFonts w:cs="Arial"/>
                <w:sz w:val="18"/>
                <w:szCs w:val="18"/>
              </w:rPr>
              <w:t>9</w:t>
            </w:r>
          </w:p>
        </w:tc>
        <w:tc>
          <w:tcPr>
            <w:tcW w:w="1149" w:type="dxa"/>
          </w:tcPr>
          <w:p w14:paraId="644958F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Health Foundation, 2023</w:t>
            </w:r>
          </w:p>
        </w:tc>
        <w:tc>
          <w:tcPr>
            <w:tcW w:w="930" w:type="dxa"/>
          </w:tcPr>
          <w:p w14:paraId="6CE71734"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Policy</w:t>
            </w:r>
          </w:p>
        </w:tc>
        <w:tc>
          <w:tcPr>
            <w:tcW w:w="1140" w:type="dxa"/>
          </w:tcPr>
          <w:p w14:paraId="7872226B"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4D9F5EE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Resource gaps</w:t>
            </w:r>
          </w:p>
        </w:tc>
        <w:tc>
          <w:tcPr>
            <w:tcW w:w="1091" w:type="dxa"/>
            <w:shd w:val="clear" w:color="auto" w:fill="FBE4D5" w:themeFill="accent2" w:themeFillTint="33"/>
          </w:tcPr>
          <w:p w14:paraId="7607A8E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Treatment gaps</w:t>
            </w:r>
          </w:p>
        </w:tc>
        <w:tc>
          <w:tcPr>
            <w:tcW w:w="1760" w:type="dxa"/>
            <w:shd w:val="clear" w:color="auto" w:fill="E2EFD9" w:themeFill="accent6" w:themeFillTint="33"/>
          </w:tcPr>
          <w:p w14:paraId="1EE713C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Stress exposure</w:t>
            </w:r>
          </w:p>
        </w:tc>
        <w:tc>
          <w:tcPr>
            <w:tcW w:w="1100" w:type="dxa"/>
            <w:shd w:val="clear" w:color="auto" w:fill="FFF2CC" w:themeFill="accent4" w:themeFillTint="33"/>
          </w:tcPr>
          <w:p w14:paraId="21EEE1A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Workforce shortages</w:t>
            </w:r>
          </w:p>
        </w:tc>
        <w:tc>
          <w:tcPr>
            <w:tcW w:w="880" w:type="dxa"/>
          </w:tcPr>
          <w:p w14:paraId="6453C97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3,4</w:t>
            </w:r>
          </w:p>
        </w:tc>
      </w:tr>
      <w:tr w:rsidR="00986C2E" w:rsidRPr="007F111F" w14:paraId="30FFC993"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036FFC4" w14:textId="77777777" w:rsidR="00986C2E" w:rsidRPr="00986C2E" w:rsidRDefault="00986C2E" w:rsidP="009526E9">
            <w:pPr>
              <w:jc w:val="center"/>
              <w:rPr>
                <w:rFonts w:cs="Arial"/>
                <w:sz w:val="18"/>
                <w:szCs w:val="18"/>
              </w:rPr>
            </w:pPr>
            <w:r w:rsidRPr="00986C2E">
              <w:rPr>
                <w:rFonts w:cs="Arial"/>
                <w:sz w:val="18"/>
                <w:szCs w:val="18"/>
              </w:rPr>
              <w:t>10</w:t>
            </w:r>
          </w:p>
        </w:tc>
        <w:tc>
          <w:tcPr>
            <w:tcW w:w="1149" w:type="dxa"/>
          </w:tcPr>
          <w:p w14:paraId="18FEC62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PHE, 2021</w:t>
            </w:r>
          </w:p>
        </w:tc>
        <w:tc>
          <w:tcPr>
            <w:tcW w:w="930" w:type="dxa"/>
          </w:tcPr>
          <w:p w14:paraId="0105096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Gov report</w:t>
            </w:r>
          </w:p>
        </w:tc>
        <w:tc>
          <w:tcPr>
            <w:tcW w:w="1140" w:type="dxa"/>
          </w:tcPr>
          <w:p w14:paraId="3947A87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0D15A49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Deprivation link</w:t>
            </w:r>
          </w:p>
        </w:tc>
        <w:tc>
          <w:tcPr>
            <w:tcW w:w="1091" w:type="dxa"/>
            <w:shd w:val="clear" w:color="auto" w:fill="FBE4D5" w:themeFill="accent2" w:themeFillTint="33"/>
          </w:tcPr>
          <w:p w14:paraId="1258C466"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Drug harm rise</w:t>
            </w:r>
          </w:p>
        </w:tc>
        <w:tc>
          <w:tcPr>
            <w:tcW w:w="1760" w:type="dxa"/>
            <w:shd w:val="clear" w:color="auto" w:fill="E2EFD9" w:themeFill="accent6" w:themeFillTint="33"/>
          </w:tcPr>
          <w:p w14:paraId="72733AB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MH unmet needs</w:t>
            </w:r>
          </w:p>
        </w:tc>
        <w:tc>
          <w:tcPr>
            <w:tcW w:w="1100" w:type="dxa"/>
            <w:shd w:val="clear" w:color="auto" w:fill="FFF2CC" w:themeFill="accent4" w:themeFillTint="33"/>
          </w:tcPr>
          <w:p w14:paraId="49A0917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Local variation</w:t>
            </w:r>
          </w:p>
        </w:tc>
        <w:tc>
          <w:tcPr>
            <w:tcW w:w="880" w:type="dxa"/>
          </w:tcPr>
          <w:p w14:paraId="2FFA50F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w:t>
            </w:r>
          </w:p>
        </w:tc>
      </w:tr>
      <w:tr w:rsidR="00986C2E" w:rsidRPr="007F111F" w14:paraId="4B0B6BEC"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5FE4E3B1" w14:textId="77777777" w:rsidR="00986C2E" w:rsidRPr="00986C2E" w:rsidRDefault="00986C2E" w:rsidP="009526E9">
            <w:pPr>
              <w:jc w:val="center"/>
              <w:rPr>
                <w:rFonts w:cs="Arial"/>
                <w:sz w:val="18"/>
                <w:szCs w:val="18"/>
              </w:rPr>
            </w:pPr>
            <w:r w:rsidRPr="00986C2E">
              <w:rPr>
                <w:rFonts w:cs="Arial"/>
                <w:sz w:val="18"/>
                <w:szCs w:val="18"/>
              </w:rPr>
              <w:t>11</w:t>
            </w:r>
          </w:p>
        </w:tc>
        <w:tc>
          <w:tcPr>
            <w:tcW w:w="1149" w:type="dxa"/>
          </w:tcPr>
          <w:p w14:paraId="6AFFEE9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Kwong et al., 2020</w:t>
            </w:r>
          </w:p>
        </w:tc>
        <w:tc>
          <w:tcPr>
            <w:tcW w:w="930" w:type="dxa"/>
          </w:tcPr>
          <w:p w14:paraId="7771094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Cohort</w:t>
            </w:r>
          </w:p>
        </w:tc>
        <w:tc>
          <w:tcPr>
            <w:tcW w:w="1140" w:type="dxa"/>
          </w:tcPr>
          <w:p w14:paraId="467D83FE"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w:t>
            </w:r>
          </w:p>
        </w:tc>
        <w:tc>
          <w:tcPr>
            <w:tcW w:w="1143" w:type="dxa"/>
            <w:shd w:val="clear" w:color="auto" w:fill="D9E2F3" w:themeFill="accent1" w:themeFillTint="33"/>
          </w:tcPr>
          <w:p w14:paraId="583D7EB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Pandemic income impact</w:t>
            </w:r>
          </w:p>
        </w:tc>
        <w:tc>
          <w:tcPr>
            <w:tcW w:w="1091" w:type="dxa"/>
            <w:shd w:val="clear" w:color="auto" w:fill="FBE4D5" w:themeFill="accent2" w:themeFillTint="33"/>
          </w:tcPr>
          <w:p w14:paraId="4A330B5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Higher risky use</w:t>
            </w:r>
          </w:p>
        </w:tc>
        <w:tc>
          <w:tcPr>
            <w:tcW w:w="1760" w:type="dxa"/>
            <w:shd w:val="clear" w:color="auto" w:fill="E2EFD9" w:themeFill="accent6" w:themeFillTint="33"/>
          </w:tcPr>
          <w:p w14:paraId="2347192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Distress rising</w:t>
            </w:r>
          </w:p>
        </w:tc>
        <w:tc>
          <w:tcPr>
            <w:tcW w:w="1100" w:type="dxa"/>
            <w:shd w:val="clear" w:color="auto" w:fill="FFF2CC" w:themeFill="accent4" w:themeFillTint="33"/>
          </w:tcPr>
          <w:p w14:paraId="799C62A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Digital exclusion</w:t>
            </w:r>
          </w:p>
        </w:tc>
        <w:tc>
          <w:tcPr>
            <w:tcW w:w="880" w:type="dxa"/>
          </w:tcPr>
          <w:p w14:paraId="7F82769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2,5</w:t>
            </w:r>
          </w:p>
        </w:tc>
      </w:tr>
      <w:tr w:rsidR="00986C2E" w:rsidRPr="007F111F" w14:paraId="74E42CCD"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10380F15" w14:textId="77777777" w:rsidR="00986C2E" w:rsidRPr="00986C2E" w:rsidRDefault="00986C2E" w:rsidP="009526E9">
            <w:pPr>
              <w:jc w:val="center"/>
              <w:rPr>
                <w:rFonts w:cs="Arial"/>
                <w:sz w:val="18"/>
                <w:szCs w:val="18"/>
              </w:rPr>
            </w:pPr>
            <w:r w:rsidRPr="00986C2E">
              <w:rPr>
                <w:rFonts w:cs="Arial"/>
                <w:sz w:val="18"/>
                <w:szCs w:val="18"/>
              </w:rPr>
              <w:t>12</w:t>
            </w:r>
          </w:p>
        </w:tc>
        <w:tc>
          <w:tcPr>
            <w:tcW w:w="1149" w:type="dxa"/>
          </w:tcPr>
          <w:p w14:paraId="51A76402"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JRF, 2023</w:t>
            </w:r>
          </w:p>
        </w:tc>
        <w:tc>
          <w:tcPr>
            <w:tcW w:w="930" w:type="dxa"/>
          </w:tcPr>
          <w:p w14:paraId="1DB4703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Research</w:t>
            </w:r>
          </w:p>
        </w:tc>
        <w:tc>
          <w:tcPr>
            <w:tcW w:w="1140" w:type="dxa"/>
          </w:tcPr>
          <w:p w14:paraId="2E423032"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w:t>
            </w:r>
          </w:p>
        </w:tc>
        <w:tc>
          <w:tcPr>
            <w:tcW w:w="1143" w:type="dxa"/>
            <w:shd w:val="clear" w:color="auto" w:fill="D9E2F3" w:themeFill="accent1" w:themeFillTint="33"/>
          </w:tcPr>
          <w:p w14:paraId="3C3FC0C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Rising poverty</w:t>
            </w:r>
          </w:p>
        </w:tc>
        <w:tc>
          <w:tcPr>
            <w:tcW w:w="1091" w:type="dxa"/>
            <w:shd w:val="clear" w:color="auto" w:fill="FBE4D5" w:themeFill="accent2" w:themeFillTint="33"/>
          </w:tcPr>
          <w:p w14:paraId="74D4AC7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Stress coping</w:t>
            </w:r>
          </w:p>
        </w:tc>
        <w:tc>
          <w:tcPr>
            <w:tcW w:w="1760" w:type="dxa"/>
            <w:shd w:val="clear" w:color="auto" w:fill="E2EFD9" w:themeFill="accent6" w:themeFillTint="33"/>
          </w:tcPr>
          <w:p w14:paraId="1DE89D2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MH strain</w:t>
            </w:r>
          </w:p>
        </w:tc>
        <w:tc>
          <w:tcPr>
            <w:tcW w:w="1100" w:type="dxa"/>
            <w:shd w:val="clear" w:color="auto" w:fill="FFF2CC" w:themeFill="accent4" w:themeFillTint="33"/>
          </w:tcPr>
          <w:p w14:paraId="7FE1D83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Service mismatch</w:t>
            </w:r>
          </w:p>
        </w:tc>
        <w:tc>
          <w:tcPr>
            <w:tcW w:w="880" w:type="dxa"/>
          </w:tcPr>
          <w:p w14:paraId="16311AF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w:t>
            </w:r>
          </w:p>
        </w:tc>
      </w:tr>
    </w:tbl>
    <w:p w14:paraId="7097A1B7" w14:textId="77777777" w:rsidR="00986C2E" w:rsidRPr="007F111F" w:rsidRDefault="00986C2E" w:rsidP="00986C2E">
      <w:pPr>
        <w:jc w:val="center"/>
        <w:rPr>
          <w:rFonts w:cs="Arial"/>
          <w:sz w:val="16"/>
          <w:szCs w:val="16"/>
        </w:rPr>
      </w:pPr>
    </w:p>
    <w:p w14:paraId="19BFB774" w14:textId="77777777" w:rsidR="00986C2E" w:rsidRDefault="00986C2E" w:rsidP="00E47702">
      <w:pPr>
        <w:pStyle w:val="Heading1"/>
        <w:rPr>
          <w:rFonts w:cs="Arial"/>
          <w:szCs w:val="22"/>
        </w:rPr>
      </w:pPr>
    </w:p>
    <w:p w14:paraId="3B219D69" w14:textId="77777777" w:rsidR="00986C2E" w:rsidRDefault="00986C2E" w:rsidP="00E47702">
      <w:pPr>
        <w:pStyle w:val="Heading1"/>
        <w:rPr>
          <w:rFonts w:cs="Arial"/>
          <w:szCs w:val="22"/>
        </w:rPr>
      </w:pPr>
    </w:p>
    <w:p w14:paraId="12848C4B" w14:textId="77777777" w:rsidR="00986C2E" w:rsidRDefault="00986C2E" w:rsidP="00E47702">
      <w:pPr>
        <w:pStyle w:val="Heading1"/>
        <w:rPr>
          <w:rFonts w:cs="Arial"/>
          <w:szCs w:val="22"/>
        </w:rPr>
      </w:pPr>
    </w:p>
    <w:p w14:paraId="5ADFDBC1" w14:textId="77777777" w:rsidR="00986C2E" w:rsidRDefault="00986C2E" w:rsidP="00E47702">
      <w:pPr>
        <w:pStyle w:val="Heading1"/>
        <w:rPr>
          <w:rFonts w:cs="Arial"/>
          <w:szCs w:val="22"/>
        </w:rPr>
      </w:pPr>
    </w:p>
    <w:p w14:paraId="345DCBA8" w14:textId="77777777" w:rsidR="00986C2E" w:rsidRDefault="00986C2E" w:rsidP="00E47702">
      <w:pPr>
        <w:pStyle w:val="Heading1"/>
        <w:rPr>
          <w:rFonts w:cs="Arial"/>
          <w:szCs w:val="22"/>
        </w:rPr>
      </w:pPr>
    </w:p>
    <w:p w14:paraId="6B88CEA9" w14:textId="77777777" w:rsidR="00986C2E" w:rsidRDefault="00986C2E" w:rsidP="00E47702">
      <w:pPr>
        <w:pStyle w:val="Heading1"/>
        <w:rPr>
          <w:rFonts w:cs="Arial"/>
          <w:szCs w:val="22"/>
        </w:rPr>
      </w:pPr>
    </w:p>
    <w:p w14:paraId="45526D66" w14:textId="77777777" w:rsidR="00986C2E" w:rsidRDefault="00986C2E" w:rsidP="00E47702">
      <w:pPr>
        <w:pStyle w:val="Heading1"/>
        <w:rPr>
          <w:rFonts w:cs="Arial"/>
          <w:szCs w:val="22"/>
        </w:rPr>
      </w:pPr>
    </w:p>
    <w:p w14:paraId="3EF9F6F7" w14:textId="77777777" w:rsidR="00986C2E" w:rsidRDefault="00986C2E" w:rsidP="00E47702">
      <w:pPr>
        <w:pStyle w:val="Heading1"/>
        <w:rPr>
          <w:rFonts w:cs="Arial"/>
          <w:szCs w:val="22"/>
        </w:rPr>
      </w:pPr>
    </w:p>
    <w:p w14:paraId="67E2F93F" w14:textId="77777777" w:rsidR="00986C2E" w:rsidRDefault="00986C2E" w:rsidP="00E47702">
      <w:pPr>
        <w:pStyle w:val="Heading1"/>
        <w:rPr>
          <w:rFonts w:cs="Arial"/>
          <w:szCs w:val="22"/>
        </w:rPr>
      </w:pPr>
    </w:p>
    <w:p w14:paraId="2E61708D" w14:textId="77777777" w:rsidR="00986C2E" w:rsidRDefault="00986C2E" w:rsidP="00E47702">
      <w:pPr>
        <w:pStyle w:val="Heading1"/>
        <w:rPr>
          <w:rFonts w:cs="Arial"/>
          <w:szCs w:val="22"/>
        </w:rPr>
      </w:pPr>
    </w:p>
    <w:p w14:paraId="17384306" w14:textId="77777777" w:rsidR="00986C2E" w:rsidRDefault="00986C2E" w:rsidP="00E47702">
      <w:pPr>
        <w:pStyle w:val="Heading1"/>
        <w:rPr>
          <w:rFonts w:cs="Arial"/>
          <w:szCs w:val="22"/>
        </w:rPr>
      </w:pPr>
    </w:p>
    <w:p w14:paraId="234CD09C" w14:textId="4C37E425" w:rsidR="00E93FB4" w:rsidRPr="00E47702" w:rsidRDefault="00E93FB4" w:rsidP="00E47702">
      <w:pPr>
        <w:pStyle w:val="Heading1"/>
        <w:rPr>
          <w:rFonts w:cs="Arial"/>
          <w:szCs w:val="22"/>
        </w:rPr>
      </w:pPr>
      <w:bookmarkStart w:id="87" w:name="_Toc214836737"/>
      <w:r w:rsidRPr="00E47702">
        <w:rPr>
          <w:rFonts w:cs="Arial"/>
          <w:szCs w:val="22"/>
        </w:rPr>
        <w:lastRenderedPageBreak/>
        <w:t>Source Tracking Table</w:t>
      </w:r>
      <w:bookmarkEnd w:id="87"/>
    </w:p>
    <w:tbl>
      <w:tblPr>
        <w:tblStyle w:val="TableGrid"/>
        <w:tblW w:w="11341" w:type="dxa"/>
        <w:jc w:val="center"/>
        <w:tblLook w:val="04A0" w:firstRow="1" w:lastRow="0" w:firstColumn="1" w:lastColumn="0" w:noHBand="0" w:noVBand="1"/>
      </w:tblPr>
      <w:tblGrid>
        <w:gridCol w:w="751"/>
        <w:gridCol w:w="1027"/>
        <w:gridCol w:w="1398"/>
        <w:gridCol w:w="1765"/>
        <w:gridCol w:w="1741"/>
        <w:gridCol w:w="4659"/>
      </w:tblGrid>
      <w:tr w:rsidR="00901E26" w:rsidRPr="00E47702" w14:paraId="44227DBD" w14:textId="77777777" w:rsidTr="00D65B71">
        <w:trPr>
          <w:trHeight w:val="992"/>
          <w:jc w:val="center"/>
        </w:trPr>
        <w:tc>
          <w:tcPr>
            <w:tcW w:w="769" w:type="dxa"/>
          </w:tcPr>
          <w:p w14:paraId="54EBA31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Saved</w:t>
            </w:r>
          </w:p>
        </w:tc>
        <w:tc>
          <w:tcPr>
            <w:tcW w:w="993" w:type="dxa"/>
          </w:tcPr>
          <w:p w14:paraId="6EDCD94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Author &amp; Year</w:t>
            </w:r>
          </w:p>
        </w:tc>
        <w:tc>
          <w:tcPr>
            <w:tcW w:w="1535" w:type="dxa"/>
          </w:tcPr>
          <w:p w14:paraId="2988B23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Title</w:t>
            </w:r>
          </w:p>
        </w:tc>
        <w:tc>
          <w:tcPr>
            <w:tcW w:w="1801" w:type="dxa"/>
          </w:tcPr>
          <w:p w14:paraId="7C2ABD9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Summary of Source</w:t>
            </w:r>
          </w:p>
        </w:tc>
        <w:tc>
          <w:tcPr>
            <w:tcW w:w="2078" w:type="dxa"/>
          </w:tcPr>
          <w:p w14:paraId="0EB7B46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CRAAP Notes</w:t>
            </w:r>
          </w:p>
        </w:tc>
        <w:tc>
          <w:tcPr>
            <w:tcW w:w="4165" w:type="dxa"/>
          </w:tcPr>
          <w:p w14:paraId="3891958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File Name / Link to Source</w:t>
            </w:r>
          </w:p>
        </w:tc>
      </w:tr>
      <w:tr w:rsidR="00901E26" w:rsidRPr="00E47702" w14:paraId="52182033" w14:textId="77777777" w:rsidTr="00D65B71">
        <w:trPr>
          <w:jc w:val="center"/>
        </w:trPr>
        <w:tc>
          <w:tcPr>
            <w:tcW w:w="769" w:type="dxa"/>
          </w:tcPr>
          <w:p w14:paraId="7A3E94BF"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4DDD6277"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Aveyard, H. (2019)</w:t>
            </w:r>
          </w:p>
        </w:tc>
        <w:tc>
          <w:tcPr>
            <w:tcW w:w="1535" w:type="dxa"/>
          </w:tcPr>
          <w:p w14:paraId="41174B78"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Doing a Literature Review in Health and Social Care: A Practical Guide</w:t>
            </w:r>
          </w:p>
        </w:tc>
        <w:tc>
          <w:tcPr>
            <w:tcW w:w="1801" w:type="dxa"/>
          </w:tcPr>
          <w:p w14:paraId="35B7051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Explains how to plan, search, and structure literature-based dissertations. Used to guide search strategy and inclusion/exclusion logic.</w:t>
            </w:r>
          </w:p>
        </w:tc>
        <w:tc>
          <w:tcPr>
            <w:tcW w:w="2078" w:type="dxa"/>
          </w:tcPr>
          <w:p w14:paraId="494A7282"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2019 edition; R: highly relevant; A: authoritative textbook; A: well-cited; P: educational.</w:t>
            </w:r>
          </w:p>
        </w:tc>
        <w:tc>
          <w:tcPr>
            <w:tcW w:w="4165" w:type="dxa"/>
          </w:tcPr>
          <w:p w14:paraId="4817BF7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https://www.mheducation.co.uk/doing-a-literature-review-in-health-and-social-care-9780335248258-emea-group</w:t>
            </w:r>
          </w:p>
        </w:tc>
      </w:tr>
      <w:tr w:rsidR="00901E26" w:rsidRPr="00E47702" w14:paraId="386DF15B" w14:textId="77777777" w:rsidTr="00D65B71">
        <w:trPr>
          <w:jc w:val="center"/>
        </w:trPr>
        <w:tc>
          <w:tcPr>
            <w:tcW w:w="769" w:type="dxa"/>
          </w:tcPr>
          <w:p w14:paraId="02982FAE"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2369CFF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Braun, V. &amp; Clarke, V. (2006)</w:t>
            </w:r>
          </w:p>
        </w:tc>
        <w:tc>
          <w:tcPr>
            <w:tcW w:w="1535" w:type="dxa"/>
          </w:tcPr>
          <w:p w14:paraId="2D5B576D"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Using thematic analysis in psychology</w:t>
            </w:r>
          </w:p>
        </w:tc>
        <w:tc>
          <w:tcPr>
            <w:tcW w:w="1801" w:type="dxa"/>
          </w:tcPr>
          <w:p w14:paraId="2435B948"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Outlines six-step framework for qualitative thematic analysis. Used for coding process.</w:t>
            </w:r>
          </w:p>
        </w:tc>
        <w:tc>
          <w:tcPr>
            <w:tcW w:w="2078" w:type="dxa"/>
          </w:tcPr>
          <w:p w14:paraId="3C11B9F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foundational; R: essential; A: peer-reviewed; A: robust; P: academic.</w:t>
            </w:r>
          </w:p>
        </w:tc>
        <w:tc>
          <w:tcPr>
            <w:tcW w:w="4165" w:type="dxa"/>
          </w:tcPr>
          <w:p w14:paraId="0F1875D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https://doi.org/10.1191/1478088706qp063oa</w:t>
            </w:r>
          </w:p>
        </w:tc>
      </w:tr>
      <w:tr w:rsidR="00901E26" w:rsidRPr="00E47702" w14:paraId="7E10BB9B" w14:textId="77777777" w:rsidTr="00D65B71">
        <w:trPr>
          <w:jc w:val="center"/>
        </w:trPr>
        <w:tc>
          <w:tcPr>
            <w:tcW w:w="769" w:type="dxa"/>
          </w:tcPr>
          <w:p w14:paraId="6CD0FCA2"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2878C51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Black, D.C. (2021)</w:t>
            </w:r>
          </w:p>
        </w:tc>
        <w:tc>
          <w:tcPr>
            <w:tcW w:w="1535" w:type="dxa"/>
          </w:tcPr>
          <w:p w14:paraId="3C2EE9E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Independent Review of Drugs: Prevention, Treatment and Recovery</w:t>
            </w:r>
          </w:p>
        </w:tc>
        <w:tc>
          <w:tcPr>
            <w:tcW w:w="1801" w:type="dxa"/>
          </w:tcPr>
          <w:p w14:paraId="6ECF8912"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UK Government review detailing national drug policy reforms and service gaps.</w:t>
            </w:r>
          </w:p>
        </w:tc>
        <w:tc>
          <w:tcPr>
            <w:tcW w:w="2078" w:type="dxa"/>
          </w:tcPr>
          <w:p w14:paraId="2ACA6F0D"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2021; R: highly relevant; A: official UK review; A: data-based; P: policy.</w:t>
            </w:r>
          </w:p>
        </w:tc>
        <w:tc>
          <w:tcPr>
            <w:tcW w:w="4165" w:type="dxa"/>
          </w:tcPr>
          <w:p w14:paraId="331314C6"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https://www.gov.uk/government/publications/review-of-drugs-part-two</w:t>
            </w:r>
          </w:p>
        </w:tc>
      </w:tr>
      <w:tr w:rsidR="00901E26" w:rsidRPr="00E47702" w14:paraId="2CE81E02" w14:textId="77777777" w:rsidTr="00D65B71">
        <w:trPr>
          <w:jc w:val="center"/>
        </w:trPr>
        <w:tc>
          <w:tcPr>
            <w:tcW w:w="769" w:type="dxa"/>
          </w:tcPr>
          <w:p w14:paraId="62FA14AE"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2EF83C4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Marmot, M. (2020)</w:t>
            </w:r>
          </w:p>
        </w:tc>
        <w:tc>
          <w:tcPr>
            <w:tcW w:w="1535" w:type="dxa"/>
          </w:tcPr>
          <w:p w14:paraId="042DBE00"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Health Equity in England: The Marmot Review 10 Years On</w:t>
            </w:r>
          </w:p>
        </w:tc>
        <w:tc>
          <w:tcPr>
            <w:tcW w:w="1801" w:type="dxa"/>
          </w:tcPr>
          <w:p w14:paraId="69DEB4A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Analyses effects of austerity on health inequality and social determinants.</w:t>
            </w:r>
          </w:p>
        </w:tc>
        <w:tc>
          <w:tcPr>
            <w:tcW w:w="2078" w:type="dxa"/>
          </w:tcPr>
          <w:p w14:paraId="1FC65745"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2020; R: high; A: Institute of Health Equity; A: statistical; P: policy reform.</w:t>
            </w:r>
          </w:p>
        </w:tc>
        <w:tc>
          <w:tcPr>
            <w:tcW w:w="4165" w:type="dxa"/>
          </w:tcPr>
          <w:p w14:paraId="170EC6A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https://www.health.org.uk/publications/reports/the-marmot-review-10-years-on</w:t>
            </w:r>
          </w:p>
        </w:tc>
      </w:tr>
      <w:tr w:rsidR="00901E26" w:rsidRPr="00E47702" w14:paraId="3CA5EB7C" w14:textId="77777777" w:rsidTr="00D65B71">
        <w:trPr>
          <w:jc w:val="center"/>
        </w:trPr>
        <w:tc>
          <w:tcPr>
            <w:tcW w:w="769" w:type="dxa"/>
          </w:tcPr>
          <w:p w14:paraId="5FD3F9AF"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621E88F0"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Molina, G. &amp; Whittaker, A. (2022)</w:t>
            </w:r>
          </w:p>
        </w:tc>
        <w:tc>
          <w:tcPr>
            <w:tcW w:w="1535" w:type="dxa"/>
          </w:tcPr>
          <w:p w14:paraId="48783B46"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Treatment of PTSD and substance use disorder in adults with adverse childhood experiences</w:t>
            </w:r>
          </w:p>
        </w:tc>
        <w:tc>
          <w:tcPr>
            <w:tcW w:w="1801" w:type="dxa"/>
          </w:tcPr>
          <w:p w14:paraId="4786CF56"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Systematic review linking trauma and substance misuse.</w:t>
            </w:r>
          </w:p>
        </w:tc>
        <w:tc>
          <w:tcPr>
            <w:tcW w:w="2078" w:type="dxa"/>
          </w:tcPr>
          <w:p w14:paraId="19CCE718"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2022; R: high; A: Drug &amp; Alcohol Dependence Reports; A: peer-reviewed; P: academic.</w:t>
            </w:r>
          </w:p>
        </w:tc>
        <w:tc>
          <w:tcPr>
            <w:tcW w:w="4165" w:type="dxa"/>
          </w:tcPr>
          <w:p w14:paraId="64CA36D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https://doi.org/10.1016/j.dadr.2022.100028</w:t>
            </w:r>
          </w:p>
        </w:tc>
      </w:tr>
      <w:tr w:rsidR="00901E26" w:rsidRPr="00E47702" w14:paraId="345B2DF5" w14:textId="77777777" w:rsidTr="00D65B71">
        <w:trPr>
          <w:jc w:val="center"/>
        </w:trPr>
        <w:tc>
          <w:tcPr>
            <w:tcW w:w="769" w:type="dxa"/>
          </w:tcPr>
          <w:p w14:paraId="4447BBAE"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0EF7CE9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Pierce, M. et al. (2020)</w:t>
            </w:r>
          </w:p>
        </w:tc>
        <w:tc>
          <w:tcPr>
            <w:tcW w:w="1535" w:type="dxa"/>
          </w:tcPr>
          <w:p w14:paraId="53BC47AC"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Mental health before and during the COVID-19 pandemic</w:t>
            </w:r>
          </w:p>
        </w:tc>
        <w:tc>
          <w:tcPr>
            <w:tcW w:w="1801" w:type="dxa"/>
          </w:tcPr>
          <w:p w14:paraId="791677C2"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Longitudinal UK survey on population mental health trends.</w:t>
            </w:r>
          </w:p>
        </w:tc>
        <w:tc>
          <w:tcPr>
            <w:tcW w:w="2078" w:type="dxa"/>
          </w:tcPr>
          <w:p w14:paraId="6DFD4B5B"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2020; R: strong; A: The Lancet Psychiatry; A: high; P: academic.</w:t>
            </w:r>
          </w:p>
        </w:tc>
        <w:tc>
          <w:tcPr>
            <w:tcW w:w="4165" w:type="dxa"/>
          </w:tcPr>
          <w:p w14:paraId="2940C1E5"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https://doi.org/10.1016/S2215-0366(20)30308-4</w:t>
            </w:r>
          </w:p>
        </w:tc>
      </w:tr>
      <w:tr w:rsidR="00901E26" w:rsidRPr="00E47702" w14:paraId="019EE6DE" w14:textId="77777777" w:rsidTr="00D65B71">
        <w:trPr>
          <w:jc w:val="center"/>
        </w:trPr>
        <w:tc>
          <w:tcPr>
            <w:tcW w:w="769" w:type="dxa"/>
          </w:tcPr>
          <w:p w14:paraId="28FED996"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lastRenderedPageBreak/>
              <w:t>☑️</w:t>
            </w:r>
          </w:p>
        </w:tc>
        <w:tc>
          <w:tcPr>
            <w:tcW w:w="993" w:type="dxa"/>
          </w:tcPr>
          <w:p w14:paraId="53EE1134"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NHS Digital (2023)</w:t>
            </w:r>
          </w:p>
        </w:tc>
        <w:tc>
          <w:tcPr>
            <w:tcW w:w="1535" w:type="dxa"/>
          </w:tcPr>
          <w:p w14:paraId="6F16DD3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Adult Substance Misuse Treatment Statistics 2022–23</w:t>
            </w:r>
          </w:p>
        </w:tc>
        <w:tc>
          <w:tcPr>
            <w:tcW w:w="1801" w:type="dxa"/>
          </w:tcPr>
          <w:p w14:paraId="5B3090D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National dataset on treatment engagement and demographic trends.</w:t>
            </w:r>
          </w:p>
        </w:tc>
        <w:tc>
          <w:tcPr>
            <w:tcW w:w="2078" w:type="dxa"/>
          </w:tcPr>
          <w:p w14:paraId="7130910B"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2023; R: high; A: NHS Digital; A: government data; P: public reporting.</w:t>
            </w:r>
          </w:p>
        </w:tc>
        <w:tc>
          <w:tcPr>
            <w:tcW w:w="4165" w:type="dxa"/>
          </w:tcPr>
          <w:p w14:paraId="6F393B25"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https://digital.nhs.uk/data-and-information/publications</w:t>
            </w:r>
          </w:p>
        </w:tc>
      </w:tr>
      <w:tr w:rsidR="00901E26" w:rsidRPr="00E47702" w14:paraId="48BDD626" w14:textId="77777777" w:rsidTr="00D65B71">
        <w:trPr>
          <w:jc w:val="center"/>
        </w:trPr>
        <w:tc>
          <w:tcPr>
            <w:tcW w:w="769" w:type="dxa"/>
          </w:tcPr>
          <w:p w14:paraId="480B7FD4"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7C33D628"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ONS (2022)</w:t>
            </w:r>
          </w:p>
        </w:tc>
        <w:tc>
          <w:tcPr>
            <w:tcW w:w="1535" w:type="dxa"/>
          </w:tcPr>
          <w:p w14:paraId="6BABC8A5"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Drug Misuse in England and Wales: Year Ending June 2022</w:t>
            </w:r>
          </w:p>
        </w:tc>
        <w:tc>
          <w:tcPr>
            <w:tcW w:w="1801" w:type="dxa"/>
          </w:tcPr>
          <w:p w14:paraId="383D558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Statistical analysis of national drug-use patterns.</w:t>
            </w:r>
          </w:p>
        </w:tc>
        <w:tc>
          <w:tcPr>
            <w:tcW w:w="2078" w:type="dxa"/>
          </w:tcPr>
          <w:p w14:paraId="24080CEB"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2022; R: high; A: ONS; A: verified; P: informational.</w:t>
            </w:r>
          </w:p>
        </w:tc>
        <w:tc>
          <w:tcPr>
            <w:tcW w:w="4165" w:type="dxa"/>
          </w:tcPr>
          <w:p w14:paraId="63E44F2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https://www.ons.gov.uk/peoplepopulationandcommunity</w:t>
            </w:r>
          </w:p>
        </w:tc>
      </w:tr>
      <w:tr w:rsidR="00901E26" w:rsidRPr="00E47702" w14:paraId="551B0E88" w14:textId="77777777" w:rsidTr="00D65B71">
        <w:trPr>
          <w:jc w:val="center"/>
        </w:trPr>
        <w:tc>
          <w:tcPr>
            <w:tcW w:w="769" w:type="dxa"/>
          </w:tcPr>
          <w:p w14:paraId="35CD4C1E"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1FEDEC5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Mind (2022)</w:t>
            </w:r>
          </w:p>
        </w:tc>
        <w:tc>
          <w:tcPr>
            <w:tcW w:w="1535" w:type="dxa"/>
          </w:tcPr>
          <w:p w14:paraId="0590D6D2"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Mental Health in the Pandemic: Inequality and Recovery</w:t>
            </w:r>
          </w:p>
        </w:tc>
        <w:tc>
          <w:tcPr>
            <w:tcW w:w="1801" w:type="dxa"/>
          </w:tcPr>
          <w:p w14:paraId="208DEA84"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NGO report documenting service barriers and lived experiences.</w:t>
            </w:r>
          </w:p>
        </w:tc>
        <w:tc>
          <w:tcPr>
            <w:tcW w:w="2078" w:type="dxa"/>
          </w:tcPr>
          <w:p w14:paraId="7F6A9494"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2022; R: strong; A: Mind; A: qualitative; P: advocacy.</w:t>
            </w:r>
          </w:p>
        </w:tc>
        <w:tc>
          <w:tcPr>
            <w:tcW w:w="4165" w:type="dxa"/>
          </w:tcPr>
          <w:p w14:paraId="36D2EEAC"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https://www.mind.org.uk</w:t>
            </w:r>
          </w:p>
        </w:tc>
      </w:tr>
      <w:tr w:rsidR="00901E26" w:rsidRPr="00E47702" w14:paraId="272E5F37" w14:textId="77777777" w:rsidTr="00D65B71">
        <w:trPr>
          <w:jc w:val="center"/>
        </w:trPr>
        <w:tc>
          <w:tcPr>
            <w:tcW w:w="769" w:type="dxa"/>
          </w:tcPr>
          <w:p w14:paraId="0A094D47"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21E6566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Public Health England (2021)</w:t>
            </w:r>
          </w:p>
        </w:tc>
        <w:tc>
          <w:tcPr>
            <w:tcW w:w="1535" w:type="dxa"/>
          </w:tcPr>
          <w:p w14:paraId="1C8DEE2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Adult Substance Misuse Treatment Statistics 2020–21</w:t>
            </w:r>
          </w:p>
        </w:tc>
        <w:tc>
          <w:tcPr>
            <w:tcW w:w="1801" w:type="dxa"/>
          </w:tcPr>
          <w:p w14:paraId="0BF56F16"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Comprehensive annual report on drug/alcohol services.</w:t>
            </w:r>
          </w:p>
        </w:tc>
        <w:tc>
          <w:tcPr>
            <w:tcW w:w="2078" w:type="dxa"/>
          </w:tcPr>
          <w:p w14:paraId="61B3659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2021; R: high; A: PHE; A: official data; P: public health.</w:t>
            </w:r>
          </w:p>
        </w:tc>
        <w:tc>
          <w:tcPr>
            <w:tcW w:w="4165" w:type="dxa"/>
          </w:tcPr>
          <w:p w14:paraId="3A4C964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https://www.gov.uk/government/collections/alcohol-and-drug-misuse-and-treatment-statistics</w:t>
            </w:r>
          </w:p>
        </w:tc>
      </w:tr>
    </w:tbl>
    <w:p w14:paraId="39077BA6" w14:textId="77777777" w:rsidR="00E93FB4" w:rsidRPr="00E47702" w:rsidRDefault="00E93FB4" w:rsidP="00901E26">
      <w:pPr>
        <w:spacing w:line="360" w:lineRule="auto"/>
        <w:rPr>
          <w:rFonts w:cs="Arial"/>
          <w:color w:val="000000" w:themeColor="text1"/>
          <w:sz w:val="18"/>
          <w:szCs w:val="18"/>
        </w:rPr>
      </w:pPr>
    </w:p>
    <w:p w14:paraId="74E8D553" w14:textId="1533717E" w:rsidR="00E93FB4" w:rsidRPr="00E47702" w:rsidRDefault="00E93FB4" w:rsidP="00901E26">
      <w:pPr>
        <w:spacing w:line="360" w:lineRule="auto"/>
        <w:jc w:val="center"/>
        <w:rPr>
          <w:rFonts w:cs="Arial"/>
          <w:color w:val="000000" w:themeColor="text1"/>
          <w:sz w:val="18"/>
          <w:szCs w:val="18"/>
        </w:rPr>
      </w:pPr>
    </w:p>
    <w:p w14:paraId="71959D3A" w14:textId="13BDAB97" w:rsidR="006B3A77" w:rsidRPr="00E47702" w:rsidRDefault="006B3A77" w:rsidP="00901E26">
      <w:pPr>
        <w:spacing w:line="360" w:lineRule="auto"/>
        <w:jc w:val="center"/>
        <w:rPr>
          <w:rFonts w:cs="Arial"/>
          <w:color w:val="000000" w:themeColor="text1"/>
          <w:sz w:val="18"/>
          <w:szCs w:val="18"/>
        </w:rPr>
      </w:pPr>
    </w:p>
    <w:p w14:paraId="6E6C7A86" w14:textId="52A54922" w:rsidR="006B3A77" w:rsidRPr="00E47702" w:rsidRDefault="006B3A77" w:rsidP="00901E26">
      <w:pPr>
        <w:spacing w:line="360" w:lineRule="auto"/>
        <w:jc w:val="center"/>
        <w:rPr>
          <w:rFonts w:cs="Arial"/>
          <w:color w:val="000000" w:themeColor="text1"/>
          <w:sz w:val="18"/>
          <w:szCs w:val="18"/>
        </w:rPr>
      </w:pPr>
    </w:p>
    <w:p w14:paraId="29F39144" w14:textId="0018B779" w:rsidR="006B3A77" w:rsidRPr="00E47702" w:rsidRDefault="006B3A77" w:rsidP="00901E26">
      <w:pPr>
        <w:spacing w:line="360" w:lineRule="auto"/>
        <w:jc w:val="center"/>
        <w:rPr>
          <w:rFonts w:cs="Arial"/>
          <w:color w:val="000000" w:themeColor="text1"/>
          <w:sz w:val="18"/>
          <w:szCs w:val="18"/>
        </w:rPr>
      </w:pPr>
    </w:p>
    <w:p w14:paraId="4F43414C" w14:textId="622CDE1F" w:rsidR="006B3A77" w:rsidRPr="00E47702" w:rsidRDefault="006B3A77" w:rsidP="00901E26">
      <w:pPr>
        <w:spacing w:line="360" w:lineRule="auto"/>
        <w:jc w:val="center"/>
        <w:rPr>
          <w:rFonts w:cs="Arial"/>
          <w:color w:val="000000" w:themeColor="text1"/>
          <w:sz w:val="18"/>
          <w:szCs w:val="18"/>
        </w:rPr>
      </w:pPr>
    </w:p>
    <w:p w14:paraId="6E5226BF" w14:textId="60A56545" w:rsidR="006B3A77" w:rsidRPr="00E47702" w:rsidRDefault="006B3A77" w:rsidP="00901E26">
      <w:pPr>
        <w:spacing w:line="360" w:lineRule="auto"/>
        <w:jc w:val="center"/>
        <w:rPr>
          <w:rFonts w:cs="Arial"/>
          <w:color w:val="000000" w:themeColor="text1"/>
          <w:sz w:val="18"/>
          <w:szCs w:val="18"/>
        </w:rPr>
      </w:pPr>
    </w:p>
    <w:p w14:paraId="442AF9E2" w14:textId="3FC12992" w:rsidR="006B3A77" w:rsidRPr="00E47702" w:rsidRDefault="006B3A77" w:rsidP="00901E26">
      <w:pPr>
        <w:spacing w:line="360" w:lineRule="auto"/>
        <w:jc w:val="center"/>
        <w:rPr>
          <w:rFonts w:cs="Arial"/>
          <w:color w:val="000000" w:themeColor="text1"/>
          <w:sz w:val="18"/>
          <w:szCs w:val="18"/>
        </w:rPr>
      </w:pPr>
    </w:p>
    <w:p w14:paraId="7064910A" w14:textId="5D1D2604" w:rsidR="006B3A77" w:rsidRPr="00E47702" w:rsidRDefault="006B3A77" w:rsidP="00901E26">
      <w:pPr>
        <w:spacing w:line="360" w:lineRule="auto"/>
        <w:jc w:val="center"/>
        <w:rPr>
          <w:rFonts w:cs="Arial"/>
          <w:color w:val="000000" w:themeColor="text1"/>
          <w:sz w:val="18"/>
          <w:szCs w:val="18"/>
        </w:rPr>
      </w:pPr>
    </w:p>
    <w:p w14:paraId="42484B2F" w14:textId="6A791AD8" w:rsidR="006B3A77" w:rsidRPr="00E47702" w:rsidRDefault="006B3A77" w:rsidP="00901E26">
      <w:pPr>
        <w:spacing w:line="360" w:lineRule="auto"/>
        <w:jc w:val="center"/>
        <w:rPr>
          <w:rFonts w:cs="Arial"/>
          <w:color w:val="000000" w:themeColor="text1"/>
          <w:sz w:val="18"/>
          <w:szCs w:val="18"/>
        </w:rPr>
      </w:pPr>
    </w:p>
    <w:p w14:paraId="4307C954" w14:textId="1CC374D5" w:rsidR="006B3A77" w:rsidRPr="00E47702" w:rsidRDefault="006B3A77" w:rsidP="00901E26">
      <w:pPr>
        <w:spacing w:line="360" w:lineRule="auto"/>
        <w:jc w:val="center"/>
        <w:rPr>
          <w:rFonts w:cs="Arial"/>
          <w:color w:val="000000" w:themeColor="text1"/>
          <w:sz w:val="18"/>
          <w:szCs w:val="18"/>
        </w:rPr>
      </w:pPr>
    </w:p>
    <w:p w14:paraId="1165D6A4" w14:textId="0AE7FB18" w:rsidR="006B3A77" w:rsidRPr="00E47702" w:rsidRDefault="006B3A77" w:rsidP="00901E26">
      <w:pPr>
        <w:spacing w:line="360" w:lineRule="auto"/>
        <w:jc w:val="center"/>
        <w:rPr>
          <w:rFonts w:cs="Arial"/>
          <w:color w:val="000000" w:themeColor="text1"/>
          <w:sz w:val="18"/>
          <w:szCs w:val="18"/>
        </w:rPr>
      </w:pPr>
    </w:p>
    <w:p w14:paraId="00986CF6" w14:textId="7298D768" w:rsidR="006B3A77" w:rsidRPr="00E47702" w:rsidRDefault="006B3A77" w:rsidP="00901E26">
      <w:pPr>
        <w:spacing w:line="360" w:lineRule="auto"/>
        <w:jc w:val="center"/>
        <w:rPr>
          <w:rFonts w:cs="Arial"/>
          <w:color w:val="000000" w:themeColor="text1"/>
          <w:sz w:val="18"/>
          <w:szCs w:val="18"/>
        </w:rPr>
      </w:pPr>
    </w:p>
    <w:p w14:paraId="6C8C99E8" w14:textId="68F938AA" w:rsidR="006B3A77" w:rsidRPr="00E47702" w:rsidRDefault="006B3A77" w:rsidP="00901E26">
      <w:pPr>
        <w:spacing w:line="360" w:lineRule="auto"/>
        <w:jc w:val="center"/>
        <w:rPr>
          <w:rFonts w:cs="Arial"/>
          <w:color w:val="000000" w:themeColor="text1"/>
          <w:sz w:val="18"/>
          <w:szCs w:val="18"/>
        </w:rPr>
      </w:pPr>
    </w:p>
    <w:p w14:paraId="3BFFB470" w14:textId="5BBA0EFE" w:rsidR="006B3A77" w:rsidRPr="00E47702" w:rsidRDefault="006B3A77" w:rsidP="00901E26">
      <w:pPr>
        <w:spacing w:line="360" w:lineRule="auto"/>
        <w:jc w:val="center"/>
        <w:rPr>
          <w:rFonts w:cs="Arial"/>
          <w:color w:val="000000" w:themeColor="text1"/>
          <w:sz w:val="18"/>
          <w:szCs w:val="18"/>
        </w:rPr>
      </w:pPr>
    </w:p>
    <w:p w14:paraId="0BDE0C1B" w14:textId="60831583" w:rsidR="006B3A77" w:rsidRPr="00E47702" w:rsidRDefault="006B3A77" w:rsidP="00901E26">
      <w:pPr>
        <w:spacing w:line="360" w:lineRule="auto"/>
        <w:jc w:val="center"/>
        <w:rPr>
          <w:rFonts w:cs="Arial"/>
          <w:color w:val="000000" w:themeColor="text1"/>
          <w:sz w:val="18"/>
          <w:szCs w:val="18"/>
        </w:rPr>
      </w:pPr>
    </w:p>
    <w:p w14:paraId="1FDD3B27" w14:textId="0533049D" w:rsidR="006B3A77" w:rsidRPr="00E47702" w:rsidRDefault="006B3A77" w:rsidP="00901E26">
      <w:pPr>
        <w:spacing w:line="360" w:lineRule="auto"/>
        <w:jc w:val="center"/>
        <w:rPr>
          <w:rFonts w:cs="Arial"/>
          <w:color w:val="000000" w:themeColor="text1"/>
          <w:sz w:val="18"/>
          <w:szCs w:val="18"/>
        </w:rPr>
      </w:pPr>
    </w:p>
    <w:p w14:paraId="1144AC6B" w14:textId="6D91E8A5" w:rsidR="006B3A77" w:rsidRDefault="006B3A77" w:rsidP="00901E26">
      <w:pPr>
        <w:spacing w:line="360" w:lineRule="auto"/>
        <w:jc w:val="center"/>
        <w:rPr>
          <w:rFonts w:cs="Arial"/>
          <w:color w:val="000000" w:themeColor="text1"/>
          <w:sz w:val="18"/>
          <w:szCs w:val="18"/>
        </w:rPr>
      </w:pPr>
    </w:p>
    <w:p w14:paraId="1196F868" w14:textId="67C46800" w:rsidR="00E47702" w:rsidRDefault="00E47702" w:rsidP="00901E26">
      <w:pPr>
        <w:spacing w:line="360" w:lineRule="auto"/>
        <w:jc w:val="center"/>
        <w:rPr>
          <w:rFonts w:cs="Arial"/>
          <w:color w:val="000000" w:themeColor="text1"/>
          <w:sz w:val="18"/>
          <w:szCs w:val="18"/>
        </w:rPr>
      </w:pPr>
    </w:p>
    <w:p w14:paraId="74D6A702" w14:textId="69D1DDDA" w:rsidR="00E47702" w:rsidRDefault="00E47702" w:rsidP="00901E26">
      <w:pPr>
        <w:spacing w:line="360" w:lineRule="auto"/>
        <w:jc w:val="center"/>
        <w:rPr>
          <w:rFonts w:cs="Arial"/>
          <w:color w:val="000000" w:themeColor="text1"/>
          <w:sz w:val="18"/>
          <w:szCs w:val="18"/>
        </w:rPr>
      </w:pPr>
    </w:p>
    <w:p w14:paraId="3338E437" w14:textId="77777777" w:rsidR="00E47702" w:rsidRPr="00E47702" w:rsidRDefault="00E47702" w:rsidP="00901E26">
      <w:pPr>
        <w:spacing w:line="360" w:lineRule="auto"/>
        <w:jc w:val="center"/>
        <w:rPr>
          <w:rFonts w:cs="Arial"/>
          <w:color w:val="000000" w:themeColor="text1"/>
          <w:sz w:val="18"/>
          <w:szCs w:val="18"/>
        </w:rPr>
      </w:pPr>
    </w:p>
    <w:p w14:paraId="4CA1B3CA" w14:textId="727B367B" w:rsidR="006B3A77" w:rsidRPr="00E47702" w:rsidRDefault="006B3A77" w:rsidP="00901E26">
      <w:pPr>
        <w:spacing w:line="360" w:lineRule="auto"/>
        <w:jc w:val="center"/>
        <w:rPr>
          <w:rFonts w:cs="Arial"/>
          <w:color w:val="000000" w:themeColor="text1"/>
          <w:sz w:val="18"/>
          <w:szCs w:val="18"/>
        </w:rPr>
      </w:pPr>
    </w:p>
    <w:p w14:paraId="411F5EA9" w14:textId="77777777" w:rsidR="006B3A77" w:rsidRPr="00E47702" w:rsidRDefault="006B3A77" w:rsidP="00E47702">
      <w:pPr>
        <w:pStyle w:val="Heading1"/>
        <w:rPr>
          <w:rFonts w:cs="Arial"/>
          <w:szCs w:val="22"/>
        </w:rPr>
      </w:pPr>
      <w:bookmarkStart w:id="88" w:name="_Toc214836738"/>
      <w:r w:rsidRPr="00E47702">
        <w:rPr>
          <w:rFonts w:cs="Arial"/>
          <w:szCs w:val="22"/>
        </w:rPr>
        <w:lastRenderedPageBreak/>
        <w:t>Summary of Key Findings &amp; Recommendations</w:t>
      </w:r>
      <w:bookmarkEnd w:id="88"/>
    </w:p>
    <w:tbl>
      <w:tblPr>
        <w:tblStyle w:val="TableGridLight"/>
        <w:tblW w:w="11058" w:type="dxa"/>
        <w:tblInd w:w="-998" w:type="dxa"/>
        <w:tblLook w:val="04A0" w:firstRow="1" w:lastRow="0" w:firstColumn="1" w:lastColumn="0" w:noHBand="0" w:noVBand="1"/>
      </w:tblPr>
      <w:tblGrid>
        <w:gridCol w:w="2758"/>
        <w:gridCol w:w="2765"/>
        <w:gridCol w:w="1792"/>
        <w:gridCol w:w="3743"/>
      </w:tblGrid>
      <w:tr w:rsidR="006B3A77" w:rsidRPr="00E47702" w14:paraId="5F0F1D5A" w14:textId="77777777" w:rsidTr="009526E9">
        <w:tc>
          <w:tcPr>
            <w:tcW w:w="2758" w:type="dxa"/>
            <w:hideMark/>
          </w:tcPr>
          <w:p w14:paraId="6B7F4B10"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Theme / Key Finding</w:t>
            </w:r>
          </w:p>
        </w:tc>
        <w:tc>
          <w:tcPr>
            <w:tcW w:w="0" w:type="auto"/>
            <w:hideMark/>
          </w:tcPr>
          <w:p w14:paraId="0D6FA492"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Summary Insight</w:t>
            </w:r>
          </w:p>
        </w:tc>
        <w:tc>
          <w:tcPr>
            <w:tcW w:w="0" w:type="auto"/>
            <w:hideMark/>
          </w:tcPr>
          <w:p w14:paraId="0F091CFB"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Supporting Evidence (Key Authors)</w:t>
            </w:r>
          </w:p>
        </w:tc>
        <w:tc>
          <w:tcPr>
            <w:tcW w:w="3743" w:type="dxa"/>
            <w:hideMark/>
          </w:tcPr>
          <w:p w14:paraId="6BA9758A"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Practical / Policy Recommendation</w:t>
            </w:r>
          </w:p>
        </w:tc>
      </w:tr>
      <w:tr w:rsidR="006B3A77" w:rsidRPr="00E47702" w14:paraId="2E640D72" w14:textId="77777777" w:rsidTr="009526E9">
        <w:tc>
          <w:tcPr>
            <w:tcW w:w="2758" w:type="dxa"/>
            <w:hideMark/>
          </w:tcPr>
          <w:p w14:paraId="61E5E707"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1. Low-Income Status &amp; Substance Misuse</w:t>
            </w:r>
          </w:p>
        </w:tc>
        <w:tc>
          <w:tcPr>
            <w:tcW w:w="0" w:type="auto"/>
            <w:hideMark/>
          </w:tcPr>
          <w:p w14:paraId="4BDCCF82"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Poverty, unemployment, and housing insecurity drive substance misuse; addiction deepens deprivation.</w:t>
            </w:r>
          </w:p>
        </w:tc>
        <w:tc>
          <w:tcPr>
            <w:tcW w:w="0" w:type="auto"/>
            <w:hideMark/>
          </w:tcPr>
          <w:p w14:paraId="71119181"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Marmot (2020); Black (2021); ONS (2023)</w:t>
            </w:r>
          </w:p>
        </w:tc>
        <w:tc>
          <w:tcPr>
            <w:tcW w:w="3743" w:type="dxa"/>
            <w:hideMark/>
          </w:tcPr>
          <w:p w14:paraId="4A07F58D"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Integrate socioeconomic support (housing, employment) into addiction services.</w:t>
            </w:r>
          </w:p>
        </w:tc>
      </w:tr>
      <w:tr w:rsidR="006B3A77" w:rsidRPr="00E47702" w14:paraId="3C94B21D" w14:textId="77777777" w:rsidTr="009526E9">
        <w:tc>
          <w:tcPr>
            <w:tcW w:w="2758" w:type="dxa"/>
            <w:hideMark/>
          </w:tcPr>
          <w:p w14:paraId="4F64A57B"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2. Untreated Mental Health &amp; Dual Diagnosis</w:t>
            </w:r>
          </w:p>
        </w:tc>
        <w:tc>
          <w:tcPr>
            <w:tcW w:w="0" w:type="auto"/>
            <w:hideMark/>
          </w:tcPr>
          <w:p w14:paraId="632D3C11"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Mental illness and substance misuse are interlinked; lack of integrated care worsens both.</w:t>
            </w:r>
          </w:p>
        </w:tc>
        <w:tc>
          <w:tcPr>
            <w:tcW w:w="0" w:type="auto"/>
            <w:hideMark/>
          </w:tcPr>
          <w:p w14:paraId="596656F4"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NICE (2022); Molina &amp; Whittaker (2022); Mind (2022)</w:t>
            </w:r>
          </w:p>
        </w:tc>
        <w:tc>
          <w:tcPr>
            <w:tcW w:w="3743" w:type="dxa"/>
            <w:hideMark/>
          </w:tcPr>
          <w:p w14:paraId="4622B55E"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Create unified mental health and addiction treatment pathways.</w:t>
            </w:r>
          </w:p>
        </w:tc>
      </w:tr>
      <w:tr w:rsidR="006B3A77" w:rsidRPr="00E47702" w14:paraId="6BF186D2" w14:textId="77777777" w:rsidTr="009526E9">
        <w:tc>
          <w:tcPr>
            <w:tcW w:w="2758" w:type="dxa"/>
            <w:hideMark/>
          </w:tcPr>
          <w:p w14:paraId="2F81C9A5"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3. Barriers to Access &amp; Service Inequality</w:t>
            </w:r>
          </w:p>
        </w:tc>
        <w:tc>
          <w:tcPr>
            <w:tcW w:w="0" w:type="auto"/>
            <w:hideMark/>
          </w:tcPr>
          <w:p w14:paraId="212180E1"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Cost, stigma, and geography limit access to services in deprived areas.</w:t>
            </w:r>
          </w:p>
        </w:tc>
        <w:tc>
          <w:tcPr>
            <w:tcW w:w="0" w:type="auto"/>
            <w:hideMark/>
          </w:tcPr>
          <w:p w14:paraId="1D5A0B96"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Hart (1971); NHS Digital (2023); PHE (2021)</w:t>
            </w:r>
          </w:p>
        </w:tc>
        <w:tc>
          <w:tcPr>
            <w:tcW w:w="3743" w:type="dxa"/>
            <w:hideMark/>
          </w:tcPr>
          <w:p w14:paraId="227B36C9"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Target funding to high-need regions; expand outreach services.</w:t>
            </w:r>
          </w:p>
        </w:tc>
      </w:tr>
      <w:tr w:rsidR="006B3A77" w:rsidRPr="00E47702" w14:paraId="16DA40B3" w14:textId="77777777" w:rsidTr="009526E9">
        <w:tc>
          <w:tcPr>
            <w:tcW w:w="2758" w:type="dxa"/>
            <w:hideMark/>
          </w:tcPr>
          <w:p w14:paraId="2BCE2345"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4. Policy &amp; Legislation</w:t>
            </w:r>
          </w:p>
        </w:tc>
        <w:tc>
          <w:tcPr>
            <w:tcW w:w="0" w:type="auto"/>
            <w:hideMark/>
          </w:tcPr>
          <w:p w14:paraId="1E2BE702"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UK strategies focus too heavily on enforcement; prevention and equity lag behind.</w:t>
            </w:r>
          </w:p>
        </w:tc>
        <w:tc>
          <w:tcPr>
            <w:tcW w:w="0" w:type="auto"/>
            <w:hideMark/>
          </w:tcPr>
          <w:p w14:paraId="154A0282"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Black (2021); UK Drug Strategy (2021); WHO (2022)</w:t>
            </w:r>
          </w:p>
        </w:tc>
        <w:tc>
          <w:tcPr>
            <w:tcW w:w="3743" w:type="dxa"/>
            <w:hideMark/>
          </w:tcPr>
          <w:p w14:paraId="534EF357"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Shift national policy toward harm reduction and prevention.</w:t>
            </w:r>
          </w:p>
        </w:tc>
      </w:tr>
      <w:tr w:rsidR="006B3A77" w:rsidRPr="00E47702" w14:paraId="06A097C3" w14:textId="77777777" w:rsidTr="009526E9">
        <w:tc>
          <w:tcPr>
            <w:tcW w:w="2758" w:type="dxa"/>
            <w:hideMark/>
          </w:tcPr>
          <w:p w14:paraId="4DF0E2AD"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5. COVID-19 &amp; Social Inequality</w:t>
            </w:r>
          </w:p>
        </w:tc>
        <w:tc>
          <w:tcPr>
            <w:tcW w:w="0" w:type="auto"/>
            <w:hideMark/>
          </w:tcPr>
          <w:p w14:paraId="2D34E3E9"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The pandemic worsened mental health, substance use, and service access among low-income groups.</w:t>
            </w:r>
          </w:p>
        </w:tc>
        <w:tc>
          <w:tcPr>
            <w:tcW w:w="0" w:type="auto"/>
            <w:hideMark/>
          </w:tcPr>
          <w:p w14:paraId="61182C0C"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Pierce et al. (2020); Kwong et al. (2020)</w:t>
            </w:r>
          </w:p>
        </w:tc>
        <w:tc>
          <w:tcPr>
            <w:tcW w:w="3743" w:type="dxa"/>
            <w:hideMark/>
          </w:tcPr>
          <w:p w14:paraId="775EB05B"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Strengthen post-pandemic mental health funding and community recovery.</w:t>
            </w:r>
          </w:p>
        </w:tc>
      </w:tr>
    </w:tbl>
    <w:p w14:paraId="59EABB53" w14:textId="293B07F7" w:rsidR="006B3A77" w:rsidRDefault="006B3A77" w:rsidP="00833777"/>
    <w:p w14:paraId="58AD5BAE" w14:textId="33A1C3F0" w:rsidR="00833777" w:rsidRDefault="00833777" w:rsidP="00833777"/>
    <w:p w14:paraId="5FE6A09B" w14:textId="2DAC5305" w:rsidR="00833777" w:rsidRDefault="00833777" w:rsidP="00833777"/>
    <w:p w14:paraId="46F9B232" w14:textId="7435F7A9" w:rsidR="00833777" w:rsidRDefault="00833777" w:rsidP="00833777"/>
    <w:p w14:paraId="0580C7C0" w14:textId="77777777" w:rsidR="00833777" w:rsidRPr="00833777" w:rsidRDefault="00833777" w:rsidP="00833777">
      <w:pPr>
        <w:rPr>
          <w:b/>
          <w:bCs/>
        </w:rPr>
      </w:pPr>
      <w:r w:rsidRPr="00833777">
        <w:rPr>
          <w:b/>
          <w:bCs/>
        </w:rPr>
        <w:t>smaller table summarises action priorities</w:t>
      </w:r>
    </w:p>
    <w:p w14:paraId="556B03E2" w14:textId="77777777" w:rsidR="00833777" w:rsidRPr="00E47702" w:rsidRDefault="00833777" w:rsidP="00833777"/>
    <w:tbl>
      <w:tblPr>
        <w:tblStyle w:val="TableGridLight"/>
        <w:tblW w:w="11058" w:type="dxa"/>
        <w:tblInd w:w="-998" w:type="dxa"/>
        <w:tblLook w:val="04A0" w:firstRow="1" w:lastRow="0" w:firstColumn="1" w:lastColumn="0" w:noHBand="0" w:noVBand="1"/>
      </w:tblPr>
      <w:tblGrid>
        <w:gridCol w:w="2441"/>
        <w:gridCol w:w="2871"/>
        <w:gridCol w:w="5746"/>
      </w:tblGrid>
      <w:tr w:rsidR="006B3A77" w:rsidRPr="00E47702" w14:paraId="054C03CB" w14:textId="77777777" w:rsidTr="009526E9">
        <w:tc>
          <w:tcPr>
            <w:tcW w:w="2441" w:type="dxa"/>
            <w:hideMark/>
          </w:tcPr>
          <w:p w14:paraId="1D2154CB" w14:textId="4102E89F"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Level</w:t>
            </w:r>
          </w:p>
        </w:tc>
        <w:tc>
          <w:tcPr>
            <w:tcW w:w="0" w:type="auto"/>
            <w:hideMark/>
          </w:tcPr>
          <w:p w14:paraId="22BEA9F8"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Key Action</w:t>
            </w:r>
          </w:p>
        </w:tc>
        <w:tc>
          <w:tcPr>
            <w:tcW w:w="5746" w:type="dxa"/>
            <w:hideMark/>
          </w:tcPr>
          <w:p w14:paraId="078B47BE"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Example Implementation</w:t>
            </w:r>
          </w:p>
        </w:tc>
      </w:tr>
      <w:tr w:rsidR="006B3A77" w:rsidRPr="00E47702" w14:paraId="72F7D6B6" w14:textId="77777777" w:rsidTr="009526E9">
        <w:tc>
          <w:tcPr>
            <w:tcW w:w="2441" w:type="dxa"/>
            <w:hideMark/>
          </w:tcPr>
          <w:p w14:paraId="503A25F6"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Policy</w:t>
            </w:r>
          </w:p>
        </w:tc>
        <w:tc>
          <w:tcPr>
            <w:tcW w:w="0" w:type="auto"/>
            <w:hideMark/>
          </w:tcPr>
          <w:p w14:paraId="61CF3671"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Tackle poverty as a public health crisis</w:t>
            </w:r>
          </w:p>
        </w:tc>
        <w:tc>
          <w:tcPr>
            <w:tcW w:w="5746" w:type="dxa"/>
            <w:hideMark/>
          </w:tcPr>
          <w:p w14:paraId="6568725A"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Expand housing support, raise minimum wage, increase benefits</w:t>
            </w:r>
          </w:p>
        </w:tc>
      </w:tr>
      <w:tr w:rsidR="006B3A77" w:rsidRPr="00E47702" w14:paraId="5F35768C" w14:textId="77777777" w:rsidTr="009526E9">
        <w:tc>
          <w:tcPr>
            <w:tcW w:w="2441" w:type="dxa"/>
            <w:hideMark/>
          </w:tcPr>
          <w:p w14:paraId="28F4F32A"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Service</w:t>
            </w:r>
          </w:p>
        </w:tc>
        <w:tc>
          <w:tcPr>
            <w:tcW w:w="0" w:type="auto"/>
            <w:hideMark/>
          </w:tcPr>
          <w:p w14:paraId="58214D3A"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Integrate dual diagnosis treatment</w:t>
            </w:r>
          </w:p>
        </w:tc>
        <w:tc>
          <w:tcPr>
            <w:tcW w:w="5746" w:type="dxa"/>
            <w:hideMark/>
          </w:tcPr>
          <w:p w14:paraId="109C820A"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NHS trusts co-fund mental health &amp; addiction teams</w:t>
            </w:r>
          </w:p>
        </w:tc>
      </w:tr>
      <w:tr w:rsidR="006B3A77" w:rsidRPr="00E47702" w14:paraId="6E82A70C" w14:textId="77777777" w:rsidTr="009526E9">
        <w:tc>
          <w:tcPr>
            <w:tcW w:w="2441" w:type="dxa"/>
            <w:hideMark/>
          </w:tcPr>
          <w:p w14:paraId="2111CC8D"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Community</w:t>
            </w:r>
          </w:p>
        </w:tc>
        <w:tc>
          <w:tcPr>
            <w:tcW w:w="0" w:type="auto"/>
            <w:hideMark/>
          </w:tcPr>
          <w:p w14:paraId="42E10215"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Reduce stigma and improve engagement</w:t>
            </w:r>
          </w:p>
        </w:tc>
        <w:tc>
          <w:tcPr>
            <w:tcW w:w="5746" w:type="dxa"/>
            <w:hideMark/>
          </w:tcPr>
          <w:p w14:paraId="4D19B6B2"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Peer mentors and public education campaigns</w:t>
            </w:r>
          </w:p>
        </w:tc>
      </w:tr>
      <w:tr w:rsidR="006B3A77" w:rsidRPr="00E47702" w14:paraId="33291DB6" w14:textId="77777777" w:rsidTr="009526E9">
        <w:tc>
          <w:tcPr>
            <w:tcW w:w="2441" w:type="dxa"/>
            <w:hideMark/>
          </w:tcPr>
          <w:p w14:paraId="254F7624"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Research</w:t>
            </w:r>
          </w:p>
        </w:tc>
        <w:tc>
          <w:tcPr>
            <w:tcW w:w="0" w:type="auto"/>
            <w:hideMark/>
          </w:tcPr>
          <w:p w14:paraId="74740370"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Evaluate integrated service models</w:t>
            </w:r>
          </w:p>
        </w:tc>
        <w:tc>
          <w:tcPr>
            <w:tcW w:w="5746" w:type="dxa"/>
            <w:hideMark/>
          </w:tcPr>
          <w:p w14:paraId="21B4E104"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Longitudinal UK studies on health inequalities</w:t>
            </w:r>
          </w:p>
        </w:tc>
      </w:tr>
    </w:tbl>
    <w:p w14:paraId="4B659EFE" w14:textId="77777777" w:rsidR="006B3A77" w:rsidRPr="00E47702" w:rsidRDefault="006B3A77" w:rsidP="006B3A77">
      <w:pPr>
        <w:pStyle w:val="Heading1"/>
        <w:spacing w:line="360" w:lineRule="auto"/>
        <w:rPr>
          <w:rFonts w:cs="Arial"/>
          <w:color w:val="000000" w:themeColor="text1"/>
          <w:sz w:val="18"/>
          <w:szCs w:val="18"/>
        </w:rPr>
      </w:pPr>
    </w:p>
    <w:p w14:paraId="149141E1" w14:textId="77777777" w:rsidR="006B3A77" w:rsidRPr="00E47702" w:rsidRDefault="006B3A77" w:rsidP="006B3A77">
      <w:pPr>
        <w:spacing w:line="360" w:lineRule="auto"/>
        <w:rPr>
          <w:rFonts w:cs="Arial"/>
          <w:color w:val="000000" w:themeColor="text1"/>
          <w:sz w:val="18"/>
          <w:szCs w:val="18"/>
        </w:rPr>
      </w:pPr>
    </w:p>
    <w:p w14:paraId="4272456B" w14:textId="77777777" w:rsidR="006B3A77" w:rsidRPr="00E47702" w:rsidRDefault="006B3A77" w:rsidP="006B3A77">
      <w:pPr>
        <w:spacing w:line="360" w:lineRule="auto"/>
        <w:rPr>
          <w:rFonts w:cs="Arial"/>
          <w:color w:val="000000" w:themeColor="text1"/>
          <w:sz w:val="18"/>
          <w:szCs w:val="18"/>
        </w:rPr>
      </w:pPr>
    </w:p>
    <w:sectPr w:rsidR="006B3A77" w:rsidRPr="00E47702" w:rsidSect="00A8429E">
      <w:footerReference w:type="even" r:id="rId80"/>
      <w:footerReference w:type="default" r:id="rId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AD87A" w14:textId="77777777" w:rsidR="003A1DEE" w:rsidRDefault="003A1DEE" w:rsidP="00A8429E">
      <w:r>
        <w:separator/>
      </w:r>
    </w:p>
  </w:endnote>
  <w:endnote w:type="continuationSeparator" w:id="0">
    <w:p w14:paraId="5167ECA6" w14:textId="77777777" w:rsidR="003A1DEE" w:rsidRDefault="003A1DEE" w:rsidP="00A84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5215601"/>
      <w:docPartObj>
        <w:docPartGallery w:val="Page Numbers (Bottom of Page)"/>
        <w:docPartUnique/>
      </w:docPartObj>
    </w:sdtPr>
    <w:sdtEndPr>
      <w:rPr>
        <w:rStyle w:val="PageNumber"/>
      </w:rPr>
    </w:sdtEndPr>
    <w:sdtContent>
      <w:p w14:paraId="31D411C7" w14:textId="2CC16F31" w:rsidR="00A8429E" w:rsidRDefault="00A8429E" w:rsidP="006F38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43A9C1" w14:textId="77777777" w:rsidR="00A8429E" w:rsidRDefault="00A842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0570047"/>
      <w:docPartObj>
        <w:docPartGallery w:val="Page Numbers (Bottom of Page)"/>
        <w:docPartUnique/>
      </w:docPartObj>
    </w:sdtPr>
    <w:sdtEndPr>
      <w:rPr>
        <w:rStyle w:val="PageNumber"/>
      </w:rPr>
    </w:sdtEndPr>
    <w:sdtContent>
      <w:p w14:paraId="73060955" w14:textId="74C8296B" w:rsidR="00A8429E" w:rsidRDefault="00A8429E" w:rsidP="006F38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F9462E" w14:textId="77777777" w:rsidR="00A8429E" w:rsidRDefault="00A84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DBA2E" w14:textId="77777777" w:rsidR="003A1DEE" w:rsidRDefault="003A1DEE" w:rsidP="00A8429E">
      <w:r>
        <w:separator/>
      </w:r>
    </w:p>
  </w:footnote>
  <w:footnote w:type="continuationSeparator" w:id="0">
    <w:p w14:paraId="68E72E84" w14:textId="77777777" w:rsidR="003A1DEE" w:rsidRDefault="003A1DEE" w:rsidP="00A842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667C"/>
    <w:multiLevelType w:val="multilevel"/>
    <w:tmpl w:val="E0A6B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FE56E7"/>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AE6416"/>
    <w:multiLevelType w:val="hybridMultilevel"/>
    <w:tmpl w:val="F3D8582C"/>
    <w:lvl w:ilvl="0" w:tplc="FFB2E3AA">
      <w:start w:val="1"/>
      <w:numFmt w:val="decimal"/>
      <w:lvlText w:val="%1."/>
      <w:lvlJc w:val="left"/>
      <w:pPr>
        <w:ind w:left="720" w:hanging="360"/>
      </w:pPr>
      <w:rPr>
        <w:rFonts w:ascii="Arial" w:eastAsiaTheme="maj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048E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7E4FC8"/>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CE56D0"/>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3373E9"/>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A351EE"/>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736731"/>
    <w:multiLevelType w:val="multilevel"/>
    <w:tmpl w:val="FBD241C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Symbol"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296C4F"/>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7F440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3605BC"/>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F3236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815776"/>
    <w:multiLevelType w:val="hybridMultilevel"/>
    <w:tmpl w:val="4224E41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C31167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013113"/>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3F2F7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BF0C1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69162E"/>
    <w:multiLevelType w:val="multilevel"/>
    <w:tmpl w:val="35B6D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8FB007F"/>
    <w:multiLevelType w:val="multilevel"/>
    <w:tmpl w:val="565EC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FDB5682"/>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8116600">
    <w:abstractNumId w:val="1"/>
  </w:num>
  <w:num w:numId="2" w16cid:durableId="1022703996">
    <w:abstractNumId w:val="5"/>
  </w:num>
  <w:num w:numId="3" w16cid:durableId="1987314236">
    <w:abstractNumId w:val="16"/>
  </w:num>
  <w:num w:numId="4" w16cid:durableId="1717507814">
    <w:abstractNumId w:val="18"/>
  </w:num>
  <w:num w:numId="5" w16cid:durableId="1415281833">
    <w:abstractNumId w:val="9"/>
  </w:num>
  <w:num w:numId="6" w16cid:durableId="1013997610">
    <w:abstractNumId w:val="10"/>
  </w:num>
  <w:num w:numId="7" w16cid:durableId="1780486755">
    <w:abstractNumId w:val="7"/>
  </w:num>
  <w:num w:numId="8" w16cid:durableId="534272603">
    <w:abstractNumId w:val="3"/>
  </w:num>
  <w:num w:numId="9" w16cid:durableId="513081377">
    <w:abstractNumId w:val="0"/>
  </w:num>
  <w:num w:numId="10" w16cid:durableId="790981073">
    <w:abstractNumId w:val="19"/>
  </w:num>
  <w:num w:numId="11" w16cid:durableId="186217442">
    <w:abstractNumId w:val="12"/>
  </w:num>
  <w:num w:numId="12" w16cid:durableId="2062095666">
    <w:abstractNumId w:val="17"/>
  </w:num>
  <w:num w:numId="13" w16cid:durableId="1169293333">
    <w:abstractNumId w:val="15"/>
  </w:num>
  <w:num w:numId="14" w16cid:durableId="1497916028">
    <w:abstractNumId w:val="11"/>
  </w:num>
  <w:num w:numId="15" w16cid:durableId="210388073">
    <w:abstractNumId w:val="20"/>
  </w:num>
  <w:num w:numId="16" w16cid:durableId="816993351">
    <w:abstractNumId w:val="6"/>
  </w:num>
  <w:num w:numId="17" w16cid:durableId="1413744401">
    <w:abstractNumId w:val="14"/>
  </w:num>
  <w:num w:numId="18" w16cid:durableId="1492065913">
    <w:abstractNumId w:val="4"/>
  </w:num>
  <w:num w:numId="19" w16cid:durableId="280692469">
    <w:abstractNumId w:val="13"/>
  </w:num>
  <w:num w:numId="20" w16cid:durableId="314184063">
    <w:abstractNumId w:val="2"/>
  </w:num>
  <w:num w:numId="21" w16cid:durableId="119425138">
    <w:abstractNumId w:val="8"/>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CF3"/>
    <w:rsid w:val="00001FDC"/>
    <w:rsid w:val="00007F2C"/>
    <w:rsid w:val="00027926"/>
    <w:rsid w:val="00043EFA"/>
    <w:rsid w:val="00054C50"/>
    <w:rsid w:val="00056795"/>
    <w:rsid w:val="000C2547"/>
    <w:rsid w:val="000F66E3"/>
    <w:rsid w:val="0010066B"/>
    <w:rsid w:val="00104BAA"/>
    <w:rsid w:val="00111E78"/>
    <w:rsid w:val="00124393"/>
    <w:rsid w:val="00134FE6"/>
    <w:rsid w:val="00143B06"/>
    <w:rsid w:val="00143F7C"/>
    <w:rsid w:val="00150E55"/>
    <w:rsid w:val="00152064"/>
    <w:rsid w:val="0016589C"/>
    <w:rsid w:val="00174771"/>
    <w:rsid w:val="00180193"/>
    <w:rsid w:val="0018245B"/>
    <w:rsid w:val="001960BD"/>
    <w:rsid w:val="00196CC7"/>
    <w:rsid w:val="001D1EB8"/>
    <w:rsid w:val="001D2E69"/>
    <w:rsid w:val="001E1D63"/>
    <w:rsid w:val="001E722F"/>
    <w:rsid w:val="001F503F"/>
    <w:rsid w:val="002214F2"/>
    <w:rsid w:val="0024488E"/>
    <w:rsid w:val="00264524"/>
    <w:rsid w:val="00275792"/>
    <w:rsid w:val="002A2470"/>
    <w:rsid w:val="002D4C10"/>
    <w:rsid w:val="002E34E8"/>
    <w:rsid w:val="002E57A6"/>
    <w:rsid w:val="002F6749"/>
    <w:rsid w:val="00303E61"/>
    <w:rsid w:val="00334658"/>
    <w:rsid w:val="00353708"/>
    <w:rsid w:val="0038306A"/>
    <w:rsid w:val="003A1DEE"/>
    <w:rsid w:val="003A6507"/>
    <w:rsid w:val="003C3E69"/>
    <w:rsid w:val="003D23D0"/>
    <w:rsid w:val="003F1243"/>
    <w:rsid w:val="00405A85"/>
    <w:rsid w:val="00406E7E"/>
    <w:rsid w:val="00433871"/>
    <w:rsid w:val="00470800"/>
    <w:rsid w:val="005173C3"/>
    <w:rsid w:val="00542793"/>
    <w:rsid w:val="00543333"/>
    <w:rsid w:val="005455BB"/>
    <w:rsid w:val="00567C94"/>
    <w:rsid w:val="00576D09"/>
    <w:rsid w:val="005851B9"/>
    <w:rsid w:val="00592C19"/>
    <w:rsid w:val="005A439E"/>
    <w:rsid w:val="005B1FE1"/>
    <w:rsid w:val="005C3947"/>
    <w:rsid w:val="005C5ACD"/>
    <w:rsid w:val="005D4542"/>
    <w:rsid w:val="005F7216"/>
    <w:rsid w:val="006009CD"/>
    <w:rsid w:val="006054A4"/>
    <w:rsid w:val="00626853"/>
    <w:rsid w:val="006453A3"/>
    <w:rsid w:val="00656CF3"/>
    <w:rsid w:val="00677A5C"/>
    <w:rsid w:val="006B3A77"/>
    <w:rsid w:val="006C0B1F"/>
    <w:rsid w:val="006E01D1"/>
    <w:rsid w:val="00710671"/>
    <w:rsid w:val="00743F38"/>
    <w:rsid w:val="00761CA2"/>
    <w:rsid w:val="00764F83"/>
    <w:rsid w:val="007701CF"/>
    <w:rsid w:val="00772E44"/>
    <w:rsid w:val="00777A2B"/>
    <w:rsid w:val="007963F8"/>
    <w:rsid w:val="00797FF3"/>
    <w:rsid w:val="00833777"/>
    <w:rsid w:val="00842145"/>
    <w:rsid w:val="008515C6"/>
    <w:rsid w:val="00862B64"/>
    <w:rsid w:val="00871A60"/>
    <w:rsid w:val="008B3B6B"/>
    <w:rsid w:val="008C3C82"/>
    <w:rsid w:val="008D16E1"/>
    <w:rsid w:val="008D2244"/>
    <w:rsid w:val="008D3834"/>
    <w:rsid w:val="008F377F"/>
    <w:rsid w:val="00901E26"/>
    <w:rsid w:val="00925ECC"/>
    <w:rsid w:val="009276ED"/>
    <w:rsid w:val="0092772B"/>
    <w:rsid w:val="00935115"/>
    <w:rsid w:val="00937805"/>
    <w:rsid w:val="009502FE"/>
    <w:rsid w:val="00986C2E"/>
    <w:rsid w:val="00992AC5"/>
    <w:rsid w:val="009D1E3F"/>
    <w:rsid w:val="009D38F6"/>
    <w:rsid w:val="009D6F64"/>
    <w:rsid w:val="009E0454"/>
    <w:rsid w:val="009E7603"/>
    <w:rsid w:val="009F04AA"/>
    <w:rsid w:val="00A06DCA"/>
    <w:rsid w:val="00A10AEB"/>
    <w:rsid w:val="00A8429E"/>
    <w:rsid w:val="00A9025C"/>
    <w:rsid w:val="00A91181"/>
    <w:rsid w:val="00A96FF3"/>
    <w:rsid w:val="00B172D9"/>
    <w:rsid w:val="00B404EE"/>
    <w:rsid w:val="00B56FE2"/>
    <w:rsid w:val="00B738A5"/>
    <w:rsid w:val="00B80FF6"/>
    <w:rsid w:val="00BA29F2"/>
    <w:rsid w:val="00BA4FAC"/>
    <w:rsid w:val="00BF3042"/>
    <w:rsid w:val="00BF4A2F"/>
    <w:rsid w:val="00BF7D36"/>
    <w:rsid w:val="00C01ACC"/>
    <w:rsid w:val="00C05A93"/>
    <w:rsid w:val="00C1113F"/>
    <w:rsid w:val="00C1360C"/>
    <w:rsid w:val="00C23B21"/>
    <w:rsid w:val="00C51004"/>
    <w:rsid w:val="00C61C6E"/>
    <w:rsid w:val="00CA4A67"/>
    <w:rsid w:val="00CB505B"/>
    <w:rsid w:val="00CD0187"/>
    <w:rsid w:val="00D65B71"/>
    <w:rsid w:val="00DE402C"/>
    <w:rsid w:val="00E016C3"/>
    <w:rsid w:val="00E01F56"/>
    <w:rsid w:val="00E23F64"/>
    <w:rsid w:val="00E42F37"/>
    <w:rsid w:val="00E47702"/>
    <w:rsid w:val="00E704DE"/>
    <w:rsid w:val="00E75ACC"/>
    <w:rsid w:val="00E77C2B"/>
    <w:rsid w:val="00E93FB4"/>
    <w:rsid w:val="00EB40A3"/>
    <w:rsid w:val="00EB5D6A"/>
    <w:rsid w:val="00EE5BE9"/>
    <w:rsid w:val="00F01DA4"/>
    <w:rsid w:val="00F14487"/>
    <w:rsid w:val="00F15F0C"/>
    <w:rsid w:val="00F2521F"/>
    <w:rsid w:val="00F31AEC"/>
    <w:rsid w:val="00F425BC"/>
    <w:rsid w:val="00F54E1E"/>
    <w:rsid w:val="00F8405F"/>
    <w:rsid w:val="00F87C0C"/>
    <w:rsid w:val="00F95349"/>
    <w:rsid w:val="00F97DAF"/>
    <w:rsid w:val="00FC662E"/>
    <w:rsid w:val="00FD1A96"/>
    <w:rsid w:val="00FD1D25"/>
    <w:rsid w:val="00FE218B"/>
    <w:rsid w:val="00FE7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F877"/>
  <w15:chartTrackingRefBased/>
  <w15:docId w15:val="{27E00020-A24A-AB4B-9D80-A36D652AE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B1F"/>
    <w:rPr>
      <w:rFonts w:ascii="Arial" w:eastAsia="Times New Roman" w:hAnsi="Arial" w:cs="Times New Roman"/>
      <w:sz w:val="22"/>
      <w:lang w:eastAsia="en-GB"/>
    </w:rPr>
  </w:style>
  <w:style w:type="paragraph" w:styleId="Heading1">
    <w:name w:val="heading 1"/>
    <w:basedOn w:val="Normal"/>
    <w:link w:val="Heading1Char"/>
    <w:uiPriority w:val="9"/>
    <w:qFormat/>
    <w:rsid w:val="00BF3042"/>
    <w:pPr>
      <w:spacing w:before="100" w:beforeAutospacing="1" w:after="100" w:afterAutospacing="1"/>
      <w:outlineLvl w:val="0"/>
    </w:pPr>
    <w:rPr>
      <w:b/>
      <w:bCs/>
      <w:kern w:val="36"/>
      <w:szCs w:val="48"/>
    </w:rPr>
  </w:style>
  <w:style w:type="paragraph" w:styleId="Heading2">
    <w:name w:val="heading 2"/>
    <w:basedOn w:val="Normal"/>
    <w:link w:val="Heading2Char"/>
    <w:uiPriority w:val="9"/>
    <w:qFormat/>
    <w:rsid w:val="00C01ACC"/>
    <w:pPr>
      <w:spacing w:before="100" w:beforeAutospacing="1" w:after="100" w:afterAutospacing="1"/>
      <w:outlineLvl w:val="1"/>
    </w:pPr>
    <w:rPr>
      <w:bCs/>
      <w:szCs w:val="36"/>
    </w:rPr>
  </w:style>
  <w:style w:type="paragraph" w:styleId="Heading3">
    <w:name w:val="heading 3"/>
    <w:basedOn w:val="Normal"/>
    <w:link w:val="Heading3Char"/>
    <w:uiPriority w:val="9"/>
    <w:qFormat/>
    <w:rsid w:val="00656CF3"/>
    <w:pPr>
      <w:spacing w:before="100" w:beforeAutospacing="1" w:after="100" w:afterAutospacing="1"/>
      <w:outlineLvl w:val="2"/>
    </w:pPr>
    <w:rPr>
      <w:rFonts w:ascii="Times New Roman" w:hAnsi="Times New Roman"/>
      <w:b/>
      <w:bCs/>
      <w:sz w:val="27"/>
      <w:szCs w:val="27"/>
    </w:rPr>
  </w:style>
  <w:style w:type="paragraph" w:styleId="Heading4">
    <w:name w:val="heading 4"/>
    <w:basedOn w:val="Normal"/>
    <w:next w:val="Normal"/>
    <w:link w:val="Heading4Char"/>
    <w:uiPriority w:val="9"/>
    <w:semiHidden/>
    <w:unhideWhenUsed/>
    <w:qFormat/>
    <w:rsid w:val="001D2E6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042"/>
    <w:rPr>
      <w:rFonts w:ascii="Arial" w:eastAsia="Times New Roman" w:hAnsi="Arial" w:cs="Times New Roman"/>
      <w:b/>
      <w:bCs/>
      <w:kern w:val="36"/>
      <w:sz w:val="22"/>
      <w:szCs w:val="48"/>
      <w:lang w:eastAsia="en-GB"/>
    </w:rPr>
  </w:style>
  <w:style w:type="character" w:customStyle="1" w:styleId="Heading2Char">
    <w:name w:val="Heading 2 Char"/>
    <w:basedOn w:val="DefaultParagraphFont"/>
    <w:link w:val="Heading2"/>
    <w:uiPriority w:val="9"/>
    <w:rsid w:val="00C01ACC"/>
    <w:rPr>
      <w:rFonts w:ascii="Arial" w:eastAsia="Times New Roman" w:hAnsi="Arial" w:cs="Times New Roman"/>
      <w:bCs/>
      <w:sz w:val="22"/>
      <w:szCs w:val="36"/>
      <w:lang w:eastAsia="en-GB"/>
    </w:rPr>
  </w:style>
  <w:style w:type="character" w:customStyle="1" w:styleId="Heading3Char">
    <w:name w:val="Heading 3 Char"/>
    <w:basedOn w:val="DefaultParagraphFont"/>
    <w:link w:val="Heading3"/>
    <w:uiPriority w:val="9"/>
    <w:rsid w:val="00656CF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56CF3"/>
    <w:pPr>
      <w:spacing w:before="100" w:beforeAutospacing="1" w:after="100" w:afterAutospacing="1"/>
    </w:pPr>
    <w:rPr>
      <w:rFonts w:ascii="Times New Roman" w:hAnsi="Times New Roman"/>
    </w:rPr>
  </w:style>
  <w:style w:type="character" w:customStyle="1" w:styleId="apple-converted-space">
    <w:name w:val="apple-converted-space"/>
    <w:basedOn w:val="DefaultParagraphFont"/>
    <w:rsid w:val="00656CF3"/>
  </w:style>
  <w:style w:type="character" w:styleId="Strong">
    <w:name w:val="Strong"/>
    <w:basedOn w:val="DefaultParagraphFont"/>
    <w:uiPriority w:val="22"/>
    <w:qFormat/>
    <w:rsid w:val="00656CF3"/>
    <w:rPr>
      <w:b/>
      <w:bCs/>
    </w:rPr>
  </w:style>
  <w:style w:type="character" w:styleId="Emphasis">
    <w:name w:val="Emphasis"/>
    <w:basedOn w:val="DefaultParagraphFont"/>
    <w:uiPriority w:val="20"/>
    <w:qFormat/>
    <w:rsid w:val="00656CF3"/>
    <w:rPr>
      <w:i/>
      <w:iCs/>
    </w:rPr>
  </w:style>
  <w:style w:type="character" w:styleId="Hyperlink">
    <w:name w:val="Hyperlink"/>
    <w:basedOn w:val="DefaultParagraphFont"/>
    <w:uiPriority w:val="99"/>
    <w:unhideWhenUsed/>
    <w:rsid w:val="00656CF3"/>
    <w:rPr>
      <w:color w:val="0000FF"/>
      <w:u w:val="single"/>
    </w:rPr>
  </w:style>
  <w:style w:type="table" w:styleId="TableGrid">
    <w:name w:val="Table Grid"/>
    <w:basedOn w:val="TableNormal"/>
    <w:uiPriority w:val="59"/>
    <w:rsid w:val="00104B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D2E69"/>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54279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cvgsua">
    <w:name w:val="cvgsua"/>
    <w:basedOn w:val="Normal"/>
    <w:rsid w:val="00C1113F"/>
    <w:pPr>
      <w:spacing w:before="100" w:beforeAutospacing="1" w:after="100" w:afterAutospacing="1"/>
    </w:pPr>
  </w:style>
  <w:style w:type="character" w:customStyle="1" w:styleId="agcmg">
    <w:name w:val="a_gcmg"/>
    <w:basedOn w:val="DefaultParagraphFont"/>
    <w:rsid w:val="00C1113F"/>
  </w:style>
  <w:style w:type="paragraph" w:styleId="NoSpacing">
    <w:name w:val="No Spacing"/>
    <w:link w:val="NoSpacingChar"/>
    <w:uiPriority w:val="1"/>
    <w:qFormat/>
    <w:rsid w:val="00A8429E"/>
    <w:rPr>
      <w:rFonts w:eastAsiaTheme="minorEastAsia"/>
      <w:sz w:val="22"/>
      <w:szCs w:val="22"/>
      <w:lang w:val="en-US" w:eastAsia="zh-CN"/>
    </w:rPr>
  </w:style>
  <w:style w:type="character" w:customStyle="1" w:styleId="NoSpacingChar">
    <w:name w:val="No Spacing Char"/>
    <w:basedOn w:val="DefaultParagraphFont"/>
    <w:link w:val="NoSpacing"/>
    <w:uiPriority w:val="1"/>
    <w:rsid w:val="00A8429E"/>
    <w:rPr>
      <w:rFonts w:eastAsiaTheme="minorEastAsia"/>
      <w:sz w:val="22"/>
      <w:szCs w:val="22"/>
      <w:lang w:val="en-US" w:eastAsia="zh-CN"/>
    </w:rPr>
  </w:style>
  <w:style w:type="paragraph" w:styleId="Footer">
    <w:name w:val="footer"/>
    <w:basedOn w:val="Normal"/>
    <w:link w:val="FooterChar"/>
    <w:uiPriority w:val="99"/>
    <w:unhideWhenUsed/>
    <w:rsid w:val="00A8429E"/>
    <w:pPr>
      <w:tabs>
        <w:tab w:val="center" w:pos="4513"/>
        <w:tab w:val="right" w:pos="9026"/>
      </w:tabs>
    </w:pPr>
  </w:style>
  <w:style w:type="character" w:customStyle="1" w:styleId="FooterChar">
    <w:name w:val="Footer Char"/>
    <w:basedOn w:val="DefaultParagraphFont"/>
    <w:link w:val="Footer"/>
    <w:uiPriority w:val="99"/>
    <w:rsid w:val="00A8429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8429E"/>
  </w:style>
  <w:style w:type="paragraph" w:customStyle="1" w:styleId="p1">
    <w:name w:val="p1"/>
    <w:basedOn w:val="Normal"/>
    <w:rsid w:val="00BF3042"/>
    <w:rPr>
      <w:rFonts w:ascii="Helvetica" w:hAnsi="Helvetica"/>
      <w:color w:val="000000"/>
      <w:sz w:val="23"/>
      <w:szCs w:val="23"/>
    </w:rPr>
  </w:style>
  <w:style w:type="paragraph" w:styleId="TOCHeading">
    <w:name w:val="TOC Heading"/>
    <w:basedOn w:val="Heading1"/>
    <w:next w:val="Normal"/>
    <w:uiPriority w:val="39"/>
    <w:unhideWhenUsed/>
    <w:qFormat/>
    <w:rsid w:val="00BF3042"/>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F3042"/>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BF3042"/>
    <w:pPr>
      <w:ind w:left="220"/>
    </w:pPr>
    <w:rPr>
      <w:rFonts w:asciiTheme="minorHAnsi" w:hAnsiTheme="minorHAnsi" w:cstheme="minorHAnsi"/>
      <w:smallCaps/>
      <w:sz w:val="20"/>
      <w:szCs w:val="20"/>
    </w:rPr>
  </w:style>
  <w:style w:type="paragraph" w:styleId="TOC3">
    <w:name w:val="toc 3"/>
    <w:basedOn w:val="Normal"/>
    <w:next w:val="Normal"/>
    <w:autoRedefine/>
    <w:uiPriority w:val="39"/>
    <w:unhideWhenUsed/>
    <w:rsid w:val="00BF3042"/>
    <w:pPr>
      <w:ind w:left="440"/>
    </w:pPr>
    <w:rPr>
      <w:rFonts w:asciiTheme="minorHAnsi" w:hAnsiTheme="minorHAnsi" w:cstheme="minorHAnsi"/>
      <w:i/>
      <w:iCs/>
      <w:sz w:val="20"/>
      <w:szCs w:val="20"/>
    </w:rPr>
  </w:style>
  <w:style w:type="paragraph" w:styleId="TOC4">
    <w:name w:val="toc 4"/>
    <w:basedOn w:val="Normal"/>
    <w:next w:val="Normal"/>
    <w:autoRedefine/>
    <w:uiPriority w:val="39"/>
    <w:unhideWhenUsed/>
    <w:rsid w:val="00BF3042"/>
    <w:pPr>
      <w:ind w:left="660"/>
    </w:pPr>
    <w:rPr>
      <w:rFonts w:asciiTheme="minorHAnsi" w:hAnsiTheme="minorHAnsi" w:cstheme="minorHAnsi"/>
      <w:sz w:val="18"/>
      <w:szCs w:val="18"/>
    </w:rPr>
  </w:style>
  <w:style w:type="paragraph" w:styleId="TOC5">
    <w:name w:val="toc 5"/>
    <w:basedOn w:val="Normal"/>
    <w:next w:val="Normal"/>
    <w:autoRedefine/>
    <w:uiPriority w:val="39"/>
    <w:unhideWhenUsed/>
    <w:rsid w:val="00BF3042"/>
    <w:pPr>
      <w:ind w:left="880"/>
    </w:pPr>
    <w:rPr>
      <w:rFonts w:asciiTheme="minorHAnsi" w:hAnsiTheme="minorHAnsi" w:cstheme="minorHAnsi"/>
      <w:sz w:val="18"/>
      <w:szCs w:val="18"/>
    </w:rPr>
  </w:style>
  <w:style w:type="paragraph" w:styleId="TOC6">
    <w:name w:val="toc 6"/>
    <w:basedOn w:val="Normal"/>
    <w:next w:val="Normal"/>
    <w:autoRedefine/>
    <w:uiPriority w:val="39"/>
    <w:unhideWhenUsed/>
    <w:rsid w:val="00BF3042"/>
    <w:pPr>
      <w:ind w:left="1100"/>
    </w:pPr>
    <w:rPr>
      <w:rFonts w:asciiTheme="minorHAnsi" w:hAnsiTheme="minorHAnsi" w:cstheme="minorHAnsi"/>
      <w:sz w:val="18"/>
      <w:szCs w:val="18"/>
    </w:rPr>
  </w:style>
  <w:style w:type="paragraph" w:styleId="TOC7">
    <w:name w:val="toc 7"/>
    <w:basedOn w:val="Normal"/>
    <w:next w:val="Normal"/>
    <w:autoRedefine/>
    <w:uiPriority w:val="39"/>
    <w:unhideWhenUsed/>
    <w:rsid w:val="00BF3042"/>
    <w:pPr>
      <w:ind w:left="1320"/>
    </w:pPr>
    <w:rPr>
      <w:rFonts w:asciiTheme="minorHAnsi" w:hAnsiTheme="minorHAnsi" w:cstheme="minorHAnsi"/>
      <w:sz w:val="18"/>
      <w:szCs w:val="18"/>
    </w:rPr>
  </w:style>
  <w:style w:type="paragraph" w:styleId="TOC8">
    <w:name w:val="toc 8"/>
    <w:basedOn w:val="Normal"/>
    <w:next w:val="Normal"/>
    <w:autoRedefine/>
    <w:uiPriority w:val="39"/>
    <w:unhideWhenUsed/>
    <w:rsid w:val="00BF3042"/>
    <w:pPr>
      <w:ind w:left="1540"/>
    </w:pPr>
    <w:rPr>
      <w:rFonts w:asciiTheme="minorHAnsi" w:hAnsiTheme="minorHAnsi" w:cstheme="minorHAnsi"/>
      <w:sz w:val="18"/>
      <w:szCs w:val="18"/>
    </w:rPr>
  </w:style>
  <w:style w:type="paragraph" w:styleId="TOC9">
    <w:name w:val="toc 9"/>
    <w:basedOn w:val="Normal"/>
    <w:next w:val="Normal"/>
    <w:autoRedefine/>
    <w:uiPriority w:val="39"/>
    <w:unhideWhenUsed/>
    <w:rsid w:val="00BF3042"/>
    <w:pPr>
      <w:ind w:left="1760"/>
    </w:pPr>
    <w:rPr>
      <w:rFonts w:asciiTheme="minorHAnsi" w:hAnsiTheme="minorHAnsi" w:cstheme="minorHAnsi"/>
      <w:sz w:val="18"/>
      <w:szCs w:val="18"/>
    </w:rPr>
  </w:style>
  <w:style w:type="character" w:styleId="UnresolvedMention">
    <w:name w:val="Unresolved Mention"/>
    <w:basedOn w:val="DefaultParagraphFont"/>
    <w:uiPriority w:val="99"/>
    <w:semiHidden/>
    <w:unhideWhenUsed/>
    <w:rsid w:val="00BF3042"/>
    <w:rPr>
      <w:color w:val="605E5C"/>
      <w:shd w:val="clear" w:color="auto" w:fill="E1DFDD"/>
    </w:rPr>
  </w:style>
  <w:style w:type="paragraph" w:styleId="Header">
    <w:name w:val="header"/>
    <w:basedOn w:val="Normal"/>
    <w:link w:val="HeaderChar"/>
    <w:uiPriority w:val="99"/>
    <w:unhideWhenUsed/>
    <w:rsid w:val="00BF3042"/>
    <w:pPr>
      <w:tabs>
        <w:tab w:val="center" w:pos="4513"/>
        <w:tab w:val="right" w:pos="9026"/>
      </w:tabs>
    </w:pPr>
  </w:style>
  <w:style w:type="character" w:customStyle="1" w:styleId="HeaderChar">
    <w:name w:val="Header Char"/>
    <w:basedOn w:val="DefaultParagraphFont"/>
    <w:link w:val="Header"/>
    <w:uiPriority w:val="99"/>
    <w:rsid w:val="00BF3042"/>
    <w:rPr>
      <w:rFonts w:ascii="Times New Roman" w:eastAsia="Times New Roman" w:hAnsi="Times New Roman" w:cs="Times New Roman"/>
      <w:lang w:eastAsia="en-GB"/>
    </w:rPr>
  </w:style>
  <w:style w:type="paragraph" w:styleId="ListParagraph">
    <w:name w:val="List Paragraph"/>
    <w:basedOn w:val="Normal"/>
    <w:uiPriority w:val="34"/>
    <w:qFormat/>
    <w:rsid w:val="00EE5BE9"/>
    <w:pPr>
      <w:ind w:left="720"/>
      <w:contextualSpacing/>
    </w:pPr>
  </w:style>
  <w:style w:type="character" w:styleId="FollowedHyperlink">
    <w:name w:val="FollowedHyperlink"/>
    <w:basedOn w:val="DefaultParagraphFont"/>
    <w:uiPriority w:val="99"/>
    <w:semiHidden/>
    <w:unhideWhenUsed/>
    <w:rsid w:val="008F377F"/>
    <w:rPr>
      <w:color w:val="954F72" w:themeColor="followedHyperlink"/>
      <w:u w:val="single"/>
    </w:rPr>
  </w:style>
  <w:style w:type="table" w:styleId="GridTable1Light-Accent1">
    <w:name w:val="Grid Table 1 Light Accent 1"/>
    <w:basedOn w:val="TableNormal"/>
    <w:uiPriority w:val="46"/>
    <w:rsid w:val="00986C2E"/>
    <w:rPr>
      <w:rFonts w:eastAsiaTheme="minorEastAsia"/>
      <w:sz w:val="22"/>
      <w:szCs w:val="22"/>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8150">
      <w:bodyDiv w:val="1"/>
      <w:marLeft w:val="0"/>
      <w:marRight w:val="0"/>
      <w:marTop w:val="0"/>
      <w:marBottom w:val="0"/>
      <w:divBdr>
        <w:top w:val="none" w:sz="0" w:space="0" w:color="auto"/>
        <w:left w:val="none" w:sz="0" w:space="0" w:color="auto"/>
        <w:bottom w:val="none" w:sz="0" w:space="0" w:color="auto"/>
        <w:right w:val="none" w:sz="0" w:space="0" w:color="auto"/>
      </w:divBdr>
    </w:div>
    <w:div w:id="19281712">
      <w:bodyDiv w:val="1"/>
      <w:marLeft w:val="0"/>
      <w:marRight w:val="0"/>
      <w:marTop w:val="0"/>
      <w:marBottom w:val="0"/>
      <w:divBdr>
        <w:top w:val="none" w:sz="0" w:space="0" w:color="auto"/>
        <w:left w:val="none" w:sz="0" w:space="0" w:color="auto"/>
        <w:bottom w:val="none" w:sz="0" w:space="0" w:color="auto"/>
        <w:right w:val="none" w:sz="0" w:space="0" w:color="auto"/>
      </w:divBdr>
    </w:div>
    <w:div w:id="28654353">
      <w:bodyDiv w:val="1"/>
      <w:marLeft w:val="0"/>
      <w:marRight w:val="0"/>
      <w:marTop w:val="0"/>
      <w:marBottom w:val="0"/>
      <w:divBdr>
        <w:top w:val="none" w:sz="0" w:space="0" w:color="auto"/>
        <w:left w:val="none" w:sz="0" w:space="0" w:color="auto"/>
        <w:bottom w:val="none" w:sz="0" w:space="0" w:color="auto"/>
        <w:right w:val="none" w:sz="0" w:space="0" w:color="auto"/>
      </w:divBdr>
    </w:div>
    <w:div w:id="33235206">
      <w:bodyDiv w:val="1"/>
      <w:marLeft w:val="0"/>
      <w:marRight w:val="0"/>
      <w:marTop w:val="0"/>
      <w:marBottom w:val="0"/>
      <w:divBdr>
        <w:top w:val="none" w:sz="0" w:space="0" w:color="auto"/>
        <w:left w:val="none" w:sz="0" w:space="0" w:color="auto"/>
        <w:bottom w:val="none" w:sz="0" w:space="0" w:color="auto"/>
        <w:right w:val="none" w:sz="0" w:space="0" w:color="auto"/>
      </w:divBdr>
    </w:div>
    <w:div w:id="37513521">
      <w:bodyDiv w:val="1"/>
      <w:marLeft w:val="0"/>
      <w:marRight w:val="0"/>
      <w:marTop w:val="0"/>
      <w:marBottom w:val="0"/>
      <w:divBdr>
        <w:top w:val="none" w:sz="0" w:space="0" w:color="auto"/>
        <w:left w:val="none" w:sz="0" w:space="0" w:color="auto"/>
        <w:bottom w:val="none" w:sz="0" w:space="0" w:color="auto"/>
        <w:right w:val="none" w:sz="0" w:space="0" w:color="auto"/>
      </w:divBdr>
    </w:div>
    <w:div w:id="42872560">
      <w:bodyDiv w:val="1"/>
      <w:marLeft w:val="0"/>
      <w:marRight w:val="0"/>
      <w:marTop w:val="0"/>
      <w:marBottom w:val="0"/>
      <w:divBdr>
        <w:top w:val="none" w:sz="0" w:space="0" w:color="auto"/>
        <w:left w:val="none" w:sz="0" w:space="0" w:color="auto"/>
        <w:bottom w:val="none" w:sz="0" w:space="0" w:color="auto"/>
        <w:right w:val="none" w:sz="0" w:space="0" w:color="auto"/>
      </w:divBdr>
    </w:div>
    <w:div w:id="67383206">
      <w:bodyDiv w:val="1"/>
      <w:marLeft w:val="0"/>
      <w:marRight w:val="0"/>
      <w:marTop w:val="0"/>
      <w:marBottom w:val="0"/>
      <w:divBdr>
        <w:top w:val="none" w:sz="0" w:space="0" w:color="auto"/>
        <w:left w:val="none" w:sz="0" w:space="0" w:color="auto"/>
        <w:bottom w:val="none" w:sz="0" w:space="0" w:color="auto"/>
        <w:right w:val="none" w:sz="0" w:space="0" w:color="auto"/>
      </w:divBdr>
    </w:div>
    <w:div w:id="78408580">
      <w:bodyDiv w:val="1"/>
      <w:marLeft w:val="0"/>
      <w:marRight w:val="0"/>
      <w:marTop w:val="0"/>
      <w:marBottom w:val="0"/>
      <w:divBdr>
        <w:top w:val="none" w:sz="0" w:space="0" w:color="auto"/>
        <w:left w:val="none" w:sz="0" w:space="0" w:color="auto"/>
        <w:bottom w:val="none" w:sz="0" w:space="0" w:color="auto"/>
        <w:right w:val="none" w:sz="0" w:space="0" w:color="auto"/>
      </w:divBdr>
    </w:div>
    <w:div w:id="141973465">
      <w:bodyDiv w:val="1"/>
      <w:marLeft w:val="0"/>
      <w:marRight w:val="0"/>
      <w:marTop w:val="0"/>
      <w:marBottom w:val="0"/>
      <w:divBdr>
        <w:top w:val="none" w:sz="0" w:space="0" w:color="auto"/>
        <w:left w:val="none" w:sz="0" w:space="0" w:color="auto"/>
        <w:bottom w:val="none" w:sz="0" w:space="0" w:color="auto"/>
        <w:right w:val="none" w:sz="0" w:space="0" w:color="auto"/>
      </w:divBdr>
    </w:div>
    <w:div w:id="146940725">
      <w:bodyDiv w:val="1"/>
      <w:marLeft w:val="0"/>
      <w:marRight w:val="0"/>
      <w:marTop w:val="0"/>
      <w:marBottom w:val="0"/>
      <w:divBdr>
        <w:top w:val="none" w:sz="0" w:space="0" w:color="auto"/>
        <w:left w:val="none" w:sz="0" w:space="0" w:color="auto"/>
        <w:bottom w:val="none" w:sz="0" w:space="0" w:color="auto"/>
        <w:right w:val="none" w:sz="0" w:space="0" w:color="auto"/>
      </w:divBdr>
    </w:div>
    <w:div w:id="167208661">
      <w:bodyDiv w:val="1"/>
      <w:marLeft w:val="0"/>
      <w:marRight w:val="0"/>
      <w:marTop w:val="0"/>
      <w:marBottom w:val="0"/>
      <w:divBdr>
        <w:top w:val="none" w:sz="0" w:space="0" w:color="auto"/>
        <w:left w:val="none" w:sz="0" w:space="0" w:color="auto"/>
        <w:bottom w:val="none" w:sz="0" w:space="0" w:color="auto"/>
        <w:right w:val="none" w:sz="0" w:space="0" w:color="auto"/>
      </w:divBdr>
    </w:div>
    <w:div w:id="171915016">
      <w:bodyDiv w:val="1"/>
      <w:marLeft w:val="0"/>
      <w:marRight w:val="0"/>
      <w:marTop w:val="0"/>
      <w:marBottom w:val="0"/>
      <w:divBdr>
        <w:top w:val="none" w:sz="0" w:space="0" w:color="auto"/>
        <w:left w:val="none" w:sz="0" w:space="0" w:color="auto"/>
        <w:bottom w:val="none" w:sz="0" w:space="0" w:color="auto"/>
        <w:right w:val="none" w:sz="0" w:space="0" w:color="auto"/>
      </w:divBdr>
      <w:divsChild>
        <w:div w:id="144053603">
          <w:marLeft w:val="0"/>
          <w:marRight w:val="0"/>
          <w:marTop w:val="0"/>
          <w:marBottom w:val="0"/>
          <w:divBdr>
            <w:top w:val="none" w:sz="0" w:space="0" w:color="auto"/>
            <w:left w:val="none" w:sz="0" w:space="0" w:color="auto"/>
            <w:bottom w:val="none" w:sz="0" w:space="0" w:color="auto"/>
            <w:right w:val="none" w:sz="0" w:space="0" w:color="auto"/>
          </w:divBdr>
        </w:div>
      </w:divsChild>
    </w:div>
    <w:div w:id="186063702">
      <w:bodyDiv w:val="1"/>
      <w:marLeft w:val="0"/>
      <w:marRight w:val="0"/>
      <w:marTop w:val="0"/>
      <w:marBottom w:val="0"/>
      <w:divBdr>
        <w:top w:val="none" w:sz="0" w:space="0" w:color="auto"/>
        <w:left w:val="none" w:sz="0" w:space="0" w:color="auto"/>
        <w:bottom w:val="none" w:sz="0" w:space="0" w:color="auto"/>
        <w:right w:val="none" w:sz="0" w:space="0" w:color="auto"/>
      </w:divBdr>
    </w:div>
    <w:div w:id="198251522">
      <w:bodyDiv w:val="1"/>
      <w:marLeft w:val="0"/>
      <w:marRight w:val="0"/>
      <w:marTop w:val="0"/>
      <w:marBottom w:val="0"/>
      <w:divBdr>
        <w:top w:val="none" w:sz="0" w:space="0" w:color="auto"/>
        <w:left w:val="none" w:sz="0" w:space="0" w:color="auto"/>
        <w:bottom w:val="none" w:sz="0" w:space="0" w:color="auto"/>
        <w:right w:val="none" w:sz="0" w:space="0" w:color="auto"/>
      </w:divBdr>
    </w:div>
    <w:div w:id="216165282">
      <w:bodyDiv w:val="1"/>
      <w:marLeft w:val="0"/>
      <w:marRight w:val="0"/>
      <w:marTop w:val="0"/>
      <w:marBottom w:val="0"/>
      <w:divBdr>
        <w:top w:val="none" w:sz="0" w:space="0" w:color="auto"/>
        <w:left w:val="none" w:sz="0" w:space="0" w:color="auto"/>
        <w:bottom w:val="none" w:sz="0" w:space="0" w:color="auto"/>
        <w:right w:val="none" w:sz="0" w:space="0" w:color="auto"/>
      </w:divBdr>
    </w:div>
    <w:div w:id="250286900">
      <w:bodyDiv w:val="1"/>
      <w:marLeft w:val="0"/>
      <w:marRight w:val="0"/>
      <w:marTop w:val="0"/>
      <w:marBottom w:val="0"/>
      <w:divBdr>
        <w:top w:val="none" w:sz="0" w:space="0" w:color="auto"/>
        <w:left w:val="none" w:sz="0" w:space="0" w:color="auto"/>
        <w:bottom w:val="none" w:sz="0" w:space="0" w:color="auto"/>
        <w:right w:val="none" w:sz="0" w:space="0" w:color="auto"/>
      </w:divBdr>
      <w:divsChild>
        <w:div w:id="580481059">
          <w:marLeft w:val="0"/>
          <w:marRight w:val="0"/>
          <w:marTop w:val="0"/>
          <w:marBottom w:val="0"/>
          <w:divBdr>
            <w:top w:val="none" w:sz="0" w:space="0" w:color="auto"/>
            <w:left w:val="none" w:sz="0" w:space="0" w:color="auto"/>
            <w:bottom w:val="none" w:sz="0" w:space="0" w:color="auto"/>
            <w:right w:val="none" w:sz="0" w:space="0" w:color="auto"/>
          </w:divBdr>
        </w:div>
      </w:divsChild>
    </w:div>
    <w:div w:id="258222161">
      <w:bodyDiv w:val="1"/>
      <w:marLeft w:val="0"/>
      <w:marRight w:val="0"/>
      <w:marTop w:val="0"/>
      <w:marBottom w:val="0"/>
      <w:divBdr>
        <w:top w:val="none" w:sz="0" w:space="0" w:color="auto"/>
        <w:left w:val="none" w:sz="0" w:space="0" w:color="auto"/>
        <w:bottom w:val="none" w:sz="0" w:space="0" w:color="auto"/>
        <w:right w:val="none" w:sz="0" w:space="0" w:color="auto"/>
      </w:divBdr>
    </w:div>
    <w:div w:id="277102021">
      <w:bodyDiv w:val="1"/>
      <w:marLeft w:val="0"/>
      <w:marRight w:val="0"/>
      <w:marTop w:val="0"/>
      <w:marBottom w:val="0"/>
      <w:divBdr>
        <w:top w:val="none" w:sz="0" w:space="0" w:color="auto"/>
        <w:left w:val="none" w:sz="0" w:space="0" w:color="auto"/>
        <w:bottom w:val="none" w:sz="0" w:space="0" w:color="auto"/>
        <w:right w:val="none" w:sz="0" w:space="0" w:color="auto"/>
      </w:divBdr>
    </w:div>
    <w:div w:id="304504886">
      <w:bodyDiv w:val="1"/>
      <w:marLeft w:val="0"/>
      <w:marRight w:val="0"/>
      <w:marTop w:val="0"/>
      <w:marBottom w:val="0"/>
      <w:divBdr>
        <w:top w:val="none" w:sz="0" w:space="0" w:color="auto"/>
        <w:left w:val="none" w:sz="0" w:space="0" w:color="auto"/>
        <w:bottom w:val="none" w:sz="0" w:space="0" w:color="auto"/>
        <w:right w:val="none" w:sz="0" w:space="0" w:color="auto"/>
      </w:divBdr>
    </w:div>
    <w:div w:id="333725043">
      <w:bodyDiv w:val="1"/>
      <w:marLeft w:val="0"/>
      <w:marRight w:val="0"/>
      <w:marTop w:val="0"/>
      <w:marBottom w:val="0"/>
      <w:divBdr>
        <w:top w:val="none" w:sz="0" w:space="0" w:color="auto"/>
        <w:left w:val="none" w:sz="0" w:space="0" w:color="auto"/>
        <w:bottom w:val="none" w:sz="0" w:space="0" w:color="auto"/>
        <w:right w:val="none" w:sz="0" w:space="0" w:color="auto"/>
      </w:divBdr>
    </w:div>
    <w:div w:id="352460052">
      <w:bodyDiv w:val="1"/>
      <w:marLeft w:val="0"/>
      <w:marRight w:val="0"/>
      <w:marTop w:val="0"/>
      <w:marBottom w:val="0"/>
      <w:divBdr>
        <w:top w:val="none" w:sz="0" w:space="0" w:color="auto"/>
        <w:left w:val="none" w:sz="0" w:space="0" w:color="auto"/>
        <w:bottom w:val="none" w:sz="0" w:space="0" w:color="auto"/>
        <w:right w:val="none" w:sz="0" w:space="0" w:color="auto"/>
      </w:divBdr>
      <w:divsChild>
        <w:div w:id="1007832543">
          <w:marLeft w:val="0"/>
          <w:marRight w:val="0"/>
          <w:marTop w:val="0"/>
          <w:marBottom w:val="0"/>
          <w:divBdr>
            <w:top w:val="none" w:sz="0" w:space="0" w:color="auto"/>
            <w:left w:val="none" w:sz="0" w:space="0" w:color="auto"/>
            <w:bottom w:val="none" w:sz="0" w:space="0" w:color="auto"/>
            <w:right w:val="none" w:sz="0" w:space="0" w:color="auto"/>
          </w:divBdr>
        </w:div>
      </w:divsChild>
    </w:div>
    <w:div w:id="358817660">
      <w:bodyDiv w:val="1"/>
      <w:marLeft w:val="0"/>
      <w:marRight w:val="0"/>
      <w:marTop w:val="0"/>
      <w:marBottom w:val="0"/>
      <w:divBdr>
        <w:top w:val="none" w:sz="0" w:space="0" w:color="auto"/>
        <w:left w:val="none" w:sz="0" w:space="0" w:color="auto"/>
        <w:bottom w:val="none" w:sz="0" w:space="0" w:color="auto"/>
        <w:right w:val="none" w:sz="0" w:space="0" w:color="auto"/>
      </w:divBdr>
    </w:div>
    <w:div w:id="399250996">
      <w:bodyDiv w:val="1"/>
      <w:marLeft w:val="0"/>
      <w:marRight w:val="0"/>
      <w:marTop w:val="0"/>
      <w:marBottom w:val="0"/>
      <w:divBdr>
        <w:top w:val="none" w:sz="0" w:space="0" w:color="auto"/>
        <w:left w:val="none" w:sz="0" w:space="0" w:color="auto"/>
        <w:bottom w:val="none" w:sz="0" w:space="0" w:color="auto"/>
        <w:right w:val="none" w:sz="0" w:space="0" w:color="auto"/>
      </w:divBdr>
    </w:div>
    <w:div w:id="419834410">
      <w:bodyDiv w:val="1"/>
      <w:marLeft w:val="0"/>
      <w:marRight w:val="0"/>
      <w:marTop w:val="0"/>
      <w:marBottom w:val="0"/>
      <w:divBdr>
        <w:top w:val="none" w:sz="0" w:space="0" w:color="auto"/>
        <w:left w:val="none" w:sz="0" w:space="0" w:color="auto"/>
        <w:bottom w:val="none" w:sz="0" w:space="0" w:color="auto"/>
        <w:right w:val="none" w:sz="0" w:space="0" w:color="auto"/>
      </w:divBdr>
      <w:divsChild>
        <w:div w:id="74210451">
          <w:marLeft w:val="0"/>
          <w:marRight w:val="0"/>
          <w:marTop w:val="0"/>
          <w:marBottom w:val="0"/>
          <w:divBdr>
            <w:top w:val="none" w:sz="0" w:space="0" w:color="auto"/>
            <w:left w:val="none" w:sz="0" w:space="0" w:color="auto"/>
            <w:bottom w:val="none" w:sz="0" w:space="0" w:color="auto"/>
            <w:right w:val="none" w:sz="0" w:space="0" w:color="auto"/>
          </w:divBdr>
        </w:div>
      </w:divsChild>
    </w:div>
    <w:div w:id="421756031">
      <w:bodyDiv w:val="1"/>
      <w:marLeft w:val="0"/>
      <w:marRight w:val="0"/>
      <w:marTop w:val="0"/>
      <w:marBottom w:val="0"/>
      <w:divBdr>
        <w:top w:val="none" w:sz="0" w:space="0" w:color="auto"/>
        <w:left w:val="none" w:sz="0" w:space="0" w:color="auto"/>
        <w:bottom w:val="none" w:sz="0" w:space="0" w:color="auto"/>
        <w:right w:val="none" w:sz="0" w:space="0" w:color="auto"/>
      </w:divBdr>
    </w:div>
    <w:div w:id="422458511">
      <w:bodyDiv w:val="1"/>
      <w:marLeft w:val="0"/>
      <w:marRight w:val="0"/>
      <w:marTop w:val="0"/>
      <w:marBottom w:val="0"/>
      <w:divBdr>
        <w:top w:val="none" w:sz="0" w:space="0" w:color="auto"/>
        <w:left w:val="none" w:sz="0" w:space="0" w:color="auto"/>
        <w:bottom w:val="none" w:sz="0" w:space="0" w:color="auto"/>
        <w:right w:val="none" w:sz="0" w:space="0" w:color="auto"/>
      </w:divBdr>
      <w:divsChild>
        <w:div w:id="786432845">
          <w:marLeft w:val="0"/>
          <w:marRight w:val="0"/>
          <w:marTop w:val="0"/>
          <w:marBottom w:val="0"/>
          <w:divBdr>
            <w:top w:val="none" w:sz="0" w:space="0" w:color="auto"/>
            <w:left w:val="none" w:sz="0" w:space="0" w:color="auto"/>
            <w:bottom w:val="none" w:sz="0" w:space="0" w:color="auto"/>
            <w:right w:val="none" w:sz="0" w:space="0" w:color="auto"/>
          </w:divBdr>
        </w:div>
      </w:divsChild>
    </w:div>
    <w:div w:id="434524272">
      <w:bodyDiv w:val="1"/>
      <w:marLeft w:val="0"/>
      <w:marRight w:val="0"/>
      <w:marTop w:val="0"/>
      <w:marBottom w:val="0"/>
      <w:divBdr>
        <w:top w:val="none" w:sz="0" w:space="0" w:color="auto"/>
        <w:left w:val="none" w:sz="0" w:space="0" w:color="auto"/>
        <w:bottom w:val="none" w:sz="0" w:space="0" w:color="auto"/>
        <w:right w:val="none" w:sz="0" w:space="0" w:color="auto"/>
      </w:divBdr>
    </w:div>
    <w:div w:id="436219598">
      <w:bodyDiv w:val="1"/>
      <w:marLeft w:val="0"/>
      <w:marRight w:val="0"/>
      <w:marTop w:val="0"/>
      <w:marBottom w:val="0"/>
      <w:divBdr>
        <w:top w:val="none" w:sz="0" w:space="0" w:color="auto"/>
        <w:left w:val="none" w:sz="0" w:space="0" w:color="auto"/>
        <w:bottom w:val="none" w:sz="0" w:space="0" w:color="auto"/>
        <w:right w:val="none" w:sz="0" w:space="0" w:color="auto"/>
      </w:divBdr>
      <w:divsChild>
        <w:div w:id="1149980797">
          <w:blockQuote w:val="1"/>
          <w:marLeft w:val="720"/>
          <w:marRight w:val="720"/>
          <w:marTop w:val="100"/>
          <w:marBottom w:val="100"/>
          <w:divBdr>
            <w:top w:val="none" w:sz="0" w:space="0" w:color="auto"/>
            <w:left w:val="none" w:sz="0" w:space="0" w:color="auto"/>
            <w:bottom w:val="none" w:sz="0" w:space="0" w:color="auto"/>
            <w:right w:val="none" w:sz="0" w:space="0" w:color="auto"/>
          </w:divBdr>
        </w:div>
        <w:div w:id="106588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3429823">
      <w:bodyDiv w:val="1"/>
      <w:marLeft w:val="0"/>
      <w:marRight w:val="0"/>
      <w:marTop w:val="0"/>
      <w:marBottom w:val="0"/>
      <w:divBdr>
        <w:top w:val="none" w:sz="0" w:space="0" w:color="auto"/>
        <w:left w:val="none" w:sz="0" w:space="0" w:color="auto"/>
        <w:bottom w:val="none" w:sz="0" w:space="0" w:color="auto"/>
        <w:right w:val="none" w:sz="0" w:space="0" w:color="auto"/>
      </w:divBdr>
    </w:div>
    <w:div w:id="481311685">
      <w:bodyDiv w:val="1"/>
      <w:marLeft w:val="0"/>
      <w:marRight w:val="0"/>
      <w:marTop w:val="0"/>
      <w:marBottom w:val="0"/>
      <w:divBdr>
        <w:top w:val="none" w:sz="0" w:space="0" w:color="auto"/>
        <w:left w:val="none" w:sz="0" w:space="0" w:color="auto"/>
        <w:bottom w:val="none" w:sz="0" w:space="0" w:color="auto"/>
        <w:right w:val="none" w:sz="0" w:space="0" w:color="auto"/>
      </w:divBdr>
    </w:div>
    <w:div w:id="492375064">
      <w:bodyDiv w:val="1"/>
      <w:marLeft w:val="0"/>
      <w:marRight w:val="0"/>
      <w:marTop w:val="0"/>
      <w:marBottom w:val="0"/>
      <w:divBdr>
        <w:top w:val="none" w:sz="0" w:space="0" w:color="auto"/>
        <w:left w:val="none" w:sz="0" w:space="0" w:color="auto"/>
        <w:bottom w:val="none" w:sz="0" w:space="0" w:color="auto"/>
        <w:right w:val="none" w:sz="0" w:space="0" w:color="auto"/>
      </w:divBdr>
    </w:div>
    <w:div w:id="498498370">
      <w:bodyDiv w:val="1"/>
      <w:marLeft w:val="0"/>
      <w:marRight w:val="0"/>
      <w:marTop w:val="0"/>
      <w:marBottom w:val="0"/>
      <w:divBdr>
        <w:top w:val="none" w:sz="0" w:space="0" w:color="auto"/>
        <w:left w:val="none" w:sz="0" w:space="0" w:color="auto"/>
        <w:bottom w:val="none" w:sz="0" w:space="0" w:color="auto"/>
        <w:right w:val="none" w:sz="0" w:space="0" w:color="auto"/>
      </w:divBdr>
    </w:div>
    <w:div w:id="520558245">
      <w:bodyDiv w:val="1"/>
      <w:marLeft w:val="0"/>
      <w:marRight w:val="0"/>
      <w:marTop w:val="0"/>
      <w:marBottom w:val="0"/>
      <w:divBdr>
        <w:top w:val="none" w:sz="0" w:space="0" w:color="auto"/>
        <w:left w:val="none" w:sz="0" w:space="0" w:color="auto"/>
        <w:bottom w:val="none" w:sz="0" w:space="0" w:color="auto"/>
        <w:right w:val="none" w:sz="0" w:space="0" w:color="auto"/>
      </w:divBdr>
      <w:divsChild>
        <w:div w:id="842664958">
          <w:marLeft w:val="0"/>
          <w:marRight w:val="0"/>
          <w:marTop w:val="0"/>
          <w:marBottom w:val="0"/>
          <w:divBdr>
            <w:top w:val="none" w:sz="0" w:space="0" w:color="auto"/>
            <w:left w:val="none" w:sz="0" w:space="0" w:color="auto"/>
            <w:bottom w:val="none" w:sz="0" w:space="0" w:color="auto"/>
            <w:right w:val="none" w:sz="0" w:space="0" w:color="auto"/>
          </w:divBdr>
        </w:div>
      </w:divsChild>
    </w:div>
    <w:div w:id="582570154">
      <w:bodyDiv w:val="1"/>
      <w:marLeft w:val="0"/>
      <w:marRight w:val="0"/>
      <w:marTop w:val="0"/>
      <w:marBottom w:val="0"/>
      <w:divBdr>
        <w:top w:val="none" w:sz="0" w:space="0" w:color="auto"/>
        <w:left w:val="none" w:sz="0" w:space="0" w:color="auto"/>
        <w:bottom w:val="none" w:sz="0" w:space="0" w:color="auto"/>
        <w:right w:val="none" w:sz="0" w:space="0" w:color="auto"/>
      </w:divBdr>
      <w:divsChild>
        <w:div w:id="378864887">
          <w:marLeft w:val="0"/>
          <w:marRight w:val="0"/>
          <w:marTop w:val="0"/>
          <w:marBottom w:val="0"/>
          <w:divBdr>
            <w:top w:val="none" w:sz="0" w:space="0" w:color="auto"/>
            <w:left w:val="none" w:sz="0" w:space="0" w:color="auto"/>
            <w:bottom w:val="none" w:sz="0" w:space="0" w:color="auto"/>
            <w:right w:val="none" w:sz="0" w:space="0" w:color="auto"/>
          </w:divBdr>
          <w:divsChild>
            <w:div w:id="1559318284">
              <w:marLeft w:val="0"/>
              <w:marRight w:val="0"/>
              <w:marTop w:val="0"/>
              <w:marBottom w:val="0"/>
              <w:divBdr>
                <w:top w:val="none" w:sz="0" w:space="0" w:color="auto"/>
                <w:left w:val="none" w:sz="0" w:space="0" w:color="auto"/>
                <w:bottom w:val="none" w:sz="0" w:space="0" w:color="auto"/>
                <w:right w:val="none" w:sz="0" w:space="0" w:color="auto"/>
              </w:divBdr>
            </w:div>
          </w:divsChild>
        </w:div>
        <w:div w:id="2062511676">
          <w:marLeft w:val="0"/>
          <w:marRight w:val="0"/>
          <w:marTop w:val="0"/>
          <w:marBottom w:val="0"/>
          <w:divBdr>
            <w:top w:val="none" w:sz="0" w:space="0" w:color="auto"/>
            <w:left w:val="none" w:sz="0" w:space="0" w:color="auto"/>
            <w:bottom w:val="none" w:sz="0" w:space="0" w:color="auto"/>
            <w:right w:val="none" w:sz="0" w:space="0" w:color="auto"/>
          </w:divBdr>
          <w:divsChild>
            <w:div w:id="102521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51118">
      <w:bodyDiv w:val="1"/>
      <w:marLeft w:val="0"/>
      <w:marRight w:val="0"/>
      <w:marTop w:val="0"/>
      <w:marBottom w:val="0"/>
      <w:divBdr>
        <w:top w:val="none" w:sz="0" w:space="0" w:color="auto"/>
        <w:left w:val="none" w:sz="0" w:space="0" w:color="auto"/>
        <w:bottom w:val="none" w:sz="0" w:space="0" w:color="auto"/>
        <w:right w:val="none" w:sz="0" w:space="0" w:color="auto"/>
      </w:divBdr>
    </w:div>
    <w:div w:id="656346023">
      <w:bodyDiv w:val="1"/>
      <w:marLeft w:val="0"/>
      <w:marRight w:val="0"/>
      <w:marTop w:val="0"/>
      <w:marBottom w:val="0"/>
      <w:divBdr>
        <w:top w:val="none" w:sz="0" w:space="0" w:color="auto"/>
        <w:left w:val="none" w:sz="0" w:space="0" w:color="auto"/>
        <w:bottom w:val="none" w:sz="0" w:space="0" w:color="auto"/>
        <w:right w:val="none" w:sz="0" w:space="0" w:color="auto"/>
      </w:divBdr>
    </w:div>
    <w:div w:id="696391188">
      <w:bodyDiv w:val="1"/>
      <w:marLeft w:val="0"/>
      <w:marRight w:val="0"/>
      <w:marTop w:val="0"/>
      <w:marBottom w:val="0"/>
      <w:divBdr>
        <w:top w:val="none" w:sz="0" w:space="0" w:color="auto"/>
        <w:left w:val="none" w:sz="0" w:space="0" w:color="auto"/>
        <w:bottom w:val="none" w:sz="0" w:space="0" w:color="auto"/>
        <w:right w:val="none" w:sz="0" w:space="0" w:color="auto"/>
      </w:divBdr>
    </w:div>
    <w:div w:id="704526672">
      <w:bodyDiv w:val="1"/>
      <w:marLeft w:val="0"/>
      <w:marRight w:val="0"/>
      <w:marTop w:val="0"/>
      <w:marBottom w:val="0"/>
      <w:divBdr>
        <w:top w:val="none" w:sz="0" w:space="0" w:color="auto"/>
        <w:left w:val="none" w:sz="0" w:space="0" w:color="auto"/>
        <w:bottom w:val="none" w:sz="0" w:space="0" w:color="auto"/>
        <w:right w:val="none" w:sz="0" w:space="0" w:color="auto"/>
      </w:divBdr>
    </w:div>
    <w:div w:id="721563684">
      <w:bodyDiv w:val="1"/>
      <w:marLeft w:val="0"/>
      <w:marRight w:val="0"/>
      <w:marTop w:val="0"/>
      <w:marBottom w:val="0"/>
      <w:divBdr>
        <w:top w:val="none" w:sz="0" w:space="0" w:color="auto"/>
        <w:left w:val="none" w:sz="0" w:space="0" w:color="auto"/>
        <w:bottom w:val="none" w:sz="0" w:space="0" w:color="auto"/>
        <w:right w:val="none" w:sz="0" w:space="0" w:color="auto"/>
      </w:divBdr>
    </w:div>
    <w:div w:id="723330377">
      <w:bodyDiv w:val="1"/>
      <w:marLeft w:val="0"/>
      <w:marRight w:val="0"/>
      <w:marTop w:val="0"/>
      <w:marBottom w:val="0"/>
      <w:divBdr>
        <w:top w:val="none" w:sz="0" w:space="0" w:color="auto"/>
        <w:left w:val="none" w:sz="0" w:space="0" w:color="auto"/>
        <w:bottom w:val="none" w:sz="0" w:space="0" w:color="auto"/>
        <w:right w:val="none" w:sz="0" w:space="0" w:color="auto"/>
      </w:divBdr>
    </w:div>
    <w:div w:id="734163379">
      <w:bodyDiv w:val="1"/>
      <w:marLeft w:val="0"/>
      <w:marRight w:val="0"/>
      <w:marTop w:val="0"/>
      <w:marBottom w:val="0"/>
      <w:divBdr>
        <w:top w:val="none" w:sz="0" w:space="0" w:color="auto"/>
        <w:left w:val="none" w:sz="0" w:space="0" w:color="auto"/>
        <w:bottom w:val="none" w:sz="0" w:space="0" w:color="auto"/>
        <w:right w:val="none" w:sz="0" w:space="0" w:color="auto"/>
      </w:divBdr>
      <w:divsChild>
        <w:div w:id="1360743857">
          <w:marLeft w:val="0"/>
          <w:marRight w:val="0"/>
          <w:marTop w:val="0"/>
          <w:marBottom w:val="0"/>
          <w:divBdr>
            <w:top w:val="none" w:sz="0" w:space="0" w:color="auto"/>
            <w:left w:val="none" w:sz="0" w:space="0" w:color="auto"/>
            <w:bottom w:val="none" w:sz="0" w:space="0" w:color="auto"/>
            <w:right w:val="none" w:sz="0" w:space="0" w:color="auto"/>
          </w:divBdr>
        </w:div>
      </w:divsChild>
    </w:div>
    <w:div w:id="750346909">
      <w:bodyDiv w:val="1"/>
      <w:marLeft w:val="0"/>
      <w:marRight w:val="0"/>
      <w:marTop w:val="0"/>
      <w:marBottom w:val="0"/>
      <w:divBdr>
        <w:top w:val="none" w:sz="0" w:space="0" w:color="auto"/>
        <w:left w:val="none" w:sz="0" w:space="0" w:color="auto"/>
        <w:bottom w:val="none" w:sz="0" w:space="0" w:color="auto"/>
        <w:right w:val="none" w:sz="0" w:space="0" w:color="auto"/>
      </w:divBdr>
    </w:div>
    <w:div w:id="757407733">
      <w:bodyDiv w:val="1"/>
      <w:marLeft w:val="0"/>
      <w:marRight w:val="0"/>
      <w:marTop w:val="0"/>
      <w:marBottom w:val="0"/>
      <w:divBdr>
        <w:top w:val="none" w:sz="0" w:space="0" w:color="auto"/>
        <w:left w:val="none" w:sz="0" w:space="0" w:color="auto"/>
        <w:bottom w:val="none" w:sz="0" w:space="0" w:color="auto"/>
        <w:right w:val="none" w:sz="0" w:space="0" w:color="auto"/>
      </w:divBdr>
    </w:div>
    <w:div w:id="812672219">
      <w:bodyDiv w:val="1"/>
      <w:marLeft w:val="0"/>
      <w:marRight w:val="0"/>
      <w:marTop w:val="0"/>
      <w:marBottom w:val="0"/>
      <w:divBdr>
        <w:top w:val="none" w:sz="0" w:space="0" w:color="auto"/>
        <w:left w:val="none" w:sz="0" w:space="0" w:color="auto"/>
        <w:bottom w:val="none" w:sz="0" w:space="0" w:color="auto"/>
        <w:right w:val="none" w:sz="0" w:space="0" w:color="auto"/>
      </w:divBdr>
    </w:div>
    <w:div w:id="825050658">
      <w:bodyDiv w:val="1"/>
      <w:marLeft w:val="0"/>
      <w:marRight w:val="0"/>
      <w:marTop w:val="0"/>
      <w:marBottom w:val="0"/>
      <w:divBdr>
        <w:top w:val="none" w:sz="0" w:space="0" w:color="auto"/>
        <w:left w:val="none" w:sz="0" w:space="0" w:color="auto"/>
        <w:bottom w:val="none" w:sz="0" w:space="0" w:color="auto"/>
        <w:right w:val="none" w:sz="0" w:space="0" w:color="auto"/>
      </w:divBdr>
    </w:div>
    <w:div w:id="825319194">
      <w:bodyDiv w:val="1"/>
      <w:marLeft w:val="0"/>
      <w:marRight w:val="0"/>
      <w:marTop w:val="0"/>
      <w:marBottom w:val="0"/>
      <w:divBdr>
        <w:top w:val="none" w:sz="0" w:space="0" w:color="auto"/>
        <w:left w:val="none" w:sz="0" w:space="0" w:color="auto"/>
        <w:bottom w:val="none" w:sz="0" w:space="0" w:color="auto"/>
        <w:right w:val="none" w:sz="0" w:space="0" w:color="auto"/>
      </w:divBdr>
    </w:div>
    <w:div w:id="845094400">
      <w:bodyDiv w:val="1"/>
      <w:marLeft w:val="0"/>
      <w:marRight w:val="0"/>
      <w:marTop w:val="0"/>
      <w:marBottom w:val="0"/>
      <w:divBdr>
        <w:top w:val="none" w:sz="0" w:space="0" w:color="auto"/>
        <w:left w:val="none" w:sz="0" w:space="0" w:color="auto"/>
        <w:bottom w:val="none" w:sz="0" w:space="0" w:color="auto"/>
        <w:right w:val="none" w:sz="0" w:space="0" w:color="auto"/>
      </w:divBdr>
    </w:div>
    <w:div w:id="847016889">
      <w:bodyDiv w:val="1"/>
      <w:marLeft w:val="0"/>
      <w:marRight w:val="0"/>
      <w:marTop w:val="0"/>
      <w:marBottom w:val="0"/>
      <w:divBdr>
        <w:top w:val="none" w:sz="0" w:space="0" w:color="auto"/>
        <w:left w:val="none" w:sz="0" w:space="0" w:color="auto"/>
        <w:bottom w:val="none" w:sz="0" w:space="0" w:color="auto"/>
        <w:right w:val="none" w:sz="0" w:space="0" w:color="auto"/>
      </w:divBdr>
    </w:div>
    <w:div w:id="854417771">
      <w:bodyDiv w:val="1"/>
      <w:marLeft w:val="0"/>
      <w:marRight w:val="0"/>
      <w:marTop w:val="0"/>
      <w:marBottom w:val="0"/>
      <w:divBdr>
        <w:top w:val="none" w:sz="0" w:space="0" w:color="auto"/>
        <w:left w:val="none" w:sz="0" w:space="0" w:color="auto"/>
        <w:bottom w:val="none" w:sz="0" w:space="0" w:color="auto"/>
        <w:right w:val="none" w:sz="0" w:space="0" w:color="auto"/>
      </w:divBdr>
    </w:div>
    <w:div w:id="863521427">
      <w:bodyDiv w:val="1"/>
      <w:marLeft w:val="0"/>
      <w:marRight w:val="0"/>
      <w:marTop w:val="0"/>
      <w:marBottom w:val="0"/>
      <w:divBdr>
        <w:top w:val="none" w:sz="0" w:space="0" w:color="auto"/>
        <w:left w:val="none" w:sz="0" w:space="0" w:color="auto"/>
        <w:bottom w:val="none" w:sz="0" w:space="0" w:color="auto"/>
        <w:right w:val="none" w:sz="0" w:space="0" w:color="auto"/>
      </w:divBdr>
    </w:div>
    <w:div w:id="876431130">
      <w:bodyDiv w:val="1"/>
      <w:marLeft w:val="0"/>
      <w:marRight w:val="0"/>
      <w:marTop w:val="0"/>
      <w:marBottom w:val="0"/>
      <w:divBdr>
        <w:top w:val="none" w:sz="0" w:space="0" w:color="auto"/>
        <w:left w:val="none" w:sz="0" w:space="0" w:color="auto"/>
        <w:bottom w:val="none" w:sz="0" w:space="0" w:color="auto"/>
        <w:right w:val="none" w:sz="0" w:space="0" w:color="auto"/>
      </w:divBdr>
    </w:div>
    <w:div w:id="896401591">
      <w:bodyDiv w:val="1"/>
      <w:marLeft w:val="0"/>
      <w:marRight w:val="0"/>
      <w:marTop w:val="0"/>
      <w:marBottom w:val="0"/>
      <w:divBdr>
        <w:top w:val="none" w:sz="0" w:space="0" w:color="auto"/>
        <w:left w:val="none" w:sz="0" w:space="0" w:color="auto"/>
        <w:bottom w:val="none" w:sz="0" w:space="0" w:color="auto"/>
        <w:right w:val="none" w:sz="0" w:space="0" w:color="auto"/>
      </w:divBdr>
    </w:div>
    <w:div w:id="904685097">
      <w:bodyDiv w:val="1"/>
      <w:marLeft w:val="0"/>
      <w:marRight w:val="0"/>
      <w:marTop w:val="0"/>
      <w:marBottom w:val="0"/>
      <w:divBdr>
        <w:top w:val="none" w:sz="0" w:space="0" w:color="auto"/>
        <w:left w:val="none" w:sz="0" w:space="0" w:color="auto"/>
        <w:bottom w:val="none" w:sz="0" w:space="0" w:color="auto"/>
        <w:right w:val="none" w:sz="0" w:space="0" w:color="auto"/>
      </w:divBdr>
      <w:divsChild>
        <w:div w:id="1875726610">
          <w:marLeft w:val="0"/>
          <w:marRight w:val="0"/>
          <w:marTop w:val="0"/>
          <w:marBottom w:val="0"/>
          <w:divBdr>
            <w:top w:val="none" w:sz="0" w:space="0" w:color="auto"/>
            <w:left w:val="none" w:sz="0" w:space="0" w:color="auto"/>
            <w:bottom w:val="none" w:sz="0" w:space="0" w:color="auto"/>
            <w:right w:val="none" w:sz="0" w:space="0" w:color="auto"/>
          </w:divBdr>
        </w:div>
      </w:divsChild>
    </w:div>
    <w:div w:id="923534603">
      <w:bodyDiv w:val="1"/>
      <w:marLeft w:val="0"/>
      <w:marRight w:val="0"/>
      <w:marTop w:val="0"/>
      <w:marBottom w:val="0"/>
      <w:divBdr>
        <w:top w:val="none" w:sz="0" w:space="0" w:color="auto"/>
        <w:left w:val="none" w:sz="0" w:space="0" w:color="auto"/>
        <w:bottom w:val="none" w:sz="0" w:space="0" w:color="auto"/>
        <w:right w:val="none" w:sz="0" w:space="0" w:color="auto"/>
      </w:divBdr>
    </w:div>
    <w:div w:id="950816815">
      <w:bodyDiv w:val="1"/>
      <w:marLeft w:val="0"/>
      <w:marRight w:val="0"/>
      <w:marTop w:val="0"/>
      <w:marBottom w:val="0"/>
      <w:divBdr>
        <w:top w:val="none" w:sz="0" w:space="0" w:color="auto"/>
        <w:left w:val="none" w:sz="0" w:space="0" w:color="auto"/>
        <w:bottom w:val="none" w:sz="0" w:space="0" w:color="auto"/>
        <w:right w:val="none" w:sz="0" w:space="0" w:color="auto"/>
      </w:divBdr>
    </w:div>
    <w:div w:id="951279359">
      <w:bodyDiv w:val="1"/>
      <w:marLeft w:val="0"/>
      <w:marRight w:val="0"/>
      <w:marTop w:val="0"/>
      <w:marBottom w:val="0"/>
      <w:divBdr>
        <w:top w:val="none" w:sz="0" w:space="0" w:color="auto"/>
        <w:left w:val="none" w:sz="0" w:space="0" w:color="auto"/>
        <w:bottom w:val="none" w:sz="0" w:space="0" w:color="auto"/>
        <w:right w:val="none" w:sz="0" w:space="0" w:color="auto"/>
      </w:divBdr>
    </w:div>
    <w:div w:id="969750552">
      <w:bodyDiv w:val="1"/>
      <w:marLeft w:val="0"/>
      <w:marRight w:val="0"/>
      <w:marTop w:val="0"/>
      <w:marBottom w:val="0"/>
      <w:divBdr>
        <w:top w:val="none" w:sz="0" w:space="0" w:color="auto"/>
        <w:left w:val="none" w:sz="0" w:space="0" w:color="auto"/>
        <w:bottom w:val="none" w:sz="0" w:space="0" w:color="auto"/>
        <w:right w:val="none" w:sz="0" w:space="0" w:color="auto"/>
      </w:divBdr>
    </w:div>
    <w:div w:id="994184379">
      <w:bodyDiv w:val="1"/>
      <w:marLeft w:val="0"/>
      <w:marRight w:val="0"/>
      <w:marTop w:val="0"/>
      <w:marBottom w:val="0"/>
      <w:divBdr>
        <w:top w:val="none" w:sz="0" w:space="0" w:color="auto"/>
        <w:left w:val="none" w:sz="0" w:space="0" w:color="auto"/>
        <w:bottom w:val="none" w:sz="0" w:space="0" w:color="auto"/>
        <w:right w:val="none" w:sz="0" w:space="0" w:color="auto"/>
      </w:divBdr>
    </w:div>
    <w:div w:id="1009715116">
      <w:bodyDiv w:val="1"/>
      <w:marLeft w:val="0"/>
      <w:marRight w:val="0"/>
      <w:marTop w:val="0"/>
      <w:marBottom w:val="0"/>
      <w:divBdr>
        <w:top w:val="none" w:sz="0" w:space="0" w:color="auto"/>
        <w:left w:val="none" w:sz="0" w:space="0" w:color="auto"/>
        <w:bottom w:val="none" w:sz="0" w:space="0" w:color="auto"/>
        <w:right w:val="none" w:sz="0" w:space="0" w:color="auto"/>
      </w:divBdr>
    </w:div>
    <w:div w:id="1048644142">
      <w:bodyDiv w:val="1"/>
      <w:marLeft w:val="0"/>
      <w:marRight w:val="0"/>
      <w:marTop w:val="0"/>
      <w:marBottom w:val="0"/>
      <w:divBdr>
        <w:top w:val="none" w:sz="0" w:space="0" w:color="auto"/>
        <w:left w:val="none" w:sz="0" w:space="0" w:color="auto"/>
        <w:bottom w:val="none" w:sz="0" w:space="0" w:color="auto"/>
        <w:right w:val="none" w:sz="0" w:space="0" w:color="auto"/>
      </w:divBdr>
    </w:div>
    <w:div w:id="1078138330">
      <w:bodyDiv w:val="1"/>
      <w:marLeft w:val="0"/>
      <w:marRight w:val="0"/>
      <w:marTop w:val="0"/>
      <w:marBottom w:val="0"/>
      <w:divBdr>
        <w:top w:val="none" w:sz="0" w:space="0" w:color="auto"/>
        <w:left w:val="none" w:sz="0" w:space="0" w:color="auto"/>
        <w:bottom w:val="none" w:sz="0" w:space="0" w:color="auto"/>
        <w:right w:val="none" w:sz="0" w:space="0" w:color="auto"/>
      </w:divBdr>
    </w:div>
    <w:div w:id="1109159394">
      <w:bodyDiv w:val="1"/>
      <w:marLeft w:val="0"/>
      <w:marRight w:val="0"/>
      <w:marTop w:val="0"/>
      <w:marBottom w:val="0"/>
      <w:divBdr>
        <w:top w:val="none" w:sz="0" w:space="0" w:color="auto"/>
        <w:left w:val="none" w:sz="0" w:space="0" w:color="auto"/>
        <w:bottom w:val="none" w:sz="0" w:space="0" w:color="auto"/>
        <w:right w:val="none" w:sz="0" w:space="0" w:color="auto"/>
      </w:divBdr>
      <w:divsChild>
        <w:div w:id="1934587190">
          <w:marLeft w:val="0"/>
          <w:marRight w:val="0"/>
          <w:marTop w:val="0"/>
          <w:marBottom w:val="0"/>
          <w:divBdr>
            <w:top w:val="none" w:sz="0" w:space="0" w:color="auto"/>
            <w:left w:val="none" w:sz="0" w:space="0" w:color="auto"/>
            <w:bottom w:val="none" w:sz="0" w:space="0" w:color="auto"/>
            <w:right w:val="none" w:sz="0" w:space="0" w:color="auto"/>
          </w:divBdr>
        </w:div>
      </w:divsChild>
    </w:div>
    <w:div w:id="1129858664">
      <w:bodyDiv w:val="1"/>
      <w:marLeft w:val="0"/>
      <w:marRight w:val="0"/>
      <w:marTop w:val="0"/>
      <w:marBottom w:val="0"/>
      <w:divBdr>
        <w:top w:val="none" w:sz="0" w:space="0" w:color="auto"/>
        <w:left w:val="none" w:sz="0" w:space="0" w:color="auto"/>
        <w:bottom w:val="none" w:sz="0" w:space="0" w:color="auto"/>
        <w:right w:val="none" w:sz="0" w:space="0" w:color="auto"/>
      </w:divBdr>
    </w:div>
    <w:div w:id="1173451582">
      <w:bodyDiv w:val="1"/>
      <w:marLeft w:val="0"/>
      <w:marRight w:val="0"/>
      <w:marTop w:val="0"/>
      <w:marBottom w:val="0"/>
      <w:divBdr>
        <w:top w:val="none" w:sz="0" w:space="0" w:color="auto"/>
        <w:left w:val="none" w:sz="0" w:space="0" w:color="auto"/>
        <w:bottom w:val="none" w:sz="0" w:space="0" w:color="auto"/>
        <w:right w:val="none" w:sz="0" w:space="0" w:color="auto"/>
      </w:divBdr>
    </w:div>
    <w:div w:id="1188369532">
      <w:bodyDiv w:val="1"/>
      <w:marLeft w:val="0"/>
      <w:marRight w:val="0"/>
      <w:marTop w:val="0"/>
      <w:marBottom w:val="0"/>
      <w:divBdr>
        <w:top w:val="none" w:sz="0" w:space="0" w:color="auto"/>
        <w:left w:val="none" w:sz="0" w:space="0" w:color="auto"/>
        <w:bottom w:val="none" w:sz="0" w:space="0" w:color="auto"/>
        <w:right w:val="none" w:sz="0" w:space="0" w:color="auto"/>
      </w:divBdr>
    </w:div>
    <w:div w:id="1199665645">
      <w:bodyDiv w:val="1"/>
      <w:marLeft w:val="0"/>
      <w:marRight w:val="0"/>
      <w:marTop w:val="0"/>
      <w:marBottom w:val="0"/>
      <w:divBdr>
        <w:top w:val="none" w:sz="0" w:space="0" w:color="auto"/>
        <w:left w:val="none" w:sz="0" w:space="0" w:color="auto"/>
        <w:bottom w:val="none" w:sz="0" w:space="0" w:color="auto"/>
        <w:right w:val="none" w:sz="0" w:space="0" w:color="auto"/>
      </w:divBdr>
    </w:div>
    <w:div w:id="1216234189">
      <w:bodyDiv w:val="1"/>
      <w:marLeft w:val="0"/>
      <w:marRight w:val="0"/>
      <w:marTop w:val="0"/>
      <w:marBottom w:val="0"/>
      <w:divBdr>
        <w:top w:val="none" w:sz="0" w:space="0" w:color="auto"/>
        <w:left w:val="none" w:sz="0" w:space="0" w:color="auto"/>
        <w:bottom w:val="none" w:sz="0" w:space="0" w:color="auto"/>
        <w:right w:val="none" w:sz="0" w:space="0" w:color="auto"/>
      </w:divBdr>
    </w:div>
    <w:div w:id="1261645495">
      <w:bodyDiv w:val="1"/>
      <w:marLeft w:val="0"/>
      <w:marRight w:val="0"/>
      <w:marTop w:val="0"/>
      <w:marBottom w:val="0"/>
      <w:divBdr>
        <w:top w:val="none" w:sz="0" w:space="0" w:color="auto"/>
        <w:left w:val="none" w:sz="0" w:space="0" w:color="auto"/>
        <w:bottom w:val="none" w:sz="0" w:space="0" w:color="auto"/>
        <w:right w:val="none" w:sz="0" w:space="0" w:color="auto"/>
      </w:divBdr>
    </w:div>
    <w:div w:id="1268075488">
      <w:bodyDiv w:val="1"/>
      <w:marLeft w:val="0"/>
      <w:marRight w:val="0"/>
      <w:marTop w:val="0"/>
      <w:marBottom w:val="0"/>
      <w:divBdr>
        <w:top w:val="none" w:sz="0" w:space="0" w:color="auto"/>
        <w:left w:val="none" w:sz="0" w:space="0" w:color="auto"/>
        <w:bottom w:val="none" w:sz="0" w:space="0" w:color="auto"/>
        <w:right w:val="none" w:sz="0" w:space="0" w:color="auto"/>
      </w:divBdr>
    </w:div>
    <w:div w:id="1282764607">
      <w:bodyDiv w:val="1"/>
      <w:marLeft w:val="0"/>
      <w:marRight w:val="0"/>
      <w:marTop w:val="0"/>
      <w:marBottom w:val="0"/>
      <w:divBdr>
        <w:top w:val="none" w:sz="0" w:space="0" w:color="auto"/>
        <w:left w:val="none" w:sz="0" w:space="0" w:color="auto"/>
        <w:bottom w:val="none" w:sz="0" w:space="0" w:color="auto"/>
        <w:right w:val="none" w:sz="0" w:space="0" w:color="auto"/>
      </w:divBdr>
    </w:div>
    <w:div w:id="1292244987">
      <w:bodyDiv w:val="1"/>
      <w:marLeft w:val="0"/>
      <w:marRight w:val="0"/>
      <w:marTop w:val="0"/>
      <w:marBottom w:val="0"/>
      <w:divBdr>
        <w:top w:val="none" w:sz="0" w:space="0" w:color="auto"/>
        <w:left w:val="none" w:sz="0" w:space="0" w:color="auto"/>
        <w:bottom w:val="none" w:sz="0" w:space="0" w:color="auto"/>
        <w:right w:val="none" w:sz="0" w:space="0" w:color="auto"/>
      </w:divBdr>
    </w:div>
    <w:div w:id="1327516160">
      <w:bodyDiv w:val="1"/>
      <w:marLeft w:val="0"/>
      <w:marRight w:val="0"/>
      <w:marTop w:val="0"/>
      <w:marBottom w:val="0"/>
      <w:divBdr>
        <w:top w:val="none" w:sz="0" w:space="0" w:color="auto"/>
        <w:left w:val="none" w:sz="0" w:space="0" w:color="auto"/>
        <w:bottom w:val="none" w:sz="0" w:space="0" w:color="auto"/>
        <w:right w:val="none" w:sz="0" w:space="0" w:color="auto"/>
      </w:divBdr>
    </w:div>
    <w:div w:id="1329287846">
      <w:bodyDiv w:val="1"/>
      <w:marLeft w:val="0"/>
      <w:marRight w:val="0"/>
      <w:marTop w:val="0"/>
      <w:marBottom w:val="0"/>
      <w:divBdr>
        <w:top w:val="none" w:sz="0" w:space="0" w:color="auto"/>
        <w:left w:val="none" w:sz="0" w:space="0" w:color="auto"/>
        <w:bottom w:val="none" w:sz="0" w:space="0" w:color="auto"/>
        <w:right w:val="none" w:sz="0" w:space="0" w:color="auto"/>
      </w:divBdr>
    </w:div>
    <w:div w:id="1331831605">
      <w:bodyDiv w:val="1"/>
      <w:marLeft w:val="0"/>
      <w:marRight w:val="0"/>
      <w:marTop w:val="0"/>
      <w:marBottom w:val="0"/>
      <w:divBdr>
        <w:top w:val="none" w:sz="0" w:space="0" w:color="auto"/>
        <w:left w:val="none" w:sz="0" w:space="0" w:color="auto"/>
        <w:bottom w:val="none" w:sz="0" w:space="0" w:color="auto"/>
        <w:right w:val="none" w:sz="0" w:space="0" w:color="auto"/>
      </w:divBdr>
    </w:div>
    <w:div w:id="1333487202">
      <w:bodyDiv w:val="1"/>
      <w:marLeft w:val="0"/>
      <w:marRight w:val="0"/>
      <w:marTop w:val="0"/>
      <w:marBottom w:val="0"/>
      <w:divBdr>
        <w:top w:val="none" w:sz="0" w:space="0" w:color="auto"/>
        <w:left w:val="none" w:sz="0" w:space="0" w:color="auto"/>
        <w:bottom w:val="none" w:sz="0" w:space="0" w:color="auto"/>
        <w:right w:val="none" w:sz="0" w:space="0" w:color="auto"/>
      </w:divBdr>
    </w:div>
    <w:div w:id="1374040156">
      <w:bodyDiv w:val="1"/>
      <w:marLeft w:val="0"/>
      <w:marRight w:val="0"/>
      <w:marTop w:val="0"/>
      <w:marBottom w:val="0"/>
      <w:divBdr>
        <w:top w:val="none" w:sz="0" w:space="0" w:color="auto"/>
        <w:left w:val="none" w:sz="0" w:space="0" w:color="auto"/>
        <w:bottom w:val="none" w:sz="0" w:space="0" w:color="auto"/>
        <w:right w:val="none" w:sz="0" w:space="0" w:color="auto"/>
      </w:divBdr>
    </w:div>
    <w:div w:id="1376661833">
      <w:bodyDiv w:val="1"/>
      <w:marLeft w:val="0"/>
      <w:marRight w:val="0"/>
      <w:marTop w:val="0"/>
      <w:marBottom w:val="0"/>
      <w:divBdr>
        <w:top w:val="none" w:sz="0" w:space="0" w:color="auto"/>
        <w:left w:val="none" w:sz="0" w:space="0" w:color="auto"/>
        <w:bottom w:val="none" w:sz="0" w:space="0" w:color="auto"/>
        <w:right w:val="none" w:sz="0" w:space="0" w:color="auto"/>
      </w:divBdr>
    </w:div>
    <w:div w:id="1391004245">
      <w:bodyDiv w:val="1"/>
      <w:marLeft w:val="0"/>
      <w:marRight w:val="0"/>
      <w:marTop w:val="0"/>
      <w:marBottom w:val="0"/>
      <w:divBdr>
        <w:top w:val="none" w:sz="0" w:space="0" w:color="auto"/>
        <w:left w:val="none" w:sz="0" w:space="0" w:color="auto"/>
        <w:bottom w:val="none" w:sz="0" w:space="0" w:color="auto"/>
        <w:right w:val="none" w:sz="0" w:space="0" w:color="auto"/>
      </w:divBdr>
    </w:div>
    <w:div w:id="1413970579">
      <w:bodyDiv w:val="1"/>
      <w:marLeft w:val="0"/>
      <w:marRight w:val="0"/>
      <w:marTop w:val="0"/>
      <w:marBottom w:val="0"/>
      <w:divBdr>
        <w:top w:val="none" w:sz="0" w:space="0" w:color="auto"/>
        <w:left w:val="none" w:sz="0" w:space="0" w:color="auto"/>
        <w:bottom w:val="none" w:sz="0" w:space="0" w:color="auto"/>
        <w:right w:val="none" w:sz="0" w:space="0" w:color="auto"/>
      </w:divBdr>
    </w:div>
    <w:div w:id="1414737224">
      <w:bodyDiv w:val="1"/>
      <w:marLeft w:val="0"/>
      <w:marRight w:val="0"/>
      <w:marTop w:val="0"/>
      <w:marBottom w:val="0"/>
      <w:divBdr>
        <w:top w:val="none" w:sz="0" w:space="0" w:color="auto"/>
        <w:left w:val="none" w:sz="0" w:space="0" w:color="auto"/>
        <w:bottom w:val="none" w:sz="0" w:space="0" w:color="auto"/>
        <w:right w:val="none" w:sz="0" w:space="0" w:color="auto"/>
      </w:divBdr>
    </w:div>
    <w:div w:id="1425297020">
      <w:bodyDiv w:val="1"/>
      <w:marLeft w:val="0"/>
      <w:marRight w:val="0"/>
      <w:marTop w:val="0"/>
      <w:marBottom w:val="0"/>
      <w:divBdr>
        <w:top w:val="none" w:sz="0" w:space="0" w:color="auto"/>
        <w:left w:val="none" w:sz="0" w:space="0" w:color="auto"/>
        <w:bottom w:val="none" w:sz="0" w:space="0" w:color="auto"/>
        <w:right w:val="none" w:sz="0" w:space="0" w:color="auto"/>
      </w:divBdr>
    </w:div>
    <w:div w:id="1475179696">
      <w:bodyDiv w:val="1"/>
      <w:marLeft w:val="0"/>
      <w:marRight w:val="0"/>
      <w:marTop w:val="0"/>
      <w:marBottom w:val="0"/>
      <w:divBdr>
        <w:top w:val="none" w:sz="0" w:space="0" w:color="auto"/>
        <w:left w:val="none" w:sz="0" w:space="0" w:color="auto"/>
        <w:bottom w:val="none" w:sz="0" w:space="0" w:color="auto"/>
        <w:right w:val="none" w:sz="0" w:space="0" w:color="auto"/>
      </w:divBdr>
    </w:div>
    <w:div w:id="1478037863">
      <w:bodyDiv w:val="1"/>
      <w:marLeft w:val="0"/>
      <w:marRight w:val="0"/>
      <w:marTop w:val="0"/>
      <w:marBottom w:val="0"/>
      <w:divBdr>
        <w:top w:val="none" w:sz="0" w:space="0" w:color="auto"/>
        <w:left w:val="none" w:sz="0" w:space="0" w:color="auto"/>
        <w:bottom w:val="none" w:sz="0" w:space="0" w:color="auto"/>
        <w:right w:val="none" w:sz="0" w:space="0" w:color="auto"/>
      </w:divBdr>
    </w:div>
    <w:div w:id="1485122039">
      <w:bodyDiv w:val="1"/>
      <w:marLeft w:val="0"/>
      <w:marRight w:val="0"/>
      <w:marTop w:val="0"/>
      <w:marBottom w:val="0"/>
      <w:divBdr>
        <w:top w:val="none" w:sz="0" w:space="0" w:color="auto"/>
        <w:left w:val="none" w:sz="0" w:space="0" w:color="auto"/>
        <w:bottom w:val="none" w:sz="0" w:space="0" w:color="auto"/>
        <w:right w:val="none" w:sz="0" w:space="0" w:color="auto"/>
      </w:divBdr>
    </w:div>
    <w:div w:id="1495991811">
      <w:bodyDiv w:val="1"/>
      <w:marLeft w:val="0"/>
      <w:marRight w:val="0"/>
      <w:marTop w:val="0"/>
      <w:marBottom w:val="0"/>
      <w:divBdr>
        <w:top w:val="none" w:sz="0" w:space="0" w:color="auto"/>
        <w:left w:val="none" w:sz="0" w:space="0" w:color="auto"/>
        <w:bottom w:val="none" w:sz="0" w:space="0" w:color="auto"/>
        <w:right w:val="none" w:sz="0" w:space="0" w:color="auto"/>
      </w:divBdr>
    </w:div>
    <w:div w:id="1507482263">
      <w:bodyDiv w:val="1"/>
      <w:marLeft w:val="0"/>
      <w:marRight w:val="0"/>
      <w:marTop w:val="0"/>
      <w:marBottom w:val="0"/>
      <w:divBdr>
        <w:top w:val="none" w:sz="0" w:space="0" w:color="auto"/>
        <w:left w:val="none" w:sz="0" w:space="0" w:color="auto"/>
        <w:bottom w:val="none" w:sz="0" w:space="0" w:color="auto"/>
        <w:right w:val="none" w:sz="0" w:space="0" w:color="auto"/>
      </w:divBdr>
      <w:divsChild>
        <w:div w:id="760881280">
          <w:marLeft w:val="0"/>
          <w:marRight w:val="0"/>
          <w:marTop w:val="0"/>
          <w:marBottom w:val="0"/>
          <w:divBdr>
            <w:top w:val="none" w:sz="0" w:space="0" w:color="auto"/>
            <w:left w:val="none" w:sz="0" w:space="0" w:color="auto"/>
            <w:bottom w:val="none" w:sz="0" w:space="0" w:color="auto"/>
            <w:right w:val="none" w:sz="0" w:space="0" w:color="auto"/>
          </w:divBdr>
        </w:div>
      </w:divsChild>
    </w:div>
    <w:div w:id="1520198871">
      <w:bodyDiv w:val="1"/>
      <w:marLeft w:val="0"/>
      <w:marRight w:val="0"/>
      <w:marTop w:val="0"/>
      <w:marBottom w:val="0"/>
      <w:divBdr>
        <w:top w:val="none" w:sz="0" w:space="0" w:color="auto"/>
        <w:left w:val="none" w:sz="0" w:space="0" w:color="auto"/>
        <w:bottom w:val="none" w:sz="0" w:space="0" w:color="auto"/>
        <w:right w:val="none" w:sz="0" w:space="0" w:color="auto"/>
      </w:divBdr>
    </w:div>
    <w:div w:id="1521046082">
      <w:bodyDiv w:val="1"/>
      <w:marLeft w:val="0"/>
      <w:marRight w:val="0"/>
      <w:marTop w:val="0"/>
      <w:marBottom w:val="0"/>
      <w:divBdr>
        <w:top w:val="none" w:sz="0" w:space="0" w:color="auto"/>
        <w:left w:val="none" w:sz="0" w:space="0" w:color="auto"/>
        <w:bottom w:val="none" w:sz="0" w:space="0" w:color="auto"/>
        <w:right w:val="none" w:sz="0" w:space="0" w:color="auto"/>
      </w:divBdr>
    </w:div>
    <w:div w:id="1523786117">
      <w:bodyDiv w:val="1"/>
      <w:marLeft w:val="0"/>
      <w:marRight w:val="0"/>
      <w:marTop w:val="0"/>
      <w:marBottom w:val="0"/>
      <w:divBdr>
        <w:top w:val="none" w:sz="0" w:space="0" w:color="auto"/>
        <w:left w:val="none" w:sz="0" w:space="0" w:color="auto"/>
        <w:bottom w:val="none" w:sz="0" w:space="0" w:color="auto"/>
        <w:right w:val="none" w:sz="0" w:space="0" w:color="auto"/>
      </w:divBdr>
      <w:divsChild>
        <w:div w:id="2070764523">
          <w:marLeft w:val="0"/>
          <w:marRight w:val="0"/>
          <w:marTop w:val="0"/>
          <w:marBottom w:val="0"/>
          <w:divBdr>
            <w:top w:val="none" w:sz="0" w:space="0" w:color="auto"/>
            <w:left w:val="none" w:sz="0" w:space="0" w:color="auto"/>
            <w:bottom w:val="none" w:sz="0" w:space="0" w:color="auto"/>
            <w:right w:val="none" w:sz="0" w:space="0" w:color="auto"/>
          </w:divBdr>
        </w:div>
      </w:divsChild>
    </w:div>
    <w:div w:id="1536507665">
      <w:bodyDiv w:val="1"/>
      <w:marLeft w:val="0"/>
      <w:marRight w:val="0"/>
      <w:marTop w:val="0"/>
      <w:marBottom w:val="0"/>
      <w:divBdr>
        <w:top w:val="none" w:sz="0" w:space="0" w:color="auto"/>
        <w:left w:val="none" w:sz="0" w:space="0" w:color="auto"/>
        <w:bottom w:val="none" w:sz="0" w:space="0" w:color="auto"/>
        <w:right w:val="none" w:sz="0" w:space="0" w:color="auto"/>
      </w:divBdr>
    </w:div>
    <w:div w:id="1549872344">
      <w:bodyDiv w:val="1"/>
      <w:marLeft w:val="0"/>
      <w:marRight w:val="0"/>
      <w:marTop w:val="0"/>
      <w:marBottom w:val="0"/>
      <w:divBdr>
        <w:top w:val="none" w:sz="0" w:space="0" w:color="auto"/>
        <w:left w:val="none" w:sz="0" w:space="0" w:color="auto"/>
        <w:bottom w:val="none" w:sz="0" w:space="0" w:color="auto"/>
        <w:right w:val="none" w:sz="0" w:space="0" w:color="auto"/>
      </w:divBdr>
    </w:div>
    <w:div w:id="1570188402">
      <w:bodyDiv w:val="1"/>
      <w:marLeft w:val="0"/>
      <w:marRight w:val="0"/>
      <w:marTop w:val="0"/>
      <w:marBottom w:val="0"/>
      <w:divBdr>
        <w:top w:val="none" w:sz="0" w:space="0" w:color="auto"/>
        <w:left w:val="none" w:sz="0" w:space="0" w:color="auto"/>
        <w:bottom w:val="none" w:sz="0" w:space="0" w:color="auto"/>
        <w:right w:val="none" w:sz="0" w:space="0" w:color="auto"/>
      </w:divBdr>
      <w:divsChild>
        <w:div w:id="1047681391">
          <w:blockQuote w:val="1"/>
          <w:marLeft w:val="720"/>
          <w:marRight w:val="720"/>
          <w:marTop w:val="100"/>
          <w:marBottom w:val="100"/>
          <w:divBdr>
            <w:top w:val="none" w:sz="0" w:space="0" w:color="auto"/>
            <w:left w:val="none" w:sz="0" w:space="0" w:color="auto"/>
            <w:bottom w:val="none" w:sz="0" w:space="0" w:color="auto"/>
            <w:right w:val="none" w:sz="0" w:space="0" w:color="auto"/>
          </w:divBdr>
        </w:div>
        <w:div w:id="1871146088">
          <w:blockQuote w:val="1"/>
          <w:marLeft w:val="720"/>
          <w:marRight w:val="720"/>
          <w:marTop w:val="100"/>
          <w:marBottom w:val="100"/>
          <w:divBdr>
            <w:top w:val="none" w:sz="0" w:space="0" w:color="auto"/>
            <w:left w:val="none" w:sz="0" w:space="0" w:color="auto"/>
            <w:bottom w:val="none" w:sz="0" w:space="0" w:color="auto"/>
            <w:right w:val="none" w:sz="0" w:space="0" w:color="auto"/>
          </w:divBdr>
        </w:div>
        <w:div w:id="427387847">
          <w:blockQuote w:val="1"/>
          <w:marLeft w:val="720"/>
          <w:marRight w:val="720"/>
          <w:marTop w:val="100"/>
          <w:marBottom w:val="100"/>
          <w:divBdr>
            <w:top w:val="none" w:sz="0" w:space="0" w:color="auto"/>
            <w:left w:val="none" w:sz="0" w:space="0" w:color="auto"/>
            <w:bottom w:val="none" w:sz="0" w:space="0" w:color="auto"/>
            <w:right w:val="none" w:sz="0" w:space="0" w:color="auto"/>
          </w:divBdr>
        </w:div>
        <w:div w:id="1319773198">
          <w:blockQuote w:val="1"/>
          <w:marLeft w:val="720"/>
          <w:marRight w:val="720"/>
          <w:marTop w:val="100"/>
          <w:marBottom w:val="100"/>
          <w:divBdr>
            <w:top w:val="none" w:sz="0" w:space="0" w:color="auto"/>
            <w:left w:val="none" w:sz="0" w:space="0" w:color="auto"/>
            <w:bottom w:val="none" w:sz="0" w:space="0" w:color="auto"/>
            <w:right w:val="none" w:sz="0" w:space="0" w:color="auto"/>
          </w:divBdr>
        </w:div>
        <w:div w:id="991373041">
          <w:blockQuote w:val="1"/>
          <w:marLeft w:val="720"/>
          <w:marRight w:val="720"/>
          <w:marTop w:val="100"/>
          <w:marBottom w:val="100"/>
          <w:divBdr>
            <w:top w:val="none" w:sz="0" w:space="0" w:color="auto"/>
            <w:left w:val="none" w:sz="0" w:space="0" w:color="auto"/>
            <w:bottom w:val="none" w:sz="0" w:space="0" w:color="auto"/>
            <w:right w:val="none" w:sz="0" w:space="0" w:color="auto"/>
          </w:divBdr>
        </w:div>
        <w:div w:id="13543804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9562387">
      <w:bodyDiv w:val="1"/>
      <w:marLeft w:val="0"/>
      <w:marRight w:val="0"/>
      <w:marTop w:val="0"/>
      <w:marBottom w:val="0"/>
      <w:divBdr>
        <w:top w:val="none" w:sz="0" w:space="0" w:color="auto"/>
        <w:left w:val="none" w:sz="0" w:space="0" w:color="auto"/>
        <w:bottom w:val="none" w:sz="0" w:space="0" w:color="auto"/>
        <w:right w:val="none" w:sz="0" w:space="0" w:color="auto"/>
      </w:divBdr>
    </w:div>
    <w:div w:id="1599869063">
      <w:bodyDiv w:val="1"/>
      <w:marLeft w:val="0"/>
      <w:marRight w:val="0"/>
      <w:marTop w:val="0"/>
      <w:marBottom w:val="0"/>
      <w:divBdr>
        <w:top w:val="none" w:sz="0" w:space="0" w:color="auto"/>
        <w:left w:val="none" w:sz="0" w:space="0" w:color="auto"/>
        <w:bottom w:val="none" w:sz="0" w:space="0" w:color="auto"/>
        <w:right w:val="none" w:sz="0" w:space="0" w:color="auto"/>
      </w:divBdr>
    </w:div>
    <w:div w:id="1600523224">
      <w:bodyDiv w:val="1"/>
      <w:marLeft w:val="0"/>
      <w:marRight w:val="0"/>
      <w:marTop w:val="0"/>
      <w:marBottom w:val="0"/>
      <w:divBdr>
        <w:top w:val="none" w:sz="0" w:space="0" w:color="auto"/>
        <w:left w:val="none" w:sz="0" w:space="0" w:color="auto"/>
        <w:bottom w:val="none" w:sz="0" w:space="0" w:color="auto"/>
        <w:right w:val="none" w:sz="0" w:space="0" w:color="auto"/>
      </w:divBdr>
    </w:div>
    <w:div w:id="1608465463">
      <w:bodyDiv w:val="1"/>
      <w:marLeft w:val="0"/>
      <w:marRight w:val="0"/>
      <w:marTop w:val="0"/>
      <w:marBottom w:val="0"/>
      <w:divBdr>
        <w:top w:val="none" w:sz="0" w:space="0" w:color="auto"/>
        <w:left w:val="none" w:sz="0" w:space="0" w:color="auto"/>
        <w:bottom w:val="none" w:sz="0" w:space="0" w:color="auto"/>
        <w:right w:val="none" w:sz="0" w:space="0" w:color="auto"/>
      </w:divBdr>
    </w:div>
    <w:div w:id="1613585460">
      <w:bodyDiv w:val="1"/>
      <w:marLeft w:val="0"/>
      <w:marRight w:val="0"/>
      <w:marTop w:val="0"/>
      <w:marBottom w:val="0"/>
      <w:divBdr>
        <w:top w:val="none" w:sz="0" w:space="0" w:color="auto"/>
        <w:left w:val="none" w:sz="0" w:space="0" w:color="auto"/>
        <w:bottom w:val="none" w:sz="0" w:space="0" w:color="auto"/>
        <w:right w:val="none" w:sz="0" w:space="0" w:color="auto"/>
      </w:divBdr>
    </w:div>
    <w:div w:id="1615821581">
      <w:bodyDiv w:val="1"/>
      <w:marLeft w:val="0"/>
      <w:marRight w:val="0"/>
      <w:marTop w:val="0"/>
      <w:marBottom w:val="0"/>
      <w:divBdr>
        <w:top w:val="none" w:sz="0" w:space="0" w:color="auto"/>
        <w:left w:val="none" w:sz="0" w:space="0" w:color="auto"/>
        <w:bottom w:val="none" w:sz="0" w:space="0" w:color="auto"/>
        <w:right w:val="none" w:sz="0" w:space="0" w:color="auto"/>
      </w:divBdr>
    </w:div>
    <w:div w:id="1629581171">
      <w:bodyDiv w:val="1"/>
      <w:marLeft w:val="0"/>
      <w:marRight w:val="0"/>
      <w:marTop w:val="0"/>
      <w:marBottom w:val="0"/>
      <w:divBdr>
        <w:top w:val="none" w:sz="0" w:space="0" w:color="auto"/>
        <w:left w:val="none" w:sz="0" w:space="0" w:color="auto"/>
        <w:bottom w:val="none" w:sz="0" w:space="0" w:color="auto"/>
        <w:right w:val="none" w:sz="0" w:space="0" w:color="auto"/>
      </w:divBdr>
    </w:div>
    <w:div w:id="1641417290">
      <w:bodyDiv w:val="1"/>
      <w:marLeft w:val="0"/>
      <w:marRight w:val="0"/>
      <w:marTop w:val="0"/>
      <w:marBottom w:val="0"/>
      <w:divBdr>
        <w:top w:val="none" w:sz="0" w:space="0" w:color="auto"/>
        <w:left w:val="none" w:sz="0" w:space="0" w:color="auto"/>
        <w:bottom w:val="none" w:sz="0" w:space="0" w:color="auto"/>
        <w:right w:val="none" w:sz="0" w:space="0" w:color="auto"/>
      </w:divBdr>
    </w:div>
    <w:div w:id="1674644330">
      <w:bodyDiv w:val="1"/>
      <w:marLeft w:val="0"/>
      <w:marRight w:val="0"/>
      <w:marTop w:val="0"/>
      <w:marBottom w:val="0"/>
      <w:divBdr>
        <w:top w:val="none" w:sz="0" w:space="0" w:color="auto"/>
        <w:left w:val="none" w:sz="0" w:space="0" w:color="auto"/>
        <w:bottom w:val="none" w:sz="0" w:space="0" w:color="auto"/>
        <w:right w:val="none" w:sz="0" w:space="0" w:color="auto"/>
      </w:divBdr>
    </w:div>
    <w:div w:id="1687095857">
      <w:bodyDiv w:val="1"/>
      <w:marLeft w:val="0"/>
      <w:marRight w:val="0"/>
      <w:marTop w:val="0"/>
      <w:marBottom w:val="0"/>
      <w:divBdr>
        <w:top w:val="none" w:sz="0" w:space="0" w:color="auto"/>
        <w:left w:val="none" w:sz="0" w:space="0" w:color="auto"/>
        <w:bottom w:val="none" w:sz="0" w:space="0" w:color="auto"/>
        <w:right w:val="none" w:sz="0" w:space="0" w:color="auto"/>
      </w:divBdr>
    </w:div>
    <w:div w:id="1691683792">
      <w:bodyDiv w:val="1"/>
      <w:marLeft w:val="0"/>
      <w:marRight w:val="0"/>
      <w:marTop w:val="0"/>
      <w:marBottom w:val="0"/>
      <w:divBdr>
        <w:top w:val="none" w:sz="0" w:space="0" w:color="auto"/>
        <w:left w:val="none" w:sz="0" w:space="0" w:color="auto"/>
        <w:bottom w:val="none" w:sz="0" w:space="0" w:color="auto"/>
        <w:right w:val="none" w:sz="0" w:space="0" w:color="auto"/>
      </w:divBdr>
    </w:div>
    <w:div w:id="1697850655">
      <w:bodyDiv w:val="1"/>
      <w:marLeft w:val="0"/>
      <w:marRight w:val="0"/>
      <w:marTop w:val="0"/>
      <w:marBottom w:val="0"/>
      <w:divBdr>
        <w:top w:val="none" w:sz="0" w:space="0" w:color="auto"/>
        <w:left w:val="none" w:sz="0" w:space="0" w:color="auto"/>
        <w:bottom w:val="none" w:sz="0" w:space="0" w:color="auto"/>
        <w:right w:val="none" w:sz="0" w:space="0" w:color="auto"/>
      </w:divBdr>
    </w:div>
    <w:div w:id="1708262174">
      <w:bodyDiv w:val="1"/>
      <w:marLeft w:val="0"/>
      <w:marRight w:val="0"/>
      <w:marTop w:val="0"/>
      <w:marBottom w:val="0"/>
      <w:divBdr>
        <w:top w:val="none" w:sz="0" w:space="0" w:color="auto"/>
        <w:left w:val="none" w:sz="0" w:space="0" w:color="auto"/>
        <w:bottom w:val="none" w:sz="0" w:space="0" w:color="auto"/>
        <w:right w:val="none" w:sz="0" w:space="0" w:color="auto"/>
      </w:divBdr>
    </w:div>
    <w:div w:id="1758166377">
      <w:bodyDiv w:val="1"/>
      <w:marLeft w:val="0"/>
      <w:marRight w:val="0"/>
      <w:marTop w:val="0"/>
      <w:marBottom w:val="0"/>
      <w:divBdr>
        <w:top w:val="none" w:sz="0" w:space="0" w:color="auto"/>
        <w:left w:val="none" w:sz="0" w:space="0" w:color="auto"/>
        <w:bottom w:val="none" w:sz="0" w:space="0" w:color="auto"/>
        <w:right w:val="none" w:sz="0" w:space="0" w:color="auto"/>
      </w:divBdr>
    </w:div>
    <w:div w:id="1759523115">
      <w:bodyDiv w:val="1"/>
      <w:marLeft w:val="0"/>
      <w:marRight w:val="0"/>
      <w:marTop w:val="0"/>
      <w:marBottom w:val="0"/>
      <w:divBdr>
        <w:top w:val="none" w:sz="0" w:space="0" w:color="auto"/>
        <w:left w:val="none" w:sz="0" w:space="0" w:color="auto"/>
        <w:bottom w:val="none" w:sz="0" w:space="0" w:color="auto"/>
        <w:right w:val="none" w:sz="0" w:space="0" w:color="auto"/>
      </w:divBdr>
    </w:div>
    <w:div w:id="1763332893">
      <w:bodyDiv w:val="1"/>
      <w:marLeft w:val="0"/>
      <w:marRight w:val="0"/>
      <w:marTop w:val="0"/>
      <w:marBottom w:val="0"/>
      <w:divBdr>
        <w:top w:val="none" w:sz="0" w:space="0" w:color="auto"/>
        <w:left w:val="none" w:sz="0" w:space="0" w:color="auto"/>
        <w:bottom w:val="none" w:sz="0" w:space="0" w:color="auto"/>
        <w:right w:val="none" w:sz="0" w:space="0" w:color="auto"/>
      </w:divBdr>
      <w:divsChild>
        <w:div w:id="524947727">
          <w:marLeft w:val="0"/>
          <w:marRight w:val="0"/>
          <w:marTop w:val="0"/>
          <w:marBottom w:val="0"/>
          <w:divBdr>
            <w:top w:val="none" w:sz="0" w:space="0" w:color="auto"/>
            <w:left w:val="none" w:sz="0" w:space="0" w:color="auto"/>
            <w:bottom w:val="none" w:sz="0" w:space="0" w:color="auto"/>
            <w:right w:val="none" w:sz="0" w:space="0" w:color="auto"/>
          </w:divBdr>
        </w:div>
      </w:divsChild>
    </w:div>
    <w:div w:id="1807506059">
      <w:bodyDiv w:val="1"/>
      <w:marLeft w:val="0"/>
      <w:marRight w:val="0"/>
      <w:marTop w:val="0"/>
      <w:marBottom w:val="0"/>
      <w:divBdr>
        <w:top w:val="none" w:sz="0" w:space="0" w:color="auto"/>
        <w:left w:val="none" w:sz="0" w:space="0" w:color="auto"/>
        <w:bottom w:val="none" w:sz="0" w:space="0" w:color="auto"/>
        <w:right w:val="none" w:sz="0" w:space="0" w:color="auto"/>
      </w:divBdr>
    </w:div>
    <w:div w:id="1813055308">
      <w:bodyDiv w:val="1"/>
      <w:marLeft w:val="0"/>
      <w:marRight w:val="0"/>
      <w:marTop w:val="0"/>
      <w:marBottom w:val="0"/>
      <w:divBdr>
        <w:top w:val="none" w:sz="0" w:space="0" w:color="auto"/>
        <w:left w:val="none" w:sz="0" w:space="0" w:color="auto"/>
        <w:bottom w:val="none" w:sz="0" w:space="0" w:color="auto"/>
        <w:right w:val="none" w:sz="0" w:space="0" w:color="auto"/>
      </w:divBdr>
      <w:divsChild>
        <w:div w:id="1227301359">
          <w:marLeft w:val="0"/>
          <w:marRight w:val="0"/>
          <w:marTop w:val="0"/>
          <w:marBottom w:val="0"/>
          <w:divBdr>
            <w:top w:val="none" w:sz="0" w:space="0" w:color="auto"/>
            <w:left w:val="none" w:sz="0" w:space="0" w:color="auto"/>
            <w:bottom w:val="none" w:sz="0" w:space="0" w:color="auto"/>
            <w:right w:val="none" w:sz="0" w:space="0" w:color="auto"/>
          </w:divBdr>
        </w:div>
      </w:divsChild>
    </w:div>
    <w:div w:id="1819960599">
      <w:bodyDiv w:val="1"/>
      <w:marLeft w:val="0"/>
      <w:marRight w:val="0"/>
      <w:marTop w:val="0"/>
      <w:marBottom w:val="0"/>
      <w:divBdr>
        <w:top w:val="none" w:sz="0" w:space="0" w:color="auto"/>
        <w:left w:val="none" w:sz="0" w:space="0" w:color="auto"/>
        <w:bottom w:val="none" w:sz="0" w:space="0" w:color="auto"/>
        <w:right w:val="none" w:sz="0" w:space="0" w:color="auto"/>
      </w:divBdr>
    </w:div>
    <w:div w:id="1822690170">
      <w:bodyDiv w:val="1"/>
      <w:marLeft w:val="0"/>
      <w:marRight w:val="0"/>
      <w:marTop w:val="0"/>
      <w:marBottom w:val="0"/>
      <w:divBdr>
        <w:top w:val="none" w:sz="0" w:space="0" w:color="auto"/>
        <w:left w:val="none" w:sz="0" w:space="0" w:color="auto"/>
        <w:bottom w:val="none" w:sz="0" w:space="0" w:color="auto"/>
        <w:right w:val="none" w:sz="0" w:space="0" w:color="auto"/>
      </w:divBdr>
    </w:div>
    <w:div w:id="1847548078">
      <w:bodyDiv w:val="1"/>
      <w:marLeft w:val="0"/>
      <w:marRight w:val="0"/>
      <w:marTop w:val="0"/>
      <w:marBottom w:val="0"/>
      <w:divBdr>
        <w:top w:val="none" w:sz="0" w:space="0" w:color="auto"/>
        <w:left w:val="none" w:sz="0" w:space="0" w:color="auto"/>
        <w:bottom w:val="none" w:sz="0" w:space="0" w:color="auto"/>
        <w:right w:val="none" w:sz="0" w:space="0" w:color="auto"/>
      </w:divBdr>
    </w:div>
    <w:div w:id="1849979222">
      <w:bodyDiv w:val="1"/>
      <w:marLeft w:val="0"/>
      <w:marRight w:val="0"/>
      <w:marTop w:val="0"/>
      <w:marBottom w:val="0"/>
      <w:divBdr>
        <w:top w:val="none" w:sz="0" w:space="0" w:color="auto"/>
        <w:left w:val="none" w:sz="0" w:space="0" w:color="auto"/>
        <w:bottom w:val="none" w:sz="0" w:space="0" w:color="auto"/>
        <w:right w:val="none" w:sz="0" w:space="0" w:color="auto"/>
      </w:divBdr>
    </w:div>
    <w:div w:id="1889803716">
      <w:bodyDiv w:val="1"/>
      <w:marLeft w:val="0"/>
      <w:marRight w:val="0"/>
      <w:marTop w:val="0"/>
      <w:marBottom w:val="0"/>
      <w:divBdr>
        <w:top w:val="none" w:sz="0" w:space="0" w:color="auto"/>
        <w:left w:val="none" w:sz="0" w:space="0" w:color="auto"/>
        <w:bottom w:val="none" w:sz="0" w:space="0" w:color="auto"/>
        <w:right w:val="none" w:sz="0" w:space="0" w:color="auto"/>
      </w:divBdr>
      <w:divsChild>
        <w:div w:id="932053008">
          <w:marLeft w:val="0"/>
          <w:marRight w:val="0"/>
          <w:marTop w:val="0"/>
          <w:marBottom w:val="0"/>
          <w:divBdr>
            <w:top w:val="none" w:sz="0" w:space="0" w:color="auto"/>
            <w:left w:val="none" w:sz="0" w:space="0" w:color="auto"/>
            <w:bottom w:val="none" w:sz="0" w:space="0" w:color="auto"/>
            <w:right w:val="none" w:sz="0" w:space="0" w:color="auto"/>
          </w:divBdr>
        </w:div>
      </w:divsChild>
    </w:div>
    <w:div w:id="1897356208">
      <w:bodyDiv w:val="1"/>
      <w:marLeft w:val="0"/>
      <w:marRight w:val="0"/>
      <w:marTop w:val="0"/>
      <w:marBottom w:val="0"/>
      <w:divBdr>
        <w:top w:val="none" w:sz="0" w:space="0" w:color="auto"/>
        <w:left w:val="none" w:sz="0" w:space="0" w:color="auto"/>
        <w:bottom w:val="none" w:sz="0" w:space="0" w:color="auto"/>
        <w:right w:val="none" w:sz="0" w:space="0" w:color="auto"/>
      </w:divBdr>
      <w:divsChild>
        <w:div w:id="1809010149">
          <w:marLeft w:val="0"/>
          <w:marRight w:val="0"/>
          <w:marTop w:val="0"/>
          <w:marBottom w:val="0"/>
          <w:divBdr>
            <w:top w:val="none" w:sz="0" w:space="0" w:color="auto"/>
            <w:left w:val="none" w:sz="0" w:space="0" w:color="auto"/>
            <w:bottom w:val="none" w:sz="0" w:space="0" w:color="auto"/>
            <w:right w:val="none" w:sz="0" w:space="0" w:color="auto"/>
          </w:divBdr>
        </w:div>
      </w:divsChild>
    </w:div>
    <w:div w:id="1916015972">
      <w:bodyDiv w:val="1"/>
      <w:marLeft w:val="0"/>
      <w:marRight w:val="0"/>
      <w:marTop w:val="0"/>
      <w:marBottom w:val="0"/>
      <w:divBdr>
        <w:top w:val="none" w:sz="0" w:space="0" w:color="auto"/>
        <w:left w:val="none" w:sz="0" w:space="0" w:color="auto"/>
        <w:bottom w:val="none" w:sz="0" w:space="0" w:color="auto"/>
        <w:right w:val="none" w:sz="0" w:space="0" w:color="auto"/>
      </w:divBdr>
    </w:div>
    <w:div w:id="1933930489">
      <w:bodyDiv w:val="1"/>
      <w:marLeft w:val="0"/>
      <w:marRight w:val="0"/>
      <w:marTop w:val="0"/>
      <w:marBottom w:val="0"/>
      <w:divBdr>
        <w:top w:val="none" w:sz="0" w:space="0" w:color="auto"/>
        <w:left w:val="none" w:sz="0" w:space="0" w:color="auto"/>
        <w:bottom w:val="none" w:sz="0" w:space="0" w:color="auto"/>
        <w:right w:val="none" w:sz="0" w:space="0" w:color="auto"/>
      </w:divBdr>
    </w:div>
    <w:div w:id="1939215424">
      <w:bodyDiv w:val="1"/>
      <w:marLeft w:val="0"/>
      <w:marRight w:val="0"/>
      <w:marTop w:val="0"/>
      <w:marBottom w:val="0"/>
      <w:divBdr>
        <w:top w:val="none" w:sz="0" w:space="0" w:color="auto"/>
        <w:left w:val="none" w:sz="0" w:space="0" w:color="auto"/>
        <w:bottom w:val="none" w:sz="0" w:space="0" w:color="auto"/>
        <w:right w:val="none" w:sz="0" w:space="0" w:color="auto"/>
      </w:divBdr>
    </w:div>
    <w:div w:id="1942762174">
      <w:bodyDiv w:val="1"/>
      <w:marLeft w:val="0"/>
      <w:marRight w:val="0"/>
      <w:marTop w:val="0"/>
      <w:marBottom w:val="0"/>
      <w:divBdr>
        <w:top w:val="none" w:sz="0" w:space="0" w:color="auto"/>
        <w:left w:val="none" w:sz="0" w:space="0" w:color="auto"/>
        <w:bottom w:val="none" w:sz="0" w:space="0" w:color="auto"/>
        <w:right w:val="none" w:sz="0" w:space="0" w:color="auto"/>
      </w:divBdr>
    </w:div>
    <w:div w:id="1943683594">
      <w:bodyDiv w:val="1"/>
      <w:marLeft w:val="0"/>
      <w:marRight w:val="0"/>
      <w:marTop w:val="0"/>
      <w:marBottom w:val="0"/>
      <w:divBdr>
        <w:top w:val="none" w:sz="0" w:space="0" w:color="auto"/>
        <w:left w:val="none" w:sz="0" w:space="0" w:color="auto"/>
        <w:bottom w:val="none" w:sz="0" w:space="0" w:color="auto"/>
        <w:right w:val="none" w:sz="0" w:space="0" w:color="auto"/>
      </w:divBdr>
    </w:div>
    <w:div w:id="1972443296">
      <w:bodyDiv w:val="1"/>
      <w:marLeft w:val="0"/>
      <w:marRight w:val="0"/>
      <w:marTop w:val="0"/>
      <w:marBottom w:val="0"/>
      <w:divBdr>
        <w:top w:val="none" w:sz="0" w:space="0" w:color="auto"/>
        <w:left w:val="none" w:sz="0" w:space="0" w:color="auto"/>
        <w:bottom w:val="none" w:sz="0" w:space="0" w:color="auto"/>
        <w:right w:val="none" w:sz="0" w:space="0" w:color="auto"/>
      </w:divBdr>
    </w:div>
    <w:div w:id="2029215080">
      <w:bodyDiv w:val="1"/>
      <w:marLeft w:val="0"/>
      <w:marRight w:val="0"/>
      <w:marTop w:val="0"/>
      <w:marBottom w:val="0"/>
      <w:divBdr>
        <w:top w:val="none" w:sz="0" w:space="0" w:color="auto"/>
        <w:left w:val="none" w:sz="0" w:space="0" w:color="auto"/>
        <w:bottom w:val="none" w:sz="0" w:space="0" w:color="auto"/>
        <w:right w:val="none" w:sz="0" w:space="0" w:color="auto"/>
      </w:divBdr>
    </w:div>
    <w:div w:id="2037655317">
      <w:bodyDiv w:val="1"/>
      <w:marLeft w:val="0"/>
      <w:marRight w:val="0"/>
      <w:marTop w:val="0"/>
      <w:marBottom w:val="0"/>
      <w:divBdr>
        <w:top w:val="none" w:sz="0" w:space="0" w:color="auto"/>
        <w:left w:val="none" w:sz="0" w:space="0" w:color="auto"/>
        <w:bottom w:val="none" w:sz="0" w:space="0" w:color="auto"/>
        <w:right w:val="none" w:sz="0" w:space="0" w:color="auto"/>
      </w:divBdr>
    </w:div>
    <w:div w:id="2048135542">
      <w:bodyDiv w:val="1"/>
      <w:marLeft w:val="0"/>
      <w:marRight w:val="0"/>
      <w:marTop w:val="0"/>
      <w:marBottom w:val="0"/>
      <w:divBdr>
        <w:top w:val="none" w:sz="0" w:space="0" w:color="auto"/>
        <w:left w:val="none" w:sz="0" w:space="0" w:color="auto"/>
        <w:bottom w:val="none" w:sz="0" w:space="0" w:color="auto"/>
        <w:right w:val="none" w:sz="0" w:space="0" w:color="auto"/>
      </w:divBdr>
    </w:div>
    <w:div w:id="2048794357">
      <w:bodyDiv w:val="1"/>
      <w:marLeft w:val="0"/>
      <w:marRight w:val="0"/>
      <w:marTop w:val="0"/>
      <w:marBottom w:val="0"/>
      <w:divBdr>
        <w:top w:val="none" w:sz="0" w:space="0" w:color="auto"/>
        <w:left w:val="none" w:sz="0" w:space="0" w:color="auto"/>
        <w:bottom w:val="none" w:sz="0" w:space="0" w:color="auto"/>
        <w:right w:val="none" w:sz="0" w:space="0" w:color="auto"/>
      </w:divBdr>
    </w:div>
    <w:div w:id="2051299455">
      <w:bodyDiv w:val="1"/>
      <w:marLeft w:val="0"/>
      <w:marRight w:val="0"/>
      <w:marTop w:val="0"/>
      <w:marBottom w:val="0"/>
      <w:divBdr>
        <w:top w:val="none" w:sz="0" w:space="0" w:color="auto"/>
        <w:left w:val="none" w:sz="0" w:space="0" w:color="auto"/>
        <w:bottom w:val="none" w:sz="0" w:space="0" w:color="auto"/>
        <w:right w:val="none" w:sz="0" w:space="0" w:color="auto"/>
      </w:divBdr>
    </w:div>
    <w:div w:id="2065374454">
      <w:bodyDiv w:val="1"/>
      <w:marLeft w:val="0"/>
      <w:marRight w:val="0"/>
      <w:marTop w:val="0"/>
      <w:marBottom w:val="0"/>
      <w:divBdr>
        <w:top w:val="none" w:sz="0" w:space="0" w:color="auto"/>
        <w:left w:val="none" w:sz="0" w:space="0" w:color="auto"/>
        <w:bottom w:val="none" w:sz="0" w:space="0" w:color="auto"/>
        <w:right w:val="none" w:sz="0" w:space="0" w:color="auto"/>
      </w:divBdr>
    </w:div>
    <w:div w:id="2067025901">
      <w:bodyDiv w:val="1"/>
      <w:marLeft w:val="0"/>
      <w:marRight w:val="0"/>
      <w:marTop w:val="0"/>
      <w:marBottom w:val="0"/>
      <w:divBdr>
        <w:top w:val="none" w:sz="0" w:space="0" w:color="auto"/>
        <w:left w:val="none" w:sz="0" w:space="0" w:color="auto"/>
        <w:bottom w:val="none" w:sz="0" w:space="0" w:color="auto"/>
        <w:right w:val="none" w:sz="0" w:space="0" w:color="auto"/>
      </w:divBdr>
    </w:div>
    <w:div w:id="2074160437">
      <w:bodyDiv w:val="1"/>
      <w:marLeft w:val="0"/>
      <w:marRight w:val="0"/>
      <w:marTop w:val="0"/>
      <w:marBottom w:val="0"/>
      <w:divBdr>
        <w:top w:val="none" w:sz="0" w:space="0" w:color="auto"/>
        <w:left w:val="none" w:sz="0" w:space="0" w:color="auto"/>
        <w:bottom w:val="none" w:sz="0" w:space="0" w:color="auto"/>
        <w:right w:val="none" w:sz="0" w:space="0" w:color="auto"/>
      </w:divBdr>
    </w:div>
    <w:div w:id="2091342544">
      <w:bodyDiv w:val="1"/>
      <w:marLeft w:val="0"/>
      <w:marRight w:val="0"/>
      <w:marTop w:val="0"/>
      <w:marBottom w:val="0"/>
      <w:divBdr>
        <w:top w:val="none" w:sz="0" w:space="0" w:color="auto"/>
        <w:left w:val="none" w:sz="0" w:space="0" w:color="auto"/>
        <w:bottom w:val="none" w:sz="0" w:space="0" w:color="auto"/>
        <w:right w:val="none" w:sz="0" w:space="0" w:color="auto"/>
      </w:divBdr>
      <w:divsChild>
        <w:div w:id="385763416">
          <w:marLeft w:val="0"/>
          <w:marRight w:val="0"/>
          <w:marTop w:val="0"/>
          <w:marBottom w:val="0"/>
          <w:divBdr>
            <w:top w:val="none" w:sz="0" w:space="0" w:color="auto"/>
            <w:left w:val="none" w:sz="0" w:space="0" w:color="auto"/>
            <w:bottom w:val="none" w:sz="0" w:space="0" w:color="auto"/>
            <w:right w:val="none" w:sz="0" w:space="0" w:color="auto"/>
          </w:divBdr>
        </w:div>
      </w:divsChild>
    </w:div>
    <w:div w:id="2091729296">
      <w:bodyDiv w:val="1"/>
      <w:marLeft w:val="0"/>
      <w:marRight w:val="0"/>
      <w:marTop w:val="0"/>
      <w:marBottom w:val="0"/>
      <w:divBdr>
        <w:top w:val="none" w:sz="0" w:space="0" w:color="auto"/>
        <w:left w:val="none" w:sz="0" w:space="0" w:color="auto"/>
        <w:bottom w:val="none" w:sz="0" w:space="0" w:color="auto"/>
        <w:right w:val="none" w:sz="0" w:space="0" w:color="auto"/>
      </w:divBdr>
    </w:div>
    <w:div w:id="2119988357">
      <w:bodyDiv w:val="1"/>
      <w:marLeft w:val="0"/>
      <w:marRight w:val="0"/>
      <w:marTop w:val="0"/>
      <w:marBottom w:val="0"/>
      <w:divBdr>
        <w:top w:val="none" w:sz="0" w:space="0" w:color="auto"/>
        <w:left w:val="none" w:sz="0" w:space="0" w:color="auto"/>
        <w:bottom w:val="none" w:sz="0" w:space="0" w:color="auto"/>
        <w:right w:val="none" w:sz="0" w:space="0" w:color="auto"/>
      </w:divBdr>
      <w:divsChild>
        <w:div w:id="13853271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ubhtml5.com/enuk/cykh/Creswell_and_Poth%2C_2018%2C_Qualitative_Inquiry_4th/" TargetMode="External"/><Relationship Id="rId21" Type="http://schemas.openxmlformats.org/officeDocument/2006/relationships/hyperlink" Target="https://www.researchgate.net/profile/David-Morgan-43/post/How_to_teach_and_or_supervise_qualitatve_data_analysis/attachment/5d448bd33843b0b9825d91e4/AS%3A787530584698880%401564773331825/download/Braun+12+APA+Handbook.pdf" TargetMode="External"/><Relationship Id="rId42" Type="http://schemas.openxmlformats.org/officeDocument/2006/relationships/hyperlink" Target="https://www.thelancet.com/journals/lanpub/article/PIIS2468-2667(17)30118-4/fulltext" TargetMode="External"/><Relationship Id="rId47" Type="http://schemas.openxmlformats.org/officeDocument/2006/relationships/hyperlink" Target="https://www.theworkfoundation.com/" TargetMode="External"/><Relationship Id="rId63" Type="http://schemas.openxmlformats.org/officeDocument/2006/relationships/hyperlink" Target="https://www.gov.uk/government/statistics/substance-misuse-treatment-for-adults-statistics-2020-to-2021" TargetMode="External"/><Relationship Id="rId68" Type="http://schemas.openxmlformats.org/officeDocument/2006/relationships/hyperlink" Target="https://doi.org/10.1016/j.addbeh.2018.08.036" TargetMode="External"/><Relationship Id="rId84" Type="http://schemas.openxmlformats.org/officeDocument/2006/relationships/theme" Target="theme/theme1.xml"/><Relationship Id="rId16" Type="http://schemas.openxmlformats.org/officeDocument/2006/relationships/hyperlink" Target="https://assets.publishing.service.gov.uk/media/60eef5588fa8f50c768386fd/independent-review-of-drugs-part-2-annexes.pdf" TargetMode="External"/><Relationship Id="rId11" Type="http://schemas.openxmlformats.org/officeDocument/2006/relationships/hyperlink" Target="https://doi.org/10.2307/jj.26193249" TargetMode="External"/><Relationship Id="rId32" Type="http://schemas.openxmlformats.org/officeDocument/2006/relationships/hyperlink" Target="https://doi.org/10.1086/382250" TargetMode="External"/><Relationship Id="rId37" Type="http://schemas.openxmlformats.org/officeDocument/2006/relationships/hyperlink" Target="https://doi.org/10.2307/1140513" TargetMode="External"/><Relationship Id="rId53" Type="http://schemas.openxmlformats.org/officeDocument/2006/relationships/hyperlink" Target="https://doi:10.1016/j.dadr.2022.100028" TargetMode="External"/><Relationship Id="rId58" Type="http://schemas.openxmlformats.org/officeDocument/2006/relationships/hyperlink" Target="https://www.longtermplan.nhs.uk/" TargetMode="External"/><Relationship Id="rId74" Type="http://schemas.openxmlformats.org/officeDocument/2006/relationships/hyperlink" Target="https://www.unodc.org/unodc/en/data-and-analysis/world-drug-report-2022.html?utm_source=chatgpt.com" TargetMode="External"/><Relationship Id="rId79" Type="http://schemas.openxmlformats.org/officeDocument/2006/relationships/hyperlink" Target="https://www.who.int/publications/i/item/9241544686" TargetMode="External"/><Relationship Id="rId5" Type="http://schemas.openxmlformats.org/officeDocument/2006/relationships/webSettings" Target="webSettings.xml"/><Relationship Id="rId61" Type="http://schemas.openxmlformats.org/officeDocument/2006/relationships/hyperlink" Target="https://doi.org/10.1136/bmj.n71" TargetMode="External"/><Relationship Id="rId82" Type="http://schemas.openxmlformats.org/officeDocument/2006/relationships/fontTable" Target="fontTable.xml"/><Relationship Id="rId19" Type="http://schemas.openxmlformats.org/officeDocument/2006/relationships/hyperlink" Target="https://books.google.co.uk/books?hl=en&amp;lr=&amp;id=Zpc3DwAAQBAJ&amp;oi=fnd&amp;pg=PP1&amp;dq=Doing+a+Systematic+Review:+A+Student&#8217;s+Guide.+2nd+ed.&amp;ots=KjI78ALSA5&amp;sig=URTqa_rqi5W6MNNWmUbT6vimRHY&amp;redir_esc=y" TargetMode="External"/><Relationship Id="rId14" Type="http://schemas.openxmlformats.org/officeDocument/2006/relationships/hyperlink" Target="https://monoskop.org/images/2/2b/Becker_Howard_Outsiders_Studies_In_The_Sociogy_Of_Deviance_1963.pdf" TargetMode="External"/><Relationship Id="rId22" Type="http://schemas.openxmlformats.org/officeDocument/2006/relationships/hyperlink" Target="https://doi.org/10.1016/S0740-5472(97)00286-9" TargetMode="External"/><Relationship Id="rId27" Type="http://schemas.openxmlformats.org/officeDocument/2006/relationships/hyperlink" Target="https://ajph.aphapublications.org/doi/full/10.2105/AJPH.2017.304187" TargetMode="External"/><Relationship Id="rId30" Type="http://schemas.openxmlformats.org/officeDocument/2006/relationships/hyperlink" Target="https://www.emcdda.europa.eu/publications/edr/trends-developments/2022_en" TargetMode="External"/><Relationship Id="rId35" Type="http://schemas.openxmlformats.org/officeDocument/2006/relationships/hyperlink" Target="https://books.google.co.uk/books?hl=en&amp;lr=&amp;id=L_YvEQAAQBAJ&amp;oi=fnd&amp;pg=PR12&amp;dq=How+to+Read+a+Paper:+the+Basics+of+Evidence-Based+Healthcare,+7th+Edition&amp;ots=F28FSKoKI1&amp;sig=c4bPEIMzeXz-DpLKNnoKfaTiYSQ&amp;redir_esc=y" TargetMode="External"/><Relationship Id="rId43" Type="http://schemas.openxmlformats.org/officeDocument/2006/relationships/hyperlink" Target="https://www.instituteofhealthequity.org/resources-reports/fair-society-healthy-lives-the-marmot-review" TargetMode="External"/><Relationship Id="rId48" Type="http://schemas.openxmlformats.org/officeDocument/2006/relationships/hyperlink" Target="https://doi:10.1080/16066359.2018.1478429" TargetMode="External"/><Relationship Id="rId56" Type="http://schemas.openxmlformats.org/officeDocument/2006/relationships/hyperlink" Target="https://www.nice.org.uk/" TargetMode="External"/><Relationship Id="rId64" Type="http://schemas.openxmlformats.org/officeDocument/2006/relationships/hyperlink" Target="https://onlinelibrary.wiley.com/doi/10.1080/09595230500102434" TargetMode="External"/><Relationship Id="rId69" Type="http://schemas.openxmlformats.org/officeDocument/2006/relationships/hyperlink" Target="https://doi.org/10.1016/j.drugpo.2018.03.030" TargetMode="External"/><Relationship Id="rId77" Type="http://schemas.openxmlformats.org/officeDocument/2006/relationships/hyperlink" Target="https://www.who.int/publications/i/item/9789240096745" TargetMode="External"/><Relationship Id="rId8" Type="http://schemas.openxmlformats.org/officeDocument/2006/relationships/image" Target="media/image1.png"/><Relationship Id="rId51" Type="http://schemas.openxmlformats.org/officeDocument/2006/relationships/hyperlink" Target="https://www.mind.org.uk/" TargetMode="External"/><Relationship Id="rId72" Type="http://schemas.openxmlformats.org/officeDocument/2006/relationships/hyperlink" Target="https://www.turning-point.co.uk/_themesdelivery/turningpoint23/assets/downloads/Reports%20and%20strategy%20page%20downloads/SUMH%20Resource%20Pack%20July%202021%20(1).pdf"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books.google.co.uk/books?hl=en&amp;lr=&amp;id=65W1EAAAQBAJ&amp;oi=fnd&amp;pg=PR11&amp;dq=Aveyard" TargetMode="External"/><Relationship Id="rId17" Type="http://schemas.openxmlformats.org/officeDocument/2006/relationships/hyperlink" Target="https://library.csuchico.edu/sites/default/files/craap-test.pdf" TargetMode="External"/><Relationship Id="rId25" Type="http://schemas.openxmlformats.org/officeDocument/2006/relationships/hyperlink" Target="https://www.macmillanihe.com/page/detail/Critical-Thinking-Skills/?K=9781137550507" TargetMode="External"/><Relationship Id="rId33" Type="http://schemas.openxmlformats.org/officeDocument/2006/relationships/hyperlink" Target="https://journals.library.ualberta.ca/pandpr/index.php/pandpr/article/download/19818/15336" TargetMode="External"/><Relationship Id="rId38" Type="http://schemas.openxmlformats.org/officeDocument/2006/relationships/hyperlink" Target="https://ajph.aphapublications.org/doi/10.2105/AJPH.2012.301069" TargetMode="External"/><Relationship Id="rId46" Type="http://schemas.openxmlformats.org/officeDocument/2006/relationships/hyperlink" Target="https://doi.org/10.1192/bjp.2020.242" TargetMode="External"/><Relationship Id="rId59" Type="http://schemas.openxmlformats.org/officeDocument/2006/relationships/hyperlink" Target="https://doi.org/10.1136/ebnurs-2019-103145" TargetMode="External"/><Relationship Id="rId67" Type="http://schemas.openxmlformats.org/officeDocument/2006/relationships/hyperlink" Target="https://nyaspubs.onlinelibrary.wiley.com/doi/10.1196/annals.1441.030" TargetMode="External"/><Relationship Id="rId20" Type="http://schemas.openxmlformats.org/officeDocument/2006/relationships/hyperlink" Target="https://doi.org/10.1191/1478088706qp063oa" TargetMode="External"/><Relationship Id="rId41" Type="http://schemas.openxmlformats.org/officeDocument/2006/relationships/hyperlink" Target="https://doi:10.1016/S2468-2667%20(17)30118-4" TargetMode="External"/><Relationship Id="rId54" Type="http://schemas.openxmlformats.org/officeDocument/2006/relationships/hyperlink" Target="https://doi.org/10.1016/j.dadr.2022.100028" TargetMode="External"/><Relationship Id="rId62" Type="http://schemas.openxmlformats.org/officeDocument/2006/relationships/hyperlink" Target="https://doi.org/10.1016/S2215-0366(20)30308-4" TargetMode="External"/><Relationship Id="rId70" Type="http://schemas.openxmlformats.org/officeDocument/2006/relationships/hyperlink" Target="https://link.springer.com/book/10.1007/978-3-030-25595-1" TargetMode="External"/><Relationship Id="rId75" Type="http://schemas.openxmlformats.org/officeDocument/2006/relationships/hyperlink" Target="https://www.unodc.org/unodc/en/data-and-analysis/world-drug-report-2022.html?utm_source=chatgpt.com"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cademic.oup.com/book/9780199604982" TargetMode="External"/><Relationship Id="rId23" Type="http://schemas.openxmlformats.org/officeDocument/2006/relationships/hyperlink" Target="https://doi.org/10.15123/uel.84y7v" TargetMode="External"/><Relationship Id="rId28" Type="http://schemas.openxmlformats.org/officeDocument/2006/relationships/hyperlink" Target="https://www.gov.uk/government/statistics/households-below-average-income-for-financial-years-ending-1995-to-2023/households-below-average-income-an-analysis-of-the-uk-income-distribution-fye-1995-to-fye-2023" TargetMode="External"/><Relationship Id="rId36" Type="http://schemas.openxmlformats.org/officeDocument/2006/relationships/hyperlink" Target="https://www.cato.org/publications/white-paper/drug-decriminalization-portugal-lessons-creating-fair-successful" TargetMode="External"/><Relationship Id="rId49" Type="http://schemas.openxmlformats.org/officeDocument/2006/relationships/hyperlink" Target="https://www.instituteofhealthequity.org/resources-reports/marmot-review-10-years-on/the-marmot-review-10-years-on-full-report.pdf" TargetMode="External"/><Relationship Id="rId57" Type="http://schemas.openxmlformats.org/officeDocument/2006/relationships/hyperlink" Target="https://digital.nhs.uk/data-and-information/publications" TargetMode="External"/><Relationship Id="rId10" Type="http://schemas.openxmlformats.org/officeDocument/2006/relationships/hyperlink" Target="https://alcoholchange.org.uk/facts-faqs/facts" TargetMode="External"/><Relationship Id="rId31" Type="http://schemas.openxmlformats.org/officeDocument/2006/relationships/hyperlink" Target="https://www.emcdda.europa.eu/" TargetMode="External"/><Relationship Id="rId44" Type="http://schemas.openxmlformats.org/officeDocument/2006/relationships/hyperlink" Target="https://doi.org/10.1016/j.ssmph.2022.101142" TargetMode="External"/><Relationship Id="rId52" Type="http://schemas.openxmlformats.org/officeDocument/2006/relationships/hyperlink" Target="https://www.mind.org.uk/information-support/guides-to-support-and-services/seeking-help-for-a-mental-health-problem/facing-and-overcoming-barriers/?utm_source=chatgpt.com" TargetMode="External"/><Relationship Id="rId60" Type="http://schemas.openxmlformats.org/officeDocument/2006/relationships/hyperlink" Target="https://www.ons.gov.uk/peoplepopulationandcommunity" TargetMode="External"/><Relationship Id="rId65" Type="http://schemas.openxmlformats.org/officeDocument/2006/relationships/hyperlink" Target="https://doi.org/10.5209/psic.84045" TargetMode="External"/><Relationship Id="rId73" Type="http://schemas.openxmlformats.org/officeDocument/2006/relationships/hyperlink" Target="https://www.unodc.org/res/WDR-2023/WDR23_Exsum_fin_DP.pdf" TargetMode="External"/><Relationship Id="rId78" Type="http://schemas.openxmlformats.org/officeDocument/2006/relationships/hyperlink" Target="https://www.who.int/teams/mental-health-and-substance-use/alcohol-drugs-and-addictive-behaviours/alcohol/our-activities/towards-and-action-plan-on-alcohol" TargetMode="External"/><Relationship Id="rId8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pmc.ncbi.nlm.nih.gov/articles/PMC1071804/" TargetMode="External"/><Relationship Id="rId13" Type="http://schemas.openxmlformats.org/officeDocument/2006/relationships/hyperlink" Target="https://policy.bristoluniversitypress.co.uk/the-unequal-pandemic" TargetMode="External"/><Relationship Id="rId18" Type="http://schemas.openxmlformats.org/officeDocument/2006/relationships/hyperlink" Target="https://doi.org/10.53841/bpsicpr.2020.15.2.119" TargetMode="External"/><Relationship Id="rId39" Type="http://schemas.openxmlformats.org/officeDocument/2006/relationships/hyperlink" Target="https://www.legislation.gov.uk/ukpga/1971/38/contents/enacted" TargetMode="External"/><Relationship Id="rId34" Type="http://schemas.openxmlformats.org/officeDocument/2006/relationships/hyperlink" Target="https://content.e-bookshelf.de/media/reading/L-12549069-30fab85148.pdf" TargetMode="External"/><Relationship Id="rId50" Type="http://schemas.openxmlformats.org/officeDocument/2006/relationships/hyperlink" Target="https://www.mind.org.uk/" TargetMode="External"/><Relationship Id="rId55" Type="http://schemas.openxmlformats.org/officeDocument/2006/relationships/hyperlink" Target="https://www.nice.org.uk/guidance/ng58" TargetMode="External"/><Relationship Id="rId76" Type="http://schemas.openxmlformats.org/officeDocument/2006/relationships/hyperlink" Target="https://www.who.int/health-topics/social-determinants-of-health" TargetMode="External"/><Relationship Id="rId7" Type="http://schemas.openxmlformats.org/officeDocument/2006/relationships/endnotes" Target="endnotes.xml"/><Relationship Id="rId71" Type="http://schemas.openxmlformats.org/officeDocument/2006/relationships/hyperlink" Target="https://doi.org/10.1016/0277-9536(94)00435-V" TargetMode="External"/><Relationship Id="rId2" Type="http://schemas.openxmlformats.org/officeDocument/2006/relationships/numbering" Target="numbering.xml"/><Relationship Id="rId29" Type="http://schemas.openxmlformats.org/officeDocument/2006/relationships/hyperlink" Target="https://www.gov.uk/government/statistics" TargetMode="External"/><Relationship Id="rId24" Type="http://schemas.openxmlformats.org/officeDocument/2006/relationships/hyperlink" Target="https://doi.org/10.1080/17439760.2016.1262613" TargetMode="External"/><Relationship Id="rId40" Type="http://schemas.openxmlformats.org/officeDocument/2006/relationships/hyperlink" Target="https://academic.oup.com/bjc/article/50/6/999/608687" TargetMode="External"/><Relationship Id="rId45" Type="http://schemas.openxmlformats.org/officeDocument/2006/relationships/hyperlink" Target="https://harmreductionjournal.biomedcentral.com/articles/10.1186/s12954-017-0154-1" TargetMode="External"/><Relationship Id="rId66" Type="http://schemas.openxmlformats.org/officeDocument/2006/relationships/hyperlink" Target="https://onlinelibrary.wiley.com/doi/10.1111/j.1564-913X.1994.tb00553.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2BE798C6FA64A449DDDB191C5CDAE75"/>
        <w:category>
          <w:name w:val="General"/>
          <w:gallery w:val="placeholder"/>
        </w:category>
        <w:types>
          <w:type w:val="bbPlcHdr"/>
        </w:types>
        <w:behaviors>
          <w:behavior w:val="content"/>
        </w:behaviors>
        <w:guid w:val="{ABE843D4-F14F-B043-BE9D-4EBF57BC662B}"/>
      </w:docPartPr>
      <w:docPartBody>
        <w:p w:rsidR="00017483" w:rsidRDefault="00AA5D02" w:rsidP="00AA5D02">
          <w:pPr>
            <w:pStyle w:val="52BE798C6FA64A449DDDB191C5CDAE7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pple Color Emoji">
    <w:panose1 w:val="00000000000000000000"/>
    <w:charset w:val="00"/>
    <w:family w:val="auto"/>
    <w:pitch w:val="variable"/>
    <w:sig w:usb0="00000003" w:usb1="18000000" w:usb2="14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02"/>
    <w:rsid w:val="00017483"/>
    <w:rsid w:val="001C005E"/>
    <w:rsid w:val="001C6B17"/>
    <w:rsid w:val="00AA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BE798C6FA64A449DDDB191C5CDAE75">
    <w:name w:val="52BE798C6FA64A449DDDB191C5CDAE75"/>
    <w:rsid w:val="00AA5D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CAA4E8-B340-EC4A-A2C4-D967956BE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956</TotalTime>
  <Pages>62</Pages>
  <Words>18124</Words>
  <Characters>103312</Characters>
  <Application>Microsoft Office Word</Application>
  <DocSecurity>0</DocSecurity>
  <Lines>860</Lines>
  <Paragraphs>242</Paragraphs>
  <ScaleCrop>false</ScaleCrop>
  <HeadingPairs>
    <vt:vector size="2" baseType="variant">
      <vt:variant>
        <vt:lpstr>Title</vt:lpstr>
      </vt:variant>
      <vt:variant>
        <vt:i4>1</vt:i4>
      </vt:variant>
    </vt:vector>
  </HeadingPairs>
  <TitlesOfParts>
    <vt:vector size="1" baseType="lpstr">
      <vt:lpstr>Institute of Inner-City Learning Birmingham Campus BSc (Hons) Health and Social Care</vt:lpstr>
    </vt:vector>
  </TitlesOfParts>
  <Company/>
  <LinksUpToDate>false</LinksUpToDate>
  <CharactersWithSpaces>121194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Institute of Inner-City Learning Birmingham Campus BSc (Hons) Health and Social Care</dc:title>
  <dc:subject/>
  <dc:creator>Fawaz Yaslam (2113070)</dc:creator>
  <cp:keywords/>
  <dc:description/>
  <cp:lastModifiedBy>Fawaz Yaslam (2113070)</cp:lastModifiedBy>
  <cp:revision>101</cp:revision>
  <dcterms:created xsi:type="dcterms:W3CDTF">2025-11-05T15:45:00Z</dcterms:created>
  <dcterms:modified xsi:type="dcterms:W3CDTF">2025-11-24T00:30:00Z</dcterms:modified>
</cp:coreProperties>
</file>