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3BCFC" w14:textId="77777777" w:rsidR="00824BC7" w:rsidRDefault="00824BC7" w:rsidP="007C1F3D">
      <w:pPr>
        <w:jc w:val="center"/>
        <w:rPr>
          <w:b/>
          <w:bCs/>
          <w:sz w:val="40"/>
          <w:szCs w:val="36"/>
          <w:lang w:val="en-US"/>
        </w:rPr>
      </w:pPr>
    </w:p>
    <w:p w14:paraId="7C05BC8A" w14:textId="267E7EF3" w:rsidR="00824BC7" w:rsidRDefault="00824BC7" w:rsidP="007C1F3D">
      <w:pPr>
        <w:jc w:val="center"/>
        <w:rPr>
          <w:b/>
          <w:bCs/>
          <w:sz w:val="40"/>
          <w:szCs w:val="36"/>
          <w:lang w:val="en-US"/>
        </w:rPr>
      </w:pPr>
      <w:r w:rsidRPr="00824BC7">
        <w:rPr>
          <w:b/>
          <w:bCs/>
          <w:sz w:val="40"/>
          <w:szCs w:val="36"/>
          <w:lang w:val="en-US"/>
        </w:rPr>
        <w:t>Module code: LCBB4001</w:t>
      </w:r>
    </w:p>
    <w:p w14:paraId="3E8D9845" w14:textId="0BF77402" w:rsidR="00B34F20" w:rsidRPr="009C786D" w:rsidRDefault="00824BC7" w:rsidP="009C786D">
      <w:pPr>
        <w:jc w:val="center"/>
        <w:rPr>
          <w:b/>
          <w:bCs/>
          <w:sz w:val="40"/>
          <w:szCs w:val="36"/>
          <w:lang w:val="en-US"/>
        </w:rPr>
      </w:pPr>
      <w:r>
        <w:rPr>
          <w:b/>
          <w:bCs/>
          <w:sz w:val="40"/>
          <w:szCs w:val="36"/>
          <w:lang w:val="en-US"/>
        </w:rPr>
        <w:t xml:space="preserve">Module- </w:t>
      </w:r>
      <w:r w:rsidR="00B34F20" w:rsidRPr="005630BF">
        <w:rPr>
          <w:b/>
          <w:bCs/>
          <w:sz w:val="40"/>
          <w:szCs w:val="36"/>
          <w:lang w:val="en-US"/>
        </w:rPr>
        <w:t>Accounting Fundamentals</w:t>
      </w:r>
    </w:p>
    <w:p w14:paraId="59175E0A" w14:textId="4E3D9617" w:rsidR="00B34F20" w:rsidRDefault="00B34F20" w:rsidP="007C1F3D">
      <w:pPr>
        <w:rPr>
          <w:lang w:val="en-US"/>
        </w:rPr>
      </w:pPr>
      <w:r>
        <w:rPr>
          <w:lang w:val="en-US"/>
        </w:rPr>
        <w:t>Student ID:</w:t>
      </w:r>
      <w:r w:rsidR="001750D2">
        <w:rPr>
          <w:lang w:val="en-US"/>
        </w:rPr>
        <w:t xml:space="preserve"> 2120426</w:t>
      </w:r>
    </w:p>
    <w:p w14:paraId="039B88A5" w14:textId="59FE6B97" w:rsidR="001B5863" w:rsidRDefault="001B5863" w:rsidP="007C1F3D">
      <w:pPr>
        <w:rPr>
          <w:lang w:val="en-US"/>
        </w:rPr>
      </w:pPr>
      <w:r>
        <w:rPr>
          <w:lang w:val="en-US"/>
        </w:rPr>
        <w:t>Student name: Razvan Mucenic</w:t>
      </w:r>
    </w:p>
    <w:p w14:paraId="707F90B4" w14:textId="7BEA9291" w:rsidR="00B34F20" w:rsidRDefault="001B5863" w:rsidP="007C1F3D">
      <w:pPr>
        <w:rPr>
          <w:lang w:val="en-US"/>
        </w:rPr>
      </w:pPr>
      <w:r>
        <w:rPr>
          <w:lang w:val="en-US"/>
        </w:rPr>
        <w:t>Lecturer name: Konstantina Mari</w:t>
      </w:r>
    </w:p>
    <w:p w14:paraId="68DF38E2" w14:textId="77777777" w:rsidR="00B34F20" w:rsidRDefault="00B34F20" w:rsidP="007C1F3D">
      <w:pPr>
        <w:rPr>
          <w:lang w:val="en-US"/>
        </w:rPr>
      </w:pPr>
    </w:p>
    <w:p w14:paraId="64E8214E" w14:textId="77777777" w:rsidR="00800A0F" w:rsidRDefault="00B34F20" w:rsidP="007C1F3D">
      <w:r>
        <w:rPr>
          <w:lang w:val="en-US"/>
        </w:rPr>
        <w:br w:type="page"/>
      </w:r>
    </w:p>
    <w:sdt>
      <w:sdtPr>
        <w:rPr>
          <w:rFonts w:ascii="Times New Roman" w:eastAsia="Calibri" w:hAnsi="Times New Roman"/>
          <w:color w:val="auto"/>
          <w:sz w:val="24"/>
          <w:szCs w:val="22"/>
          <w:lang w:val="en-GB"/>
        </w:rPr>
        <w:id w:val="232745404"/>
        <w:docPartObj>
          <w:docPartGallery w:val="Table of Contents"/>
          <w:docPartUnique/>
        </w:docPartObj>
      </w:sdtPr>
      <w:sdtEndPr>
        <w:rPr>
          <w:b/>
          <w:bCs/>
          <w:noProof/>
        </w:rPr>
      </w:sdtEndPr>
      <w:sdtContent>
        <w:p w14:paraId="3852A0F3" w14:textId="63022A86" w:rsidR="00800A0F" w:rsidRPr="00800A0F" w:rsidRDefault="00800A0F" w:rsidP="007C1F3D">
          <w:pPr>
            <w:pStyle w:val="Titlucuprins"/>
            <w:spacing w:line="360" w:lineRule="auto"/>
            <w:jc w:val="center"/>
            <w:rPr>
              <w:rFonts w:ascii="Times New Roman" w:hAnsi="Times New Roman"/>
              <w:b/>
              <w:bCs/>
              <w:color w:val="auto"/>
            </w:rPr>
          </w:pPr>
          <w:r w:rsidRPr="00800A0F">
            <w:rPr>
              <w:rFonts w:ascii="Times New Roman" w:hAnsi="Times New Roman"/>
              <w:b/>
              <w:bCs/>
              <w:color w:val="auto"/>
            </w:rPr>
            <w:t>Table of Contents</w:t>
          </w:r>
        </w:p>
        <w:p w14:paraId="17D239F5" w14:textId="121FBF25" w:rsidR="00800A0F" w:rsidRDefault="00800A0F" w:rsidP="007C1F3D">
          <w:pPr>
            <w:pStyle w:val="Cuprins1"/>
            <w:tabs>
              <w:tab w:val="right" w:leader="dot" w:pos="9350"/>
            </w:tabs>
            <w:rPr>
              <w:rFonts w:asciiTheme="minorHAnsi" w:eastAsiaTheme="minorEastAsia" w:hAnsiTheme="minorHAnsi" w:cstheme="minorBidi"/>
              <w:noProof/>
              <w:kern w:val="2"/>
              <w:sz w:val="22"/>
              <w:szCs w:val="28"/>
              <w:lang w:val="en-US" w:bidi="bn-IN"/>
              <w14:ligatures w14:val="standardContextual"/>
            </w:rPr>
          </w:pPr>
          <w:r>
            <w:fldChar w:fldCharType="begin"/>
          </w:r>
          <w:r>
            <w:instrText xml:space="preserve"> TOC \o "1-3" \h \z \u </w:instrText>
          </w:r>
          <w:r>
            <w:fldChar w:fldCharType="separate"/>
          </w:r>
          <w:hyperlink w:anchor="_Toc153474663" w:history="1">
            <w:r w:rsidRPr="000733F9">
              <w:rPr>
                <w:rStyle w:val="Hyperlink"/>
                <w:noProof/>
                <w:lang w:val="en-US"/>
              </w:rPr>
              <w:t>Introduction</w:t>
            </w:r>
            <w:r>
              <w:rPr>
                <w:noProof/>
                <w:webHidden/>
              </w:rPr>
              <w:tab/>
            </w:r>
            <w:r>
              <w:rPr>
                <w:noProof/>
                <w:webHidden/>
              </w:rPr>
              <w:fldChar w:fldCharType="begin"/>
            </w:r>
            <w:r>
              <w:rPr>
                <w:noProof/>
                <w:webHidden/>
              </w:rPr>
              <w:instrText xml:space="preserve"> PAGEREF _Toc153474663 \h </w:instrText>
            </w:r>
            <w:r>
              <w:rPr>
                <w:noProof/>
                <w:webHidden/>
              </w:rPr>
            </w:r>
            <w:r>
              <w:rPr>
                <w:noProof/>
                <w:webHidden/>
              </w:rPr>
              <w:fldChar w:fldCharType="separate"/>
            </w:r>
            <w:r>
              <w:rPr>
                <w:noProof/>
                <w:webHidden/>
              </w:rPr>
              <w:t>3</w:t>
            </w:r>
            <w:r>
              <w:rPr>
                <w:noProof/>
                <w:webHidden/>
              </w:rPr>
              <w:fldChar w:fldCharType="end"/>
            </w:r>
          </w:hyperlink>
        </w:p>
        <w:p w14:paraId="77062EFD" w14:textId="1C972406" w:rsidR="00800A0F" w:rsidRDefault="009C786D" w:rsidP="007C1F3D">
          <w:pPr>
            <w:pStyle w:val="Cuprins1"/>
            <w:tabs>
              <w:tab w:val="right" w:leader="dot" w:pos="9350"/>
            </w:tabs>
            <w:rPr>
              <w:rFonts w:asciiTheme="minorHAnsi" w:eastAsiaTheme="minorEastAsia" w:hAnsiTheme="minorHAnsi" w:cstheme="minorBidi"/>
              <w:noProof/>
              <w:kern w:val="2"/>
              <w:sz w:val="22"/>
              <w:szCs w:val="28"/>
              <w:lang w:val="en-US" w:bidi="bn-IN"/>
              <w14:ligatures w14:val="standardContextual"/>
            </w:rPr>
          </w:pPr>
          <w:hyperlink w:anchor="_Toc153474664" w:history="1">
            <w:r w:rsidR="00800A0F" w:rsidRPr="000733F9">
              <w:rPr>
                <w:rStyle w:val="Hyperlink"/>
                <w:noProof/>
                <w:lang w:val="en-US"/>
              </w:rPr>
              <w:t>Commenting on statements about accounting aspects</w:t>
            </w:r>
            <w:r w:rsidR="00800A0F">
              <w:rPr>
                <w:noProof/>
                <w:webHidden/>
              </w:rPr>
              <w:tab/>
            </w:r>
            <w:r w:rsidR="00800A0F">
              <w:rPr>
                <w:noProof/>
                <w:webHidden/>
              </w:rPr>
              <w:fldChar w:fldCharType="begin"/>
            </w:r>
            <w:r w:rsidR="00800A0F">
              <w:rPr>
                <w:noProof/>
                <w:webHidden/>
              </w:rPr>
              <w:instrText xml:space="preserve"> PAGEREF _Toc153474664 \h </w:instrText>
            </w:r>
            <w:r w:rsidR="00800A0F">
              <w:rPr>
                <w:noProof/>
                <w:webHidden/>
              </w:rPr>
            </w:r>
            <w:r w:rsidR="00800A0F">
              <w:rPr>
                <w:noProof/>
                <w:webHidden/>
              </w:rPr>
              <w:fldChar w:fldCharType="separate"/>
            </w:r>
            <w:r w:rsidR="00800A0F">
              <w:rPr>
                <w:noProof/>
                <w:webHidden/>
              </w:rPr>
              <w:t>4</w:t>
            </w:r>
            <w:r w:rsidR="00800A0F">
              <w:rPr>
                <w:noProof/>
                <w:webHidden/>
              </w:rPr>
              <w:fldChar w:fldCharType="end"/>
            </w:r>
          </w:hyperlink>
        </w:p>
        <w:p w14:paraId="43458896" w14:textId="2A2511EF" w:rsidR="00800A0F" w:rsidRDefault="009C786D" w:rsidP="007C1F3D">
          <w:pPr>
            <w:pStyle w:val="Cuprins1"/>
            <w:tabs>
              <w:tab w:val="right" w:leader="dot" w:pos="9350"/>
            </w:tabs>
            <w:rPr>
              <w:rFonts w:asciiTheme="minorHAnsi" w:eastAsiaTheme="minorEastAsia" w:hAnsiTheme="minorHAnsi" w:cstheme="minorBidi"/>
              <w:noProof/>
              <w:kern w:val="2"/>
              <w:sz w:val="22"/>
              <w:szCs w:val="28"/>
              <w:lang w:val="en-US" w:bidi="bn-IN"/>
              <w14:ligatures w14:val="standardContextual"/>
            </w:rPr>
          </w:pPr>
          <w:hyperlink w:anchor="_Toc153474665" w:history="1">
            <w:r w:rsidR="00800A0F" w:rsidRPr="000733F9">
              <w:rPr>
                <w:rStyle w:val="Hyperlink"/>
                <w:noProof/>
                <w:lang w:val="en-US"/>
              </w:rPr>
              <w:t>Income statement preparation of Wales plc</w:t>
            </w:r>
            <w:r w:rsidR="00800A0F">
              <w:rPr>
                <w:noProof/>
                <w:webHidden/>
              </w:rPr>
              <w:tab/>
            </w:r>
            <w:r w:rsidR="00800A0F">
              <w:rPr>
                <w:noProof/>
                <w:webHidden/>
              </w:rPr>
              <w:fldChar w:fldCharType="begin"/>
            </w:r>
            <w:r w:rsidR="00800A0F">
              <w:rPr>
                <w:noProof/>
                <w:webHidden/>
              </w:rPr>
              <w:instrText xml:space="preserve"> PAGEREF _Toc153474665 \h </w:instrText>
            </w:r>
            <w:r w:rsidR="00800A0F">
              <w:rPr>
                <w:noProof/>
                <w:webHidden/>
              </w:rPr>
            </w:r>
            <w:r w:rsidR="00800A0F">
              <w:rPr>
                <w:noProof/>
                <w:webHidden/>
              </w:rPr>
              <w:fldChar w:fldCharType="separate"/>
            </w:r>
            <w:r w:rsidR="00800A0F">
              <w:rPr>
                <w:noProof/>
                <w:webHidden/>
              </w:rPr>
              <w:t>6</w:t>
            </w:r>
            <w:r w:rsidR="00800A0F">
              <w:rPr>
                <w:noProof/>
                <w:webHidden/>
              </w:rPr>
              <w:fldChar w:fldCharType="end"/>
            </w:r>
          </w:hyperlink>
        </w:p>
        <w:p w14:paraId="5D95B2E4" w14:textId="6DB27297" w:rsidR="00800A0F" w:rsidRDefault="009C786D" w:rsidP="007C1F3D">
          <w:pPr>
            <w:pStyle w:val="Cuprins1"/>
            <w:tabs>
              <w:tab w:val="right" w:leader="dot" w:pos="9350"/>
            </w:tabs>
            <w:rPr>
              <w:rFonts w:asciiTheme="minorHAnsi" w:eastAsiaTheme="minorEastAsia" w:hAnsiTheme="minorHAnsi" w:cstheme="minorBidi"/>
              <w:noProof/>
              <w:kern w:val="2"/>
              <w:sz w:val="22"/>
              <w:szCs w:val="28"/>
              <w:lang w:val="en-US" w:bidi="bn-IN"/>
              <w14:ligatures w14:val="standardContextual"/>
            </w:rPr>
          </w:pPr>
          <w:hyperlink w:anchor="_Toc153474666" w:history="1">
            <w:r w:rsidR="00800A0F" w:rsidRPr="000733F9">
              <w:rPr>
                <w:rStyle w:val="Hyperlink"/>
                <w:noProof/>
                <w:lang w:val="en-US"/>
              </w:rPr>
              <w:t>Ratio Analysis of Sweets plc</w:t>
            </w:r>
            <w:r w:rsidR="00800A0F">
              <w:rPr>
                <w:noProof/>
                <w:webHidden/>
              </w:rPr>
              <w:tab/>
            </w:r>
            <w:r w:rsidR="00800A0F">
              <w:rPr>
                <w:noProof/>
                <w:webHidden/>
              </w:rPr>
              <w:fldChar w:fldCharType="begin"/>
            </w:r>
            <w:r w:rsidR="00800A0F">
              <w:rPr>
                <w:noProof/>
                <w:webHidden/>
              </w:rPr>
              <w:instrText xml:space="preserve"> PAGEREF _Toc153474666 \h </w:instrText>
            </w:r>
            <w:r w:rsidR="00800A0F">
              <w:rPr>
                <w:noProof/>
                <w:webHidden/>
              </w:rPr>
            </w:r>
            <w:r w:rsidR="00800A0F">
              <w:rPr>
                <w:noProof/>
                <w:webHidden/>
              </w:rPr>
              <w:fldChar w:fldCharType="separate"/>
            </w:r>
            <w:r w:rsidR="00800A0F">
              <w:rPr>
                <w:noProof/>
                <w:webHidden/>
              </w:rPr>
              <w:t>7</w:t>
            </w:r>
            <w:r w:rsidR="00800A0F">
              <w:rPr>
                <w:noProof/>
                <w:webHidden/>
              </w:rPr>
              <w:fldChar w:fldCharType="end"/>
            </w:r>
          </w:hyperlink>
        </w:p>
        <w:p w14:paraId="52FCAAD8" w14:textId="1D4EBD5B" w:rsidR="00800A0F" w:rsidRDefault="009C786D" w:rsidP="007C1F3D">
          <w:pPr>
            <w:pStyle w:val="Cuprins1"/>
            <w:tabs>
              <w:tab w:val="right" w:leader="dot" w:pos="9350"/>
            </w:tabs>
            <w:rPr>
              <w:rFonts w:asciiTheme="minorHAnsi" w:eastAsiaTheme="minorEastAsia" w:hAnsiTheme="minorHAnsi" w:cstheme="minorBidi"/>
              <w:noProof/>
              <w:kern w:val="2"/>
              <w:sz w:val="22"/>
              <w:szCs w:val="28"/>
              <w:lang w:val="en-US" w:bidi="bn-IN"/>
              <w14:ligatures w14:val="standardContextual"/>
            </w:rPr>
          </w:pPr>
          <w:hyperlink w:anchor="_Toc153474667" w:history="1">
            <w:r w:rsidR="00800A0F" w:rsidRPr="000733F9">
              <w:rPr>
                <w:rStyle w:val="Hyperlink"/>
                <w:noProof/>
                <w:lang w:val="en-US"/>
              </w:rPr>
              <w:t>Discussing the financial performance and position of Sweets plc</w:t>
            </w:r>
            <w:r w:rsidR="00800A0F">
              <w:rPr>
                <w:noProof/>
                <w:webHidden/>
              </w:rPr>
              <w:tab/>
            </w:r>
            <w:r w:rsidR="00800A0F">
              <w:rPr>
                <w:noProof/>
                <w:webHidden/>
              </w:rPr>
              <w:fldChar w:fldCharType="begin"/>
            </w:r>
            <w:r w:rsidR="00800A0F">
              <w:rPr>
                <w:noProof/>
                <w:webHidden/>
              </w:rPr>
              <w:instrText xml:space="preserve"> PAGEREF _Toc153474667 \h </w:instrText>
            </w:r>
            <w:r w:rsidR="00800A0F">
              <w:rPr>
                <w:noProof/>
                <w:webHidden/>
              </w:rPr>
            </w:r>
            <w:r w:rsidR="00800A0F">
              <w:rPr>
                <w:noProof/>
                <w:webHidden/>
              </w:rPr>
              <w:fldChar w:fldCharType="separate"/>
            </w:r>
            <w:r w:rsidR="00800A0F">
              <w:rPr>
                <w:noProof/>
                <w:webHidden/>
              </w:rPr>
              <w:t>10</w:t>
            </w:r>
            <w:r w:rsidR="00800A0F">
              <w:rPr>
                <w:noProof/>
                <w:webHidden/>
              </w:rPr>
              <w:fldChar w:fldCharType="end"/>
            </w:r>
          </w:hyperlink>
        </w:p>
        <w:p w14:paraId="42330E64" w14:textId="2158F883" w:rsidR="00800A0F" w:rsidRDefault="009C786D" w:rsidP="007C1F3D">
          <w:pPr>
            <w:pStyle w:val="Cuprins1"/>
            <w:tabs>
              <w:tab w:val="right" w:leader="dot" w:pos="9350"/>
            </w:tabs>
            <w:rPr>
              <w:rFonts w:asciiTheme="minorHAnsi" w:eastAsiaTheme="minorEastAsia" w:hAnsiTheme="minorHAnsi" w:cstheme="minorBidi"/>
              <w:noProof/>
              <w:kern w:val="2"/>
              <w:sz w:val="22"/>
              <w:szCs w:val="28"/>
              <w:lang w:val="en-US" w:bidi="bn-IN"/>
              <w14:ligatures w14:val="standardContextual"/>
            </w:rPr>
          </w:pPr>
          <w:hyperlink w:anchor="_Toc153474668" w:history="1">
            <w:r w:rsidR="00800A0F" w:rsidRPr="000733F9">
              <w:rPr>
                <w:rStyle w:val="Hyperlink"/>
                <w:noProof/>
                <w:lang w:val="en-US"/>
              </w:rPr>
              <w:t>Conclusion</w:t>
            </w:r>
            <w:r w:rsidR="00800A0F">
              <w:rPr>
                <w:noProof/>
                <w:webHidden/>
              </w:rPr>
              <w:tab/>
            </w:r>
            <w:r w:rsidR="00800A0F">
              <w:rPr>
                <w:noProof/>
                <w:webHidden/>
              </w:rPr>
              <w:fldChar w:fldCharType="begin"/>
            </w:r>
            <w:r w:rsidR="00800A0F">
              <w:rPr>
                <w:noProof/>
                <w:webHidden/>
              </w:rPr>
              <w:instrText xml:space="preserve"> PAGEREF _Toc153474668 \h </w:instrText>
            </w:r>
            <w:r w:rsidR="00800A0F">
              <w:rPr>
                <w:noProof/>
                <w:webHidden/>
              </w:rPr>
            </w:r>
            <w:r w:rsidR="00800A0F">
              <w:rPr>
                <w:noProof/>
                <w:webHidden/>
              </w:rPr>
              <w:fldChar w:fldCharType="separate"/>
            </w:r>
            <w:r w:rsidR="00800A0F">
              <w:rPr>
                <w:noProof/>
                <w:webHidden/>
              </w:rPr>
              <w:t>12</w:t>
            </w:r>
            <w:r w:rsidR="00800A0F">
              <w:rPr>
                <w:noProof/>
                <w:webHidden/>
              </w:rPr>
              <w:fldChar w:fldCharType="end"/>
            </w:r>
          </w:hyperlink>
        </w:p>
        <w:p w14:paraId="3BBBD7B6" w14:textId="6530BB04" w:rsidR="00800A0F" w:rsidRDefault="009C786D" w:rsidP="007C1F3D">
          <w:pPr>
            <w:pStyle w:val="Cuprins1"/>
            <w:tabs>
              <w:tab w:val="right" w:leader="dot" w:pos="9350"/>
            </w:tabs>
            <w:rPr>
              <w:rFonts w:asciiTheme="minorHAnsi" w:eastAsiaTheme="minorEastAsia" w:hAnsiTheme="minorHAnsi" w:cstheme="minorBidi"/>
              <w:noProof/>
              <w:kern w:val="2"/>
              <w:sz w:val="22"/>
              <w:szCs w:val="28"/>
              <w:lang w:val="en-US" w:bidi="bn-IN"/>
              <w14:ligatures w14:val="standardContextual"/>
            </w:rPr>
          </w:pPr>
          <w:hyperlink w:anchor="_Toc153474669" w:history="1">
            <w:r w:rsidR="00800A0F" w:rsidRPr="000733F9">
              <w:rPr>
                <w:rStyle w:val="Hyperlink"/>
                <w:noProof/>
                <w:lang w:val="en-US"/>
              </w:rPr>
              <w:t>References</w:t>
            </w:r>
            <w:r w:rsidR="00800A0F">
              <w:rPr>
                <w:noProof/>
                <w:webHidden/>
              </w:rPr>
              <w:tab/>
            </w:r>
            <w:r w:rsidR="00800A0F">
              <w:rPr>
                <w:noProof/>
                <w:webHidden/>
              </w:rPr>
              <w:fldChar w:fldCharType="begin"/>
            </w:r>
            <w:r w:rsidR="00800A0F">
              <w:rPr>
                <w:noProof/>
                <w:webHidden/>
              </w:rPr>
              <w:instrText xml:space="preserve"> PAGEREF _Toc153474669 \h </w:instrText>
            </w:r>
            <w:r w:rsidR="00800A0F">
              <w:rPr>
                <w:noProof/>
                <w:webHidden/>
              </w:rPr>
            </w:r>
            <w:r w:rsidR="00800A0F">
              <w:rPr>
                <w:noProof/>
                <w:webHidden/>
              </w:rPr>
              <w:fldChar w:fldCharType="separate"/>
            </w:r>
            <w:r w:rsidR="00800A0F">
              <w:rPr>
                <w:noProof/>
                <w:webHidden/>
              </w:rPr>
              <w:t>13</w:t>
            </w:r>
            <w:r w:rsidR="00800A0F">
              <w:rPr>
                <w:noProof/>
                <w:webHidden/>
              </w:rPr>
              <w:fldChar w:fldCharType="end"/>
            </w:r>
          </w:hyperlink>
        </w:p>
        <w:p w14:paraId="54F56E88" w14:textId="198373E7" w:rsidR="00800A0F" w:rsidRDefault="00800A0F" w:rsidP="007C1F3D">
          <w:r>
            <w:rPr>
              <w:b/>
              <w:bCs/>
              <w:noProof/>
            </w:rPr>
            <w:fldChar w:fldCharType="end"/>
          </w:r>
        </w:p>
      </w:sdtContent>
    </w:sdt>
    <w:p w14:paraId="4991189C" w14:textId="763185D5" w:rsidR="00800A0F" w:rsidRDefault="00800A0F" w:rsidP="007C1F3D">
      <w:r>
        <w:t xml:space="preserve"> </w:t>
      </w:r>
    </w:p>
    <w:p w14:paraId="5E69FD39" w14:textId="059F33FF" w:rsidR="005757D6" w:rsidRDefault="005757D6" w:rsidP="007C1F3D"/>
    <w:p w14:paraId="578C4F99" w14:textId="7796259F" w:rsidR="005757D6" w:rsidRDefault="005757D6" w:rsidP="007C1F3D">
      <w:r>
        <w:t xml:space="preserve"> </w:t>
      </w:r>
    </w:p>
    <w:p w14:paraId="7C78441B" w14:textId="700D68BE" w:rsidR="004406AB" w:rsidRDefault="004406AB" w:rsidP="007C1F3D"/>
    <w:p w14:paraId="2CD9A783" w14:textId="77777777" w:rsidR="00B34F20" w:rsidRDefault="00B34F20" w:rsidP="007C1F3D">
      <w:pPr>
        <w:rPr>
          <w:lang w:val="en-US"/>
        </w:rPr>
      </w:pPr>
    </w:p>
    <w:p w14:paraId="34FC0F0D" w14:textId="77777777" w:rsidR="00B34F20" w:rsidRDefault="00B34F20" w:rsidP="007C1F3D">
      <w:pPr>
        <w:jc w:val="left"/>
        <w:rPr>
          <w:lang w:val="en-US"/>
        </w:rPr>
      </w:pPr>
      <w:r>
        <w:rPr>
          <w:lang w:val="en-US"/>
        </w:rPr>
        <w:br w:type="page"/>
      </w:r>
    </w:p>
    <w:p w14:paraId="44DA43FC" w14:textId="77777777" w:rsidR="00B34F20" w:rsidRDefault="00B34F20" w:rsidP="007C1F3D">
      <w:pPr>
        <w:pStyle w:val="Titlu1"/>
        <w:rPr>
          <w:lang w:val="en-US"/>
        </w:rPr>
      </w:pPr>
      <w:bookmarkStart w:id="0" w:name="_Toc153445785"/>
      <w:bookmarkStart w:id="1" w:name="_Toc153474619"/>
      <w:bookmarkStart w:id="2" w:name="_Toc153474663"/>
      <w:r>
        <w:rPr>
          <w:lang w:val="en-US"/>
        </w:rPr>
        <w:t>Introduction</w:t>
      </w:r>
      <w:bookmarkEnd w:id="0"/>
      <w:bookmarkEnd w:id="1"/>
      <w:bookmarkEnd w:id="2"/>
    </w:p>
    <w:p w14:paraId="046EE15C" w14:textId="77777777" w:rsidR="00556059" w:rsidRPr="00556059" w:rsidRDefault="00556059" w:rsidP="007C1F3D">
      <w:pPr>
        <w:rPr>
          <w:lang w:val="en-US"/>
        </w:rPr>
      </w:pPr>
      <w:r>
        <w:rPr>
          <w:lang w:val="en-US"/>
        </w:rPr>
        <w:t xml:space="preserve">A basic understanding </w:t>
      </w:r>
      <w:r w:rsidR="00692894">
        <w:rPr>
          <w:lang w:val="en-US"/>
        </w:rPr>
        <w:t>of</w:t>
      </w:r>
      <w:r>
        <w:rPr>
          <w:lang w:val="en-US"/>
        </w:rPr>
        <w:t xml:space="preserve"> accounting fundamentals is required by all persons </w:t>
      </w:r>
      <w:r w:rsidR="00692894">
        <w:rPr>
          <w:lang w:val="en-US"/>
        </w:rPr>
        <w:t>concerning</w:t>
      </w:r>
      <w:r w:rsidR="00E41449">
        <w:rPr>
          <w:lang w:val="en-US"/>
        </w:rPr>
        <w:t xml:space="preserve"> business. In this report, there is some comment about a person</w:t>
      </w:r>
      <w:r w:rsidR="00692894">
        <w:rPr>
          <w:lang w:val="en-US"/>
        </w:rPr>
        <w:t>'</w:t>
      </w:r>
      <w:r w:rsidR="00E41449">
        <w:rPr>
          <w:lang w:val="en-US"/>
        </w:rPr>
        <w:t>s statement of different accounting issues. Then using the financial information of Wales plc the income statement of the company is prep</w:t>
      </w:r>
      <w:r w:rsidR="00692894">
        <w:rPr>
          <w:lang w:val="en-US"/>
        </w:rPr>
        <w:t>are</w:t>
      </w:r>
      <w:r w:rsidR="00E41449">
        <w:rPr>
          <w:lang w:val="en-US"/>
        </w:rPr>
        <w:t>d. After that, some ratios are calculated from the given income statement and financial position of Sweet</w:t>
      </w:r>
      <w:r w:rsidR="00692894">
        <w:rPr>
          <w:lang w:val="en-US"/>
        </w:rPr>
        <w:t>'</w:t>
      </w:r>
      <w:r w:rsidR="00E41449">
        <w:rPr>
          <w:lang w:val="en-US"/>
        </w:rPr>
        <w:t xml:space="preserve">s plc. </w:t>
      </w:r>
      <w:r w:rsidR="00FF2CA8">
        <w:rPr>
          <w:lang w:val="en-US"/>
        </w:rPr>
        <w:t>ROCE, ROE, EPS, net profit margin, asset turnover, stock holding days, debtors collection period, current ratio, gearing ratio, and interest coverage ratio are calcu</w:t>
      </w:r>
      <w:r w:rsidR="00692894">
        <w:rPr>
          <w:lang w:val="en-US"/>
        </w:rPr>
        <w:t>lat</w:t>
      </w:r>
      <w:r w:rsidR="00FF2CA8">
        <w:rPr>
          <w:lang w:val="en-US"/>
        </w:rPr>
        <w:t>ed for the company. Then a detailed discuss</w:t>
      </w:r>
      <w:r w:rsidR="00692894">
        <w:rPr>
          <w:lang w:val="en-US"/>
        </w:rPr>
        <w:t>ion</w:t>
      </w:r>
      <w:r w:rsidR="00FF2CA8">
        <w:rPr>
          <w:lang w:val="en-US"/>
        </w:rPr>
        <w:t xml:space="preserve"> about the fi</w:t>
      </w:r>
      <w:r w:rsidR="00692894">
        <w:rPr>
          <w:lang w:val="en-US"/>
        </w:rPr>
        <w:t>nanci</w:t>
      </w:r>
      <w:r w:rsidR="00FF2CA8">
        <w:rPr>
          <w:lang w:val="en-US"/>
        </w:rPr>
        <w:t xml:space="preserve">al performance and financial position of the company is provided taking into account the the given financial statement and calculated ratios. </w:t>
      </w:r>
    </w:p>
    <w:p w14:paraId="2CC82C7D" w14:textId="77777777" w:rsidR="00B34F20" w:rsidRDefault="00B34F20" w:rsidP="007C1F3D">
      <w:pPr>
        <w:pStyle w:val="Titlu1"/>
        <w:rPr>
          <w:lang w:val="en-US"/>
        </w:rPr>
      </w:pPr>
      <w:r>
        <w:rPr>
          <w:lang w:val="en-US"/>
        </w:rPr>
        <w:br w:type="page"/>
      </w:r>
      <w:bookmarkStart w:id="3" w:name="_Toc153445786"/>
      <w:bookmarkStart w:id="4" w:name="_Toc153474620"/>
      <w:bookmarkStart w:id="5" w:name="_Toc153474664"/>
      <w:r>
        <w:rPr>
          <w:lang w:val="en-US"/>
        </w:rPr>
        <w:t>Commenting o</w:t>
      </w:r>
      <w:r w:rsidR="00110358">
        <w:rPr>
          <w:lang w:val="en-US"/>
        </w:rPr>
        <w:t>n</w:t>
      </w:r>
      <w:r>
        <w:rPr>
          <w:lang w:val="en-US"/>
        </w:rPr>
        <w:t xml:space="preserve"> statement</w:t>
      </w:r>
      <w:r w:rsidR="00110358">
        <w:rPr>
          <w:lang w:val="en-US"/>
        </w:rPr>
        <w:t>s</w:t>
      </w:r>
      <w:r>
        <w:rPr>
          <w:lang w:val="en-US"/>
        </w:rPr>
        <w:t xml:space="preserve"> about accounting aspects</w:t>
      </w:r>
      <w:bookmarkEnd w:id="3"/>
      <w:bookmarkEnd w:id="4"/>
      <w:bookmarkEnd w:id="5"/>
    </w:p>
    <w:p w14:paraId="165F7561" w14:textId="77777777" w:rsidR="00B34F20" w:rsidRDefault="00DB6ED0" w:rsidP="007C1F3D">
      <w:pPr>
        <w:rPr>
          <w:lang w:val="en-US"/>
        </w:rPr>
      </w:pPr>
      <w:r>
        <w:rPr>
          <w:lang w:val="en-US"/>
        </w:rPr>
        <w:t>A detailed comment is provided about each of the given statements is the problem.</w:t>
      </w:r>
    </w:p>
    <w:p w14:paraId="6726C607" w14:textId="41ADE803" w:rsidR="007A4715" w:rsidRDefault="007A4715" w:rsidP="007C1F3D">
      <w:pPr>
        <w:rPr>
          <w:lang w:val="en-US"/>
        </w:rPr>
      </w:pPr>
      <w:r>
        <w:rPr>
          <w:lang w:val="en-US"/>
        </w:rPr>
        <w:t>The first statement of the person was that the statement of financial position shows how much cash has come into and left the business during the amounting period and the resulting balan</w:t>
      </w:r>
      <w:r w:rsidR="001A099A">
        <w:rPr>
          <w:lang w:val="en-US"/>
        </w:rPr>
        <w:t>c</w:t>
      </w:r>
      <w:r>
        <w:rPr>
          <w:lang w:val="en-US"/>
        </w:rPr>
        <w:t>e at the end of the period.</w:t>
      </w:r>
      <w:r w:rsidR="001A099A">
        <w:rPr>
          <w:lang w:val="en-US"/>
        </w:rPr>
        <w:t xml:space="preserve"> The statement of the person is wrong. In the statement of financial position</w:t>
      </w:r>
      <w:r w:rsidR="00110358">
        <w:rPr>
          <w:lang w:val="en-US"/>
        </w:rPr>
        <w:t>,</w:t>
      </w:r>
      <w:r w:rsidR="001A099A">
        <w:rPr>
          <w:lang w:val="en-US"/>
        </w:rPr>
        <w:t xml:space="preserve"> all information about the assets and liabilities and shareholders</w:t>
      </w:r>
      <w:r w:rsidR="000D68C5">
        <w:rPr>
          <w:lang w:val="en-US"/>
        </w:rPr>
        <w:t>'</w:t>
      </w:r>
      <w:r w:rsidR="001A099A">
        <w:rPr>
          <w:lang w:val="en-US"/>
        </w:rPr>
        <w:t xml:space="preserve"> equity </w:t>
      </w:r>
      <w:r w:rsidR="008C76DA">
        <w:rPr>
          <w:lang w:val="en-US"/>
        </w:rPr>
        <w:t>is</w:t>
      </w:r>
      <w:r w:rsidR="001A099A">
        <w:rPr>
          <w:lang w:val="en-US"/>
        </w:rPr>
        <w:t xml:space="preserve"> shown</w:t>
      </w:r>
      <w:r w:rsidR="00CA3D69">
        <w:rPr>
          <w:lang w:val="en-US"/>
        </w:rPr>
        <w:t xml:space="preserve"> (Sangster &amp; Wood, 2018)</w:t>
      </w:r>
      <w:r w:rsidR="001A099A">
        <w:rPr>
          <w:lang w:val="en-US"/>
        </w:rPr>
        <w:t>. In the asset section</w:t>
      </w:r>
      <w:r w:rsidR="00110358">
        <w:rPr>
          <w:lang w:val="en-US"/>
        </w:rPr>
        <w:t>,</w:t>
      </w:r>
      <w:r w:rsidR="001A099A">
        <w:rPr>
          <w:lang w:val="en-US"/>
        </w:rPr>
        <w:t xml:space="preserve"> there is </w:t>
      </w:r>
      <w:r w:rsidR="00110358">
        <w:rPr>
          <w:lang w:val="en-US"/>
        </w:rPr>
        <w:t xml:space="preserve">a </w:t>
      </w:r>
      <w:r w:rsidR="001A099A">
        <w:rPr>
          <w:lang w:val="en-US"/>
        </w:rPr>
        <w:t xml:space="preserve">current asset and </w:t>
      </w:r>
      <w:r w:rsidR="00110358">
        <w:rPr>
          <w:lang w:val="en-US"/>
        </w:rPr>
        <w:t xml:space="preserve">a </w:t>
      </w:r>
      <w:r w:rsidR="001A099A">
        <w:rPr>
          <w:lang w:val="en-US"/>
        </w:rPr>
        <w:t>fixed asset. In the liability section</w:t>
      </w:r>
      <w:r w:rsidR="00110358">
        <w:rPr>
          <w:lang w:val="en-US"/>
        </w:rPr>
        <w:t>,</w:t>
      </w:r>
      <w:r w:rsidR="001A099A">
        <w:rPr>
          <w:lang w:val="en-US"/>
        </w:rPr>
        <w:t xml:space="preserve"> there </w:t>
      </w:r>
      <w:r w:rsidR="00110358">
        <w:rPr>
          <w:lang w:val="en-US"/>
        </w:rPr>
        <w:t>are</w:t>
      </w:r>
      <w:r w:rsidR="001A099A">
        <w:rPr>
          <w:lang w:val="en-US"/>
        </w:rPr>
        <w:t xml:space="preserve"> also current liabilities and non-current liabilities. The amount of the total asset always equals the sum of liabilities and shareholders equity. </w:t>
      </w:r>
      <w:r w:rsidR="00C74022">
        <w:rPr>
          <w:lang w:val="en-US"/>
        </w:rPr>
        <w:t>In the statement of cash flow how much cash come</w:t>
      </w:r>
      <w:r w:rsidR="00110358">
        <w:rPr>
          <w:lang w:val="en-US"/>
        </w:rPr>
        <w:t>s</w:t>
      </w:r>
      <w:r w:rsidR="00C74022">
        <w:rPr>
          <w:lang w:val="en-US"/>
        </w:rPr>
        <w:t xml:space="preserve"> into and how much cash </w:t>
      </w:r>
      <w:r w:rsidR="00110358">
        <w:rPr>
          <w:lang w:val="en-US"/>
        </w:rPr>
        <w:t xml:space="preserve">is </w:t>
      </w:r>
      <w:r w:rsidR="00C74022">
        <w:rPr>
          <w:lang w:val="en-US"/>
        </w:rPr>
        <w:t>left can be shown. There are three types of cash flow in the cash flow statement. These are</w:t>
      </w:r>
      <w:r w:rsidR="007E2EBD">
        <w:rPr>
          <w:lang w:val="en-US"/>
        </w:rPr>
        <w:t xml:space="preserve"> cash flow from operating activiti</w:t>
      </w:r>
      <w:r w:rsidR="00110358">
        <w:rPr>
          <w:lang w:val="en-US"/>
        </w:rPr>
        <w:t>e</w:t>
      </w:r>
      <w:r w:rsidR="007E2EBD">
        <w:rPr>
          <w:lang w:val="en-US"/>
        </w:rPr>
        <w:t>s, cash flow from investing activities, and cash flow from financing activities</w:t>
      </w:r>
      <w:r w:rsidR="00812551">
        <w:rPr>
          <w:lang w:val="en-US"/>
        </w:rPr>
        <w:t xml:space="preserve"> (Fridson &amp; Alvarez, 2022)</w:t>
      </w:r>
      <w:r w:rsidR="007E2EBD">
        <w:rPr>
          <w:lang w:val="en-US"/>
        </w:rPr>
        <w:t>.</w:t>
      </w:r>
    </w:p>
    <w:p w14:paraId="5587F8CC" w14:textId="77777777" w:rsidR="007A4715" w:rsidRDefault="007A1BE5" w:rsidP="007C1F3D">
      <w:pPr>
        <w:rPr>
          <w:lang w:val="en-US"/>
        </w:rPr>
      </w:pPr>
      <w:r>
        <w:rPr>
          <w:lang w:val="en-US"/>
        </w:rPr>
        <w:t>The second statement of the person is that non-current assets are things that cannot be moved.</w:t>
      </w:r>
      <w:r w:rsidR="007E2EBD">
        <w:rPr>
          <w:lang w:val="en-US"/>
        </w:rPr>
        <w:t xml:space="preserve"> This statement of this person is also wrong. Non-current assets are those assets which cannot be co</w:t>
      </w:r>
      <w:r w:rsidR="00110358">
        <w:rPr>
          <w:lang w:val="en-US"/>
        </w:rPr>
        <w:t>nverte</w:t>
      </w:r>
      <w:r w:rsidR="007E2EBD">
        <w:rPr>
          <w:lang w:val="en-US"/>
        </w:rPr>
        <w:t>d into cash in a sho</w:t>
      </w:r>
      <w:r w:rsidR="00110358">
        <w:rPr>
          <w:lang w:val="en-US"/>
        </w:rPr>
        <w:t>r</w:t>
      </w:r>
      <w:r w:rsidR="007E2EBD">
        <w:rPr>
          <w:lang w:val="en-US"/>
        </w:rPr>
        <w:t xml:space="preserve">t </w:t>
      </w:r>
      <w:r w:rsidR="00110358">
        <w:rPr>
          <w:lang w:val="en-US"/>
        </w:rPr>
        <w:t>period</w:t>
      </w:r>
      <w:r w:rsidR="007E2EBD">
        <w:rPr>
          <w:lang w:val="en-US"/>
        </w:rPr>
        <w:t xml:space="preserve">. </w:t>
      </w:r>
      <w:r w:rsidR="002D7FAF">
        <w:rPr>
          <w:lang w:val="en-US"/>
        </w:rPr>
        <w:t>These assets are also known as long-term assets. Non-current assets include long-term investments, land, intellectual property, plant, equipment</w:t>
      </w:r>
      <w:r w:rsidR="00572B13">
        <w:rPr>
          <w:lang w:val="en-US"/>
        </w:rPr>
        <w:t>, m</w:t>
      </w:r>
      <w:r w:rsidR="00110358">
        <w:rPr>
          <w:lang w:val="en-US"/>
        </w:rPr>
        <w:t>achine</w:t>
      </w:r>
      <w:r w:rsidR="00572B13">
        <w:rPr>
          <w:lang w:val="en-US"/>
        </w:rPr>
        <w:t>ry, vehicles, etc. Non-current assets may be movable or immovable. Some of the non-current assets can be moved from one place to another place but some of the non-current assets cannot be moved anyway. M</w:t>
      </w:r>
      <w:r w:rsidR="00110358">
        <w:rPr>
          <w:lang w:val="en-US"/>
        </w:rPr>
        <w:t>achine</w:t>
      </w:r>
      <w:r w:rsidR="00572B13">
        <w:rPr>
          <w:lang w:val="en-US"/>
        </w:rPr>
        <w:t xml:space="preserve">ry, vehicles, etc are moveable non-current assets. On the other hand, land, equipment, etc are not </w:t>
      </w:r>
      <w:r w:rsidR="00110358">
        <w:rPr>
          <w:lang w:val="en-US"/>
        </w:rPr>
        <w:t>im</w:t>
      </w:r>
      <w:r w:rsidR="00572B13">
        <w:rPr>
          <w:lang w:val="en-US"/>
        </w:rPr>
        <w:t>mov</w:t>
      </w:r>
      <w:r w:rsidR="00110358">
        <w:rPr>
          <w:lang w:val="en-US"/>
        </w:rPr>
        <w:t>ab</w:t>
      </w:r>
      <w:r w:rsidR="00572B13">
        <w:rPr>
          <w:lang w:val="en-US"/>
        </w:rPr>
        <w:t>le</w:t>
      </w:r>
      <w:r w:rsidR="00046829">
        <w:rPr>
          <w:lang w:val="en-US"/>
        </w:rPr>
        <w:t xml:space="preserve"> (Chandra, 2017)</w:t>
      </w:r>
      <w:r w:rsidR="00572B13">
        <w:rPr>
          <w:lang w:val="en-US"/>
        </w:rPr>
        <w:t xml:space="preserve">. </w:t>
      </w:r>
    </w:p>
    <w:p w14:paraId="5C60866B" w14:textId="77777777" w:rsidR="007A1BE5" w:rsidRDefault="007A1BE5" w:rsidP="007C1F3D">
      <w:pPr>
        <w:rPr>
          <w:lang w:val="en-US"/>
        </w:rPr>
      </w:pPr>
      <w:r>
        <w:rPr>
          <w:lang w:val="en-US"/>
        </w:rPr>
        <w:t>The third statement the person is that managers should only supply financial information to the current shareholders of companies.</w:t>
      </w:r>
      <w:r w:rsidR="00A15C79">
        <w:rPr>
          <w:lang w:val="en-US"/>
        </w:rPr>
        <w:t xml:space="preserve"> </w:t>
      </w:r>
      <w:r w:rsidR="00110358">
        <w:rPr>
          <w:lang w:val="en-US"/>
        </w:rPr>
        <w:t>The f</w:t>
      </w:r>
      <w:r w:rsidR="00A15C79">
        <w:rPr>
          <w:lang w:val="en-US"/>
        </w:rPr>
        <w:t xml:space="preserve">inancial information of a company is required to </w:t>
      </w:r>
      <w:r w:rsidR="00110358">
        <w:rPr>
          <w:lang w:val="en-US"/>
        </w:rPr>
        <w:t xml:space="preserve">be </w:t>
      </w:r>
      <w:r w:rsidR="00A15C79">
        <w:rPr>
          <w:lang w:val="en-US"/>
        </w:rPr>
        <w:t xml:space="preserve">shared with all the stakeholders of the company. Stakeholders include shareholders, suppliers, competitors, creditors, debtors, investors, government, </w:t>
      </w:r>
      <w:r w:rsidR="00F45119">
        <w:rPr>
          <w:lang w:val="en-US"/>
        </w:rPr>
        <w:t xml:space="preserve">etc. </w:t>
      </w:r>
      <w:r w:rsidR="005624BB">
        <w:rPr>
          <w:lang w:val="en-US"/>
        </w:rPr>
        <w:t xml:space="preserve">All these parties use financial information to </w:t>
      </w:r>
      <w:r w:rsidR="00110358">
        <w:rPr>
          <w:lang w:val="en-US"/>
        </w:rPr>
        <w:t>m</w:t>
      </w:r>
      <w:r w:rsidR="005624BB">
        <w:rPr>
          <w:lang w:val="en-US"/>
        </w:rPr>
        <w:t>ake business decision</w:t>
      </w:r>
      <w:r w:rsidR="00110358">
        <w:rPr>
          <w:lang w:val="en-US"/>
        </w:rPr>
        <w:t>s</w:t>
      </w:r>
      <w:r w:rsidR="005624BB">
        <w:rPr>
          <w:lang w:val="en-US"/>
        </w:rPr>
        <w:t xml:space="preserve">. </w:t>
      </w:r>
      <w:r w:rsidR="00C22855">
        <w:rPr>
          <w:lang w:val="en-US"/>
        </w:rPr>
        <w:t xml:space="preserve">Companies need to verify the authenticity of their financial statement by a third party. The financial statements </w:t>
      </w:r>
      <w:r w:rsidR="00110358">
        <w:rPr>
          <w:lang w:val="en-US"/>
        </w:rPr>
        <w:t>are required</w:t>
      </w:r>
      <w:r w:rsidR="00C22855">
        <w:rPr>
          <w:lang w:val="en-US"/>
        </w:rPr>
        <w:t xml:space="preserve"> to be audited </w:t>
      </w:r>
      <w:r w:rsidR="00110358">
        <w:rPr>
          <w:lang w:val="en-US"/>
        </w:rPr>
        <w:t>by</w:t>
      </w:r>
      <w:r w:rsidR="00C22855">
        <w:rPr>
          <w:lang w:val="en-US"/>
        </w:rPr>
        <w:t xml:space="preserve"> the external auditors. Then the audited financial statements need to be made public so that stakeholders can </w:t>
      </w:r>
      <w:r w:rsidR="00110358">
        <w:rPr>
          <w:lang w:val="en-US"/>
        </w:rPr>
        <w:t>m</w:t>
      </w:r>
      <w:r w:rsidR="00C22855">
        <w:rPr>
          <w:lang w:val="en-US"/>
        </w:rPr>
        <w:t>ake business decision</w:t>
      </w:r>
      <w:r w:rsidR="000D68C5">
        <w:rPr>
          <w:lang w:val="en-US"/>
        </w:rPr>
        <w:t>s</w:t>
      </w:r>
      <w:r w:rsidR="00783538">
        <w:rPr>
          <w:lang w:val="en-US"/>
        </w:rPr>
        <w:t xml:space="preserve"> (Roychowdhury et al, 2019)</w:t>
      </w:r>
      <w:r w:rsidR="00C22855">
        <w:rPr>
          <w:lang w:val="en-US"/>
        </w:rPr>
        <w:t xml:space="preserve">. Only disclosing the financial information of a company to the current shareholders </w:t>
      </w:r>
      <w:r w:rsidR="00E61C02">
        <w:rPr>
          <w:lang w:val="en-US"/>
        </w:rPr>
        <w:t>is not sufficient; all the stake</w:t>
      </w:r>
      <w:r w:rsidR="00C22855">
        <w:rPr>
          <w:lang w:val="en-US"/>
        </w:rPr>
        <w:t xml:space="preserve">holders </w:t>
      </w:r>
      <w:r w:rsidR="00F673FB">
        <w:rPr>
          <w:lang w:val="en-US"/>
        </w:rPr>
        <w:t>require th</w:t>
      </w:r>
      <w:r w:rsidR="00110358">
        <w:rPr>
          <w:lang w:val="en-US"/>
        </w:rPr>
        <w:t>is</w:t>
      </w:r>
      <w:r w:rsidR="00F673FB">
        <w:rPr>
          <w:lang w:val="en-US"/>
        </w:rPr>
        <w:t xml:space="preserve"> information. </w:t>
      </w:r>
    </w:p>
    <w:p w14:paraId="7E11AEAE" w14:textId="77777777" w:rsidR="007A1BE5" w:rsidRDefault="007A1BE5" w:rsidP="007C1F3D">
      <w:pPr>
        <w:rPr>
          <w:lang w:val="en-US"/>
        </w:rPr>
      </w:pPr>
      <w:r>
        <w:rPr>
          <w:lang w:val="en-US"/>
        </w:rPr>
        <w:t>The fo</w:t>
      </w:r>
      <w:r w:rsidR="00110358">
        <w:rPr>
          <w:lang w:val="en-US"/>
        </w:rPr>
        <w:t>u</w:t>
      </w:r>
      <w:r>
        <w:rPr>
          <w:lang w:val="en-US"/>
        </w:rPr>
        <w:t xml:space="preserve">rth statement of the person is that </w:t>
      </w:r>
      <w:r w:rsidR="001A099A">
        <w:rPr>
          <w:lang w:val="en-US"/>
        </w:rPr>
        <w:t>there is no need to include prepayments and accruals on the statement of financial position.</w:t>
      </w:r>
      <w:r w:rsidR="00B12249">
        <w:rPr>
          <w:lang w:val="en-US"/>
        </w:rPr>
        <w:t xml:space="preserve"> In the statement of financial position</w:t>
      </w:r>
      <w:r w:rsidR="00110358">
        <w:rPr>
          <w:lang w:val="en-US"/>
        </w:rPr>
        <w:t>,</w:t>
      </w:r>
      <w:r w:rsidR="00B12249">
        <w:rPr>
          <w:lang w:val="en-US"/>
        </w:rPr>
        <w:t xml:space="preserve"> there is </w:t>
      </w:r>
      <w:r w:rsidR="00110358">
        <w:rPr>
          <w:lang w:val="en-US"/>
        </w:rPr>
        <w:t xml:space="preserve">a </w:t>
      </w:r>
      <w:r w:rsidR="00B12249">
        <w:rPr>
          <w:lang w:val="en-US"/>
        </w:rPr>
        <w:t>separate section for current assets and current liabilities. In the current assets section</w:t>
      </w:r>
      <w:r w:rsidR="00110358">
        <w:rPr>
          <w:lang w:val="en-US"/>
        </w:rPr>
        <w:t>,</w:t>
      </w:r>
      <w:r w:rsidR="00B12249">
        <w:rPr>
          <w:lang w:val="en-US"/>
        </w:rPr>
        <w:t xml:space="preserve"> all the current assets are included</w:t>
      </w:r>
      <w:r w:rsidR="006B1CB6">
        <w:rPr>
          <w:lang w:val="en-US"/>
        </w:rPr>
        <w:t xml:space="preserve">. Prepayments </w:t>
      </w:r>
      <w:r w:rsidR="00110358">
        <w:rPr>
          <w:lang w:val="en-US"/>
        </w:rPr>
        <w:t>are</w:t>
      </w:r>
      <w:r w:rsidR="006B1CB6">
        <w:rPr>
          <w:lang w:val="en-US"/>
        </w:rPr>
        <w:t xml:space="preserve"> a current asset. If this amount is not included in the financial position, the accurate amount of current assets of a company cannot be determined. On the other hand, in the current liabilities section</w:t>
      </w:r>
      <w:r w:rsidR="00110358">
        <w:rPr>
          <w:lang w:val="en-US"/>
        </w:rPr>
        <w:t>,</w:t>
      </w:r>
      <w:r w:rsidR="006B1CB6">
        <w:rPr>
          <w:lang w:val="en-US"/>
        </w:rPr>
        <w:t xml:space="preserve"> all the items of current liabilities are included. Accruals are part o</w:t>
      </w:r>
      <w:r w:rsidR="00110358">
        <w:rPr>
          <w:lang w:val="en-US"/>
        </w:rPr>
        <w:t>f</w:t>
      </w:r>
      <w:r w:rsidR="006B1CB6">
        <w:rPr>
          <w:lang w:val="en-US"/>
        </w:rPr>
        <w:t xml:space="preserve"> </w:t>
      </w:r>
      <w:r w:rsidR="00110358">
        <w:rPr>
          <w:lang w:val="en-US"/>
        </w:rPr>
        <w:t xml:space="preserve">the </w:t>
      </w:r>
      <w:r w:rsidR="006B1CB6">
        <w:rPr>
          <w:lang w:val="en-US"/>
        </w:rPr>
        <w:t>current liabilities of a company. If the accruals are not included in the current liabilities section the accurate amount of current liabilities cannot be determined</w:t>
      </w:r>
      <w:r w:rsidR="004D56B5">
        <w:rPr>
          <w:lang w:val="en-US"/>
        </w:rPr>
        <w:t xml:space="preserve"> (Davies &amp; Crawford, 2011)</w:t>
      </w:r>
      <w:r w:rsidR="006B1CB6">
        <w:rPr>
          <w:lang w:val="en-US"/>
        </w:rPr>
        <w:t>.</w:t>
      </w:r>
    </w:p>
    <w:p w14:paraId="07673410" w14:textId="77777777" w:rsidR="001A099A" w:rsidRDefault="001A099A" w:rsidP="007C1F3D">
      <w:pPr>
        <w:rPr>
          <w:lang w:val="en-US"/>
        </w:rPr>
      </w:pPr>
      <w:r>
        <w:rPr>
          <w:lang w:val="en-US"/>
        </w:rPr>
        <w:t>The fifth statement of the person is that there is no need for regulation over financial accounts.</w:t>
      </w:r>
      <w:r w:rsidR="006B1CB6">
        <w:rPr>
          <w:lang w:val="en-US"/>
        </w:rPr>
        <w:t xml:space="preserve"> This statement of this person is wrong. If there is no regulation over financial ac</w:t>
      </w:r>
      <w:r w:rsidR="00110358">
        <w:rPr>
          <w:lang w:val="en-US"/>
        </w:rPr>
        <w:t>co</w:t>
      </w:r>
      <w:r w:rsidR="006B1CB6">
        <w:rPr>
          <w:lang w:val="en-US"/>
        </w:rPr>
        <w:t xml:space="preserve">unts, companies will prepare their financial statement according to the interest. They will report financial information which can benefit the organization. </w:t>
      </w:r>
      <w:r w:rsidR="00110358">
        <w:rPr>
          <w:lang w:val="en-US"/>
        </w:rPr>
        <w:t>However,</w:t>
      </w:r>
      <w:r w:rsidR="006B1CB6">
        <w:rPr>
          <w:lang w:val="en-US"/>
        </w:rPr>
        <w:t xml:space="preserve"> if there is regulation over financial accounts, the companies need to follow some rules and regulations in reporting their financial activi</w:t>
      </w:r>
      <w:r w:rsidR="00110358">
        <w:rPr>
          <w:lang w:val="en-US"/>
        </w:rPr>
        <w:t>ti</w:t>
      </w:r>
      <w:r w:rsidR="006B1CB6">
        <w:rPr>
          <w:lang w:val="en-US"/>
        </w:rPr>
        <w:t xml:space="preserve">es. </w:t>
      </w:r>
      <w:r w:rsidR="00110358">
        <w:rPr>
          <w:lang w:val="en-US"/>
        </w:rPr>
        <w:t>C</w:t>
      </w:r>
      <w:r w:rsidR="006B1CB6">
        <w:rPr>
          <w:lang w:val="en-US"/>
        </w:rPr>
        <w:t>onsistency in the reporting of all the companies can be found which is required by all the interested parties</w:t>
      </w:r>
      <w:r w:rsidR="00DC0EA6">
        <w:rPr>
          <w:lang w:val="en-US"/>
        </w:rPr>
        <w:t xml:space="preserve"> (Gowthorpe, 2021)</w:t>
      </w:r>
      <w:r w:rsidR="006B1CB6">
        <w:rPr>
          <w:lang w:val="en-US"/>
        </w:rPr>
        <w:t xml:space="preserve">. </w:t>
      </w:r>
    </w:p>
    <w:p w14:paraId="1D44FE31" w14:textId="77777777" w:rsidR="00DC660B" w:rsidRDefault="001A099A" w:rsidP="007C1F3D">
      <w:pPr>
        <w:rPr>
          <w:lang w:val="en-US"/>
        </w:rPr>
      </w:pPr>
      <w:r>
        <w:rPr>
          <w:lang w:val="en-US"/>
        </w:rPr>
        <w:t>The sixth statement of the person is that it is important to balance ledger (T) accounts and trial balance</w:t>
      </w:r>
      <w:r w:rsidR="00110358">
        <w:rPr>
          <w:lang w:val="en-US"/>
        </w:rPr>
        <w:t>s</w:t>
      </w:r>
      <w:r>
        <w:rPr>
          <w:lang w:val="en-US"/>
        </w:rPr>
        <w:t xml:space="preserve"> before preparing financial statements.</w:t>
      </w:r>
      <w:r w:rsidR="00B2262F">
        <w:rPr>
          <w:lang w:val="en-US"/>
        </w:rPr>
        <w:t xml:space="preserve"> This statement of the person is true. Balance ledger accounts and trial balance play a crucial role in preparing </w:t>
      </w:r>
      <w:r w:rsidR="00110358">
        <w:rPr>
          <w:lang w:val="en-US"/>
        </w:rPr>
        <w:t xml:space="preserve">the </w:t>
      </w:r>
      <w:r w:rsidR="00B2262F">
        <w:rPr>
          <w:lang w:val="en-US"/>
        </w:rPr>
        <w:t>financial statements of an org</w:t>
      </w:r>
      <w:r w:rsidR="00110358">
        <w:rPr>
          <w:lang w:val="en-US"/>
        </w:rPr>
        <w:t>a</w:t>
      </w:r>
      <w:r w:rsidR="00B2262F">
        <w:rPr>
          <w:lang w:val="en-US"/>
        </w:rPr>
        <w:t>nisation. The balance ledger ensures the accounting equation is maintained by the organization at the time of reporting. With the balance of the ledge</w:t>
      </w:r>
      <w:r w:rsidR="00110358">
        <w:rPr>
          <w:lang w:val="en-US"/>
        </w:rPr>
        <w:t>r</w:t>
      </w:r>
      <w:r w:rsidR="00B2262F">
        <w:rPr>
          <w:lang w:val="en-US"/>
        </w:rPr>
        <w:t>, trial balance</w:t>
      </w:r>
      <w:r w:rsidR="00110358">
        <w:rPr>
          <w:lang w:val="en-US"/>
        </w:rPr>
        <w:t>s</w:t>
      </w:r>
      <w:r w:rsidR="00B2262F">
        <w:rPr>
          <w:lang w:val="en-US"/>
        </w:rPr>
        <w:t xml:space="preserve"> are prepared. If there is any error in recording any account is the ledger that can be found at the time of preparing </w:t>
      </w:r>
      <w:r w:rsidR="00110358">
        <w:rPr>
          <w:lang w:val="en-US"/>
        </w:rPr>
        <w:t xml:space="preserve">the </w:t>
      </w:r>
      <w:r w:rsidR="00B2262F">
        <w:rPr>
          <w:lang w:val="en-US"/>
        </w:rPr>
        <w:t>trial balance. Using the information of trial balance the financial statement of an organization is prepared. The reliability and correctness of the financial statements depend o</w:t>
      </w:r>
      <w:r w:rsidR="00110358">
        <w:rPr>
          <w:lang w:val="en-US"/>
        </w:rPr>
        <w:t>n</w:t>
      </w:r>
      <w:r w:rsidR="00B2262F">
        <w:rPr>
          <w:lang w:val="en-US"/>
        </w:rPr>
        <w:t xml:space="preserve"> the accuracy </w:t>
      </w:r>
      <w:r w:rsidR="00110358">
        <w:rPr>
          <w:lang w:val="en-US"/>
        </w:rPr>
        <w:t>of</w:t>
      </w:r>
      <w:r w:rsidR="00B2262F">
        <w:rPr>
          <w:lang w:val="en-US"/>
        </w:rPr>
        <w:t xml:space="preserve"> the balance ledger account and the trial balance</w:t>
      </w:r>
      <w:r w:rsidR="00262831">
        <w:rPr>
          <w:lang w:val="en-US"/>
        </w:rPr>
        <w:t xml:space="preserve"> (Peprah et al, 2022)</w:t>
      </w:r>
      <w:r w:rsidR="00B2262F">
        <w:rPr>
          <w:lang w:val="en-US"/>
        </w:rPr>
        <w:t>. So, these two required to be prepared before the preparation of financial statements.</w:t>
      </w:r>
    </w:p>
    <w:p w14:paraId="7AD85000" w14:textId="77777777" w:rsidR="00DC660B" w:rsidRDefault="00DC660B" w:rsidP="007C1F3D">
      <w:pPr>
        <w:pStyle w:val="Titlu1"/>
        <w:rPr>
          <w:lang w:val="en-US"/>
        </w:rPr>
      </w:pPr>
      <w:bookmarkStart w:id="6" w:name="_Toc153445787"/>
      <w:bookmarkStart w:id="7" w:name="_Toc153474621"/>
      <w:bookmarkStart w:id="8" w:name="_Toc153474665"/>
      <w:r>
        <w:rPr>
          <w:lang w:val="en-US"/>
        </w:rPr>
        <w:t>Income statement preparation of Wales plc</w:t>
      </w:r>
      <w:bookmarkEnd w:id="6"/>
      <w:bookmarkEnd w:id="7"/>
      <w:bookmarkEnd w:id="8"/>
    </w:p>
    <w:tbl>
      <w:tblPr>
        <w:tblW w:w="5536" w:type="dxa"/>
        <w:jc w:val="center"/>
        <w:tblLook w:val="04A0" w:firstRow="1" w:lastRow="0" w:firstColumn="1" w:lastColumn="0" w:noHBand="0" w:noVBand="1"/>
      </w:tblPr>
      <w:tblGrid>
        <w:gridCol w:w="3760"/>
        <w:gridCol w:w="1776"/>
      </w:tblGrid>
      <w:tr w:rsidR="00DC660B" w:rsidRPr="00DC660B" w14:paraId="555CD669"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578204AA"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Details</w:t>
            </w:r>
          </w:p>
        </w:tc>
        <w:tc>
          <w:tcPr>
            <w:tcW w:w="1776" w:type="dxa"/>
            <w:tcBorders>
              <w:top w:val="nil"/>
              <w:left w:val="nil"/>
              <w:bottom w:val="nil"/>
              <w:right w:val="nil"/>
            </w:tcBorders>
            <w:shd w:val="clear" w:color="auto" w:fill="auto"/>
            <w:noWrap/>
            <w:vAlign w:val="center"/>
            <w:hideMark/>
          </w:tcPr>
          <w:p w14:paraId="31F9C08E" w14:textId="77777777" w:rsidR="00DC660B" w:rsidRPr="00DC660B" w:rsidRDefault="00DC660B" w:rsidP="007C1F3D">
            <w:pPr>
              <w:spacing w:after="0"/>
              <w:jc w:val="center"/>
              <w:rPr>
                <w:rFonts w:eastAsia="Times New Roman"/>
                <w:b/>
                <w:bCs/>
                <w:szCs w:val="24"/>
                <w:lang w:val="en-US"/>
              </w:rPr>
            </w:pPr>
            <w:r w:rsidRPr="00DC660B">
              <w:rPr>
                <w:rFonts w:eastAsia="Times New Roman"/>
                <w:b/>
                <w:bCs/>
                <w:szCs w:val="24"/>
                <w:lang w:val="en-US"/>
              </w:rPr>
              <w:t>Amount ( £)</w:t>
            </w:r>
          </w:p>
        </w:tc>
      </w:tr>
      <w:tr w:rsidR="00DC660B" w:rsidRPr="00DC660B" w14:paraId="151FBCED"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659A5747"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Sales revenue</w:t>
            </w:r>
          </w:p>
        </w:tc>
        <w:tc>
          <w:tcPr>
            <w:tcW w:w="1776" w:type="dxa"/>
            <w:tcBorders>
              <w:top w:val="nil"/>
              <w:left w:val="nil"/>
              <w:bottom w:val="nil"/>
              <w:right w:val="nil"/>
            </w:tcBorders>
            <w:shd w:val="clear" w:color="auto" w:fill="auto"/>
            <w:noWrap/>
            <w:vAlign w:val="center"/>
            <w:hideMark/>
          </w:tcPr>
          <w:p w14:paraId="6D133687"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900000</w:t>
            </w:r>
          </w:p>
        </w:tc>
      </w:tr>
      <w:tr w:rsidR="00DC660B" w:rsidRPr="00DC660B" w14:paraId="340AAF14"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7D9F8884"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 xml:space="preserve">Less: </w:t>
            </w:r>
          </w:p>
        </w:tc>
        <w:tc>
          <w:tcPr>
            <w:tcW w:w="1776" w:type="dxa"/>
            <w:tcBorders>
              <w:top w:val="nil"/>
              <w:left w:val="nil"/>
              <w:bottom w:val="nil"/>
              <w:right w:val="nil"/>
            </w:tcBorders>
            <w:shd w:val="clear" w:color="auto" w:fill="auto"/>
            <w:noWrap/>
            <w:vAlign w:val="center"/>
            <w:hideMark/>
          </w:tcPr>
          <w:p w14:paraId="6C452789" w14:textId="77777777" w:rsidR="00DC660B" w:rsidRPr="00DC660B" w:rsidRDefault="00DC660B" w:rsidP="007C1F3D">
            <w:pPr>
              <w:spacing w:after="0"/>
              <w:jc w:val="left"/>
              <w:rPr>
                <w:rFonts w:eastAsia="Times New Roman"/>
                <w:szCs w:val="24"/>
                <w:lang w:val="en-US"/>
              </w:rPr>
            </w:pPr>
          </w:p>
        </w:tc>
      </w:tr>
      <w:tr w:rsidR="00DC660B" w:rsidRPr="00DC660B" w14:paraId="283661D0"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18EB52EE"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Commission owed</w:t>
            </w:r>
          </w:p>
        </w:tc>
        <w:tc>
          <w:tcPr>
            <w:tcW w:w="1776" w:type="dxa"/>
            <w:tcBorders>
              <w:top w:val="nil"/>
              <w:left w:val="nil"/>
              <w:bottom w:val="nil"/>
              <w:right w:val="nil"/>
            </w:tcBorders>
            <w:shd w:val="clear" w:color="auto" w:fill="auto"/>
            <w:noWrap/>
            <w:vAlign w:val="center"/>
            <w:hideMark/>
          </w:tcPr>
          <w:p w14:paraId="16D944F0"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2000</w:t>
            </w:r>
          </w:p>
        </w:tc>
      </w:tr>
      <w:tr w:rsidR="00DC660B" w:rsidRPr="00DC660B" w14:paraId="21D50D70"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49532BFF"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Goods sent to customers</w:t>
            </w:r>
          </w:p>
        </w:tc>
        <w:tc>
          <w:tcPr>
            <w:tcW w:w="1776" w:type="dxa"/>
            <w:tcBorders>
              <w:top w:val="nil"/>
              <w:left w:val="nil"/>
              <w:bottom w:val="nil"/>
              <w:right w:val="nil"/>
            </w:tcBorders>
            <w:shd w:val="clear" w:color="auto" w:fill="auto"/>
            <w:noWrap/>
            <w:vAlign w:val="center"/>
            <w:hideMark/>
          </w:tcPr>
          <w:p w14:paraId="16CBC1C3"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1000</w:t>
            </w:r>
          </w:p>
        </w:tc>
      </w:tr>
      <w:tr w:rsidR="00DC660B" w:rsidRPr="00DC660B" w14:paraId="1DC5ED56"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057152FD" w14:textId="77777777" w:rsidR="00DC660B" w:rsidRPr="00DC660B" w:rsidRDefault="00DC660B" w:rsidP="007C1F3D">
            <w:pPr>
              <w:spacing w:after="0"/>
              <w:jc w:val="left"/>
              <w:rPr>
                <w:rFonts w:eastAsia="Times New Roman"/>
                <w:b/>
                <w:bCs/>
                <w:szCs w:val="24"/>
                <w:lang w:val="en-US"/>
              </w:rPr>
            </w:pPr>
            <w:r w:rsidRPr="00DC660B">
              <w:rPr>
                <w:rFonts w:eastAsia="Times New Roman"/>
                <w:b/>
                <w:bCs/>
                <w:szCs w:val="24"/>
                <w:lang w:val="en-US"/>
              </w:rPr>
              <w:t>Net Sales</w:t>
            </w:r>
          </w:p>
        </w:tc>
        <w:tc>
          <w:tcPr>
            <w:tcW w:w="1776" w:type="dxa"/>
            <w:tcBorders>
              <w:top w:val="nil"/>
              <w:left w:val="nil"/>
              <w:bottom w:val="nil"/>
              <w:right w:val="nil"/>
            </w:tcBorders>
            <w:shd w:val="clear" w:color="auto" w:fill="auto"/>
            <w:noWrap/>
            <w:vAlign w:val="center"/>
            <w:hideMark/>
          </w:tcPr>
          <w:p w14:paraId="67896A75" w14:textId="77777777" w:rsidR="00DC660B" w:rsidRPr="00DC660B" w:rsidRDefault="00DC660B" w:rsidP="007C1F3D">
            <w:pPr>
              <w:spacing w:after="0"/>
              <w:jc w:val="right"/>
              <w:rPr>
                <w:rFonts w:eastAsia="Times New Roman"/>
                <w:b/>
                <w:bCs/>
                <w:szCs w:val="24"/>
                <w:lang w:val="en-US"/>
              </w:rPr>
            </w:pPr>
            <w:r w:rsidRPr="00DC660B">
              <w:rPr>
                <w:rFonts w:eastAsia="Times New Roman"/>
                <w:b/>
                <w:bCs/>
                <w:szCs w:val="24"/>
                <w:lang w:val="en-US"/>
              </w:rPr>
              <w:t>897000</w:t>
            </w:r>
          </w:p>
        </w:tc>
      </w:tr>
      <w:tr w:rsidR="00DC660B" w:rsidRPr="00DC660B" w14:paraId="65BD09A6"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4D2EC61F"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Cost of Goods Sold:</w:t>
            </w:r>
          </w:p>
        </w:tc>
        <w:tc>
          <w:tcPr>
            <w:tcW w:w="1776" w:type="dxa"/>
            <w:tcBorders>
              <w:top w:val="nil"/>
              <w:left w:val="nil"/>
              <w:bottom w:val="nil"/>
              <w:right w:val="nil"/>
            </w:tcBorders>
            <w:shd w:val="clear" w:color="auto" w:fill="auto"/>
            <w:noWrap/>
            <w:vAlign w:val="center"/>
            <w:hideMark/>
          </w:tcPr>
          <w:p w14:paraId="167370DA" w14:textId="77777777" w:rsidR="00DC660B" w:rsidRPr="00DC660B" w:rsidRDefault="00DC660B" w:rsidP="007C1F3D">
            <w:pPr>
              <w:spacing w:after="0"/>
              <w:jc w:val="left"/>
              <w:rPr>
                <w:rFonts w:eastAsia="Times New Roman"/>
                <w:szCs w:val="24"/>
                <w:lang w:val="en-US"/>
              </w:rPr>
            </w:pPr>
          </w:p>
        </w:tc>
      </w:tr>
      <w:tr w:rsidR="00DC660B" w:rsidRPr="00DC660B" w14:paraId="511FE760"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202816D3"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Cost of sales</w:t>
            </w:r>
          </w:p>
        </w:tc>
        <w:tc>
          <w:tcPr>
            <w:tcW w:w="1776" w:type="dxa"/>
            <w:tcBorders>
              <w:top w:val="nil"/>
              <w:left w:val="nil"/>
              <w:bottom w:val="nil"/>
              <w:right w:val="nil"/>
            </w:tcBorders>
            <w:shd w:val="clear" w:color="auto" w:fill="auto"/>
            <w:noWrap/>
            <w:vAlign w:val="center"/>
            <w:hideMark/>
          </w:tcPr>
          <w:p w14:paraId="3D00573F"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578650</w:t>
            </w:r>
          </w:p>
        </w:tc>
      </w:tr>
      <w:tr w:rsidR="00DC660B" w:rsidRPr="00DC660B" w14:paraId="3022ECB2"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4FFC1F65"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Depreciation of equipment</w:t>
            </w:r>
          </w:p>
        </w:tc>
        <w:tc>
          <w:tcPr>
            <w:tcW w:w="1776" w:type="dxa"/>
            <w:tcBorders>
              <w:top w:val="nil"/>
              <w:left w:val="nil"/>
              <w:bottom w:val="nil"/>
              <w:right w:val="nil"/>
            </w:tcBorders>
            <w:shd w:val="clear" w:color="auto" w:fill="auto"/>
            <w:noWrap/>
            <w:vAlign w:val="center"/>
            <w:hideMark/>
          </w:tcPr>
          <w:p w14:paraId="164D5783"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65000</w:t>
            </w:r>
          </w:p>
        </w:tc>
      </w:tr>
      <w:tr w:rsidR="00DC660B" w:rsidRPr="00DC660B" w14:paraId="28021ACF"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46DF33AB" w14:textId="77777777" w:rsidR="00DC660B" w:rsidRPr="00DC660B" w:rsidRDefault="00DC660B" w:rsidP="007C1F3D">
            <w:pPr>
              <w:spacing w:after="0"/>
              <w:jc w:val="left"/>
              <w:rPr>
                <w:rFonts w:eastAsia="Times New Roman"/>
                <w:b/>
                <w:bCs/>
                <w:szCs w:val="24"/>
                <w:lang w:val="en-US"/>
              </w:rPr>
            </w:pPr>
            <w:r w:rsidRPr="00DC660B">
              <w:rPr>
                <w:rFonts w:eastAsia="Times New Roman"/>
                <w:b/>
                <w:bCs/>
                <w:szCs w:val="24"/>
                <w:lang w:val="en-US"/>
              </w:rPr>
              <w:t>Gross Profit</w:t>
            </w:r>
          </w:p>
        </w:tc>
        <w:tc>
          <w:tcPr>
            <w:tcW w:w="1776" w:type="dxa"/>
            <w:tcBorders>
              <w:top w:val="nil"/>
              <w:left w:val="nil"/>
              <w:bottom w:val="nil"/>
              <w:right w:val="nil"/>
            </w:tcBorders>
            <w:shd w:val="clear" w:color="auto" w:fill="auto"/>
            <w:noWrap/>
            <w:vAlign w:val="center"/>
            <w:hideMark/>
          </w:tcPr>
          <w:p w14:paraId="7BCDFA23" w14:textId="77777777" w:rsidR="00DC660B" w:rsidRPr="00DC660B" w:rsidRDefault="00DC660B" w:rsidP="007C1F3D">
            <w:pPr>
              <w:spacing w:after="0"/>
              <w:jc w:val="right"/>
              <w:rPr>
                <w:rFonts w:eastAsia="Times New Roman"/>
                <w:b/>
                <w:bCs/>
                <w:szCs w:val="24"/>
                <w:lang w:val="en-US"/>
              </w:rPr>
            </w:pPr>
            <w:r w:rsidRPr="00DC660B">
              <w:rPr>
                <w:rFonts w:eastAsia="Times New Roman"/>
                <w:b/>
                <w:bCs/>
                <w:szCs w:val="24"/>
                <w:lang w:val="en-US"/>
              </w:rPr>
              <w:t>253350</w:t>
            </w:r>
          </w:p>
        </w:tc>
      </w:tr>
      <w:tr w:rsidR="00DC660B" w:rsidRPr="00DC660B" w14:paraId="52BFECFF"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73CB480B"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Operating expenses:</w:t>
            </w:r>
          </w:p>
        </w:tc>
        <w:tc>
          <w:tcPr>
            <w:tcW w:w="1776" w:type="dxa"/>
            <w:tcBorders>
              <w:top w:val="nil"/>
              <w:left w:val="nil"/>
              <w:bottom w:val="nil"/>
              <w:right w:val="nil"/>
            </w:tcBorders>
            <w:shd w:val="clear" w:color="auto" w:fill="auto"/>
            <w:noWrap/>
            <w:vAlign w:val="center"/>
            <w:hideMark/>
          </w:tcPr>
          <w:p w14:paraId="5897CDD3" w14:textId="77777777" w:rsidR="00DC660B" w:rsidRPr="00DC660B" w:rsidRDefault="00DC660B" w:rsidP="007C1F3D">
            <w:pPr>
              <w:spacing w:after="0"/>
              <w:jc w:val="left"/>
              <w:rPr>
                <w:rFonts w:eastAsia="Times New Roman"/>
                <w:szCs w:val="24"/>
                <w:lang w:val="en-US"/>
              </w:rPr>
            </w:pPr>
          </w:p>
        </w:tc>
      </w:tr>
      <w:tr w:rsidR="00DC660B" w:rsidRPr="00DC660B" w14:paraId="158E96E6"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27F3C835"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Admin</w:t>
            </w:r>
            <w:r w:rsidR="003A0AB5">
              <w:rPr>
                <w:rFonts w:eastAsia="Times New Roman"/>
                <w:szCs w:val="24"/>
                <w:lang w:val="en-US"/>
              </w:rPr>
              <w:t>is</w:t>
            </w:r>
            <w:r w:rsidRPr="00DC660B">
              <w:rPr>
                <w:rFonts w:eastAsia="Times New Roman"/>
                <w:szCs w:val="24"/>
                <w:lang w:val="en-US"/>
              </w:rPr>
              <w:t>trative expenses</w:t>
            </w:r>
          </w:p>
        </w:tc>
        <w:tc>
          <w:tcPr>
            <w:tcW w:w="1776" w:type="dxa"/>
            <w:tcBorders>
              <w:top w:val="nil"/>
              <w:left w:val="nil"/>
              <w:bottom w:val="nil"/>
              <w:right w:val="nil"/>
            </w:tcBorders>
            <w:shd w:val="clear" w:color="auto" w:fill="auto"/>
            <w:noWrap/>
            <w:vAlign w:val="center"/>
            <w:hideMark/>
          </w:tcPr>
          <w:p w14:paraId="4E545D5D"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160000</w:t>
            </w:r>
          </w:p>
        </w:tc>
      </w:tr>
      <w:tr w:rsidR="00DC660B" w:rsidRPr="00DC660B" w14:paraId="3A60F449"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1A3FAE6E"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Interest paid</w:t>
            </w:r>
          </w:p>
        </w:tc>
        <w:tc>
          <w:tcPr>
            <w:tcW w:w="1776" w:type="dxa"/>
            <w:tcBorders>
              <w:top w:val="nil"/>
              <w:left w:val="nil"/>
              <w:bottom w:val="nil"/>
              <w:right w:val="nil"/>
            </w:tcBorders>
            <w:shd w:val="clear" w:color="auto" w:fill="auto"/>
            <w:noWrap/>
            <w:vAlign w:val="center"/>
            <w:hideMark/>
          </w:tcPr>
          <w:p w14:paraId="18136045"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2000</w:t>
            </w:r>
          </w:p>
        </w:tc>
      </w:tr>
      <w:tr w:rsidR="00DC660B" w:rsidRPr="00DC660B" w14:paraId="32A022AD"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3488575B"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Director's remuneration</w:t>
            </w:r>
          </w:p>
        </w:tc>
        <w:tc>
          <w:tcPr>
            <w:tcW w:w="1776" w:type="dxa"/>
            <w:tcBorders>
              <w:top w:val="nil"/>
              <w:left w:val="nil"/>
              <w:bottom w:val="nil"/>
              <w:right w:val="nil"/>
            </w:tcBorders>
            <w:shd w:val="clear" w:color="auto" w:fill="auto"/>
            <w:noWrap/>
            <w:vAlign w:val="center"/>
            <w:hideMark/>
          </w:tcPr>
          <w:p w14:paraId="6D8C18CB"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5000</w:t>
            </w:r>
          </w:p>
        </w:tc>
      </w:tr>
      <w:tr w:rsidR="00DC660B" w:rsidRPr="00DC660B" w14:paraId="192847AF"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445F154C"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Distribution cost</w:t>
            </w:r>
          </w:p>
        </w:tc>
        <w:tc>
          <w:tcPr>
            <w:tcW w:w="1776" w:type="dxa"/>
            <w:tcBorders>
              <w:top w:val="nil"/>
              <w:left w:val="nil"/>
              <w:bottom w:val="nil"/>
              <w:right w:val="nil"/>
            </w:tcBorders>
            <w:shd w:val="clear" w:color="auto" w:fill="auto"/>
            <w:noWrap/>
            <w:vAlign w:val="center"/>
            <w:hideMark/>
          </w:tcPr>
          <w:p w14:paraId="0EC0E545"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28000</w:t>
            </w:r>
          </w:p>
        </w:tc>
      </w:tr>
      <w:tr w:rsidR="00DC660B" w:rsidRPr="00DC660B" w14:paraId="7056BE29"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3952C038"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Unpaid salaries</w:t>
            </w:r>
          </w:p>
        </w:tc>
        <w:tc>
          <w:tcPr>
            <w:tcW w:w="1776" w:type="dxa"/>
            <w:tcBorders>
              <w:top w:val="nil"/>
              <w:left w:val="nil"/>
              <w:bottom w:val="nil"/>
              <w:right w:val="nil"/>
            </w:tcBorders>
            <w:shd w:val="clear" w:color="auto" w:fill="auto"/>
            <w:noWrap/>
            <w:vAlign w:val="center"/>
            <w:hideMark/>
          </w:tcPr>
          <w:p w14:paraId="36A4EE4D"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10000</w:t>
            </w:r>
          </w:p>
        </w:tc>
      </w:tr>
      <w:tr w:rsidR="00DC660B" w:rsidRPr="00DC660B" w14:paraId="677D41B6"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4ACA21F5" w14:textId="77777777" w:rsidR="00DC660B" w:rsidRPr="00DC660B" w:rsidRDefault="00DC660B" w:rsidP="007C1F3D">
            <w:pPr>
              <w:spacing w:after="0"/>
              <w:jc w:val="left"/>
              <w:rPr>
                <w:rFonts w:eastAsia="Times New Roman"/>
                <w:b/>
                <w:bCs/>
                <w:szCs w:val="24"/>
                <w:lang w:val="en-US"/>
              </w:rPr>
            </w:pPr>
            <w:r w:rsidRPr="00DC660B">
              <w:rPr>
                <w:rFonts w:eastAsia="Times New Roman"/>
                <w:b/>
                <w:bCs/>
                <w:szCs w:val="24"/>
                <w:lang w:val="en-US"/>
              </w:rPr>
              <w:t>Operating Profit/ profit before tax</w:t>
            </w:r>
          </w:p>
        </w:tc>
        <w:tc>
          <w:tcPr>
            <w:tcW w:w="1776" w:type="dxa"/>
            <w:tcBorders>
              <w:top w:val="nil"/>
              <w:left w:val="nil"/>
              <w:bottom w:val="nil"/>
              <w:right w:val="nil"/>
            </w:tcBorders>
            <w:shd w:val="clear" w:color="auto" w:fill="auto"/>
            <w:noWrap/>
            <w:vAlign w:val="center"/>
            <w:hideMark/>
          </w:tcPr>
          <w:p w14:paraId="47857F9B" w14:textId="77777777" w:rsidR="00DC660B" w:rsidRPr="00DC660B" w:rsidRDefault="00DC660B" w:rsidP="007C1F3D">
            <w:pPr>
              <w:spacing w:after="0"/>
              <w:jc w:val="right"/>
              <w:rPr>
                <w:rFonts w:eastAsia="Times New Roman"/>
                <w:b/>
                <w:bCs/>
                <w:szCs w:val="24"/>
                <w:lang w:val="en-US"/>
              </w:rPr>
            </w:pPr>
            <w:r w:rsidRPr="00DC660B">
              <w:rPr>
                <w:rFonts w:eastAsia="Times New Roman"/>
                <w:b/>
                <w:bCs/>
                <w:szCs w:val="24"/>
                <w:lang w:val="en-US"/>
              </w:rPr>
              <w:t>48350</w:t>
            </w:r>
          </w:p>
        </w:tc>
      </w:tr>
      <w:tr w:rsidR="00DC660B" w:rsidRPr="00DC660B" w14:paraId="3C0F2BEF"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4B4ECC3E"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Corporation tax</w:t>
            </w:r>
          </w:p>
        </w:tc>
        <w:tc>
          <w:tcPr>
            <w:tcW w:w="1776" w:type="dxa"/>
            <w:tcBorders>
              <w:top w:val="nil"/>
              <w:left w:val="nil"/>
              <w:bottom w:val="nil"/>
              <w:right w:val="nil"/>
            </w:tcBorders>
            <w:shd w:val="clear" w:color="auto" w:fill="auto"/>
            <w:noWrap/>
            <w:vAlign w:val="center"/>
            <w:hideMark/>
          </w:tcPr>
          <w:p w14:paraId="28FE3A4C"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15000</w:t>
            </w:r>
          </w:p>
        </w:tc>
      </w:tr>
      <w:tr w:rsidR="00DC660B" w:rsidRPr="00DC660B" w14:paraId="3D0820BC"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2D153DC0" w14:textId="77777777" w:rsidR="00DC660B" w:rsidRPr="00DC660B" w:rsidRDefault="00DC660B" w:rsidP="007C1F3D">
            <w:pPr>
              <w:spacing w:after="0"/>
              <w:jc w:val="left"/>
              <w:rPr>
                <w:rFonts w:eastAsia="Times New Roman"/>
                <w:b/>
                <w:bCs/>
                <w:szCs w:val="24"/>
                <w:lang w:val="en-US"/>
              </w:rPr>
            </w:pPr>
            <w:r w:rsidRPr="00DC660B">
              <w:rPr>
                <w:rFonts w:eastAsia="Times New Roman"/>
                <w:b/>
                <w:bCs/>
                <w:szCs w:val="24"/>
                <w:lang w:val="en-US"/>
              </w:rPr>
              <w:t>Net Profit After Tax</w:t>
            </w:r>
          </w:p>
        </w:tc>
        <w:tc>
          <w:tcPr>
            <w:tcW w:w="1776" w:type="dxa"/>
            <w:tcBorders>
              <w:top w:val="nil"/>
              <w:left w:val="nil"/>
              <w:bottom w:val="nil"/>
              <w:right w:val="nil"/>
            </w:tcBorders>
            <w:shd w:val="clear" w:color="auto" w:fill="auto"/>
            <w:noWrap/>
            <w:vAlign w:val="center"/>
            <w:hideMark/>
          </w:tcPr>
          <w:p w14:paraId="22EEC4FF" w14:textId="77777777" w:rsidR="00DC660B" w:rsidRPr="00DC660B" w:rsidRDefault="00DC660B" w:rsidP="007C1F3D">
            <w:pPr>
              <w:spacing w:after="0"/>
              <w:jc w:val="right"/>
              <w:rPr>
                <w:rFonts w:eastAsia="Times New Roman"/>
                <w:b/>
                <w:bCs/>
                <w:szCs w:val="24"/>
                <w:lang w:val="en-US"/>
              </w:rPr>
            </w:pPr>
            <w:r w:rsidRPr="00DC660B">
              <w:rPr>
                <w:rFonts w:eastAsia="Times New Roman"/>
                <w:b/>
                <w:bCs/>
                <w:szCs w:val="24"/>
                <w:lang w:val="en-US"/>
              </w:rPr>
              <w:t>33350</w:t>
            </w:r>
          </w:p>
        </w:tc>
      </w:tr>
    </w:tbl>
    <w:p w14:paraId="7BDCABAD" w14:textId="77777777" w:rsidR="00201709" w:rsidRDefault="003A0AB5" w:rsidP="007C1F3D">
      <w:pPr>
        <w:rPr>
          <w:lang w:val="en-US"/>
        </w:rPr>
      </w:pPr>
      <w:r>
        <w:rPr>
          <w:lang w:val="en-US"/>
        </w:rPr>
        <w:t>The i</w:t>
      </w:r>
      <w:r w:rsidR="00195CBC">
        <w:rPr>
          <w:lang w:val="en-US"/>
        </w:rPr>
        <w:t xml:space="preserve">ncome statement is one of the most important financial statements of </w:t>
      </w:r>
      <w:r>
        <w:rPr>
          <w:lang w:val="en-US"/>
        </w:rPr>
        <w:t xml:space="preserve">a </w:t>
      </w:r>
      <w:r w:rsidR="00195CBC">
        <w:rPr>
          <w:lang w:val="en-US"/>
        </w:rPr>
        <w:t>company. This statement shows the income and expenditure of the company. An idea about the profitability can be gained through this statement. This income statement is prepared using the financial information of Wales plc in the problem.</w:t>
      </w:r>
      <w:r w:rsidR="00C96C09">
        <w:rPr>
          <w:lang w:val="en-US"/>
        </w:rPr>
        <w:t xml:space="preserve"> The net sales of the company </w:t>
      </w:r>
      <w:r>
        <w:rPr>
          <w:lang w:val="en-US"/>
        </w:rPr>
        <w:t>are</w:t>
      </w:r>
      <w:r w:rsidR="00994FB2">
        <w:rPr>
          <w:lang w:val="en-US"/>
        </w:rPr>
        <w:t xml:space="preserve"> </w:t>
      </w:r>
      <w:r w:rsidR="00C96C09">
        <w:rPr>
          <w:lang w:val="en-US"/>
        </w:rPr>
        <w:t>89700</w:t>
      </w:r>
      <w:r w:rsidR="00EE6706">
        <w:rPr>
          <w:lang w:val="en-US"/>
        </w:rPr>
        <w:t>m</w:t>
      </w:r>
      <w:r w:rsidR="00C96C09">
        <w:rPr>
          <w:lang w:val="en-US"/>
        </w:rPr>
        <w:t xml:space="preserve">. Net sales </w:t>
      </w:r>
      <w:r>
        <w:rPr>
          <w:lang w:val="en-US"/>
        </w:rPr>
        <w:t>are</w:t>
      </w:r>
      <w:r w:rsidR="00C96C09">
        <w:rPr>
          <w:lang w:val="en-US"/>
        </w:rPr>
        <w:t xml:space="preserve"> calculated </w:t>
      </w:r>
      <w:r>
        <w:rPr>
          <w:lang w:val="en-US"/>
        </w:rPr>
        <w:t xml:space="preserve">by </w:t>
      </w:r>
      <w:r w:rsidR="00C96C09">
        <w:rPr>
          <w:lang w:val="en-US"/>
        </w:rPr>
        <w:t>deducting all sales</w:t>
      </w:r>
      <w:r>
        <w:rPr>
          <w:lang w:val="en-US"/>
        </w:rPr>
        <w:t>-</w:t>
      </w:r>
      <w:r w:rsidR="00C96C09">
        <w:rPr>
          <w:lang w:val="en-US"/>
        </w:rPr>
        <w:t>related costs from the total sales. Total sales may include both cash sales and sales in credit. From the total sales the amount of commi</w:t>
      </w:r>
      <w:r>
        <w:rPr>
          <w:lang w:val="en-US"/>
        </w:rPr>
        <w:t>s</w:t>
      </w:r>
      <w:r w:rsidR="00C96C09">
        <w:rPr>
          <w:lang w:val="en-US"/>
        </w:rPr>
        <w:t>sion owed, and goods sent to customers are deducted as both of these are sales</w:t>
      </w:r>
      <w:r>
        <w:rPr>
          <w:lang w:val="en-US"/>
        </w:rPr>
        <w:t>-</w:t>
      </w:r>
      <w:r w:rsidR="00C96C09">
        <w:rPr>
          <w:lang w:val="en-US"/>
        </w:rPr>
        <w:t>related costs.</w:t>
      </w:r>
      <w:r w:rsidR="009756E4">
        <w:rPr>
          <w:lang w:val="en-US"/>
        </w:rPr>
        <w:t xml:space="preserve"> D</w:t>
      </w:r>
      <w:r>
        <w:rPr>
          <w:lang w:val="en-US"/>
        </w:rPr>
        <w:t>educt</w:t>
      </w:r>
      <w:r w:rsidR="009756E4">
        <w:rPr>
          <w:lang w:val="en-US"/>
        </w:rPr>
        <w:t>ing the costs of goods sold from net sale</w:t>
      </w:r>
      <w:r>
        <w:rPr>
          <w:lang w:val="en-US"/>
        </w:rPr>
        <w:t>s</w:t>
      </w:r>
      <w:r w:rsidR="009756E4">
        <w:rPr>
          <w:lang w:val="en-US"/>
        </w:rPr>
        <w:t xml:space="preserve"> gross profit can be calculated. The costs of sales and depreciation of equipm</w:t>
      </w:r>
      <w:r>
        <w:rPr>
          <w:lang w:val="en-US"/>
        </w:rPr>
        <w:t>e</w:t>
      </w:r>
      <w:r w:rsidR="009756E4">
        <w:rPr>
          <w:lang w:val="en-US"/>
        </w:rPr>
        <w:t xml:space="preserve">nt are the components of </w:t>
      </w:r>
      <w:r>
        <w:rPr>
          <w:lang w:val="en-US"/>
        </w:rPr>
        <w:t xml:space="preserve">the </w:t>
      </w:r>
      <w:r w:rsidR="009756E4">
        <w:rPr>
          <w:lang w:val="en-US"/>
        </w:rPr>
        <w:t>costs of goods sold. After deducting these costs the gross profi</w:t>
      </w:r>
      <w:r w:rsidR="00994FB2">
        <w:rPr>
          <w:lang w:val="en-US"/>
        </w:rPr>
        <w:t xml:space="preserve">t of the company is determined </w:t>
      </w:r>
      <w:r w:rsidR="009756E4">
        <w:rPr>
          <w:lang w:val="en-US"/>
        </w:rPr>
        <w:t>253350</w:t>
      </w:r>
      <w:r w:rsidR="00EE6706">
        <w:rPr>
          <w:lang w:val="en-US"/>
        </w:rPr>
        <w:t>m</w:t>
      </w:r>
      <w:r w:rsidR="009756E4">
        <w:rPr>
          <w:lang w:val="en-US"/>
        </w:rPr>
        <w:t>. After determ</w:t>
      </w:r>
      <w:r>
        <w:rPr>
          <w:lang w:val="en-US"/>
        </w:rPr>
        <w:t>in</w:t>
      </w:r>
      <w:r w:rsidR="009756E4">
        <w:rPr>
          <w:lang w:val="en-US"/>
        </w:rPr>
        <w:t>ing the gross profit operating profit can be calculated by adding all the operating in</w:t>
      </w:r>
      <w:r>
        <w:rPr>
          <w:lang w:val="en-US"/>
        </w:rPr>
        <w:t>co</w:t>
      </w:r>
      <w:r w:rsidR="009756E4">
        <w:rPr>
          <w:lang w:val="en-US"/>
        </w:rPr>
        <w:t>mes with gross profit and ded</w:t>
      </w:r>
      <w:r>
        <w:rPr>
          <w:lang w:val="en-US"/>
        </w:rPr>
        <w:t>uc</w:t>
      </w:r>
      <w:r w:rsidR="009756E4">
        <w:rPr>
          <w:lang w:val="en-US"/>
        </w:rPr>
        <w:t xml:space="preserve">ting operating expenses from this amount. </w:t>
      </w:r>
      <w:r w:rsidR="00941E92">
        <w:rPr>
          <w:lang w:val="en-US"/>
        </w:rPr>
        <w:t>There is no item of operating income of the company. But there are so many items of operating expenses.</w:t>
      </w:r>
      <w:r w:rsidR="00400595">
        <w:rPr>
          <w:lang w:val="en-US"/>
        </w:rPr>
        <w:t xml:space="preserve"> Here, it shows that this company spen</w:t>
      </w:r>
      <w:r>
        <w:rPr>
          <w:lang w:val="en-US"/>
        </w:rPr>
        <w:t>t</w:t>
      </w:r>
      <w:r w:rsidR="00400595">
        <w:rPr>
          <w:lang w:val="en-US"/>
        </w:rPr>
        <w:t xml:space="preserve"> so much money </w:t>
      </w:r>
      <w:r>
        <w:rPr>
          <w:lang w:val="en-US"/>
        </w:rPr>
        <w:t>o</w:t>
      </w:r>
      <w:r w:rsidR="00400595">
        <w:rPr>
          <w:lang w:val="en-US"/>
        </w:rPr>
        <w:t>n one specific item</w:t>
      </w:r>
      <w:r w:rsidR="00AC201B">
        <w:rPr>
          <w:lang w:val="en-US"/>
        </w:rPr>
        <w:t xml:space="preserve"> (Weygandt et al, 2020)</w:t>
      </w:r>
      <w:r w:rsidR="00400595">
        <w:rPr>
          <w:lang w:val="en-US"/>
        </w:rPr>
        <w:t>. The administrative expen</w:t>
      </w:r>
      <w:r>
        <w:rPr>
          <w:lang w:val="en-US"/>
        </w:rPr>
        <w:t>ses</w:t>
      </w:r>
      <w:r w:rsidR="00400595">
        <w:rPr>
          <w:lang w:val="en-US"/>
        </w:rPr>
        <w:t xml:space="preserve"> of the company </w:t>
      </w:r>
      <w:r>
        <w:rPr>
          <w:lang w:val="en-US"/>
        </w:rPr>
        <w:t>are</w:t>
      </w:r>
      <w:r w:rsidR="00994FB2">
        <w:rPr>
          <w:lang w:val="en-US"/>
        </w:rPr>
        <w:t xml:space="preserve"> </w:t>
      </w:r>
      <w:r w:rsidR="00400595">
        <w:rPr>
          <w:lang w:val="en-US"/>
        </w:rPr>
        <w:t>160000</w:t>
      </w:r>
      <w:r w:rsidR="00EE6706">
        <w:rPr>
          <w:lang w:val="en-US"/>
        </w:rPr>
        <w:t>m</w:t>
      </w:r>
      <w:r w:rsidR="00400595">
        <w:rPr>
          <w:lang w:val="en-US"/>
        </w:rPr>
        <w:t xml:space="preserve">. </w:t>
      </w:r>
      <w:r w:rsidR="00941E92">
        <w:rPr>
          <w:lang w:val="en-US"/>
        </w:rPr>
        <w:t xml:space="preserve"> </w:t>
      </w:r>
      <w:r w:rsidR="00E73075">
        <w:rPr>
          <w:lang w:val="en-US"/>
        </w:rPr>
        <w:t>Deducting the operating expenses from the gross profit the operating income or profit before ta</w:t>
      </w:r>
      <w:r w:rsidR="00994FB2">
        <w:rPr>
          <w:lang w:val="en-US"/>
        </w:rPr>
        <w:t xml:space="preserve">x is found to be </w:t>
      </w:r>
      <w:r w:rsidR="00E73075">
        <w:rPr>
          <w:lang w:val="en-US"/>
        </w:rPr>
        <w:t>4830</w:t>
      </w:r>
      <w:r w:rsidR="00EE6706">
        <w:rPr>
          <w:lang w:val="en-US"/>
        </w:rPr>
        <w:t>m</w:t>
      </w:r>
      <w:r w:rsidR="00E73075">
        <w:rPr>
          <w:lang w:val="en-US"/>
        </w:rPr>
        <w:t>.</w:t>
      </w:r>
      <w:r w:rsidR="00400595">
        <w:rPr>
          <w:lang w:val="en-US"/>
        </w:rPr>
        <w:t xml:space="preserve"> </w:t>
      </w:r>
      <w:r w:rsidR="004B2B7A">
        <w:rPr>
          <w:lang w:val="en-US"/>
        </w:rPr>
        <w:t>At last, net profit is calculated by de</w:t>
      </w:r>
      <w:r>
        <w:rPr>
          <w:lang w:val="en-US"/>
        </w:rPr>
        <w:t>d</w:t>
      </w:r>
      <w:r w:rsidR="00994FB2">
        <w:rPr>
          <w:lang w:val="en-US"/>
        </w:rPr>
        <w:t xml:space="preserve">ucting corporation tax of </w:t>
      </w:r>
      <w:r w:rsidR="004B2B7A">
        <w:rPr>
          <w:lang w:val="en-US"/>
        </w:rPr>
        <w:t>1500</w:t>
      </w:r>
      <w:r w:rsidR="00EE6706">
        <w:rPr>
          <w:lang w:val="en-US"/>
        </w:rPr>
        <w:t>m</w:t>
      </w:r>
      <w:r w:rsidR="004B2B7A">
        <w:rPr>
          <w:lang w:val="en-US"/>
        </w:rPr>
        <w:t xml:space="preserve"> from the profit before tax amount. The net profit after tax of</w:t>
      </w:r>
      <w:r w:rsidR="00994FB2">
        <w:rPr>
          <w:lang w:val="en-US"/>
        </w:rPr>
        <w:t xml:space="preserve"> Wales plc is determined to be </w:t>
      </w:r>
      <w:r w:rsidR="004B2B7A">
        <w:rPr>
          <w:lang w:val="en-US"/>
        </w:rPr>
        <w:t>33350</w:t>
      </w:r>
      <w:r w:rsidR="00EE6706">
        <w:rPr>
          <w:lang w:val="en-US"/>
        </w:rPr>
        <w:t>m</w:t>
      </w:r>
      <w:r w:rsidR="004B2B7A">
        <w:rPr>
          <w:lang w:val="en-US"/>
        </w:rPr>
        <w:t>.</w:t>
      </w:r>
    </w:p>
    <w:p w14:paraId="5BB314D1" w14:textId="77777777" w:rsidR="00622148" w:rsidRDefault="00622148" w:rsidP="007C1F3D">
      <w:pPr>
        <w:pStyle w:val="Titlu1"/>
        <w:rPr>
          <w:lang w:val="en-US"/>
        </w:rPr>
      </w:pPr>
      <w:bookmarkStart w:id="9" w:name="_Toc153445788"/>
      <w:bookmarkStart w:id="10" w:name="_Toc153474622"/>
      <w:bookmarkStart w:id="11" w:name="_Toc153474666"/>
      <w:r>
        <w:rPr>
          <w:lang w:val="en-US"/>
        </w:rPr>
        <w:t>Ratio Analysis of Sweets plc</w:t>
      </w:r>
      <w:bookmarkEnd w:id="9"/>
      <w:bookmarkEnd w:id="10"/>
      <w:bookmarkEnd w:id="11"/>
    </w:p>
    <w:p w14:paraId="00327145" w14:textId="77777777" w:rsidR="00622148" w:rsidRDefault="00622148" w:rsidP="007C1F3D">
      <w:pPr>
        <w:rPr>
          <w:lang w:val="en-US"/>
        </w:rPr>
      </w:pPr>
      <w:r>
        <w:rPr>
          <w:lang w:val="en-US"/>
        </w:rPr>
        <w:t xml:space="preserve">The profit or loss statement as well as the statement of financial position of Sweets plc is provided in the problem for 2021 and 2022. </w:t>
      </w:r>
      <w:r w:rsidR="001C5F71">
        <w:rPr>
          <w:lang w:val="en-US"/>
        </w:rPr>
        <w:t>Using the information provided in these statement</w:t>
      </w:r>
      <w:r w:rsidR="006B2C19">
        <w:rPr>
          <w:lang w:val="en-US"/>
        </w:rPr>
        <w:t>s</w:t>
      </w:r>
      <w:r w:rsidR="001C5F71">
        <w:rPr>
          <w:lang w:val="en-US"/>
        </w:rPr>
        <w:t xml:space="preserve"> some accounting ratios are calculated. Th</w:t>
      </w:r>
      <w:r w:rsidR="006B2C19">
        <w:rPr>
          <w:lang w:val="en-US"/>
        </w:rPr>
        <w:t>ese</w:t>
      </w:r>
      <w:r w:rsidR="001C5F71">
        <w:rPr>
          <w:lang w:val="en-US"/>
        </w:rPr>
        <w:t xml:space="preserve"> ratios are interpreted below:</w:t>
      </w:r>
    </w:p>
    <w:p w14:paraId="2A30014A" w14:textId="77777777" w:rsidR="001C5F71" w:rsidRDefault="001C5F71" w:rsidP="007C1F3D">
      <w:pPr>
        <w:rPr>
          <w:lang w:val="en-US"/>
        </w:rPr>
      </w:pPr>
      <w:r>
        <w:rPr>
          <w:lang w:val="en-US"/>
        </w:rPr>
        <w:t>ROCE</w:t>
      </w:r>
    </w:p>
    <w:tbl>
      <w:tblPr>
        <w:tblW w:w="6020" w:type="dxa"/>
        <w:tblInd w:w="108" w:type="dxa"/>
        <w:tblLook w:val="04A0" w:firstRow="1" w:lastRow="0" w:firstColumn="1" w:lastColumn="0" w:noHBand="0" w:noVBand="1"/>
      </w:tblPr>
      <w:tblGrid>
        <w:gridCol w:w="3180"/>
        <w:gridCol w:w="1480"/>
        <w:gridCol w:w="1476"/>
      </w:tblGrid>
      <w:tr w:rsidR="001C5F71" w:rsidRPr="001C5F71" w14:paraId="2E260298" w14:textId="77777777" w:rsidTr="001C5F71">
        <w:trPr>
          <w:trHeight w:val="264"/>
        </w:trPr>
        <w:tc>
          <w:tcPr>
            <w:tcW w:w="3180" w:type="dxa"/>
            <w:tcBorders>
              <w:top w:val="nil"/>
              <w:left w:val="nil"/>
              <w:bottom w:val="nil"/>
              <w:right w:val="nil"/>
            </w:tcBorders>
            <w:shd w:val="clear" w:color="auto" w:fill="auto"/>
            <w:noWrap/>
            <w:vAlign w:val="center"/>
            <w:hideMark/>
          </w:tcPr>
          <w:p w14:paraId="0EAE4795" w14:textId="77777777" w:rsidR="001C5F71" w:rsidRPr="001C5F71" w:rsidRDefault="001C5F71" w:rsidP="007C1F3D">
            <w:pPr>
              <w:spacing w:after="0"/>
              <w:jc w:val="left"/>
              <w:rPr>
                <w:rFonts w:eastAsia="Times New Roman"/>
                <w:szCs w:val="24"/>
                <w:lang w:val="en-US"/>
              </w:rPr>
            </w:pPr>
            <w:r w:rsidRPr="001C5F71">
              <w:rPr>
                <w:rFonts w:eastAsia="Times New Roman"/>
                <w:szCs w:val="24"/>
                <w:lang w:val="en-US"/>
              </w:rPr>
              <w:t>Details</w:t>
            </w:r>
          </w:p>
        </w:tc>
        <w:tc>
          <w:tcPr>
            <w:tcW w:w="1480" w:type="dxa"/>
            <w:tcBorders>
              <w:top w:val="nil"/>
              <w:left w:val="nil"/>
              <w:bottom w:val="nil"/>
              <w:right w:val="nil"/>
            </w:tcBorders>
            <w:shd w:val="clear" w:color="auto" w:fill="auto"/>
            <w:noWrap/>
            <w:vAlign w:val="center"/>
            <w:hideMark/>
          </w:tcPr>
          <w:p w14:paraId="4EFCDCDF"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2022</w:t>
            </w:r>
          </w:p>
        </w:tc>
        <w:tc>
          <w:tcPr>
            <w:tcW w:w="1360" w:type="dxa"/>
            <w:tcBorders>
              <w:top w:val="nil"/>
              <w:left w:val="nil"/>
              <w:bottom w:val="nil"/>
              <w:right w:val="nil"/>
            </w:tcBorders>
            <w:shd w:val="clear" w:color="auto" w:fill="auto"/>
            <w:noWrap/>
            <w:vAlign w:val="center"/>
            <w:hideMark/>
          </w:tcPr>
          <w:p w14:paraId="55B22443"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2021</w:t>
            </w:r>
          </w:p>
        </w:tc>
      </w:tr>
      <w:tr w:rsidR="001C5F71" w:rsidRPr="001C5F71" w14:paraId="1A43758A" w14:textId="77777777" w:rsidTr="001C5F71">
        <w:trPr>
          <w:trHeight w:val="264"/>
        </w:trPr>
        <w:tc>
          <w:tcPr>
            <w:tcW w:w="3180" w:type="dxa"/>
            <w:tcBorders>
              <w:top w:val="nil"/>
              <w:left w:val="nil"/>
              <w:bottom w:val="nil"/>
              <w:right w:val="nil"/>
            </w:tcBorders>
            <w:shd w:val="clear" w:color="auto" w:fill="auto"/>
            <w:noWrap/>
            <w:vAlign w:val="center"/>
            <w:hideMark/>
          </w:tcPr>
          <w:p w14:paraId="033E5C69" w14:textId="77777777" w:rsidR="001C5F71" w:rsidRPr="001C5F71" w:rsidRDefault="001C5F71" w:rsidP="007C1F3D">
            <w:pPr>
              <w:spacing w:after="0"/>
              <w:jc w:val="left"/>
              <w:rPr>
                <w:rFonts w:eastAsia="Times New Roman"/>
                <w:szCs w:val="24"/>
                <w:lang w:val="en-US"/>
              </w:rPr>
            </w:pPr>
            <w:r w:rsidRPr="001C5F71">
              <w:rPr>
                <w:rFonts w:eastAsia="Times New Roman"/>
                <w:szCs w:val="24"/>
                <w:lang w:val="en-US"/>
              </w:rPr>
              <w:t>EBIT</w:t>
            </w:r>
          </w:p>
        </w:tc>
        <w:tc>
          <w:tcPr>
            <w:tcW w:w="1480" w:type="dxa"/>
            <w:tcBorders>
              <w:top w:val="nil"/>
              <w:left w:val="nil"/>
              <w:bottom w:val="nil"/>
              <w:right w:val="nil"/>
            </w:tcBorders>
            <w:shd w:val="clear" w:color="auto" w:fill="auto"/>
            <w:noWrap/>
            <w:vAlign w:val="center"/>
            <w:hideMark/>
          </w:tcPr>
          <w:p w14:paraId="0A6BDDCC"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620</w:t>
            </w:r>
          </w:p>
        </w:tc>
        <w:tc>
          <w:tcPr>
            <w:tcW w:w="1360" w:type="dxa"/>
            <w:tcBorders>
              <w:top w:val="nil"/>
              <w:left w:val="nil"/>
              <w:bottom w:val="nil"/>
              <w:right w:val="nil"/>
            </w:tcBorders>
            <w:shd w:val="clear" w:color="auto" w:fill="auto"/>
            <w:noWrap/>
            <w:vAlign w:val="center"/>
            <w:hideMark/>
          </w:tcPr>
          <w:p w14:paraId="672890AF"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539</w:t>
            </w:r>
          </w:p>
        </w:tc>
      </w:tr>
      <w:tr w:rsidR="001C5F71" w:rsidRPr="001C5F71" w14:paraId="3292FC8A" w14:textId="77777777" w:rsidTr="001C5F71">
        <w:trPr>
          <w:trHeight w:val="264"/>
        </w:trPr>
        <w:tc>
          <w:tcPr>
            <w:tcW w:w="3180" w:type="dxa"/>
            <w:tcBorders>
              <w:top w:val="nil"/>
              <w:left w:val="nil"/>
              <w:bottom w:val="nil"/>
              <w:right w:val="nil"/>
            </w:tcBorders>
            <w:shd w:val="clear" w:color="auto" w:fill="auto"/>
            <w:noWrap/>
            <w:vAlign w:val="center"/>
            <w:hideMark/>
          </w:tcPr>
          <w:p w14:paraId="2900EFDF" w14:textId="77777777" w:rsidR="001C5F71" w:rsidRPr="001C5F71" w:rsidRDefault="001C5F71" w:rsidP="007C1F3D">
            <w:pPr>
              <w:spacing w:after="0"/>
              <w:jc w:val="left"/>
              <w:rPr>
                <w:rFonts w:eastAsia="Times New Roman"/>
                <w:szCs w:val="24"/>
                <w:lang w:val="en-US"/>
              </w:rPr>
            </w:pPr>
            <w:r w:rsidRPr="001C5F71">
              <w:rPr>
                <w:rFonts w:eastAsia="Times New Roman"/>
                <w:szCs w:val="24"/>
                <w:lang w:val="en-US"/>
              </w:rPr>
              <w:t>Total assets</w:t>
            </w:r>
          </w:p>
        </w:tc>
        <w:tc>
          <w:tcPr>
            <w:tcW w:w="1480" w:type="dxa"/>
            <w:tcBorders>
              <w:top w:val="nil"/>
              <w:left w:val="nil"/>
              <w:bottom w:val="nil"/>
              <w:right w:val="nil"/>
            </w:tcBorders>
            <w:shd w:val="clear" w:color="auto" w:fill="auto"/>
            <w:noWrap/>
            <w:vAlign w:val="center"/>
            <w:hideMark/>
          </w:tcPr>
          <w:p w14:paraId="23FF1574"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9736</w:t>
            </w:r>
          </w:p>
        </w:tc>
        <w:tc>
          <w:tcPr>
            <w:tcW w:w="1360" w:type="dxa"/>
            <w:tcBorders>
              <w:top w:val="nil"/>
              <w:left w:val="nil"/>
              <w:bottom w:val="nil"/>
              <w:right w:val="nil"/>
            </w:tcBorders>
            <w:shd w:val="clear" w:color="auto" w:fill="auto"/>
            <w:noWrap/>
            <w:vAlign w:val="center"/>
            <w:hideMark/>
          </w:tcPr>
          <w:p w14:paraId="0BE6DC02"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10089</w:t>
            </w:r>
          </w:p>
        </w:tc>
      </w:tr>
      <w:tr w:rsidR="001C5F71" w:rsidRPr="001C5F71" w14:paraId="2CC77798" w14:textId="77777777" w:rsidTr="001C5F71">
        <w:trPr>
          <w:trHeight w:val="264"/>
        </w:trPr>
        <w:tc>
          <w:tcPr>
            <w:tcW w:w="3180" w:type="dxa"/>
            <w:tcBorders>
              <w:top w:val="nil"/>
              <w:left w:val="nil"/>
              <w:bottom w:val="nil"/>
              <w:right w:val="nil"/>
            </w:tcBorders>
            <w:shd w:val="clear" w:color="auto" w:fill="auto"/>
            <w:noWrap/>
            <w:vAlign w:val="center"/>
            <w:hideMark/>
          </w:tcPr>
          <w:p w14:paraId="4BEEFC5E" w14:textId="77777777" w:rsidR="001C5F71" w:rsidRPr="001C5F71" w:rsidRDefault="001C5F71" w:rsidP="007C1F3D">
            <w:pPr>
              <w:spacing w:after="0"/>
              <w:jc w:val="left"/>
              <w:rPr>
                <w:rFonts w:eastAsia="Times New Roman"/>
                <w:szCs w:val="24"/>
                <w:lang w:val="en-US"/>
              </w:rPr>
            </w:pPr>
            <w:r w:rsidRPr="001C5F71">
              <w:rPr>
                <w:rFonts w:eastAsia="Times New Roman"/>
                <w:szCs w:val="24"/>
                <w:lang w:val="en-US"/>
              </w:rPr>
              <w:t>total current liabilities</w:t>
            </w:r>
          </w:p>
        </w:tc>
        <w:tc>
          <w:tcPr>
            <w:tcW w:w="1480" w:type="dxa"/>
            <w:tcBorders>
              <w:top w:val="nil"/>
              <w:left w:val="nil"/>
              <w:bottom w:val="nil"/>
              <w:right w:val="nil"/>
            </w:tcBorders>
            <w:shd w:val="clear" w:color="auto" w:fill="auto"/>
            <w:noWrap/>
            <w:vAlign w:val="center"/>
            <w:hideMark/>
          </w:tcPr>
          <w:p w14:paraId="2A5491DE"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2511</w:t>
            </w:r>
          </w:p>
        </w:tc>
        <w:tc>
          <w:tcPr>
            <w:tcW w:w="1360" w:type="dxa"/>
            <w:tcBorders>
              <w:top w:val="nil"/>
              <w:left w:val="nil"/>
              <w:bottom w:val="nil"/>
              <w:right w:val="nil"/>
            </w:tcBorders>
            <w:shd w:val="clear" w:color="auto" w:fill="auto"/>
            <w:noWrap/>
            <w:vAlign w:val="center"/>
            <w:hideMark/>
          </w:tcPr>
          <w:p w14:paraId="096CC4D3"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3046</w:t>
            </w:r>
          </w:p>
        </w:tc>
      </w:tr>
      <w:tr w:rsidR="001C5F71" w:rsidRPr="001C5F71" w14:paraId="5CEFC100" w14:textId="77777777" w:rsidTr="001C5F71">
        <w:trPr>
          <w:trHeight w:val="264"/>
        </w:trPr>
        <w:tc>
          <w:tcPr>
            <w:tcW w:w="3180" w:type="dxa"/>
            <w:tcBorders>
              <w:top w:val="nil"/>
              <w:left w:val="nil"/>
              <w:bottom w:val="nil"/>
              <w:right w:val="nil"/>
            </w:tcBorders>
            <w:shd w:val="clear" w:color="auto" w:fill="auto"/>
            <w:noWrap/>
            <w:vAlign w:val="center"/>
            <w:hideMark/>
          </w:tcPr>
          <w:p w14:paraId="7B43CABF" w14:textId="77777777" w:rsidR="001C5F71" w:rsidRPr="001C5F71" w:rsidRDefault="001C5F71" w:rsidP="007C1F3D">
            <w:pPr>
              <w:spacing w:after="0"/>
              <w:jc w:val="left"/>
              <w:rPr>
                <w:rFonts w:eastAsia="Times New Roman"/>
                <w:szCs w:val="24"/>
                <w:lang w:val="en-US"/>
              </w:rPr>
            </w:pPr>
            <w:r w:rsidRPr="001C5F71">
              <w:rPr>
                <w:rFonts w:eastAsia="Times New Roman"/>
                <w:szCs w:val="24"/>
                <w:lang w:val="en-US"/>
              </w:rPr>
              <w:t>ROCE</w:t>
            </w:r>
          </w:p>
        </w:tc>
        <w:tc>
          <w:tcPr>
            <w:tcW w:w="1480" w:type="dxa"/>
            <w:tcBorders>
              <w:top w:val="nil"/>
              <w:left w:val="nil"/>
              <w:bottom w:val="nil"/>
              <w:right w:val="nil"/>
            </w:tcBorders>
            <w:shd w:val="clear" w:color="auto" w:fill="auto"/>
            <w:noWrap/>
            <w:vAlign w:val="center"/>
            <w:hideMark/>
          </w:tcPr>
          <w:p w14:paraId="72C5FAFE"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8.581314879</w:t>
            </w:r>
          </w:p>
        </w:tc>
        <w:tc>
          <w:tcPr>
            <w:tcW w:w="1360" w:type="dxa"/>
            <w:tcBorders>
              <w:top w:val="nil"/>
              <w:left w:val="nil"/>
              <w:bottom w:val="nil"/>
              <w:right w:val="nil"/>
            </w:tcBorders>
            <w:shd w:val="clear" w:color="auto" w:fill="auto"/>
            <w:noWrap/>
            <w:vAlign w:val="center"/>
            <w:hideMark/>
          </w:tcPr>
          <w:p w14:paraId="303ADAFC"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7.652988783</w:t>
            </w:r>
          </w:p>
        </w:tc>
      </w:tr>
    </w:tbl>
    <w:p w14:paraId="74CBF377" w14:textId="77777777" w:rsidR="001C5F71" w:rsidRDefault="001C5F71" w:rsidP="007C1F3D">
      <w:pPr>
        <w:rPr>
          <w:szCs w:val="24"/>
          <w:lang w:val="en-US"/>
        </w:rPr>
      </w:pPr>
      <w:r>
        <w:rPr>
          <w:szCs w:val="24"/>
          <w:lang w:val="en-US"/>
        </w:rPr>
        <w:t>ROCE=EBIT*100/(Total ass</w:t>
      </w:r>
      <w:r w:rsidR="003F3F89">
        <w:rPr>
          <w:szCs w:val="24"/>
          <w:lang w:val="en-US"/>
        </w:rPr>
        <w:t>e</w:t>
      </w:r>
      <w:r>
        <w:rPr>
          <w:szCs w:val="24"/>
          <w:lang w:val="en-US"/>
        </w:rPr>
        <w:t>ts</w:t>
      </w:r>
      <w:r w:rsidR="003F3F89">
        <w:rPr>
          <w:szCs w:val="24"/>
          <w:lang w:val="en-US"/>
        </w:rPr>
        <w:t xml:space="preserve"> </w:t>
      </w:r>
      <w:r>
        <w:rPr>
          <w:szCs w:val="24"/>
          <w:lang w:val="en-US"/>
        </w:rPr>
        <w:t>-</w:t>
      </w:r>
      <w:r w:rsidR="003F3F89">
        <w:rPr>
          <w:szCs w:val="24"/>
          <w:lang w:val="en-US"/>
        </w:rPr>
        <w:t xml:space="preserve"> </w:t>
      </w:r>
      <w:r>
        <w:rPr>
          <w:szCs w:val="24"/>
          <w:lang w:val="en-US"/>
        </w:rPr>
        <w:t>total current liabilities)</w:t>
      </w:r>
    </w:p>
    <w:p w14:paraId="4F480D99" w14:textId="77777777" w:rsidR="001E3F2A" w:rsidRDefault="001C5F71" w:rsidP="007C1F3D">
      <w:pPr>
        <w:rPr>
          <w:lang w:val="en-US"/>
        </w:rPr>
      </w:pPr>
      <w:r>
        <w:rPr>
          <w:szCs w:val="24"/>
          <w:lang w:val="en-US"/>
        </w:rPr>
        <w:t xml:space="preserve">ROCE or return on capital employed </w:t>
      </w:r>
      <w:r w:rsidR="006B2C19">
        <w:rPr>
          <w:szCs w:val="24"/>
          <w:lang w:val="en-US"/>
        </w:rPr>
        <w:t>by</w:t>
      </w:r>
      <w:r>
        <w:rPr>
          <w:szCs w:val="24"/>
          <w:lang w:val="en-US"/>
        </w:rPr>
        <w:t xml:space="preserve"> Sweets plc is calculated using this formula. The EBIT of the company was </w:t>
      </w:r>
      <w:r>
        <w:rPr>
          <w:lang w:val="en-US"/>
        </w:rPr>
        <w:t>£620</w:t>
      </w:r>
      <w:r w:rsidR="00994FB2">
        <w:rPr>
          <w:lang w:val="en-US"/>
        </w:rPr>
        <w:t>m</w:t>
      </w:r>
      <w:r>
        <w:rPr>
          <w:lang w:val="en-US"/>
        </w:rPr>
        <w:t xml:space="preserve"> for 2022 and £539</w:t>
      </w:r>
      <w:r w:rsidR="00994FB2">
        <w:rPr>
          <w:lang w:val="en-US"/>
        </w:rPr>
        <w:t>m</w:t>
      </w:r>
      <w:r>
        <w:rPr>
          <w:lang w:val="en-US"/>
        </w:rPr>
        <w:t xml:space="preserve"> for 2021. </w:t>
      </w:r>
      <w:r w:rsidR="00B94FAC">
        <w:rPr>
          <w:lang w:val="en-US"/>
        </w:rPr>
        <w:t>While the total assets and current liabilities of the company w</w:t>
      </w:r>
      <w:r w:rsidR="006B2C19">
        <w:rPr>
          <w:lang w:val="en-US"/>
        </w:rPr>
        <w:t>ere</w:t>
      </w:r>
      <w:r w:rsidR="00B94FAC">
        <w:rPr>
          <w:lang w:val="en-US"/>
        </w:rPr>
        <w:t xml:space="preserve"> higher in 2021 than </w:t>
      </w:r>
      <w:r w:rsidR="006B2C19">
        <w:rPr>
          <w:lang w:val="en-US"/>
        </w:rPr>
        <w:t xml:space="preserve">in </w:t>
      </w:r>
      <w:r w:rsidR="00B94FAC">
        <w:rPr>
          <w:lang w:val="en-US"/>
        </w:rPr>
        <w:t xml:space="preserve">2022. </w:t>
      </w:r>
      <w:r w:rsidR="008F2F27">
        <w:rPr>
          <w:lang w:val="en-US"/>
        </w:rPr>
        <w:t xml:space="preserve">The return on capital employed was 8.58% for 2022. And it was 7.65% in 2021. It is shown that the ROCE </w:t>
      </w:r>
      <w:r w:rsidR="000D68C5">
        <w:rPr>
          <w:lang w:val="en-US"/>
        </w:rPr>
        <w:t>will be</w:t>
      </w:r>
      <w:r w:rsidR="008F2F27">
        <w:rPr>
          <w:lang w:val="en-US"/>
        </w:rPr>
        <w:t xml:space="preserve"> higher in 2022 than that </w:t>
      </w:r>
      <w:r w:rsidR="000D68C5">
        <w:rPr>
          <w:lang w:val="en-US"/>
        </w:rPr>
        <w:t>in</w:t>
      </w:r>
      <w:r w:rsidR="008F2F27">
        <w:rPr>
          <w:lang w:val="en-US"/>
        </w:rPr>
        <w:t xml:space="preserve"> 2021</w:t>
      </w:r>
      <w:r w:rsidR="003F3F89">
        <w:rPr>
          <w:lang w:val="en-US"/>
        </w:rPr>
        <w:t xml:space="preserve"> (Yusrini et al, 2021)</w:t>
      </w:r>
      <w:r w:rsidR="008F2F27">
        <w:rPr>
          <w:lang w:val="en-US"/>
        </w:rPr>
        <w:t xml:space="preserve">. </w:t>
      </w:r>
    </w:p>
    <w:p w14:paraId="1A3E79AE" w14:textId="77777777" w:rsidR="008F2F27" w:rsidRDefault="001E3F2A" w:rsidP="007C1F3D">
      <w:pPr>
        <w:rPr>
          <w:lang w:val="en-US"/>
        </w:rPr>
      </w:pPr>
      <w:r>
        <w:rPr>
          <w:lang w:val="en-US"/>
        </w:rPr>
        <w:t>ROE</w:t>
      </w:r>
    </w:p>
    <w:tbl>
      <w:tblPr>
        <w:tblW w:w="6020" w:type="dxa"/>
        <w:tblInd w:w="108" w:type="dxa"/>
        <w:tblLook w:val="04A0" w:firstRow="1" w:lastRow="0" w:firstColumn="1" w:lastColumn="0" w:noHBand="0" w:noVBand="1"/>
      </w:tblPr>
      <w:tblGrid>
        <w:gridCol w:w="3180"/>
        <w:gridCol w:w="1480"/>
        <w:gridCol w:w="1476"/>
      </w:tblGrid>
      <w:tr w:rsidR="001E3F2A" w:rsidRPr="001E3F2A" w14:paraId="41FAE3A9" w14:textId="77777777" w:rsidTr="001E3F2A">
        <w:trPr>
          <w:trHeight w:val="264"/>
        </w:trPr>
        <w:tc>
          <w:tcPr>
            <w:tcW w:w="3180" w:type="dxa"/>
            <w:tcBorders>
              <w:top w:val="nil"/>
              <w:left w:val="nil"/>
              <w:bottom w:val="nil"/>
              <w:right w:val="nil"/>
            </w:tcBorders>
            <w:shd w:val="clear" w:color="auto" w:fill="auto"/>
            <w:noWrap/>
            <w:vAlign w:val="center"/>
            <w:hideMark/>
          </w:tcPr>
          <w:p w14:paraId="69CECC8B" w14:textId="77777777" w:rsidR="001E3F2A" w:rsidRPr="001E3F2A" w:rsidRDefault="001E3F2A" w:rsidP="007C1F3D">
            <w:pPr>
              <w:spacing w:after="0"/>
              <w:jc w:val="left"/>
              <w:rPr>
                <w:rFonts w:eastAsia="Times New Roman"/>
                <w:szCs w:val="24"/>
                <w:lang w:val="en-US"/>
              </w:rPr>
            </w:pPr>
            <w:r w:rsidRPr="001E3F2A">
              <w:rPr>
                <w:rFonts w:eastAsia="Times New Roman"/>
                <w:szCs w:val="24"/>
                <w:lang w:val="en-US"/>
              </w:rPr>
              <w:t>Details</w:t>
            </w:r>
          </w:p>
        </w:tc>
        <w:tc>
          <w:tcPr>
            <w:tcW w:w="1480" w:type="dxa"/>
            <w:tcBorders>
              <w:top w:val="nil"/>
              <w:left w:val="nil"/>
              <w:bottom w:val="nil"/>
              <w:right w:val="nil"/>
            </w:tcBorders>
            <w:shd w:val="clear" w:color="auto" w:fill="auto"/>
            <w:noWrap/>
            <w:vAlign w:val="center"/>
            <w:hideMark/>
          </w:tcPr>
          <w:p w14:paraId="3D89E383"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2022</w:t>
            </w:r>
          </w:p>
        </w:tc>
        <w:tc>
          <w:tcPr>
            <w:tcW w:w="1360" w:type="dxa"/>
            <w:tcBorders>
              <w:top w:val="nil"/>
              <w:left w:val="nil"/>
              <w:bottom w:val="nil"/>
              <w:right w:val="nil"/>
            </w:tcBorders>
            <w:shd w:val="clear" w:color="auto" w:fill="auto"/>
            <w:noWrap/>
            <w:vAlign w:val="center"/>
            <w:hideMark/>
          </w:tcPr>
          <w:p w14:paraId="6DE9EB75"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2021</w:t>
            </w:r>
          </w:p>
        </w:tc>
      </w:tr>
      <w:tr w:rsidR="001E3F2A" w:rsidRPr="001E3F2A" w14:paraId="57E42EBE" w14:textId="77777777" w:rsidTr="001E3F2A">
        <w:trPr>
          <w:trHeight w:val="264"/>
        </w:trPr>
        <w:tc>
          <w:tcPr>
            <w:tcW w:w="3180" w:type="dxa"/>
            <w:tcBorders>
              <w:top w:val="nil"/>
              <w:left w:val="nil"/>
              <w:bottom w:val="nil"/>
              <w:right w:val="nil"/>
            </w:tcBorders>
            <w:shd w:val="clear" w:color="auto" w:fill="auto"/>
            <w:noWrap/>
            <w:vAlign w:val="center"/>
            <w:hideMark/>
          </w:tcPr>
          <w:p w14:paraId="50FCA37C" w14:textId="77777777" w:rsidR="001E3F2A" w:rsidRPr="001E3F2A" w:rsidRDefault="001E3F2A" w:rsidP="007C1F3D">
            <w:pPr>
              <w:spacing w:after="0"/>
              <w:jc w:val="left"/>
              <w:rPr>
                <w:rFonts w:eastAsia="Times New Roman"/>
                <w:szCs w:val="24"/>
                <w:lang w:val="en-US"/>
              </w:rPr>
            </w:pPr>
            <w:r w:rsidRPr="001E3F2A">
              <w:rPr>
                <w:rFonts w:eastAsia="Times New Roman"/>
                <w:szCs w:val="24"/>
                <w:lang w:val="en-US"/>
              </w:rPr>
              <w:t>Net income</w:t>
            </w:r>
          </w:p>
        </w:tc>
        <w:tc>
          <w:tcPr>
            <w:tcW w:w="1480" w:type="dxa"/>
            <w:tcBorders>
              <w:top w:val="nil"/>
              <w:left w:val="nil"/>
              <w:bottom w:val="nil"/>
              <w:right w:val="nil"/>
            </w:tcBorders>
            <w:shd w:val="clear" w:color="auto" w:fill="auto"/>
            <w:noWrap/>
            <w:vAlign w:val="center"/>
            <w:hideMark/>
          </w:tcPr>
          <w:p w14:paraId="0718A4C4"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431</w:t>
            </w:r>
          </w:p>
        </w:tc>
        <w:tc>
          <w:tcPr>
            <w:tcW w:w="1360" w:type="dxa"/>
            <w:tcBorders>
              <w:top w:val="nil"/>
              <w:left w:val="nil"/>
              <w:bottom w:val="nil"/>
              <w:right w:val="nil"/>
            </w:tcBorders>
            <w:shd w:val="clear" w:color="auto" w:fill="auto"/>
            <w:noWrap/>
            <w:vAlign w:val="center"/>
            <w:hideMark/>
          </w:tcPr>
          <w:p w14:paraId="5775A913"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366</w:t>
            </w:r>
          </w:p>
        </w:tc>
      </w:tr>
      <w:tr w:rsidR="001E3F2A" w:rsidRPr="001E3F2A" w14:paraId="40BB6919" w14:textId="77777777" w:rsidTr="001E3F2A">
        <w:trPr>
          <w:trHeight w:val="264"/>
        </w:trPr>
        <w:tc>
          <w:tcPr>
            <w:tcW w:w="3180" w:type="dxa"/>
            <w:tcBorders>
              <w:top w:val="nil"/>
              <w:left w:val="nil"/>
              <w:bottom w:val="nil"/>
              <w:right w:val="nil"/>
            </w:tcBorders>
            <w:shd w:val="clear" w:color="auto" w:fill="auto"/>
            <w:noWrap/>
            <w:vAlign w:val="center"/>
            <w:hideMark/>
          </w:tcPr>
          <w:p w14:paraId="67E21DFD" w14:textId="77777777" w:rsidR="001E3F2A" w:rsidRPr="001E3F2A" w:rsidRDefault="001E3F2A" w:rsidP="007C1F3D">
            <w:pPr>
              <w:spacing w:after="0"/>
              <w:jc w:val="left"/>
              <w:rPr>
                <w:rFonts w:eastAsia="Times New Roman"/>
                <w:szCs w:val="24"/>
                <w:lang w:val="en-US"/>
              </w:rPr>
            </w:pPr>
            <w:r w:rsidRPr="001E3F2A">
              <w:rPr>
                <w:rFonts w:eastAsia="Times New Roman"/>
                <w:szCs w:val="24"/>
                <w:lang w:val="en-US"/>
              </w:rPr>
              <w:t>Shareholders Equity</w:t>
            </w:r>
          </w:p>
        </w:tc>
        <w:tc>
          <w:tcPr>
            <w:tcW w:w="1480" w:type="dxa"/>
            <w:tcBorders>
              <w:top w:val="nil"/>
              <w:left w:val="nil"/>
              <w:bottom w:val="nil"/>
              <w:right w:val="nil"/>
            </w:tcBorders>
            <w:shd w:val="clear" w:color="auto" w:fill="auto"/>
            <w:noWrap/>
            <w:vAlign w:val="center"/>
            <w:hideMark/>
          </w:tcPr>
          <w:p w14:paraId="68A5737C"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3088</w:t>
            </w:r>
          </w:p>
        </w:tc>
        <w:tc>
          <w:tcPr>
            <w:tcW w:w="1360" w:type="dxa"/>
            <w:tcBorders>
              <w:top w:val="nil"/>
              <w:left w:val="nil"/>
              <w:bottom w:val="nil"/>
              <w:right w:val="nil"/>
            </w:tcBorders>
            <w:shd w:val="clear" w:color="auto" w:fill="auto"/>
            <w:noWrap/>
            <w:vAlign w:val="center"/>
            <w:hideMark/>
          </w:tcPr>
          <w:p w14:paraId="2E4C5090"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2912</w:t>
            </w:r>
          </w:p>
        </w:tc>
      </w:tr>
      <w:tr w:rsidR="001E3F2A" w:rsidRPr="001E3F2A" w14:paraId="22FB96ED" w14:textId="77777777" w:rsidTr="001E3F2A">
        <w:trPr>
          <w:trHeight w:val="264"/>
        </w:trPr>
        <w:tc>
          <w:tcPr>
            <w:tcW w:w="3180" w:type="dxa"/>
            <w:tcBorders>
              <w:top w:val="nil"/>
              <w:left w:val="nil"/>
              <w:bottom w:val="nil"/>
              <w:right w:val="nil"/>
            </w:tcBorders>
            <w:shd w:val="clear" w:color="auto" w:fill="auto"/>
            <w:noWrap/>
            <w:vAlign w:val="center"/>
            <w:hideMark/>
          </w:tcPr>
          <w:p w14:paraId="70BBB42D" w14:textId="77777777" w:rsidR="001E3F2A" w:rsidRPr="001E3F2A" w:rsidRDefault="001E3F2A" w:rsidP="007C1F3D">
            <w:pPr>
              <w:spacing w:after="0"/>
              <w:jc w:val="left"/>
              <w:rPr>
                <w:rFonts w:eastAsia="Times New Roman"/>
                <w:szCs w:val="24"/>
                <w:lang w:val="en-US"/>
              </w:rPr>
            </w:pPr>
            <w:r w:rsidRPr="001E3F2A">
              <w:rPr>
                <w:rFonts w:eastAsia="Times New Roman"/>
                <w:szCs w:val="24"/>
                <w:lang w:val="en-US"/>
              </w:rPr>
              <w:t>ROE</w:t>
            </w:r>
          </w:p>
        </w:tc>
        <w:tc>
          <w:tcPr>
            <w:tcW w:w="1480" w:type="dxa"/>
            <w:tcBorders>
              <w:top w:val="nil"/>
              <w:left w:val="nil"/>
              <w:bottom w:val="nil"/>
              <w:right w:val="nil"/>
            </w:tcBorders>
            <w:shd w:val="clear" w:color="auto" w:fill="auto"/>
            <w:noWrap/>
            <w:vAlign w:val="center"/>
            <w:hideMark/>
          </w:tcPr>
          <w:p w14:paraId="6BFC2937"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13.95725389</w:t>
            </w:r>
          </w:p>
        </w:tc>
        <w:tc>
          <w:tcPr>
            <w:tcW w:w="1360" w:type="dxa"/>
            <w:tcBorders>
              <w:top w:val="nil"/>
              <w:left w:val="nil"/>
              <w:bottom w:val="nil"/>
              <w:right w:val="nil"/>
            </w:tcBorders>
            <w:shd w:val="clear" w:color="auto" w:fill="auto"/>
            <w:noWrap/>
            <w:vAlign w:val="center"/>
            <w:hideMark/>
          </w:tcPr>
          <w:p w14:paraId="43C62162"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12.56868132</w:t>
            </w:r>
          </w:p>
        </w:tc>
      </w:tr>
    </w:tbl>
    <w:p w14:paraId="28D9D246" w14:textId="77777777" w:rsidR="001E3F2A" w:rsidRDefault="001E3F2A" w:rsidP="007C1F3D">
      <w:pPr>
        <w:rPr>
          <w:lang w:val="en-US"/>
        </w:rPr>
      </w:pPr>
      <w:r>
        <w:rPr>
          <w:lang w:val="en-US"/>
        </w:rPr>
        <w:t>ROE=Net profit*100/shareholders equity</w:t>
      </w:r>
    </w:p>
    <w:p w14:paraId="4764888B" w14:textId="77777777" w:rsidR="001E3F2A" w:rsidRDefault="001E3F2A" w:rsidP="007C1F3D">
      <w:pPr>
        <w:rPr>
          <w:lang w:val="en-US"/>
        </w:rPr>
      </w:pPr>
      <w:r>
        <w:rPr>
          <w:lang w:val="en-US"/>
        </w:rPr>
        <w:t>The ne</w:t>
      </w:r>
      <w:r w:rsidR="00BE0A00">
        <w:rPr>
          <w:lang w:val="en-US"/>
        </w:rPr>
        <w:t xml:space="preserve">t profit of Sweets plc was £431m </w:t>
      </w:r>
      <w:r>
        <w:rPr>
          <w:lang w:val="en-US"/>
        </w:rPr>
        <w:t>for 2022 and £366</w:t>
      </w:r>
      <w:r w:rsidR="00BE0A00">
        <w:rPr>
          <w:lang w:val="en-US"/>
        </w:rPr>
        <w:t>m</w:t>
      </w:r>
      <w:r>
        <w:rPr>
          <w:lang w:val="en-US"/>
        </w:rPr>
        <w:t xml:space="preserve"> for 2021. </w:t>
      </w:r>
      <w:r w:rsidR="006A7AE9">
        <w:rPr>
          <w:lang w:val="en-US"/>
        </w:rPr>
        <w:t>The shareholder equity was £3088</w:t>
      </w:r>
      <w:r w:rsidR="00BE0A00">
        <w:rPr>
          <w:lang w:val="en-US"/>
        </w:rPr>
        <w:t>m</w:t>
      </w:r>
      <w:r w:rsidR="006A7AE9">
        <w:rPr>
          <w:lang w:val="en-US"/>
        </w:rPr>
        <w:t xml:space="preserve"> and £2912 for 2022 and 2021 respectively. The calculated ROE is 13.96% for 2022 and 12.57% for 2021. </w:t>
      </w:r>
      <w:r w:rsidR="006F0CCC">
        <w:rPr>
          <w:lang w:val="en-US"/>
        </w:rPr>
        <w:t xml:space="preserve">The ROE of the company is higher in 2022 than </w:t>
      </w:r>
      <w:r w:rsidR="006B2C19">
        <w:rPr>
          <w:lang w:val="en-US"/>
        </w:rPr>
        <w:t>in</w:t>
      </w:r>
      <w:r w:rsidR="006F0CCC">
        <w:rPr>
          <w:lang w:val="en-US"/>
        </w:rPr>
        <w:t xml:space="preserve"> 2021 as the net profit of the company is higher in 2022 than </w:t>
      </w:r>
      <w:r w:rsidR="006B2C19">
        <w:rPr>
          <w:lang w:val="en-US"/>
        </w:rPr>
        <w:t xml:space="preserve">in </w:t>
      </w:r>
      <w:r w:rsidR="006F0CCC">
        <w:rPr>
          <w:lang w:val="en-US"/>
        </w:rPr>
        <w:t xml:space="preserve">2021. </w:t>
      </w:r>
    </w:p>
    <w:p w14:paraId="76D7106A" w14:textId="77777777" w:rsidR="00B03A77" w:rsidRDefault="00B03A77" w:rsidP="007C1F3D">
      <w:pPr>
        <w:rPr>
          <w:lang w:val="en-US"/>
        </w:rPr>
      </w:pPr>
      <w:r>
        <w:rPr>
          <w:lang w:val="en-US"/>
        </w:rPr>
        <w:t>EPS</w:t>
      </w:r>
    </w:p>
    <w:tbl>
      <w:tblPr>
        <w:tblW w:w="6020" w:type="dxa"/>
        <w:tblInd w:w="108" w:type="dxa"/>
        <w:tblLook w:val="04A0" w:firstRow="1" w:lastRow="0" w:firstColumn="1" w:lastColumn="0" w:noHBand="0" w:noVBand="1"/>
      </w:tblPr>
      <w:tblGrid>
        <w:gridCol w:w="3180"/>
        <w:gridCol w:w="1480"/>
        <w:gridCol w:w="1360"/>
      </w:tblGrid>
      <w:tr w:rsidR="00B03A77" w:rsidRPr="00B03A77" w14:paraId="184E18A7" w14:textId="77777777" w:rsidTr="00B03A77">
        <w:trPr>
          <w:trHeight w:val="264"/>
        </w:trPr>
        <w:tc>
          <w:tcPr>
            <w:tcW w:w="3180" w:type="dxa"/>
            <w:tcBorders>
              <w:top w:val="nil"/>
              <w:left w:val="nil"/>
              <w:bottom w:val="nil"/>
              <w:right w:val="nil"/>
            </w:tcBorders>
            <w:shd w:val="clear" w:color="auto" w:fill="auto"/>
            <w:noWrap/>
            <w:vAlign w:val="center"/>
            <w:hideMark/>
          </w:tcPr>
          <w:p w14:paraId="339D9D22" w14:textId="77777777" w:rsidR="00B03A77" w:rsidRPr="00B03A77" w:rsidRDefault="00B03A77" w:rsidP="007C1F3D">
            <w:pPr>
              <w:spacing w:after="0"/>
              <w:jc w:val="left"/>
              <w:rPr>
                <w:rFonts w:eastAsia="Times New Roman"/>
                <w:szCs w:val="24"/>
                <w:lang w:val="en-US"/>
              </w:rPr>
            </w:pPr>
            <w:r>
              <w:rPr>
                <w:rFonts w:eastAsia="Times New Roman"/>
                <w:szCs w:val="24"/>
                <w:lang w:val="en-US"/>
              </w:rPr>
              <w:t>Details</w:t>
            </w:r>
          </w:p>
        </w:tc>
        <w:tc>
          <w:tcPr>
            <w:tcW w:w="1480" w:type="dxa"/>
            <w:tcBorders>
              <w:top w:val="nil"/>
              <w:left w:val="nil"/>
              <w:bottom w:val="nil"/>
              <w:right w:val="nil"/>
            </w:tcBorders>
            <w:shd w:val="clear" w:color="auto" w:fill="auto"/>
            <w:noWrap/>
            <w:vAlign w:val="center"/>
            <w:hideMark/>
          </w:tcPr>
          <w:p w14:paraId="40A1E71C" w14:textId="77777777" w:rsidR="00B03A77" w:rsidRPr="00B03A77" w:rsidRDefault="00B03A77" w:rsidP="007C1F3D">
            <w:pPr>
              <w:spacing w:after="0"/>
              <w:jc w:val="center"/>
              <w:rPr>
                <w:rFonts w:eastAsia="Times New Roman"/>
                <w:szCs w:val="24"/>
                <w:lang w:val="en-US"/>
              </w:rPr>
            </w:pPr>
            <w:r>
              <w:rPr>
                <w:rFonts w:eastAsia="Times New Roman"/>
                <w:szCs w:val="24"/>
                <w:lang w:val="en-US"/>
              </w:rPr>
              <w:t>2022</w:t>
            </w:r>
          </w:p>
        </w:tc>
        <w:tc>
          <w:tcPr>
            <w:tcW w:w="1360" w:type="dxa"/>
            <w:tcBorders>
              <w:top w:val="nil"/>
              <w:left w:val="nil"/>
              <w:bottom w:val="nil"/>
              <w:right w:val="nil"/>
            </w:tcBorders>
            <w:shd w:val="clear" w:color="auto" w:fill="auto"/>
            <w:noWrap/>
            <w:vAlign w:val="center"/>
            <w:hideMark/>
          </w:tcPr>
          <w:p w14:paraId="1E2BFB22" w14:textId="77777777" w:rsidR="00B03A77" w:rsidRPr="00B03A77" w:rsidRDefault="00B03A77" w:rsidP="007C1F3D">
            <w:pPr>
              <w:spacing w:after="0"/>
              <w:jc w:val="center"/>
              <w:rPr>
                <w:rFonts w:eastAsia="Times New Roman"/>
                <w:szCs w:val="24"/>
                <w:lang w:val="en-US"/>
              </w:rPr>
            </w:pPr>
            <w:r>
              <w:rPr>
                <w:rFonts w:eastAsia="Times New Roman"/>
                <w:szCs w:val="24"/>
                <w:lang w:val="en-US"/>
              </w:rPr>
              <w:t>2021</w:t>
            </w:r>
          </w:p>
        </w:tc>
      </w:tr>
      <w:tr w:rsidR="00B03A77" w:rsidRPr="00B03A77" w14:paraId="4A7836A3" w14:textId="77777777" w:rsidTr="00B03A77">
        <w:trPr>
          <w:trHeight w:val="264"/>
        </w:trPr>
        <w:tc>
          <w:tcPr>
            <w:tcW w:w="3180" w:type="dxa"/>
            <w:tcBorders>
              <w:top w:val="nil"/>
              <w:left w:val="nil"/>
              <w:bottom w:val="nil"/>
              <w:right w:val="nil"/>
            </w:tcBorders>
            <w:shd w:val="clear" w:color="auto" w:fill="auto"/>
            <w:noWrap/>
            <w:vAlign w:val="center"/>
            <w:hideMark/>
          </w:tcPr>
          <w:p w14:paraId="07147538" w14:textId="77777777" w:rsidR="00B03A77" w:rsidRPr="00B03A77" w:rsidRDefault="00B03A77" w:rsidP="007C1F3D">
            <w:pPr>
              <w:spacing w:after="0"/>
              <w:jc w:val="left"/>
              <w:rPr>
                <w:rFonts w:eastAsia="Times New Roman"/>
                <w:szCs w:val="24"/>
                <w:lang w:val="en-US"/>
              </w:rPr>
            </w:pPr>
            <w:r w:rsidRPr="00B03A77">
              <w:rPr>
                <w:rFonts w:eastAsia="Times New Roman"/>
                <w:szCs w:val="24"/>
                <w:lang w:val="en-US"/>
              </w:rPr>
              <w:t>Net profit</w:t>
            </w:r>
          </w:p>
        </w:tc>
        <w:tc>
          <w:tcPr>
            <w:tcW w:w="1480" w:type="dxa"/>
            <w:tcBorders>
              <w:top w:val="nil"/>
              <w:left w:val="nil"/>
              <w:bottom w:val="nil"/>
              <w:right w:val="nil"/>
            </w:tcBorders>
            <w:shd w:val="clear" w:color="auto" w:fill="auto"/>
            <w:noWrap/>
            <w:vAlign w:val="center"/>
            <w:hideMark/>
          </w:tcPr>
          <w:p w14:paraId="36E1A1D0" w14:textId="77777777" w:rsidR="00B03A77" w:rsidRPr="00B03A77" w:rsidRDefault="00B03A77" w:rsidP="007C1F3D">
            <w:pPr>
              <w:spacing w:after="0"/>
              <w:jc w:val="center"/>
              <w:rPr>
                <w:rFonts w:eastAsia="Times New Roman"/>
                <w:szCs w:val="24"/>
                <w:lang w:val="en-US"/>
              </w:rPr>
            </w:pPr>
            <w:r w:rsidRPr="00B03A77">
              <w:rPr>
                <w:rFonts w:eastAsia="Times New Roman"/>
                <w:szCs w:val="24"/>
                <w:lang w:val="en-US"/>
              </w:rPr>
              <w:t>431</w:t>
            </w:r>
          </w:p>
        </w:tc>
        <w:tc>
          <w:tcPr>
            <w:tcW w:w="1360" w:type="dxa"/>
            <w:tcBorders>
              <w:top w:val="nil"/>
              <w:left w:val="nil"/>
              <w:bottom w:val="nil"/>
              <w:right w:val="nil"/>
            </w:tcBorders>
            <w:shd w:val="clear" w:color="auto" w:fill="auto"/>
            <w:noWrap/>
            <w:vAlign w:val="center"/>
            <w:hideMark/>
          </w:tcPr>
          <w:p w14:paraId="09097272" w14:textId="77777777" w:rsidR="00B03A77" w:rsidRPr="00B03A77" w:rsidRDefault="00B03A77" w:rsidP="007C1F3D">
            <w:pPr>
              <w:spacing w:after="0"/>
              <w:jc w:val="center"/>
              <w:rPr>
                <w:rFonts w:eastAsia="Times New Roman"/>
                <w:szCs w:val="24"/>
                <w:lang w:val="en-US"/>
              </w:rPr>
            </w:pPr>
            <w:r w:rsidRPr="00B03A77">
              <w:rPr>
                <w:rFonts w:eastAsia="Times New Roman"/>
                <w:szCs w:val="24"/>
                <w:lang w:val="en-US"/>
              </w:rPr>
              <w:t>366</w:t>
            </w:r>
          </w:p>
        </w:tc>
      </w:tr>
      <w:tr w:rsidR="00B03A77" w:rsidRPr="00B03A77" w14:paraId="42D9B2CA" w14:textId="77777777" w:rsidTr="00B03A77">
        <w:trPr>
          <w:trHeight w:val="264"/>
        </w:trPr>
        <w:tc>
          <w:tcPr>
            <w:tcW w:w="3180" w:type="dxa"/>
            <w:tcBorders>
              <w:top w:val="nil"/>
              <w:left w:val="nil"/>
              <w:bottom w:val="nil"/>
              <w:right w:val="nil"/>
            </w:tcBorders>
            <w:shd w:val="clear" w:color="auto" w:fill="auto"/>
            <w:noWrap/>
            <w:vAlign w:val="center"/>
            <w:hideMark/>
          </w:tcPr>
          <w:p w14:paraId="00D4E00A" w14:textId="77777777" w:rsidR="00B03A77" w:rsidRPr="00B03A77" w:rsidRDefault="00B03A77" w:rsidP="007C1F3D">
            <w:pPr>
              <w:spacing w:after="0"/>
              <w:jc w:val="left"/>
              <w:rPr>
                <w:rFonts w:eastAsia="Times New Roman"/>
                <w:szCs w:val="24"/>
                <w:lang w:val="en-US"/>
              </w:rPr>
            </w:pPr>
            <w:r w:rsidRPr="00B03A77">
              <w:rPr>
                <w:rFonts w:eastAsia="Times New Roman"/>
                <w:szCs w:val="24"/>
                <w:lang w:val="en-US"/>
              </w:rPr>
              <w:t>Numbers of shares</w:t>
            </w:r>
          </w:p>
        </w:tc>
        <w:tc>
          <w:tcPr>
            <w:tcW w:w="1480" w:type="dxa"/>
            <w:tcBorders>
              <w:top w:val="nil"/>
              <w:left w:val="nil"/>
              <w:bottom w:val="nil"/>
              <w:right w:val="nil"/>
            </w:tcBorders>
            <w:shd w:val="clear" w:color="auto" w:fill="auto"/>
            <w:noWrap/>
            <w:vAlign w:val="center"/>
            <w:hideMark/>
          </w:tcPr>
          <w:p w14:paraId="01A3846D" w14:textId="77777777" w:rsidR="00B03A77" w:rsidRPr="00B03A77" w:rsidRDefault="00B03A77" w:rsidP="007C1F3D">
            <w:pPr>
              <w:spacing w:after="0"/>
              <w:jc w:val="center"/>
              <w:rPr>
                <w:rFonts w:eastAsia="Times New Roman"/>
                <w:szCs w:val="24"/>
                <w:lang w:val="en-US"/>
              </w:rPr>
            </w:pPr>
            <w:r w:rsidRPr="00B03A77">
              <w:rPr>
                <w:rFonts w:eastAsia="Times New Roman"/>
                <w:szCs w:val="24"/>
                <w:lang w:val="en-US"/>
              </w:rPr>
              <w:t>600</w:t>
            </w:r>
          </w:p>
        </w:tc>
        <w:tc>
          <w:tcPr>
            <w:tcW w:w="1360" w:type="dxa"/>
            <w:tcBorders>
              <w:top w:val="nil"/>
              <w:left w:val="nil"/>
              <w:bottom w:val="nil"/>
              <w:right w:val="nil"/>
            </w:tcBorders>
            <w:shd w:val="clear" w:color="auto" w:fill="auto"/>
            <w:noWrap/>
            <w:vAlign w:val="center"/>
            <w:hideMark/>
          </w:tcPr>
          <w:p w14:paraId="791C0431" w14:textId="77777777" w:rsidR="00B03A77" w:rsidRPr="00B03A77" w:rsidRDefault="00B03A77" w:rsidP="007C1F3D">
            <w:pPr>
              <w:spacing w:after="0"/>
              <w:jc w:val="center"/>
              <w:rPr>
                <w:rFonts w:eastAsia="Times New Roman"/>
                <w:szCs w:val="24"/>
                <w:lang w:val="en-US"/>
              </w:rPr>
            </w:pPr>
            <w:r w:rsidRPr="00B03A77">
              <w:rPr>
                <w:rFonts w:eastAsia="Times New Roman"/>
                <w:szCs w:val="24"/>
                <w:lang w:val="en-US"/>
              </w:rPr>
              <w:t>600</w:t>
            </w:r>
          </w:p>
        </w:tc>
      </w:tr>
      <w:tr w:rsidR="00B03A77" w:rsidRPr="00B03A77" w14:paraId="048F24B4" w14:textId="77777777" w:rsidTr="00B03A77">
        <w:trPr>
          <w:trHeight w:val="264"/>
        </w:trPr>
        <w:tc>
          <w:tcPr>
            <w:tcW w:w="3180" w:type="dxa"/>
            <w:tcBorders>
              <w:top w:val="nil"/>
              <w:left w:val="nil"/>
              <w:bottom w:val="nil"/>
              <w:right w:val="nil"/>
            </w:tcBorders>
            <w:shd w:val="clear" w:color="auto" w:fill="auto"/>
            <w:noWrap/>
            <w:vAlign w:val="center"/>
            <w:hideMark/>
          </w:tcPr>
          <w:p w14:paraId="34ACB897" w14:textId="77777777" w:rsidR="00B03A77" w:rsidRPr="00B03A77" w:rsidRDefault="00B03A77" w:rsidP="007C1F3D">
            <w:pPr>
              <w:spacing w:after="0"/>
              <w:jc w:val="left"/>
              <w:rPr>
                <w:rFonts w:eastAsia="Times New Roman"/>
                <w:szCs w:val="24"/>
                <w:lang w:val="en-US"/>
              </w:rPr>
            </w:pPr>
            <w:r w:rsidRPr="00B03A77">
              <w:rPr>
                <w:rFonts w:eastAsia="Times New Roman"/>
                <w:szCs w:val="24"/>
                <w:lang w:val="en-US"/>
              </w:rPr>
              <w:t>EPS</w:t>
            </w:r>
          </w:p>
        </w:tc>
        <w:tc>
          <w:tcPr>
            <w:tcW w:w="1480" w:type="dxa"/>
            <w:tcBorders>
              <w:top w:val="nil"/>
              <w:left w:val="nil"/>
              <w:bottom w:val="nil"/>
              <w:right w:val="nil"/>
            </w:tcBorders>
            <w:shd w:val="clear" w:color="auto" w:fill="auto"/>
            <w:noWrap/>
            <w:vAlign w:val="center"/>
            <w:hideMark/>
          </w:tcPr>
          <w:p w14:paraId="61323E16" w14:textId="77777777" w:rsidR="00B03A77" w:rsidRPr="00B03A77" w:rsidRDefault="00B03A77" w:rsidP="007C1F3D">
            <w:pPr>
              <w:spacing w:after="0"/>
              <w:jc w:val="center"/>
              <w:rPr>
                <w:rFonts w:eastAsia="Times New Roman"/>
                <w:szCs w:val="24"/>
                <w:lang w:val="en-US"/>
              </w:rPr>
            </w:pPr>
            <w:r w:rsidRPr="00B03A77">
              <w:rPr>
                <w:rFonts w:eastAsia="Times New Roman"/>
                <w:szCs w:val="24"/>
                <w:lang w:val="en-US"/>
              </w:rPr>
              <w:t>0.718333333</w:t>
            </w:r>
          </w:p>
        </w:tc>
        <w:tc>
          <w:tcPr>
            <w:tcW w:w="1360" w:type="dxa"/>
            <w:tcBorders>
              <w:top w:val="nil"/>
              <w:left w:val="nil"/>
              <w:bottom w:val="nil"/>
              <w:right w:val="nil"/>
            </w:tcBorders>
            <w:shd w:val="clear" w:color="auto" w:fill="auto"/>
            <w:noWrap/>
            <w:vAlign w:val="center"/>
            <w:hideMark/>
          </w:tcPr>
          <w:p w14:paraId="5F84CBE6" w14:textId="77777777" w:rsidR="00B03A77" w:rsidRPr="00B03A77" w:rsidRDefault="00B03A77" w:rsidP="007C1F3D">
            <w:pPr>
              <w:spacing w:after="0"/>
              <w:jc w:val="center"/>
              <w:rPr>
                <w:rFonts w:eastAsia="Times New Roman"/>
                <w:szCs w:val="24"/>
                <w:lang w:val="en-US"/>
              </w:rPr>
            </w:pPr>
            <w:r w:rsidRPr="00B03A77">
              <w:rPr>
                <w:rFonts w:eastAsia="Times New Roman"/>
                <w:szCs w:val="24"/>
                <w:lang w:val="en-US"/>
              </w:rPr>
              <w:t>0.61</w:t>
            </w:r>
          </w:p>
        </w:tc>
      </w:tr>
    </w:tbl>
    <w:p w14:paraId="027FC152" w14:textId="77777777" w:rsidR="00B03A77" w:rsidRDefault="00B03A77" w:rsidP="007C1F3D">
      <w:pPr>
        <w:rPr>
          <w:lang w:val="en-US"/>
        </w:rPr>
      </w:pPr>
      <w:r>
        <w:rPr>
          <w:lang w:val="en-US"/>
        </w:rPr>
        <w:t>EPS=Net profit/number of outstanding shares</w:t>
      </w:r>
    </w:p>
    <w:p w14:paraId="7A28158B" w14:textId="77777777" w:rsidR="00B03A77" w:rsidRDefault="00B03A77" w:rsidP="007C1F3D">
      <w:pPr>
        <w:rPr>
          <w:lang w:val="en-US"/>
        </w:rPr>
      </w:pPr>
      <w:r>
        <w:rPr>
          <w:lang w:val="en-US"/>
        </w:rPr>
        <w:t>Sweet</w:t>
      </w:r>
      <w:r w:rsidR="007437FB">
        <w:rPr>
          <w:lang w:val="en-US"/>
        </w:rPr>
        <w:t>s</w:t>
      </w:r>
      <w:r>
        <w:rPr>
          <w:lang w:val="en-US"/>
        </w:rPr>
        <w:t xml:space="preserve"> plc’s net profit was £431</w:t>
      </w:r>
      <w:r w:rsidR="00BE0A00">
        <w:rPr>
          <w:lang w:val="en-US"/>
        </w:rPr>
        <w:t>m</w:t>
      </w:r>
      <w:r>
        <w:rPr>
          <w:lang w:val="en-US"/>
        </w:rPr>
        <w:t xml:space="preserve"> and £366</w:t>
      </w:r>
      <w:r w:rsidR="00BE0A00">
        <w:rPr>
          <w:lang w:val="en-US"/>
        </w:rPr>
        <w:t>m</w:t>
      </w:r>
      <w:r>
        <w:rPr>
          <w:lang w:val="en-US"/>
        </w:rPr>
        <w:t xml:space="preserve"> for 2022 and 2021 respectively. </w:t>
      </w:r>
      <w:r w:rsidR="006B2C19">
        <w:rPr>
          <w:lang w:val="en-US"/>
        </w:rPr>
        <w:t>T</w:t>
      </w:r>
      <w:r w:rsidR="00A950D3">
        <w:rPr>
          <w:lang w:val="en-US"/>
        </w:rPr>
        <w:t>he n</w:t>
      </w:r>
      <w:r w:rsidR="006B2C19">
        <w:rPr>
          <w:lang w:val="en-US"/>
        </w:rPr>
        <w:t>um</w:t>
      </w:r>
      <w:r w:rsidR="00A950D3">
        <w:rPr>
          <w:lang w:val="en-US"/>
        </w:rPr>
        <w:t xml:space="preserve">ber of outstanding shares </w:t>
      </w:r>
      <w:r w:rsidR="006B2C19">
        <w:rPr>
          <w:lang w:val="en-US"/>
        </w:rPr>
        <w:t>is</w:t>
      </w:r>
      <w:r w:rsidR="00A950D3">
        <w:rPr>
          <w:lang w:val="en-US"/>
        </w:rPr>
        <w:t xml:space="preserve"> 600 for both 2022 and 2021. The ear</w:t>
      </w:r>
      <w:r w:rsidR="006B2C19">
        <w:rPr>
          <w:lang w:val="en-US"/>
        </w:rPr>
        <w:t>n</w:t>
      </w:r>
      <w:r w:rsidR="00A950D3">
        <w:rPr>
          <w:lang w:val="en-US"/>
        </w:rPr>
        <w:t>ings per share (EPS)</w:t>
      </w:r>
      <w:r w:rsidR="00505C48">
        <w:rPr>
          <w:lang w:val="en-US"/>
        </w:rPr>
        <w:t xml:space="preserve"> is .71 for 2022 and .61 for 2021. </w:t>
      </w:r>
      <w:r w:rsidR="001F2758">
        <w:rPr>
          <w:lang w:val="en-US"/>
        </w:rPr>
        <w:t>The ear</w:t>
      </w:r>
      <w:r w:rsidR="006B2C19">
        <w:rPr>
          <w:lang w:val="en-US"/>
        </w:rPr>
        <w:t>n</w:t>
      </w:r>
      <w:r w:rsidR="001F2758">
        <w:rPr>
          <w:lang w:val="en-US"/>
        </w:rPr>
        <w:t>ings per share of 2022 is more than 2021 as the amount of net profit of 2022 is more than 2021</w:t>
      </w:r>
      <w:r w:rsidR="000E404D">
        <w:rPr>
          <w:lang w:val="en-US"/>
        </w:rPr>
        <w:t xml:space="preserve"> (Vij &amp; Bedi, 2016)</w:t>
      </w:r>
      <w:r w:rsidR="001F2758">
        <w:rPr>
          <w:lang w:val="en-US"/>
        </w:rPr>
        <w:t xml:space="preserve">. </w:t>
      </w:r>
    </w:p>
    <w:p w14:paraId="6ECF5C86" w14:textId="77777777" w:rsidR="005F39F2" w:rsidRDefault="005F39F2" w:rsidP="007C1F3D">
      <w:pPr>
        <w:rPr>
          <w:lang w:val="en-US"/>
        </w:rPr>
      </w:pPr>
      <w:r>
        <w:rPr>
          <w:lang w:val="en-US"/>
        </w:rPr>
        <w:t>Net Profit Margin</w:t>
      </w:r>
    </w:p>
    <w:tbl>
      <w:tblPr>
        <w:tblW w:w="6020" w:type="dxa"/>
        <w:tblInd w:w="108" w:type="dxa"/>
        <w:tblLook w:val="04A0" w:firstRow="1" w:lastRow="0" w:firstColumn="1" w:lastColumn="0" w:noHBand="0" w:noVBand="1"/>
      </w:tblPr>
      <w:tblGrid>
        <w:gridCol w:w="3180"/>
        <w:gridCol w:w="1480"/>
        <w:gridCol w:w="1476"/>
      </w:tblGrid>
      <w:tr w:rsidR="005F39F2" w:rsidRPr="005F39F2" w14:paraId="179E56FF" w14:textId="77777777" w:rsidTr="005F39F2">
        <w:trPr>
          <w:trHeight w:val="264"/>
        </w:trPr>
        <w:tc>
          <w:tcPr>
            <w:tcW w:w="3180" w:type="dxa"/>
            <w:tcBorders>
              <w:top w:val="nil"/>
              <w:left w:val="nil"/>
              <w:bottom w:val="nil"/>
              <w:right w:val="nil"/>
            </w:tcBorders>
            <w:shd w:val="clear" w:color="auto" w:fill="auto"/>
            <w:noWrap/>
            <w:vAlign w:val="center"/>
            <w:hideMark/>
          </w:tcPr>
          <w:p w14:paraId="241D6828" w14:textId="77777777" w:rsidR="005F39F2" w:rsidRPr="005F39F2" w:rsidRDefault="005F39F2" w:rsidP="007C1F3D">
            <w:pPr>
              <w:spacing w:after="0"/>
              <w:jc w:val="left"/>
              <w:rPr>
                <w:rFonts w:eastAsia="Times New Roman"/>
                <w:szCs w:val="24"/>
                <w:lang w:val="en-US"/>
              </w:rPr>
            </w:pPr>
            <w:r w:rsidRPr="005F39F2">
              <w:rPr>
                <w:rFonts w:eastAsia="Times New Roman"/>
                <w:szCs w:val="24"/>
                <w:lang w:val="en-US"/>
              </w:rPr>
              <w:t>Details</w:t>
            </w:r>
          </w:p>
        </w:tc>
        <w:tc>
          <w:tcPr>
            <w:tcW w:w="1480" w:type="dxa"/>
            <w:tcBorders>
              <w:top w:val="nil"/>
              <w:left w:val="nil"/>
              <w:bottom w:val="nil"/>
              <w:right w:val="nil"/>
            </w:tcBorders>
            <w:shd w:val="clear" w:color="auto" w:fill="auto"/>
            <w:noWrap/>
            <w:vAlign w:val="center"/>
            <w:hideMark/>
          </w:tcPr>
          <w:p w14:paraId="17319A87"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2022</w:t>
            </w:r>
          </w:p>
        </w:tc>
        <w:tc>
          <w:tcPr>
            <w:tcW w:w="1360" w:type="dxa"/>
            <w:tcBorders>
              <w:top w:val="nil"/>
              <w:left w:val="nil"/>
              <w:bottom w:val="nil"/>
              <w:right w:val="nil"/>
            </w:tcBorders>
            <w:shd w:val="clear" w:color="auto" w:fill="auto"/>
            <w:noWrap/>
            <w:vAlign w:val="center"/>
            <w:hideMark/>
          </w:tcPr>
          <w:p w14:paraId="6501F845"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2021</w:t>
            </w:r>
          </w:p>
        </w:tc>
      </w:tr>
      <w:tr w:rsidR="005F39F2" w:rsidRPr="005F39F2" w14:paraId="4701557A" w14:textId="77777777" w:rsidTr="005F39F2">
        <w:trPr>
          <w:trHeight w:val="264"/>
        </w:trPr>
        <w:tc>
          <w:tcPr>
            <w:tcW w:w="3180" w:type="dxa"/>
            <w:tcBorders>
              <w:top w:val="nil"/>
              <w:left w:val="nil"/>
              <w:bottom w:val="nil"/>
              <w:right w:val="nil"/>
            </w:tcBorders>
            <w:shd w:val="clear" w:color="auto" w:fill="auto"/>
            <w:noWrap/>
            <w:vAlign w:val="center"/>
            <w:hideMark/>
          </w:tcPr>
          <w:p w14:paraId="307C25A4" w14:textId="77777777" w:rsidR="005F39F2" w:rsidRPr="005F39F2" w:rsidRDefault="005F39F2" w:rsidP="007C1F3D">
            <w:pPr>
              <w:spacing w:after="0"/>
              <w:jc w:val="left"/>
              <w:rPr>
                <w:rFonts w:eastAsia="Times New Roman"/>
                <w:szCs w:val="24"/>
                <w:lang w:val="en-US"/>
              </w:rPr>
            </w:pPr>
            <w:r w:rsidRPr="005F39F2">
              <w:rPr>
                <w:rFonts w:eastAsia="Times New Roman"/>
                <w:szCs w:val="24"/>
                <w:lang w:val="en-US"/>
              </w:rPr>
              <w:t>Net profit</w:t>
            </w:r>
          </w:p>
        </w:tc>
        <w:tc>
          <w:tcPr>
            <w:tcW w:w="1480" w:type="dxa"/>
            <w:tcBorders>
              <w:top w:val="nil"/>
              <w:left w:val="nil"/>
              <w:bottom w:val="nil"/>
              <w:right w:val="nil"/>
            </w:tcBorders>
            <w:shd w:val="clear" w:color="auto" w:fill="auto"/>
            <w:noWrap/>
            <w:vAlign w:val="center"/>
            <w:hideMark/>
          </w:tcPr>
          <w:p w14:paraId="25BCD67A"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431</w:t>
            </w:r>
          </w:p>
        </w:tc>
        <w:tc>
          <w:tcPr>
            <w:tcW w:w="1360" w:type="dxa"/>
            <w:tcBorders>
              <w:top w:val="nil"/>
              <w:left w:val="nil"/>
              <w:bottom w:val="nil"/>
              <w:right w:val="nil"/>
            </w:tcBorders>
            <w:shd w:val="clear" w:color="auto" w:fill="auto"/>
            <w:noWrap/>
            <w:vAlign w:val="center"/>
            <w:hideMark/>
          </w:tcPr>
          <w:p w14:paraId="587CCE40"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366</w:t>
            </w:r>
          </w:p>
        </w:tc>
      </w:tr>
      <w:tr w:rsidR="005F39F2" w:rsidRPr="005F39F2" w14:paraId="2AFB2053" w14:textId="77777777" w:rsidTr="005F39F2">
        <w:trPr>
          <w:trHeight w:val="264"/>
        </w:trPr>
        <w:tc>
          <w:tcPr>
            <w:tcW w:w="3180" w:type="dxa"/>
            <w:tcBorders>
              <w:top w:val="nil"/>
              <w:left w:val="nil"/>
              <w:bottom w:val="nil"/>
              <w:right w:val="nil"/>
            </w:tcBorders>
            <w:shd w:val="clear" w:color="auto" w:fill="auto"/>
            <w:noWrap/>
            <w:vAlign w:val="center"/>
            <w:hideMark/>
          </w:tcPr>
          <w:p w14:paraId="1938F633" w14:textId="77777777" w:rsidR="005F39F2" w:rsidRPr="005F39F2" w:rsidRDefault="005F39F2" w:rsidP="007C1F3D">
            <w:pPr>
              <w:spacing w:after="0"/>
              <w:jc w:val="left"/>
              <w:rPr>
                <w:rFonts w:eastAsia="Times New Roman"/>
                <w:szCs w:val="24"/>
                <w:lang w:val="en-US"/>
              </w:rPr>
            </w:pPr>
            <w:r w:rsidRPr="005F39F2">
              <w:rPr>
                <w:rFonts w:eastAsia="Times New Roman"/>
                <w:szCs w:val="24"/>
                <w:lang w:val="en-US"/>
              </w:rPr>
              <w:t>Revenue</w:t>
            </w:r>
          </w:p>
        </w:tc>
        <w:tc>
          <w:tcPr>
            <w:tcW w:w="1480" w:type="dxa"/>
            <w:tcBorders>
              <w:top w:val="nil"/>
              <w:left w:val="nil"/>
              <w:bottom w:val="nil"/>
              <w:right w:val="nil"/>
            </w:tcBorders>
            <w:shd w:val="clear" w:color="auto" w:fill="auto"/>
            <w:noWrap/>
            <w:vAlign w:val="center"/>
            <w:hideMark/>
          </w:tcPr>
          <w:p w14:paraId="3949C3F1"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6738</w:t>
            </w:r>
          </w:p>
        </w:tc>
        <w:tc>
          <w:tcPr>
            <w:tcW w:w="1360" w:type="dxa"/>
            <w:tcBorders>
              <w:top w:val="nil"/>
              <w:left w:val="nil"/>
              <w:bottom w:val="nil"/>
              <w:right w:val="nil"/>
            </w:tcBorders>
            <w:shd w:val="clear" w:color="auto" w:fill="auto"/>
            <w:noWrap/>
            <w:vAlign w:val="center"/>
            <w:hideMark/>
          </w:tcPr>
          <w:p w14:paraId="5DEEBDFB"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6441</w:t>
            </w:r>
          </w:p>
        </w:tc>
      </w:tr>
      <w:tr w:rsidR="005F39F2" w:rsidRPr="005F39F2" w14:paraId="6F821AF1" w14:textId="77777777" w:rsidTr="005F39F2">
        <w:trPr>
          <w:trHeight w:val="264"/>
        </w:trPr>
        <w:tc>
          <w:tcPr>
            <w:tcW w:w="3180" w:type="dxa"/>
            <w:tcBorders>
              <w:top w:val="nil"/>
              <w:left w:val="nil"/>
              <w:bottom w:val="nil"/>
              <w:right w:val="nil"/>
            </w:tcBorders>
            <w:shd w:val="clear" w:color="auto" w:fill="auto"/>
            <w:noWrap/>
            <w:vAlign w:val="center"/>
            <w:hideMark/>
          </w:tcPr>
          <w:p w14:paraId="7F13D755" w14:textId="77777777" w:rsidR="005F39F2" w:rsidRPr="005F39F2" w:rsidRDefault="005F39F2" w:rsidP="007C1F3D">
            <w:pPr>
              <w:spacing w:after="0"/>
              <w:jc w:val="left"/>
              <w:rPr>
                <w:rFonts w:eastAsia="Times New Roman"/>
                <w:szCs w:val="24"/>
                <w:lang w:val="en-US"/>
              </w:rPr>
            </w:pPr>
            <w:r w:rsidRPr="005F39F2">
              <w:rPr>
                <w:rFonts w:eastAsia="Times New Roman"/>
                <w:szCs w:val="24"/>
                <w:lang w:val="en-US"/>
              </w:rPr>
              <w:t>Net Profit Margin</w:t>
            </w:r>
          </w:p>
        </w:tc>
        <w:tc>
          <w:tcPr>
            <w:tcW w:w="1480" w:type="dxa"/>
            <w:tcBorders>
              <w:top w:val="nil"/>
              <w:left w:val="nil"/>
              <w:bottom w:val="nil"/>
              <w:right w:val="nil"/>
            </w:tcBorders>
            <w:shd w:val="clear" w:color="auto" w:fill="auto"/>
            <w:noWrap/>
            <w:vAlign w:val="center"/>
            <w:hideMark/>
          </w:tcPr>
          <w:p w14:paraId="3738C726"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6.396556842</w:t>
            </w:r>
          </w:p>
        </w:tc>
        <w:tc>
          <w:tcPr>
            <w:tcW w:w="1360" w:type="dxa"/>
            <w:tcBorders>
              <w:top w:val="nil"/>
              <w:left w:val="nil"/>
              <w:bottom w:val="nil"/>
              <w:right w:val="nil"/>
            </w:tcBorders>
            <w:shd w:val="clear" w:color="auto" w:fill="auto"/>
            <w:noWrap/>
            <w:vAlign w:val="center"/>
            <w:hideMark/>
          </w:tcPr>
          <w:p w14:paraId="183CCC9B"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5.682347462</w:t>
            </w:r>
          </w:p>
        </w:tc>
      </w:tr>
    </w:tbl>
    <w:p w14:paraId="6D507813" w14:textId="77777777" w:rsidR="005F39F2" w:rsidRDefault="005F39F2" w:rsidP="007C1F3D">
      <w:pPr>
        <w:rPr>
          <w:lang w:val="en-US"/>
        </w:rPr>
      </w:pPr>
      <w:r>
        <w:rPr>
          <w:lang w:val="en-US"/>
        </w:rPr>
        <w:t>Net Profit Margin=Net profit*100/revenue</w:t>
      </w:r>
    </w:p>
    <w:p w14:paraId="431B59BA" w14:textId="47AA9EF8" w:rsidR="00CE06A7" w:rsidRDefault="00905A8E" w:rsidP="007C1F3D">
      <w:pPr>
        <w:rPr>
          <w:lang w:val="en-US"/>
        </w:rPr>
      </w:pPr>
      <w:r>
        <w:rPr>
          <w:lang w:val="en-US"/>
        </w:rPr>
        <w:t>The revenue of Sweets plc was £6738</w:t>
      </w:r>
      <w:r w:rsidR="00642464">
        <w:rPr>
          <w:lang w:val="en-US"/>
        </w:rPr>
        <w:t>m</w:t>
      </w:r>
      <w:r>
        <w:rPr>
          <w:lang w:val="en-US"/>
        </w:rPr>
        <w:t xml:space="preserve"> for 2022 and £6441</w:t>
      </w:r>
      <w:r w:rsidR="00642464">
        <w:rPr>
          <w:lang w:val="en-US"/>
        </w:rPr>
        <w:t>m</w:t>
      </w:r>
      <w:r>
        <w:rPr>
          <w:lang w:val="en-US"/>
        </w:rPr>
        <w:t xml:space="preserve"> for 2021. The profit margin of the company is calculated </w:t>
      </w:r>
      <w:r w:rsidR="008C76DA">
        <w:rPr>
          <w:lang w:val="en-US"/>
        </w:rPr>
        <w:t xml:space="preserve">at </w:t>
      </w:r>
      <w:r>
        <w:rPr>
          <w:lang w:val="en-US"/>
        </w:rPr>
        <w:t xml:space="preserve">6.37% for 2022 and 5.68% for 2021. </w:t>
      </w:r>
      <w:r w:rsidR="00CE06A7">
        <w:rPr>
          <w:lang w:val="en-US"/>
        </w:rPr>
        <w:t>The net profit margin of the co</w:t>
      </w:r>
      <w:r w:rsidR="004070A4">
        <w:rPr>
          <w:lang w:val="en-US"/>
        </w:rPr>
        <w:t>m</w:t>
      </w:r>
      <w:r w:rsidR="00CE06A7">
        <w:rPr>
          <w:lang w:val="en-US"/>
        </w:rPr>
        <w:t xml:space="preserve">pany </w:t>
      </w:r>
      <w:r w:rsidR="004070A4">
        <w:rPr>
          <w:lang w:val="en-US"/>
        </w:rPr>
        <w:t>in</w:t>
      </w:r>
      <w:r w:rsidR="00CE06A7">
        <w:rPr>
          <w:lang w:val="en-US"/>
        </w:rPr>
        <w:t xml:space="preserve"> 2022 is more than 2021 as the net profit of the company </w:t>
      </w:r>
      <w:r w:rsidR="004070A4">
        <w:rPr>
          <w:lang w:val="en-US"/>
        </w:rPr>
        <w:t>in</w:t>
      </w:r>
      <w:r w:rsidR="00CE06A7">
        <w:rPr>
          <w:lang w:val="en-US"/>
        </w:rPr>
        <w:t xml:space="preserve"> 2022 is higher than that of 2021</w:t>
      </w:r>
      <w:r w:rsidR="0032586E">
        <w:rPr>
          <w:lang w:val="en-US"/>
        </w:rPr>
        <w:t xml:space="preserve"> (Nariswari &amp; Nugraha, 2020)</w:t>
      </w:r>
      <w:r w:rsidR="00CE06A7">
        <w:rPr>
          <w:lang w:val="en-US"/>
        </w:rPr>
        <w:t xml:space="preserve">. </w:t>
      </w:r>
    </w:p>
    <w:p w14:paraId="0B4E12E9" w14:textId="77777777" w:rsidR="00B80900" w:rsidRDefault="00B80900" w:rsidP="007C1F3D">
      <w:pPr>
        <w:rPr>
          <w:lang w:val="en-US"/>
        </w:rPr>
      </w:pPr>
      <w:r>
        <w:rPr>
          <w:lang w:val="en-US"/>
        </w:rPr>
        <w:t>Asset Turnover Ratio</w:t>
      </w:r>
    </w:p>
    <w:tbl>
      <w:tblPr>
        <w:tblW w:w="6020" w:type="dxa"/>
        <w:tblInd w:w="108" w:type="dxa"/>
        <w:tblLook w:val="04A0" w:firstRow="1" w:lastRow="0" w:firstColumn="1" w:lastColumn="0" w:noHBand="0" w:noVBand="1"/>
      </w:tblPr>
      <w:tblGrid>
        <w:gridCol w:w="3180"/>
        <w:gridCol w:w="1480"/>
        <w:gridCol w:w="1476"/>
      </w:tblGrid>
      <w:tr w:rsidR="007437FB" w:rsidRPr="007437FB" w14:paraId="2A2CCB90" w14:textId="77777777" w:rsidTr="007437FB">
        <w:trPr>
          <w:trHeight w:val="264"/>
        </w:trPr>
        <w:tc>
          <w:tcPr>
            <w:tcW w:w="3180" w:type="dxa"/>
            <w:tcBorders>
              <w:top w:val="nil"/>
              <w:left w:val="nil"/>
              <w:bottom w:val="nil"/>
              <w:right w:val="nil"/>
            </w:tcBorders>
            <w:shd w:val="clear" w:color="auto" w:fill="auto"/>
            <w:noWrap/>
            <w:vAlign w:val="center"/>
            <w:hideMark/>
          </w:tcPr>
          <w:p w14:paraId="4D381C0E" w14:textId="77777777" w:rsidR="007437FB" w:rsidRPr="007437FB" w:rsidRDefault="007437FB" w:rsidP="007C1F3D">
            <w:pPr>
              <w:spacing w:after="0"/>
              <w:jc w:val="left"/>
              <w:rPr>
                <w:rFonts w:eastAsia="Times New Roman"/>
                <w:szCs w:val="24"/>
                <w:lang w:val="en-US"/>
              </w:rPr>
            </w:pPr>
            <w:r w:rsidRPr="007437FB">
              <w:rPr>
                <w:rFonts w:eastAsia="Times New Roman"/>
                <w:szCs w:val="24"/>
                <w:lang w:val="en-US"/>
              </w:rPr>
              <w:t>Details</w:t>
            </w:r>
          </w:p>
        </w:tc>
        <w:tc>
          <w:tcPr>
            <w:tcW w:w="1480" w:type="dxa"/>
            <w:tcBorders>
              <w:top w:val="nil"/>
              <w:left w:val="nil"/>
              <w:bottom w:val="nil"/>
              <w:right w:val="nil"/>
            </w:tcBorders>
            <w:shd w:val="clear" w:color="auto" w:fill="auto"/>
            <w:noWrap/>
            <w:vAlign w:val="center"/>
            <w:hideMark/>
          </w:tcPr>
          <w:p w14:paraId="7C9933C0" w14:textId="77777777" w:rsidR="007437FB" w:rsidRPr="007437FB" w:rsidRDefault="007437FB" w:rsidP="007C1F3D">
            <w:pPr>
              <w:spacing w:after="0"/>
              <w:jc w:val="center"/>
              <w:rPr>
                <w:rFonts w:eastAsia="Times New Roman"/>
                <w:szCs w:val="24"/>
                <w:lang w:val="en-US"/>
              </w:rPr>
            </w:pPr>
            <w:r w:rsidRPr="007437FB">
              <w:rPr>
                <w:rFonts w:eastAsia="Times New Roman"/>
                <w:szCs w:val="24"/>
                <w:lang w:val="en-US"/>
              </w:rPr>
              <w:t>2022</w:t>
            </w:r>
          </w:p>
        </w:tc>
        <w:tc>
          <w:tcPr>
            <w:tcW w:w="1360" w:type="dxa"/>
            <w:tcBorders>
              <w:top w:val="nil"/>
              <w:left w:val="nil"/>
              <w:bottom w:val="nil"/>
              <w:right w:val="nil"/>
            </w:tcBorders>
            <w:shd w:val="clear" w:color="auto" w:fill="auto"/>
            <w:noWrap/>
            <w:vAlign w:val="center"/>
            <w:hideMark/>
          </w:tcPr>
          <w:p w14:paraId="1C6357D2" w14:textId="77777777" w:rsidR="007437FB" w:rsidRPr="007437FB" w:rsidRDefault="007437FB" w:rsidP="007C1F3D">
            <w:pPr>
              <w:spacing w:after="0"/>
              <w:jc w:val="center"/>
              <w:rPr>
                <w:rFonts w:eastAsia="Times New Roman"/>
                <w:szCs w:val="24"/>
                <w:lang w:val="en-US"/>
              </w:rPr>
            </w:pPr>
            <w:r w:rsidRPr="007437FB">
              <w:rPr>
                <w:rFonts w:eastAsia="Times New Roman"/>
                <w:szCs w:val="24"/>
                <w:lang w:val="en-US"/>
              </w:rPr>
              <w:t>2021</w:t>
            </w:r>
          </w:p>
        </w:tc>
      </w:tr>
      <w:tr w:rsidR="007437FB" w:rsidRPr="007437FB" w14:paraId="55914854" w14:textId="77777777" w:rsidTr="007437FB">
        <w:trPr>
          <w:trHeight w:val="264"/>
        </w:trPr>
        <w:tc>
          <w:tcPr>
            <w:tcW w:w="3180" w:type="dxa"/>
            <w:tcBorders>
              <w:top w:val="nil"/>
              <w:left w:val="nil"/>
              <w:bottom w:val="nil"/>
              <w:right w:val="nil"/>
            </w:tcBorders>
            <w:shd w:val="clear" w:color="auto" w:fill="auto"/>
            <w:noWrap/>
            <w:vAlign w:val="center"/>
            <w:hideMark/>
          </w:tcPr>
          <w:p w14:paraId="138A169A" w14:textId="77777777" w:rsidR="007437FB" w:rsidRPr="007437FB" w:rsidRDefault="007437FB" w:rsidP="007C1F3D">
            <w:pPr>
              <w:spacing w:after="0"/>
              <w:jc w:val="left"/>
              <w:rPr>
                <w:rFonts w:eastAsia="Times New Roman"/>
                <w:szCs w:val="24"/>
                <w:lang w:val="en-US"/>
              </w:rPr>
            </w:pPr>
            <w:r w:rsidRPr="007437FB">
              <w:rPr>
                <w:rFonts w:eastAsia="Times New Roman"/>
                <w:szCs w:val="24"/>
                <w:lang w:val="en-US"/>
              </w:rPr>
              <w:t>Revenue</w:t>
            </w:r>
          </w:p>
        </w:tc>
        <w:tc>
          <w:tcPr>
            <w:tcW w:w="1480" w:type="dxa"/>
            <w:tcBorders>
              <w:top w:val="nil"/>
              <w:left w:val="nil"/>
              <w:bottom w:val="nil"/>
              <w:right w:val="nil"/>
            </w:tcBorders>
            <w:shd w:val="clear" w:color="auto" w:fill="auto"/>
            <w:noWrap/>
            <w:vAlign w:val="center"/>
            <w:hideMark/>
          </w:tcPr>
          <w:p w14:paraId="3391C9C5" w14:textId="77777777" w:rsidR="007437FB" w:rsidRPr="007437FB" w:rsidRDefault="007437FB" w:rsidP="007C1F3D">
            <w:pPr>
              <w:spacing w:after="0"/>
              <w:jc w:val="center"/>
              <w:rPr>
                <w:rFonts w:eastAsia="Times New Roman"/>
                <w:szCs w:val="24"/>
                <w:lang w:val="en-US"/>
              </w:rPr>
            </w:pPr>
            <w:r w:rsidRPr="007437FB">
              <w:rPr>
                <w:rFonts w:eastAsia="Times New Roman"/>
                <w:szCs w:val="24"/>
                <w:lang w:val="en-US"/>
              </w:rPr>
              <w:t>6738</w:t>
            </w:r>
          </w:p>
        </w:tc>
        <w:tc>
          <w:tcPr>
            <w:tcW w:w="1360" w:type="dxa"/>
            <w:tcBorders>
              <w:top w:val="nil"/>
              <w:left w:val="nil"/>
              <w:bottom w:val="nil"/>
              <w:right w:val="nil"/>
            </w:tcBorders>
            <w:shd w:val="clear" w:color="auto" w:fill="auto"/>
            <w:noWrap/>
            <w:vAlign w:val="center"/>
            <w:hideMark/>
          </w:tcPr>
          <w:p w14:paraId="7AF64A67" w14:textId="77777777" w:rsidR="007437FB" w:rsidRPr="007437FB" w:rsidRDefault="007437FB" w:rsidP="007C1F3D">
            <w:pPr>
              <w:spacing w:after="0"/>
              <w:jc w:val="center"/>
              <w:rPr>
                <w:rFonts w:eastAsia="Times New Roman"/>
                <w:szCs w:val="24"/>
                <w:lang w:val="en-US"/>
              </w:rPr>
            </w:pPr>
            <w:r w:rsidRPr="007437FB">
              <w:rPr>
                <w:rFonts w:eastAsia="Times New Roman"/>
                <w:szCs w:val="24"/>
                <w:lang w:val="en-US"/>
              </w:rPr>
              <w:t>6441</w:t>
            </w:r>
          </w:p>
        </w:tc>
      </w:tr>
      <w:tr w:rsidR="007437FB" w:rsidRPr="007437FB" w14:paraId="2C92E8F5" w14:textId="77777777" w:rsidTr="007437FB">
        <w:trPr>
          <w:trHeight w:val="264"/>
        </w:trPr>
        <w:tc>
          <w:tcPr>
            <w:tcW w:w="3180" w:type="dxa"/>
            <w:tcBorders>
              <w:top w:val="nil"/>
              <w:left w:val="nil"/>
              <w:bottom w:val="nil"/>
              <w:right w:val="nil"/>
            </w:tcBorders>
            <w:shd w:val="clear" w:color="auto" w:fill="auto"/>
            <w:noWrap/>
            <w:vAlign w:val="center"/>
            <w:hideMark/>
          </w:tcPr>
          <w:p w14:paraId="4190A28C" w14:textId="77777777" w:rsidR="007437FB" w:rsidRPr="007437FB" w:rsidRDefault="007437FB" w:rsidP="007C1F3D">
            <w:pPr>
              <w:spacing w:after="0"/>
              <w:jc w:val="left"/>
              <w:rPr>
                <w:rFonts w:eastAsia="Times New Roman"/>
                <w:szCs w:val="24"/>
                <w:lang w:val="en-US"/>
              </w:rPr>
            </w:pPr>
            <w:r w:rsidRPr="007437FB">
              <w:rPr>
                <w:rFonts w:eastAsia="Times New Roman"/>
                <w:szCs w:val="24"/>
                <w:lang w:val="en-US"/>
              </w:rPr>
              <w:t>Average Total Assets</w:t>
            </w:r>
          </w:p>
        </w:tc>
        <w:tc>
          <w:tcPr>
            <w:tcW w:w="1480" w:type="dxa"/>
            <w:tcBorders>
              <w:top w:val="nil"/>
              <w:left w:val="nil"/>
              <w:bottom w:val="nil"/>
              <w:right w:val="nil"/>
            </w:tcBorders>
            <w:shd w:val="clear" w:color="auto" w:fill="auto"/>
            <w:noWrap/>
            <w:vAlign w:val="center"/>
            <w:hideMark/>
          </w:tcPr>
          <w:p w14:paraId="64B89B24" w14:textId="77777777" w:rsidR="007437FB" w:rsidRPr="007437FB" w:rsidRDefault="001D3186" w:rsidP="007C1F3D">
            <w:pPr>
              <w:spacing w:after="0"/>
              <w:jc w:val="center"/>
              <w:rPr>
                <w:rFonts w:eastAsia="Times New Roman"/>
                <w:szCs w:val="24"/>
                <w:lang w:val="en-US"/>
              </w:rPr>
            </w:pPr>
            <w:r w:rsidRPr="007437FB">
              <w:rPr>
                <w:rFonts w:eastAsia="Times New Roman"/>
                <w:szCs w:val="24"/>
                <w:lang w:val="en-US"/>
              </w:rPr>
              <w:t>9911.5</w:t>
            </w:r>
          </w:p>
        </w:tc>
        <w:tc>
          <w:tcPr>
            <w:tcW w:w="1360" w:type="dxa"/>
            <w:tcBorders>
              <w:top w:val="nil"/>
              <w:left w:val="nil"/>
              <w:bottom w:val="nil"/>
              <w:right w:val="nil"/>
            </w:tcBorders>
            <w:shd w:val="clear" w:color="auto" w:fill="auto"/>
            <w:noWrap/>
            <w:vAlign w:val="center"/>
            <w:hideMark/>
          </w:tcPr>
          <w:p w14:paraId="19249C75" w14:textId="77777777" w:rsidR="007437FB" w:rsidRPr="007437FB" w:rsidRDefault="0016203D" w:rsidP="007C1F3D">
            <w:pPr>
              <w:spacing w:after="0"/>
              <w:jc w:val="center"/>
              <w:rPr>
                <w:rFonts w:eastAsia="Times New Roman"/>
                <w:szCs w:val="24"/>
                <w:lang w:val="en-US"/>
              </w:rPr>
            </w:pPr>
            <w:r>
              <w:rPr>
                <w:rFonts w:eastAsia="Times New Roman"/>
                <w:szCs w:val="24"/>
                <w:lang w:val="en-US"/>
              </w:rPr>
              <w:t>10087</w:t>
            </w:r>
          </w:p>
        </w:tc>
      </w:tr>
      <w:tr w:rsidR="007437FB" w:rsidRPr="007437FB" w14:paraId="7AA49F69" w14:textId="77777777" w:rsidTr="007437FB">
        <w:trPr>
          <w:trHeight w:val="264"/>
        </w:trPr>
        <w:tc>
          <w:tcPr>
            <w:tcW w:w="3180" w:type="dxa"/>
            <w:tcBorders>
              <w:top w:val="nil"/>
              <w:left w:val="nil"/>
              <w:bottom w:val="nil"/>
              <w:right w:val="nil"/>
            </w:tcBorders>
            <w:shd w:val="clear" w:color="auto" w:fill="auto"/>
            <w:noWrap/>
            <w:vAlign w:val="center"/>
            <w:hideMark/>
          </w:tcPr>
          <w:p w14:paraId="1AFFB82D" w14:textId="77777777" w:rsidR="007437FB" w:rsidRPr="007437FB" w:rsidRDefault="007437FB" w:rsidP="007C1F3D">
            <w:pPr>
              <w:spacing w:after="0"/>
              <w:jc w:val="left"/>
              <w:rPr>
                <w:rFonts w:eastAsia="Times New Roman"/>
                <w:szCs w:val="24"/>
                <w:lang w:val="en-US"/>
              </w:rPr>
            </w:pPr>
            <w:r w:rsidRPr="007437FB">
              <w:rPr>
                <w:rFonts w:eastAsia="Times New Roman"/>
                <w:szCs w:val="24"/>
                <w:lang w:val="en-US"/>
              </w:rPr>
              <w:t>Asset Turnover Ratio</w:t>
            </w:r>
          </w:p>
        </w:tc>
        <w:tc>
          <w:tcPr>
            <w:tcW w:w="1480" w:type="dxa"/>
            <w:tcBorders>
              <w:top w:val="nil"/>
              <w:left w:val="nil"/>
              <w:bottom w:val="nil"/>
              <w:right w:val="nil"/>
            </w:tcBorders>
            <w:shd w:val="clear" w:color="auto" w:fill="auto"/>
            <w:noWrap/>
            <w:vAlign w:val="center"/>
            <w:hideMark/>
          </w:tcPr>
          <w:p w14:paraId="5F496086" w14:textId="77777777" w:rsidR="007437FB" w:rsidRPr="007437FB" w:rsidRDefault="007437FB" w:rsidP="007C1F3D">
            <w:pPr>
              <w:spacing w:after="0"/>
              <w:jc w:val="center"/>
              <w:rPr>
                <w:rFonts w:eastAsia="Times New Roman"/>
                <w:szCs w:val="24"/>
                <w:lang w:val="en-US"/>
              </w:rPr>
            </w:pPr>
            <w:r w:rsidRPr="007437FB">
              <w:rPr>
                <w:rFonts w:eastAsia="Times New Roman"/>
                <w:szCs w:val="24"/>
                <w:lang w:val="en-US"/>
              </w:rPr>
              <w:t>0.6</w:t>
            </w:r>
            <w:r w:rsidR="001D3186">
              <w:rPr>
                <w:rFonts w:eastAsia="Times New Roman"/>
                <w:szCs w:val="24"/>
                <w:lang w:val="en-US"/>
              </w:rPr>
              <w:t>79816375</w:t>
            </w:r>
          </w:p>
        </w:tc>
        <w:tc>
          <w:tcPr>
            <w:tcW w:w="1360" w:type="dxa"/>
            <w:tcBorders>
              <w:top w:val="nil"/>
              <w:left w:val="nil"/>
              <w:bottom w:val="nil"/>
              <w:right w:val="nil"/>
            </w:tcBorders>
            <w:shd w:val="clear" w:color="auto" w:fill="auto"/>
            <w:noWrap/>
            <w:vAlign w:val="center"/>
            <w:hideMark/>
          </w:tcPr>
          <w:p w14:paraId="1D08EE24" w14:textId="77777777" w:rsidR="007437FB" w:rsidRPr="007437FB" w:rsidRDefault="007437FB" w:rsidP="007C1F3D">
            <w:pPr>
              <w:spacing w:after="0"/>
              <w:jc w:val="center"/>
              <w:rPr>
                <w:rFonts w:eastAsia="Times New Roman"/>
                <w:szCs w:val="24"/>
                <w:lang w:val="en-US"/>
              </w:rPr>
            </w:pPr>
            <w:r w:rsidRPr="007437FB">
              <w:rPr>
                <w:rFonts w:eastAsia="Times New Roman"/>
                <w:szCs w:val="24"/>
                <w:lang w:val="en-US"/>
              </w:rPr>
              <w:t>0.6</w:t>
            </w:r>
            <w:r w:rsidR="0016203D">
              <w:rPr>
                <w:rFonts w:eastAsia="Times New Roman"/>
                <w:szCs w:val="24"/>
                <w:lang w:val="en-US"/>
              </w:rPr>
              <w:t>38544661</w:t>
            </w:r>
          </w:p>
        </w:tc>
      </w:tr>
    </w:tbl>
    <w:p w14:paraId="1884722A" w14:textId="77777777" w:rsidR="00B80900" w:rsidRDefault="007437FB" w:rsidP="007C1F3D">
      <w:pPr>
        <w:rPr>
          <w:lang w:val="en-US"/>
        </w:rPr>
      </w:pPr>
      <w:r>
        <w:rPr>
          <w:lang w:val="en-US"/>
        </w:rPr>
        <w:t>Assets Turnover Ratio=Revenue/average total assets</w:t>
      </w:r>
    </w:p>
    <w:p w14:paraId="2C1C61D7" w14:textId="77777777" w:rsidR="007437FB" w:rsidRDefault="001D3186" w:rsidP="007C1F3D">
      <w:pPr>
        <w:rPr>
          <w:lang w:val="en-US"/>
        </w:rPr>
      </w:pPr>
      <w:r>
        <w:rPr>
          <w:lang w:val="en-US"/>
        </w:rPr>
        <w:t>The average total assets for 20</w:t>
      </w:r>
      <w:r w:rsidR="00AF6F04">
        <w:rPr>
          <w:lang w:val="en-US"/>
        </w:rPr>
        <w:t xml:space="preserve">22 </w:t>
      </w:r>
      <w:r w:rsidR="004070A4">
        <w:rPr>
          <w:lang w:val="en-US"/>
        </w:rPr>
        <w:t>are</w:t>
      </w:r>
      <w:r w:rsidR="00AF6F04">
        <w:rPr>
          <w:lang w:val="en-US"/>
        </w:rPr>
        <w:t xml:space="preserve"> calculated </w:t>
      </w:r>
      <w:r w:rsidR="004070A4">
        <w:rPr>
          <w:lang w:val="en-US"/>
        </w:rPr>
        <w:t xml:space="preserve">by </w:t>
      </w:r>
      <w:r w:rsidR="00AF6F04">
        <w:rPr>
          <w:lang w:val="en-US"/>
        </w:rPr>
        <w:t>adding the total assets of 2021 and 2022 dividing by 2</w:t>
      </w:r>
      <w:r>
        <w:rPr>
          <w:lang w:val="en-US"/>
        </w:rPr>
        <w:t>.</w:t>
      </w:r>
      <w:r w:rsidR="00AF6F04">
        <w:rPr>
          <w:lang w:val="en-US"/>
        </w:rPr>
        <w:t xml:space="preserve"> </w:t>
      </w:r>
      <w:r w:rsidR="004070A4">
        <w:rPr>
          <w:lang w:val="en-US"/>
        </w:rPr>
        <w:t>T</w:t>
      </w:r>
      <w:r w:rsidR="00C949C8">
        <w:rPr>
          <w:lang w:val="en-US"/>
        </w:rPr>
        <w:t xml:space="preserve">he average total assets for 2021 </w:t>
      </w:r>
      <w:r w:rsidR="004070A4">
        <w:rPr>
          <w:lang w:val="en-US"/>
        </w:rPr>
        <w:t>are</w:t>
      </w:r>
      <w:r w:rsidR="00C949C8">
        <w:rPr>
          <w:lang w:val="en-US"/>
        </w:rPr>
        <w:t xml:space="preserve"> the total assets of 2021 as there is no avail</w:t>
      </w:r>
      <w:r w:rsidR="004070A4">
        <w:rPr>
          <w:lang w:val="en-US"/>
        </w:rPr>
        <w:t>abl</w:t>
      </w:r>
      <w:r w:rsidR="00C949C8">
        <w:rPr>
          <w:lang w:val="en-US"/>
        </w:rPr>
        <w:t xml:space="preserve">e financial information </w:t>
      </w:r>
      <w:r w:rsidR="004070A4">
        <w:rPr>
          <w:lang w:val="en-US"/>
        </w:rPr>
        <w:t xml:space="preserve">for </w:t>
      </w:r>
      <w:r w:rsidR="00C949C8">
        <w:rPr>
          <w:lang w:val="en-US"/>
        </w:rPr>
        <w:t xml:space="preserve">2020. </w:t>
      </w:r>
      <w:r w:rsidR="007437FB">
        <w:rPr>
          <w:lang w:val="en-US"/>
        </w:rPr>
        <w:t>The asset turnover ratio of Sweets plc</w:t>
      </w:r>
      <w:r w:rsidR="0016203D">
        <w:rPr>
          <w:lang w:val="en-US"/>
        </w:rPr>
        <w:t xml:space="preserve"> is .67 for 2022 and .63</w:t>
      </w:r>
      <w:r>
        <w:rPr>
          <w:lang w:val="en-US"/>
        </w:rPr>
        <w:t xml:space="preserve"> for 2021. </w:t>
      </w:r>
      <w:r w:rsidR="00C949C8">
        <w:rPr>
          <w:lang w:val="en-US"/>
        </w:rPr>
        <w:t xml:space="preserve">The asset turnover ratio of the company </w:t>
      </w:r>
      <w:r w:rsidR="004070A4">
        <w:rPr>
          <w:lang w:val="en-US"/>
        </w:rPr>
        <w:t>is</w:t>
      </w:r>
      <w:r w:rsidR="00C949C8">
        <w:rPr>
          <w:lang w:val="en-US"/>
        </w:rPr>
        <w:t xml:space="preserve"> almost </w:t>
      </w:r>
      <w:r w:rsidR="004070A4">
        <w:rPr>
          <w:lang w:val="en-US"/>
        </w:rPr>
        <w:t xml:space="preserve">the </w:t>
      </w:r>
      <w:r w:rsidR="00C949C8">
        <w:rPr>
          <w:lang w:val="en-US"/>
        </w:rPr>
        <w:t xml:space="preserve">same for both years. </w:t>
      </w:r>
    </w:p>
    <w:p w14:paraId="57E251DE" w14:textId="77777777" w:rsidR="00F92FBB" w:rsidRDefault="00F92FBB" w:rsidP="007C1F3D">
      <w:pPr>
        <w:rPr>
          <w:lang w:val="en-US"/>
        </w:rPr>
      </w:pPr>
      <w:r>
        <w:rPr>
          <w:lang w:val="en-US"/>
        </w:rPr>
        <w:t>Stock Holding Days</w:t>
      </w:r>
    </w:p>
    <w:tbl>
      <w:tblPr>
        <w:tblW w:w="6020" w:type="dxa"/>
        <w:tblInd w:w="108" w:type="dxa"/>
        <w:tblLook w:val="04A0" w:firstRow="1" w:lastRow="0" w:firstColumn="1" w:lastColumn="0" w:noHBand="0" w:noVBand="1"/>
      </w:tblPr>
      <w:tblGrid>
        <w:gridCol w:w="3180"/>
        <w:gridCol w:w="1480"/>
        <w:gridCol w:w="1476"/>
      </w:tblGrid>
      <w:tr w:rsidR="00F92FBB" w:rsidRPr="00F92FBB" w14:paraId="779AEFA8" w14:textId="77777777" w:rsidTr="00F92FBB">
        <w:trPr>
          <w:trHeight w:val="264"/>
        </w:trPr>
        <w:tc>
          <w:tcPr>
            <w:tcW w:w="3180" w:type="dxa"/>
            <w:tcBorders>
              <w:top w:val="nil"/>
              <w:left w:val="nil"/>
              <w:bottom w:val="nil"/>
              <w:right w:val="nil"/>
            </w:tcBorders>
            <w:shd w:val="clear" w:color="auto" w:fill="auto"/>
            <w:noWrap/>
            <w:vAlign w:val="center"/>
            <w:hideMark/>
          </w:tcPr>
          <w:p w14:paraId="206B868B" w14:textId="77777777" w:rsidR="00F92FBB" w:rsidRPr="00F92FBB" w:rsidRDefault="00F92FBB" w:rsidP="007C1F3D">
            <w:pPr>
              <w:spacing w:after="0"/>
              <w:jc w:val="left"/>
              <w:rPr>
                <w:rFonts w:eastAsia="Times New Roman"/>
                <w:szCs w:val="24"/>
                <w:lang w:val="en-US"/>
              </w:rPr>
            </w:pPr>
            <w:r w:rsidRPr="00F92FBB">
              <w:rPr>
                <w:rFonts w:eastAsia="Times New Roman"/>
                <w:szCs w:val="24"/>
                <w:lang w:val="en-US"/>
              </w:rPr>
              <w:t>Details</w:t>
            </w:r>
          </w:p>
        </w:tc>
        <w:tc>
          <w:tcPr>
            <w:tcW w:w="1480" w:type="dxa"/>
            <w:tcBorders>
              <w:top w:val="nil"/>
              <w:left w:val="nil"/>
              <w:bottom w:val="nil"/>
              <w:right w:val="nil"/>
            </w:tcBorders>
            <w:shd w:val="clear" w:color="auto" w:fill="auto"/>
            <w:noWrap/>
            <w:vAlign w:val="center"/>
            <w:hideMark/>
          </w:tcPr>
          <w:p w14:paraId="5815549E" w14:textId="77777777" w:rsidR="00F92FBB" w:rsidRPr="00F92FBB" w:rsidRDefault="00F92FBB" w:rsidP="007C1F3D">
            <w:pPr>
              <w:spacing w:after="0"/>
              <w:jc w:val="center"/>
              <w:rPr>
                <w:rFonts w:eastAsia="Times New Roman"/>
                <w:szCs w:val="24"/>
                <w:lang w:val="en-US"/>
              </w:rPr>
            </w:pPr>
            <w:r w:rsidRPr="00F92FBB">
              <w:rPr>
                <w:rFonts w:eastAsia="Times New Roman"/>
                <w:szCs w:val="24"/>
                <w:lang w:val="en-US"/>
              </w:rPr>
              <w:t>2022</w:t>
            </w:r>
          </w:p>
        </w:tc>
        <w:tc>
          <w:tcPr>
            <w:tcW w:w="1360" w:type="dxa"/>
            <w:tcBorders>
              <w:top w:val="nil"/>
              <w:left w:val="nil"/>
              <w:bottom w:val="nil"/>
              <w:right w:val="nil"/>
            </w:tcBorders>
            <w:shd w:val="clear" w:color="auto" w:fill="auto"/>
            <w:noWrap/>
            <w:vAlign w:val="center"/>
            <w:hideMark/>
          </w:tcPr>
          <w:p w14:paraId="455C0E3C" w14:textId="77777777" w:rsidR="00F92FBB" w:rsidRPr="00F92FBB" w:rsidRDefault="00F92FBB" w:rsidP="007C1F3D">
            <w:pPr>
              <w:spacing w:after="0"/>
              <w:jc w:val="center"/>
              <w:rPr>
                <w:rFonts w:eastAsia="Times New Roman"/>
                <w:szCs w:val="24"/>
                <w:lang w:val="en-US"/>
              </w:rPr>
            </w:pPr>
            <w:r w:rsidRPr="00F92FBB">
              <w:rPr>
                <w:rFonts w:eastAsia="Times New Roman"/>
                <w:szCs w:val="24"/>
                <w:lang w:val="en-US"/>
              </w:rPr>
              <w:t>2021</w:t>
            </w:r>
          </w:p>
        </w:tc>
      </w:tr>
      <w:tr w:rsidR="00F92FBB" w:rsidRPr="00F92FBB" w14:paraId="0A8A06A1" w14:textId="77777777" w:rsidTr="00F92FBB">
        <w:trPr>
          <w:trHeight w:val="264"/>
        </w:trPr>
        <w:tc>
          <w:tcPr>
            <w:tcW w:w="3180" w:type="dxa"/>
            <w:tcBorders>
              <w:top w:val="nil"/>
              <w:left w:val="nil"/>
              <w:bottom w:val="nil"/>
              <w:right w:val="nil"/>
            </w:tcBorders>
            <w:shd w:val="clear" w:color="auto" w:fill="auto"/>
            <w:noWrap/>
            <w:vAlign w:val="center"/>
            <w:hideMark/>
          </w:tcPr>
          <w:p w14:paraId="0DE8F466" w14:textId="77777777" w:rsidR="00F92FBB" w:rsidRPr="00F92FBB" w:rsidRDefault="00F92FBB" w:rsidP="007C1F3D">
            <w:pPr>
              <w:spacing w:after="0"/>
              <w:jc w:val="left"/>
              <w:rPr>
                <w:rFonts w:eastAsia="Times New Roman"/>
                <w:szCs w:val="24"/>
                <w:lang w:val="en-US"/>
              </w:rPr>
            </w:pPr>
            <w:r w:rsidRPr="00F92FBB">
              <w:rPr>
                <w:rFonts w:eastAsia="Times New Roman"/>
                <w:szCs w:val="24"/>
                <w:lang w:val="en-US"/>
              </w:rPr>
              <w:t>Average inventory</w:t>
            </w:r>
          </w:p>
        </w:tc>
        <w:tc>
          <w:tcPr>
            <w:tcW w:w="1480" w:type="dxa"/>
            <w:tcBorders>
              <w:top w:val="nil"/>
              <w:left w:val="nil"/>
              <w:bottom w:val="nil"/>
              <w:right w:val="nil"/>
            </w:tcBorders>
            <w:shd w:val="clear" w:color="auto" w:fill="auto"/>
            <w:noWrap/>
            <w:vAlign w:val="center"/>
            <w:hideMark/>
          </w:tcPr>
          <w:p w14:paraId="3CF4A3FA" w14:textId="77777777" w:rsidR="00F92FBB" w:rsidRPr="00F92FBB" w:rsidRDefault="00F92FBB" w:rsidP="007C1F3D">
            <w:pPr>
              <w:spacing w:after="0"/>
              <w:jc w:val="center"/>
              <w:rPr>
                <w:rFonts w:eastAsia="Times New Roman"/>
                <w:szCs w:val="24"/>
                <w:lang w:val="en-US"/>
              </w:rPr>
            </w:pPr>
            <w:r>
              <w:rPr>
                <w:rFonts w:eastAsia="Times New Roman"/>
                <w:szCs w:val="24"/>
                <w:lang w:val="en-US"/>
              </w:rPr>
              <w:t>683.5</w:t>
            </w:r>
          </w:p>
        </w:tc>
        <w:tc>
          <w:tcPr>
            <w:tcW w:w="1360" w:type="dxa"/>
            <w:tcBorders>
              <w:top w:val="nil"/>
              <w:left w:val="nil"/>
              <w:bottom w:val="nil"/>
              <w:right w:val="nil"/>
            </w:tcBorders>
            <w:shd w:val="clear" w:color="auto" w:fill="auto"/>
            <w:noWrap/>
            <w:vAlign w:val="center"/>
            <w:hideMark/>
          </w:tcPr>
          <w:p w14:paraId="10438D22" w14:textId="77777777" w:rsidR="00F92FBB" w:rsidRPr="00F92FBB" w:rsidRDefault="00F5476D" w:rsidP="007C1F3D">
            <w:pPr>
              <w:spacing w:after="0"/>
              <w:jc w:val="center"/>
              <w:rPr>
                <w:rFonts w:eastAsia="Times New Roman"/>
                <w:szCs w:val="24"/>
                <w:lang w:val="en-US"/>
              </w:rPr>
            </w:pPr>
            <w:r>
              <w:rPr>
                <w:rFonts w:eastAsia="Times New Roman"/>
                <w:szCs w:val="24"/>
                <w:lang w:val="en-US"/>
              </w:rPr>
              <w:t>6</w:t>
            </w:r>
            <w:r w:rsidR="0016203D">
              <w:rPr>
                <w:rFonts w:eastAsia="Times New Roman"/>
                <w:szCs w:val="24"/>
                <w:lang w:val="en-US"/>
              </w:rPr>
              <w:t>69</w:t>
            </w:r>
          </w:p>
        </w:tc>
      </w:tr>
      <w:tr w:rsidR="00F92FBB" w:rsidRPr="00F92FBB" w14:paraId="468A9C81" w14:textId="77777777" w:rsidTr="00F92FBB">
        <w:trPr>
          <w:trHeight w:val="264"/>
        </w:trPr>
        <w:tc>
          <w:tcPr>
            <w:tcW w:w="3180" w:type="dxa"/>
            <w:tcBorders>
              <w:top w:val="nil"/>
              <w:left w:val="nil"/>
              <w:bottom w:val="nil"/>
              <w:right w:val="nil"/>
            </w:tcBorders>
            <w:shd w:val="clear" w:color="auto" w:fill="auto"/>
            <w:noWrap/>
            <w:vAlign w:val="center"/>
            <w:hideMark/>
          </w:tcPr>
          <w:p w14:paraId="6C2D0795" w14:textId="77777777" w:rsidR="00F92FBB" w:rsidRPr="00F92FBB" w:rsidRDefault="00F92FBB" w:rsidP="007C1F3D">
            <w:pPr>
              <w:spacing w:after="0"/>
              <w:jc w:val="left"/>
              <w:rPr>
                <w:rFonts w:eastAsia="Times New Roman"/>
                <w:szCs w:val="24"/>
                <w:lang w:val="en-US"/>
              </w:rPr>
            </w:pPr>
            <w:r w:rsidRPr="00F92FBB">
              <w:rPr>
                <w:rFonts w:eastAsia="Times New Roman"/>
                <w:szCs w:val="24"/>
                <w:lang w:val="en-US"/>
              </w:rPr>
              <w:t>Costs of goods sold</w:t>
            </w:r>
          </w:p>
        </w:tc>
        <w:tc>
          <w:tcPr>
            <w:tcW w:w="1480" w:type="dxa"/>
            <w:tcBorders>
              <w:top w:val="nil"/>
              <w:left w:val="nil"/>
              <w:bottom w:val="nil"/>
              <w:right w:val="nil"/>
            </w:tcBorders>
            <w:shd w:val="clear" w:color="auto" w:fill="auto"/>
            <w:noWrap/>
            <w:vAlign w:val="center"/>
            <w:hideMark/>
          </w:tcPr>
          <w:p w14:paraId="1688C8B5" w14:textId="77777777" w:rsidR="00F92FBB" w:rsidRPr="00F92FBB" w:rsidRDefault="00F92FBB" w:rsidP="007C1F3D">
            <w:pPr>
              <w:spacing w:after="0"/>
              <w:jc w:val="center"/>
              <w:rPr>
                <w:rFonts w:eastAsia="Times New Roman"/>
                <w:szCs w:val="24"/>
                <w:lang w:val="en-US"/>
              </w:rPr>
            </w:pPr>
            <w:r w:rsidRPr="00F92FBB">
              <w:rPr>
                <w:rFonts w:eastAsia="Times New Roman"/>
                <w:szCs w:val="24"/>
                <w:lang w:val="en-US"/>
              </w:rPr>
              <w:t>3235</w:t>
            </w:r>
          </w:p>
        </w:tc>
        <w:tc>
          <w:tcPr>
            <w:tcW w:w="1360" w:type="dxa"/>
            <w:tcBorders>
              <w:top w:val="nil"/>
              <w:left w:val="nil"/>
              <w:bottom w:val="nil"/>
              <w:right w:val="nil"/>
            </w:tcBorders>
            <w:shd w:val="clear" w:color="auto" w:fill="auto"/>
            <w:noWrap/>
            <w:vAlign w:val="center"/>
            <w:hideMark/>
          </w:tcPr>
          <w:p w14:paraId="188878AF" w14:textId="77777777" w:rsidR="00F92FBB" w:rsidRPr="00F92FBB" w:rsidRDefault="00F92FBB" w:rsidP="007C1F3D">
            <w:pPr>
              <w:spacing w:after="0"/>
              <w:jc w:val="center"/>
              <w:rPr>
                <w:rFonts w:eastAsia="Times New Roman"/>
                <w:szCs w:val="24"/>
                <w:lang w:val="en-US"/>
              </w:rPr>
            </w:pPr>
            <w:r w:rsidRPr="00F92FBB">
              <w:rPr>
                <w:rFonts w:eastAsia="Times New Roman"/>
                <w:szCs w:val="24"/>
                <w:lang w:val="en-US"/>
              </w:rPr>
              <w:t>3096</w:t>
            </w:r>
          </w:p>
        </w:tc>
      </w:tr>
      <w:tr w:rsidR="00F92FBB" w:rsidRPr="00F92FBB" w14:paraId="6DBA7BCE" w14:textId="77777777" w:rsidTr="00F92FBB">
        <w:trPr>
          <w:trHeight w:val="264"/>
        </w:trPr>
        <w:tc>
          <w:tcPr>
            <w:tcW w:w="3180" w:type="dxa"/>
            <w:tcBorders>
              <w:top w:val="nil"/>
              <w:left w:val="nil"/>
              <w:bottom w:val="nil"/>
              <w:right w:val="nil"/>
            </w:tcBorders>
            <w:shd w:val="clear" w:color="auto" w:fill="auto"/>
            <w:noWrap/>
            <w:vAlign w:val="center"/>
            <w:hideMark/>
          </w:tcPr>
          <w:p w14:paraId="4EA2CCEA" w14:textId="77777777" w:rsidR="00F92FBB" w:rsidRPr="00F92FBB" w:rsidRDefault="00F92FBB" w:rsidP="007C1F3D">
            <w:pPr>
              <w:spacing w:after="0"/>
              <w:jc w:val="left"/>
              <w:rPr>
                <w:rFonts w:eastAsia="Times New Roman"/>
                <w:szCs w:val="24"/>
                <w:lang w:val="en-US"/>
              </w:rPr>
            </w:pPr>
            <w:r w:rsidRPr="00F92FBB">
              <w:rPr>
                <w:rFonts w:eastAsia="Times New Roman"/>
                <w:szCs w:val="24"/>
                <w:lang w:val="en-US"/>
              </w:rPr>
              <w:t>Stock Holding Days</w:t>
            </w:r>
          </w:p>
        </w:tc>
        <w:tc>
          <w:tcPr>
            <w:tcW w:w="1480" w:type="dxa"/>
            <w:tcBorders>
              <w:top w:val="nil"/>
              <w:left w:val="nil"/>
              <w:bottom w:val="nil"/>
              <w:right w:val="nil"/>
            </w:tcBorders>
            <w:shd w:val="clear" w:color="auto" w:fill="auto"/>
            <w:noWrap/>
            <w:vAlign w:val="center"/>
            <w:hideMark/>
          </w:tcPr>
          <w:p w14:paraId="569C14DB" w14:textId="77777777" w:rsidR="00F92FBB" w:rsidRPr="00F92FBB" w:rsidRDefault="00F92FBB" w:rsidP="007C1F3D">
            <w:pPr>
              <w:spacing w:after="0"/>
              <w:jc w:val="center"/>
              <w:rPr>
                <w:rFonts w:eastAsia="Times New Roman"/>
                <w:szCs w:val="24"/>
                <w:lang w:val="en-US"/>
              </w:rPr>
            </w:pPr>
            <w:r>
              <w:rPr>
                <w:rFonts w:eastAsia="Times New Roman"/>
                <w:szCs w:val="24"/>
                <w:lang w:val="en-US"/>
              </w:rPr>
              <w:t>77.11823802</w:t>
            </w:r>
          </w:p>
        </w:tc>
        <w:tc>
          <w:tcPr>
            <w:tcW w:w="1360" w:type="dxa"/>
            <w:tcBorders>
              <w:top w:val="nil"/>
              <w:left w:val="nil"/>
              <w:bottom w:val="nil"/>
              <w:right w:val="nil"/>
            </w:tcBorders>
            <w:shd w:val="clear" w:color="auto" w:fill="auto"/>
            <w:noWrap/>
            <w:vAlign w:val="center"/>
            <w:hideMark/>
          </w:tcPr>
          <w:p w14:paraId="3CD90C52" w14:textId="77777777" w:rsidR="00F92FBB" w:rsidRPr="00F92FBB" w:rsidRDefault="00F5476D" w:rsidP="007C1F3D">
            <w:pPr>
              <w:spacing w:after="0"/>
              <w:rPr>
                <w:rFonts w:eastAsia="Times New Roman"/>
                <w:szCs w:val="24"/>
                <w:lang w:val="en-US"/>
              </w:rPr>
            </w:pPr>
            <w:r>
              <w:rPr>
                <w:rFonts w:eastAsia="Times New Roman"/>
                <w:szCs w:val="24"/>
                <w:lang w:val="en-US"/>
              </w:rPr>
              <w:t>78.87112403</w:t>
            </w:r>
          </w:p>
        </w:tc>
      </w:tr>
    </w:tbl>
    <w:p w14:paraId="262C7BC2" w14:textId="77777777" w:rsidR="00CE06A7" w:rsidRDefault="00F92FBB" w:rsidP="007C1F3D">
      <w:pPr>
        <w:rPr>
          <w:lang w:val="en-US"/>
        </w:rPr>
      </w:pPr>
      <w:r>
        <w:rPr>
          <w:lang w:val="en-US"/>
        </w:rPr>
        <w:t>Stock Holding Days=Average inventory*365/Costs of goods sold</w:t>
      </w:r>
    </w:p>
    <w:p w14:paraId="139486F0" w14:textId="77777777" w:rsidR="0016203D" w:rsidRDefault="0016203D" w:rsidP="007C1F3D">
      <w:pPr>
        <w:rPr>
          <w:lang w:val="en-US"/>
        </w:rPr>
      </w:pPr>
      <w:r>
        <w:rPr>
          <w:lang w:val="en-US"/>
        </w:rPr>
        <w:t>The average inv</w:t>
      </w:r>
      <w:r w:rsidR="00642464">
        <w:rPr>
          <w:lang w:val="en-US"/>
        </w:rPr>
        <w:t xml:space="preserve">entory of Sweets plc was £683.5m </w:t>
      </w:r>
      <w:r>
        <w:rPr>
          <w:lang w:val="en-US"/>
        </w:rPr>
        <w:t>for 2022 and £</w:t>
      </w:r>
      <w:r w:rsidR="00F5476D">
        <w:rPr>
          <w:lang w:val="en-US"/>
        </w:rPr>
        <w:t>669</w:t>
      </w:r>
      <w:r w:rsidR="00642464">
        <w:rPr>
          <w:lang w:val="en-US"/>
        </w:rPr>
        <w:t>m</w:t>
      </w:r>
      <w:r w:rsidR="00F5476D">
        <w:rPr>
          <w:lang w:val="en-US"/>
        </w:rPr>
        <w:t xml:space="preserve"> for 2021.</w:t>
      </w:r>
      <w:r w:rsidR="009D68F1">
        <w:rPr>
          <w:lang w:val="en-US"/>
        </w:rPr>
        <w:t xml:space="preserve"> The costs of goods sold </w:t>
      </w:r>
      <w:r w:rsidR="00B41180">
        <w:rPr>
          <w:lang w:val="en-US"/>
        </w:rPr>
        <w:t>by</w:t>
      </w:r>
      <w:r w:rsidR="009D68F1">
        <w:rPr>
          <w:lang w:val="en-US"/>
        </w:rPr>
        <w:t xml:space="preserve"> the company </w:t>
      </w:r>
      <w:r w:rsidR="00B41180">
        <w:rPr>
          <w:lang w:val="en-US"/>
        </w:rPr>
        <w:t>are</w:t>
      </w:r>
      <w:r w:rsidR="009D68F1">
        <w:rPr>
          <w:lang w:val="en-US"/>
        </w:rPr>
        <w:t xml:space="preserve"> £3235</w:t>
      </w:r>
      <w:r w:rsidR="00642464">
        <w:rPr>
          <w:lang w:val="en-US"/>
        </w:rPr>
        <w:t>m</w:t>
      </w:r>
      <w:r w:rsidR="009D68F1">
        <w:rPr>
          <w:lang w:val="en-US"/>
        </w:rPr>
        <w:t xml:space="preserve"> for 2022 and £3096</w:t>
      </w:r>
      <w:r w:rsidR="00642464">
        <w:rPr>
          <w:lang w:val="en-US"/>
        </w:rPr>
        <w:t>m</w:t>
      </w:r>
      <w:r w:rsidR="009D68F1">
        <w:rPr>
          <w:lang w:val="en-US"/>
        </w:rPr>
        <w:t xml:space="preserve"> for 2021. The stock holding days of the company </w:t>
      </w:r>
      <w:r w:rsidR="00B41180">
        <w:rPr>
          <w:lang w:val="en-US"/>
        </w:rPr>
        <w:t xml:space="preserve">are </w:t>
      </w:r>
      <w:r w:rsidR="009D68F1">
        <w:rPr>
          <w:lang w:val="en-US"/>
        </w:rPr>
        <w:t>77 days for 2022 and 79 days for 2021. The stock holding days decrease</w:t>
      </w:r>
      <w:r w:rsidR="00B41180">
        <w:rPr>
          <w:lang w:val="en-US"/>
        </w:rPr>
        <w:t>d</w:t>
      </w:r>
      <w:r w:rsidR="009D68F1">
        <w:rPr>
          <w:lang w:val="en-US"/>
        </w:rPr>
        <w:t xml:space="preserve"> in 2022 than 2021 which is a good sign for the company. </w:t>
      </w:r>
    </w:p>
    <w:p w14:paraId="44096746" w14:textId="77777777" w:rsidR="00924A47" w:rsidRDefault="00664E89" w:rsidP="007C1F3D">
      <w:pPr>
        <w:rPr>
          <w:lang w:val="en-US"/>
        </w:rPr>
      </w:pPr>
      <w:r>
        <w:rPr>
          <w:lang w:val="en-US"/>
        </w:rPr>
        <w:t>Debtors Collection Period</w:t>
      </w:r>
    </w:p>
    <w:tbl>
      <w:tblPr>
        <w:tblW w:w="6020" w:type="dxa"/>
        <w:tblInd w:w="108" w:type="dxa"/>
        <w:tblLook w:val="04A0" w:firstRow="1" w:lastRow="0" w:firstColumn="1" w:lastColumn="0" w:noHBand="0" w:noVBand="1"/>
      </w:tblPr>
      <w:tblGrid>
        <w:gridCol w:w="3180"/>
        <w:gridCol w:w="1480"/>
        <w:gridCol w:w="1476"/>
      </w:tblGrid>
      <w:tr w:rsidR="00664E89" w:rsidRPr="00664E89" w14:paraId="55662471" w14:textId="77777777" w:rsidTr="00664E89">
        <w:trPr>
          <w:trHeight w:val="264"/>
        </w:trPr>
        <w:tc>
          <w:tcPr>
            <w:tcW w:w="3180" w:type="dxa"/>
            <w:tcBorders>
              <w:top w:val="nil"/>
              <w:left w:val="nil"/>
              <w:bottom w:val="nil"/>
              <w:right w:val="nil"/>
            </w:tcBorders>
            <w:shd w:val="clear" w:color="auto" w:fill="auto"/>
            <w:noWrap/>
            <w:vAlign w:val="bottom"/>
            <w:hideMark/>
          </w:tcPr>
          <w:p w14:paraId="37CBCA36" w14:textId="77777777" w:rsidR="00664E89" w:rsidRPr="00664E89" w:rsidRDefault="00664E89" w:rsidP="007C1F3D">
            <w:pPr>
              <w:spacing w:after="0"/>
              <w:jc w:val="left"/>
              <w:rPr>
                <w:rFonts w:eastAsia="Times New Roman"/>
                <w:szCs w:val="24"/>
                <w:lang w:val="en-US"/>
              </w:rPr>
            </w:pPr>
            <w:r w:rsidRPr="00664E89">
              <w:rPr>
                <w:rFonts w:eastAsia="Times New Roman"/>
                <w:szCs w:val="24"/>
                <w:lang w:val="en-US"/>
              </w:rPr>
              <w:t>Details</w:t>
            </w:r>
          </w:p>
        </w:tc>
        <w:tc>
          <w:tcPr>
            <w:tcW w:w="1480" w:type="dxa"/>
            <w:tcBorders>
              <w:top w:val="nil"/>
              <w:left w:val="nil"/>
              <w:bottom w:val="nil"/>
              <w:right w:val="nil"/>
            </w:tcBorders>
            <w:shd w:val="clear" w:color="auto" w:fill="auto"/>
            <w:noWrap/>
            <w:vAlign w:val="bottom"/>
            <w:hideMark/>
          </w:tcPr>
          <w:p w14:paraId="20195508"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2022</w:t>
            </w:r>
          </w:p>
        </w:tc>
        <w:tc>
          <w:tcPr>
            <w:tcW w:w="1360" w:type="dxa"/>
            <w:tcBorders>
              <w:top w:val="nil"/>
              <w:left w:val="nil"/>
              <w:bottom w:val="nil"/>
              <w:right w:val="nil"/>
            </w:tcBorders>
            <w:shd w:val="clear" w:color="auto" w:fill="auto"/>
            <w:noWrap/>
            <w:vAlign w:val="bottom"/>
            <w:hideMark/>
          </w:tcPr>
          <w:p w14:paraId="06DFDE77"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2021</w:t>
            </w:r>
          </w:p>
        </w:tc>
      </w:tr>
      <w:tr w:rsidR="00664E89" w:rsidRPr="00664E89" w14:paraId="129801EB" w14:textId="77777777" w:rsidTr="00664E89">
        <w:trPr>
          <w:trHeight w:val="264"/>
        </w:trPr>
        <w:tc>
          <w:tcPr>
            <w:tcW w:w="3180" w:type="dxa"/>
            <w:tcBorders>
              <w:top w:val="nil"/>
              <w:left w:val="nil"/>
              <w:bottom w:val="nil"/>
              <w:right w:val="nil"/>
            </w:tcBorders>
            <w:shd w:val="clear" w:color="auto" w:fill="auto"/>
            <w:noWrap/>
            <w:vAlign w:val="bottom"/>
            <w:hideMark/>
          </w:tcPr>
          <w:p w14:paraId="4A90D925" w14:textId="77777777" w:rsidR="00664E89" w:rsidRPr="00664E89" w:rsidRDefault="00664E89" w:rsidP="007C1F3D">
            <w:pPr>
              <w:spacing w:after="0"/>
              <w:jc w:val="left"/>
              <w:rPr>
                <w:rFonts w:eastAsia="Times New Roman"/>
                <w:szCs w:val="24"/>
                <w:lang w:val="en-US"/>
              </w:rPr>
            </w:pPr>
            <w:r w:rsidRPr="00664E89">
              <w:rPr>
                <w:rFonts w:eastAsia="Times New Roman"/>
                <w:szCs w:val="24"/>
                <w:lang w:val="en-US"/>
              </w:rPr>
              <w:t>Average trade receivables</w:t>
            </w:r>
          </w:p>
        </w:tc>
        <w:tc>
          <w:tcPr>
            <w:tcW w:w="1480" w:type="dxa"/>
            <w:tcBorders>
              <w:top w:val="nil"/>
              <w:left w:val="nil"/>
              <w:bottom w:val="nil"/>
              <w:right w:val="nil"/>
            </w:tcBorders>
            <w:shd w:val="clear" w:color="auto" w:fill="auto"/>
            <w:noWrap/>
            <w:vAlign w:val="bottom"/>
            <w:hideMark/>
          </w:tcPr>
          <w:p w14:paraId="31E72EF8"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1268</w:t>
            </w:r>
          </w:p>
        </w:tc>
        <w:tc>
          <w:tcPr>
            <w:tcW w:w="1360" w:type="dxa"/>
            <w:tcBorders>
              <w:top w:val="nil"/>
              <w:left w:val="nil"/>
              <w:bottom w:val="nil"/>
              <w:right w:val="nil"/>
            </w:tcBorders>
            <w:shd w:val="clear" w:color="auto" w:fill="auto"/>
            <w:noWrap/>
            <w:vAlign w:val="bottom"/>
            <w:hideMark/>
          </w:tcPr>
          <w:p w14:paraId="0D01A15C"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1287</w:t>
            </w:r>
          </w:p>
        </w:tc>
      </w:tr>
      <w:tr w:rsidR="00664E89" w:rsidRPr="00664E89" w14:paraId="78ECE1F3" w14:textId="77777777" w:rsidTr="00664E89">
        <w:trPr>
          <w:trHeight w:val="264"/>
        </w:trPr>
        <w:tc>
          <w:tcPr>
            <w:tcW w:w="3180" w:type="dxa"/>
            <w:tcBorders>
              <w:top w:val="nil"/>
              <w:left w:val="nil"/>
              <w:bottom w:val="nil"/>
              <w:right w:val="nil"/>
            </w:tcBorders>
            <w:shd w:val="clear" w:color="auto" w:fill="auto"/>
            <w:noWrap/>
            <w:vAlign w:val="bottom"/>
            <w:hideMark/>
          </w:tcPr>
          <w:p w14:paraId="6C8E5063" w14:textId="77777777" w:rsidR="00664E89" w:rsidRPr="00664E89" w:rsidRDefault="00664E89" w:rsidP="007C1F3D">
            <w:pPr>
              <w:spacing w:after="0"/>
              <w:jc w:val="left"/>
              <w:rPr>
                <w:rFonts w:eastAsia="Times New Roman"/>
                <w:szCs w:val="24"/>
                <w:lang w:val="en-US"/>
              </w:rPr>
            </w:pPr>
            <w:r w:rsidRPr="00664E89">
              <w:rPr>
                <w:rFonts w:eastAsia="Times New Roman"/>
                <w:szCs w:val="24"/>
                <w:lang w:val="en-US"/>
              </w:rPr>
              <w:t>Credit Sales</w:t>
            </w:r>
          </w:p>
        </w:tc>
        <w:tc>
          <w:tcPr>
            <w:tcW w:w="1480" w:type="dxa"/>
            <w:tcBorders>
              <w:top w:val="nil"/>
              <w:left w:val="nil"/>
              <w:bottom w:val="nil"/>
              <w:right w:val="nil"/>
            </w:tcBorders>
            <w:shd w:val="clear" w:color="auto" w:fill="auto"/>
            <w:noWrap/>
            <w:vAlign w:val="bottom"/>
            <w:hideMark/>
          </w:tcPr>
          <w:p w14:paraId="2AAED2C3"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6738</w:t>
            </w:r>
          </w:p>
        </w:tc>
        <w:tc>
          <w:tcPr>
            <w:tcW w:w="1360" w:type="dxa"/>
            <w:tcBorders>
              <w:top w:val="nil"/>
              <w:left w:val="nil"/>
              <w:bottom w:val="nil"/>
              <w:right w:val="nil"/>
            </w:tcBorders>
            <w:shd w:val="clear" w:color="auto" w:fill="auto"/>
            <w:noWrap/>
            <w:vAlign w:val="bottom"/>
            <w:hideMark/>
          </w:tcPr>
          <w:p w14:paraId="0FD852CB"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6441</w:t>
            </w:r>
          </w:p>
        </w:tc>
      </w:tr>
      <w:tr w:rsidR="00664E89" w:rsidRPr="00664E89" w14:paraId="32897455" w14:textId="77777777" w:rsidTr="00664E89">
        <w:trPr>
          <w:trHeight w:val="264"/>
        </w:trPr>
        <w:tc>
          <w:tcPr>
            <w:tcW w:w="3180" w:type="dxa"/>
            <w:tcBorders>
              <w:top w:val="nil"/>
              <w:left w:val="nil"/>
              <w:bottom w:val="nil"/>
              <w:right w:val="nil"/>
            </w:tcBorders>
            <w:shd w:val="clear" w:color="auto" w:fill="auto"/>
            <w:noWrap/>
            <w:vAlign w:val="bottom"/>
            <w:hideMark/>
          </w:tcPr>
          <w:p w14:paraId="32A52DED" w14:textId="77777777" w:rsidR="00664E89" w:rsidRPr="00664E89" w:rsidRDefault="00664E89" w:rsidP="007C1F3D">
            <w:pPr>
              <w:spacing w:after="0"/>
              <w:jc w:val="left"/>
              <w:rPr>
                <w:rFonts w:eastAsia="Times New Roman"/>
                <w:szCs w:val="24"/>
                <w:lang w:val="en-US"/>
              </w:rPr>
            </w:pPr>
            <w:r w:rsidRPr="00664E89">
              <w:rPr>
                <w:rFonts w:eastAsia="Times New Roman"/>
                <w:szCs w:val="24"/>
                <w:lang w:val="en-US"/>
              </w:rPr>
              <w:t>Debtors Collection Period</w:t>
            </w:r>
          </w:p>
        </w:tc>
        <w:tc>
          <w:tcPr>
            <w:tcW w:w="1480" w:type="dxa"/>
            <w:tcBorders>
              <w:top w:val="nil"/>
              <w:left w:val="nil"/>
              <w:bottom w:val="nil"/>
              <w:right w:val="nil"/>
            </w:tcBorders>
            <w:shd w:val="clear" w:color="auto" w:fill="auto"/>
            <w:noWrap/>
            <w:vAlign w:val="bottom"/>
            <w:hideMark/>
          </w:tcPr>
          <w:p w14:paraId="05DFA050"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68.68803799</w:t>
            </w:r>
          </w:p>
        </w:tc>
        <w:tc>
          <w:tcPr>
            <w:tcW w:w="1360" w:type="dxa"/>
            <w:tcBorders>
              <w:top w:val="nil"/>
              <w:left w:val="nil"/>
              <w:bottom w:val="nil"/>
              <w:right w:val="nil"/>
            </w:tcBorders>
            <w:shd w:val="clear" w:color="auto" w:fill="auto"/>
            <w:noWrap/>
            <w:vAlign w:val="bottom"/>
            <w:hideMark/>
          </w:tcPr>
          <w:p w14:paraId="6F15CDEA"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72.93199814</w:t>
            </w:r>
          </w:p>
        </w:tc>
      </w:tr>
    </w:tbl>
    <w:p w14:paraId="5E40B120" w14:textId="77777777" w:rsidR="00664E89" w:rsidRDefault="00664E89" w:rsidP="007C1F3D">
      <w:pPr>
        <w:rPr>
          <w:lang w:val="en-US"/>
        </w:rPr>
      </w:pPr>
      <w:r>
        <w:rPr>
          <w:lang w:val="en-US"/>
        </w:rPr>
        <w:t>Debtors Collection Period=agerage trade receivebales*365/credit sales</w:t>
      </w:r>
    </w:p>
    <w:p w14:paraId="72D80711" w14:textId="77777777" w:rsidR="00664E89" w:rsidRPr="00CE06A7" w:rsidRDefault="008A26F8" w:rsidP="007C1F3D">
      <w:pPr>
        <w:rPr>
          <w:lang w:val="en-US"/>
        </w:rPr>
      </w:pPr>
      <w:r>
        <w:rPr>
          <w:lang w:val="en-US"/>
        </w:rPr>
        <w:t>The average trade receivables of Sweets plc was £1268</w:t>
      </w:r>
      <w:r w:rsidR="00642464">
        <w:rPr>
          <w:lang w:val="en-US"/>
        </w:rPr>
        <w:t>m</w:t>
      </w:r>
      <w:r>
        <w:rPr>
          <w:lang w:val="en-US"/>
        </w:rPr>
        <w:t xml:space="preserve"> for 2022 and £1287</w:t>
      </w:r>
      <w:r w:rsidR="00642464">
        <w:rPr>
          <w:lang w:val="en-US"/>
        </w:rPr>
        <w:t>m</w:t>
      </w:r>
      <w:r>
        <w:rPr>
          <w:lang w:val="en-US"/>
        </w:rPr>
        <w:t xml:space="preserve"> for 2021. It is assumed that all the sales of the company w</w:t>
      </w:r>
      <w:r w:rsidR="00B41180">
        <w:rPr>
          <w:lang w:val="en-US"/>
        </w:rPr>
        <w:t>ere</w:t>
      </w:r>
      <w:r>
        <w:rPr>
          <w:lang w:val="en-US"/>
        </w:rPr>
        <w:t xml:space="preserve"> credit sales. </w:t>
      </w:r>
      <w:r w:rsidR="00DE1857">
        <w:rPr>
          <w:lang w:val="en-US"/>
        </w:rPr>
        <w:t>The debtor collection period of the company is 67 days fo</w:t>
      </w:r>
      <w:r w:rsidR="00B41180">
        <w:rPr>
          <w:lang w:val="en-US"/>
        </w:rPr>
        <w:t>r</w:t>
      </w:r>
      <w:r w:rsidR="00DE1857">
        <w:rPr>
          <w:lang w:val="en-US"/>
        </w:rPr>
        <w:t xml:space="preserve"> 2022 and 73 days for 2021. It is shown that the collection time from the debtors has been reduced </w:t>
      </w:r>
      <w:r w:rsidR="00B41180">
        <w:rPr>
          <w:lang w:val="en-US"/>
        </w:rPr>
        <w:t>which</w:t>
      </w:r>
      <w:r w:rsidR="00DE1857">
        <w:rPr>
          <w:lang w:val="en-US"/>
        </w:rPr>
        <w:t xml:space="preserve"> me</w:t>
      </w:r>
      <w:r w:rsidR="00B41180">
        <w:rPr>
          <w:lang w:val="en-US"/>
        </w:rPr>
        <w:t>an</w:t>
      </w:r>
      <w:r w:rsidR="00DE1857">
        <w:rPr>
          <w:lang w:val="en-US"/>
        </w:rPr>
        <w:t xml:space="preserve">s the collection policy and strategy of the company has been improved. </w:t>
      </w:r>
    </w:p>
    <w:p w14:paraId="64940D56" w14:textId="77777777" w:rsidR="00CE06A7" w:rsidRDefault="008578E5" w:rsidP="007C1F3D">
      <w:pPr>
        <w:rPr>
          <w:lang w:val="en-US"/>
        </w:rPr>
      </w:pPr>
      <w:r>
        <w:rPr>
          <w:lang w:val="en-US"/>
        </w:rPr>
        <w:t>Current Ratio</w:t>
      </w:r>
    </w:p>
    <w:tbl>
      <w:tblPr>
        <w:tblW w:w="6020" w:type="dxa"/>
        <w:tblInd w:w="108" w:type="dxa"/>
        <w:tblLook w:val="04A0" w:firstRow="1" w:lastRow="0" w:firstColumn="1" w:lastColumn="0" w:noHBand="0" w:noVBand="1"/>
      </w:tblPr>
      <w:tblGrid>
        <w:gridCol w:w="3180"/>
        <w:gridCol w:w="1480"/>
        <w:gridCol w:w="1476"/>
      </w:tblGrid>
      <w:tr w:rsidR="008578E5" w:rsidRPr="008578E5" w14:paraId="125F00A6" w14:textId="77777777" w:rsidTr="008578E5">
        <w:trPr>
          <w:trHeight w:val="264"/>
        </w:trPr>
        <w:tc>
          <w:tcPr>
            <w:tcW w:w="3180" w:type="dxa"/>
            <w:tcBorders>
              <w:top w:val="nil"/>
              <w:left w:val="nil"/>
              <w:bottom w:val="nil"/>
              <w:right w:val="nil"/>
            </w:tcBorders>
            <w:shd w:val="clear" w:color="auto" w:fill="auto"/>
            <w:noWrap/>
            <w:vAlign w:val="bottom"/>
            <w:hideMark/>
          </w:tcPr>
          <w:p w14:paraId="1ED08751" w14:textId="77777777" w:rsidR="008578E5" w:rsidRPr="008578E5" w:rsidRDefault="008578E5" w:rsidP="007C1F3D">
            <w:pPr>
              <w:spacing w:after="0"/>
              <w:jc w:val="left"/>
              <w:rPr>
                <w:rFonts w:eastAsia="Times New Roman"/>
                <w:szCs w:val="24"/>
                <w:lang w:val="en-US"/>
              </w:rPr>
            </w:pPr>
            <w:r w:rsidRPr="008578E5">
              <w:rPr>
                <w:rFonts w:eastAsia="Times New Roman"/>
                <w:szCs w:val="24"/>
                <w:lang w:val="en-US"/>
              </w:rPr>
              <w:t>Details</w:t>
            </w:r>
          </w:p>
        </w:tc>
        <w:tc>
          <w:tcPr>
            <w:tcW w:w="1480" w:type="dxa"/>
            <w:tcBorders>
              <w:top w:val="nil"/>
              <w:left w:val="nil"/>
              <w:bottom w:val="nil"/>
              <w:right w:val="nil"/>
            </w:tcBorders>
            <w:shd w:val="clear" w:color="auto" w:fill="auto"/>
            <w:noWrap/>
            <w:vAlign w:val="bottom"/>
            <w:hideMark/>
          </w:tcPr>
          <w:p w14:paraId="40E3F78E"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2022</w:t>
            </w:r>
          </w:p>
        </w:tc>
        <w:tc>
          <w:tcPr>
            <w:tcW w:w="1360" w:type="dxa"/>
            <w:tcBorders>
              <w:top w:val="nil"/>
              <w:left w:val="nil"/>
              <w:bottom w:val="nil"/>
              <w:right w:val="nil"/>
            </w:tcBorders>
            <w:shd w:val="clear" w:color="auto" w:fill="auto"/>
            <w:noWrap/>
            <w:vAlign w:val="bottom"/>
            <w:hideMark/>
          </w:tcPr>
          <w:p w14:paraId="049CE738"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2021</w:t>
            </w:r>
          </w:p>
        </w:tc>
      </w:tr>
      <w:tr w:rsidR="008578E5" w:rsidRPr="008578E5" w14:paraId="0D0FB472" w14:textId="77777777" w:rsidTr="008578E5">
        <w:trPr>
          <w:trHeight w:val="264"/>
        </w:trPr>
        <w:tc>
          <w:tcPr>
            <w:tcW w:w="3180" w:type="dxa"/>
            <w:tcBorders>
              <w:top w:val="nil"/>
              <w:left w:val="nil"/>
              <w:bottom w:val="nil"/>
              <w:right w:val="nil"/>
            </w:tcBorders>
            <w:shd w:val="clear" w:color="auto" w:fill="auto"/>
            <w:noWrap/>
            <w:vAlign w:val="bottom"/>
            <w:hideMark/>
          </w:tcPr>
          <w:p w14:paraId="61A8A7B6" w14:textId="77777777" w:rsidR="008578E5" w:rsidRPr="008578E5" w:rsidRDefault="008578E5" w:rsidP="007C1F3D">
            <w:pPr>
              <w:spacing w:after="0"/>
              <w:jc w:val="left"/>
              <w:rPr>
                <w:rFonts w:eastAsia="Times New Roman"/>
                <w:szCs w:val="24"/>
                <w:lang w:val="en-US"/>
              </w:rPr>
            </w:pPr>
            <w:r w:rsidRPr="008578E5">
              <w:rPr>
                <w:rFonts w:eastAsia="Times New Roman"/>
                <w:szCs w:val="24"/>
                <w:lang w:val="en-US"/>
              </w:rPr>
              <w:t>Current Assets</w:t>
            </w:r>
          </w:p>
        </w:tc>
        <w:tc>
          <w:tcPr>
            <w:tcW w:w="1480" w:type="dxa"/>
            <w:tcBorders>
              <w:top w:val="nil"/>
              <w:left w:val="nil"/>
              <w:bottom w:val="nil"/>
              <w:right w:val="nil"/>
            </w:tcBorders>
            <w:shd w:val="clear" w:color="auto" w:fill="auto"/>
            <w:noWrap/>
            <w:vAlign w:val="bottom"/>
            <w:hideMark/>
          </w:tcPr>
          <w:p w14:paraId="1E36CEEE"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2303</w:t>
            </w:r>
          </w:p>
        </w:tc>
        <w:tc>
          <w:tcPr>
            <w:tcW w:w="1360" w:type="dxa"/>
            <w:tcBorders>
              <w:top w:val="nil"/>
              <w:left w:val="nil"/>
              <w:bottom w:val="nil"/>
              <w:right w:val="nil"/>
            </w:tcBorders>
            <w:shd w:val="clear" w:color="auto" w:fill="auto"/>
            <w:noWrap/>
            <w:vAlign w:val="bottom"/>
            <w:hideMark/>
          </w:tcPr>
          <w:p w14:paraId="37AD43D3"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2355</w:t>
            </w:r>
          </w:p>
        </w:tc>
      </w:tr>
      <w:tr w:rsidR="008578E5" w:rsidRPr="008578E5" w14:paraId="4CA8B25B" w14:textId="77777777" w:rsidTr="008578E5">
        <w:trPr>
          <w:trHeight w:val="264"/>
        </w:trPr>
        <w:tc>
          <w:tcPr>
            <w:tcW w:w="3180" w:type="dxa"/>
            <w:tcBorders>
              <w:top w:val="nil"/>
              <w:left w:val="nil"/>
              <w:bottom w:val="nil"/>
              <w:right w:val="nil"/>
            </w:tcBorders>
            <w:shd w:val="clear" w:color="auto" w:fill="auto"/>
            <w:noWrap/>
            <w:vAlign w:val="bottom"/>
            <w:hideMark/>
          </w:tcPr>
          <w:p w14:paraId="2E8A3522" w14:textId="77777777" w:rsidR="008578E5" w:rsidRPr="008578E5" w:rsidRDefault="008578E5" w:rsidP="007C1F3D">
            <w:pPr>
              <w:spacing w:after="0"/>
              <w:jc w:val="left"/>
              <w:rPr>
                <w:rFonts w:eastAsia="Times New Roman"/>
                <w:szCs w:val="24"/>
                <w:lang w:val="en-US"/>
              </w:rPr>
            </w:pPr>
            <w:r w:rsidRPr="008578E5">
              <w:rPr>
                <w:rFonts w:eastAsia="Times New Roman"/>
                <w:szCs w:val="24"/>
                <w:lang w:val="en-US"/>
              </w:rPr>
              <w:t>Current Liabilities</w:t>
            </w:r>
          </w:p>
        </w:tc>
        <w:tc>
          <w:tcPr>
            <w:tcW w:w="1480" w:type="dxa"/>
            <w:tcBorders>
              <w:top w:val="nil"/>
              <w:left w:val="nil"/>
              <w:bottom w:val="nil"/>
              <w:right w:val="nil"/>
            </w:tcBorders>
            <w:shd w:val="clear" w:color="auto" w:fill="auto"/>
            <w:noWrap/>
            <w:vAlign w:val="bottom"/>
            <w:hideMark/>
          </w:tcPr>
          <w:p w14:paraId="07252A47"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2511</w:t>
            </w:r>
          </w:p>
        </w:tc>
        <w:tc>
          <w:tcPr>
            <w:tcW w:w="1360" w:type="dxa"/>
            <w:tcBorders>
              <w:top w:val="nil"/>
              <w:left w:val="nil"/>
              <w:bottom w:val="nil"/>
              <w:right w:val="nil"/>
            </w:tcBorders>
            <w:shd w:val="clear" w:color="auto" w:fill="auto"/>
            <w:noWrap/>
            <w:vAlign w:val="bottom"/>
            <w:hideMark/>
          </w:tcPr>
          <w:p w14:paraId="37D39FDD"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3046</w:t>
            </w:r>
          </w:p>
        </w:tc>
      </w:tr>
      <w:tr w:rsidR="008578E5" w:rsidRPr="008578E5" w14:paraId="05DC85BB" w14:textId="77777777" w:rsidTr="008578E5">
        <w:trPr>
          <w:trHeight w:val="264"/>
        </w:trPr>
        <w:tc>
          <w:tcPr>
            <w:tcW w:w="3180" w:type="dxa"/>
            <w:tcBorders>
              <w:top w:val="nil"/>
              <w:left w:val="nil"/>
              <w:bottom w:val="nil"/>
              <w:right w:val="nil"/>
            </w:tcBorders>
            <w:shd w:val="clear" w:color="auto" w:fill="auto"/>
            <w:noWrap/>
            <w:vAlign w:val="bottom"/>
            <w:hideMark/>
          </w:tcPr>
          <w:p w14:paraId="7ECF3B6D" w14:textId="77777777" w:rsidR="008578E5" w:rsidRPr="008578E5" w:rsidRDefault="008578E5" w:rsidP="007C1F3D">
            <w:pPr>
              <w:spacing w:after="0"/>
              <w:jc w:val="left"/>
              <w:rPr>
                <w:rFonts w:eastAsia="Times New Roman"/>
                <w:szCs w:val="24"/>
                <w:lang w:val="en-US"/>
              </w:rPr>
            </w:pPr>
            <w:r w:rsidRPr="008578E5">
              <w:rPr>
                <w:rFonts w:eastAsia="Times New Roman"/>
                <w:szCs w:val="24"/>
                <w:lang w:val="en-US"/>
              </w:rPr>
              <w:t>Current Ratio</w:t>
            </w:r>
          </w:p>
        </w:tc>
        <w:tc>
          <w:tcPr>
            <w:tcW w:w="1480" w:type="dxa"/>
            <w:tcBorders>
              <w:top w:val="nil"/>
              <w:left w:val="nil"/>
              <w:bottom w:val="nil"/>
              <w:right w:val="nil"/>
            </w:tcBorders>
            <w:shd w:val="clear" w:color="auto" w:fill="auto"/>
            <w:noWrap/>
            <w:vAlign w:val="bottom"/>
            <w:hideMark/>
          </w:tcPr>
          <w:p w14:paraId="6F27B3CA"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0.917164476</w:t>
            </w:r>
          </w:p>
        </w:tc>
        <w:tc>
          <w:tcPr>
            <w:tcW w:w="1360" w:type="dxa"/>
            <w:tcBorders>
              <w:top w:val="nil"/>
              <w:left w:val="nil"/>
              <w:bottom w:val="nil"/>
              <w:right w:val="nil"/>
            </w:tcBorders>
            <w:shd w:val="clear" w:color="auto" w:fill="auto"/>
            <w:noWrap/>
            <w:vAlign w:val="bottom"/>
            <w:hideMark/>
          </w:tcPr>
          <w:p w14:paraId="61293B80"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0.773145108</w:t>
            </w:r>
          </w:p>
        </w:tc>
      </w:tr>
    </w:tbl>
    <w:p w14:paraId="7802FD72" w14:textId="77777777" w:rsidR="008578E5" w:rsidRDefault="00D033DC" w:rsidP="007C1F3D">
      <w:pPr>
        <w:rPr>
          <w:lang w:val="en-US"/>
        </w:rPr>
      </w:pPr>
      <w:r>
        <w:rPr>
          <w:lang w:val="en-US"/>
        </w:rPr>
        <w:t>Current ratio=current assets/current liabilities</w:t>
      </w:r>
    </w:p>
    <w:p w14:paraId="25C1E631" w14:textId="77777777" w:rsidR="00D033DC" w:rsidRDefault="0045343F" w:rsidP="007C1F3D">
      <w:pPr>
        <w:rPr>
          <w:lang w:val="en-US"/>
        </w:rPr>
      </w:pPr>
      <w:r>
        <w:rPr>
          <w:lang w:val="en-US"/>
        </w:rPr>
        <w:t xml:space="preserve">The current ratio of the company was .91:1 for 2022. And this ratio was .77:1 for 2021. </w:t>
      </w:r>
      <w:r w:rsidR="000655C9">
        <w:rPr>
          <w:lang w:val="en-US"/>
        </w:rPr>
        <w:t>That means that the company has £.92 for paying curre</w:t>
      </w:r>
      <w:r w:rsidR="00310861">
        <w:rPr>
          <w:lang w:val="en-US"/>
        </w:rPr>
        <w:t>nt liabilities</w:t>
      </w:r>
      <w:r w:rsidR="000655C9">
        <w:rPr>
          <w:lang w:val="en-US"/>
        </w:rPr>
        <w:t xml:space="preserve"> of £1 in 2022. But in 2021 i</w:t>
      </w:r>
      <w:r w:rsidR="00310861">
        <w:rPr>
          <w:lang w:val="en-US"/>
        </w:rPr>
        <w:t>t</w:t>
      </w:r>
      <w:r w:rsidR="000655C9">
        <w:rPr>
          <w:lang w:val="en-US"/>
        </w:rPr>
        <w:t xml:space="preserve"> had current assets of £.77 for paying current liabilities of £1. </w:t>
      </w:r>
      <w:r w:rsidR="000F3C02">
        <w:rPr>
          <w:lang w:val="en-US"/>
        </w:rPr>
        <w:t xml:space="preserve">The financial position of the company has improved than before. </w:t>
      </w:r>
    </w:p>
    <w:p w14:paraId="1AA8AF4F" w14:textId="77777777" w:rsidR="00C67CDD" w:rsidRDefault="00C67CDD" w:rsidP="007C1F3D">
      <w:pPr>
        <w:rPr>
          <w:lang w:val="en-US"/>
        </w:rPr>
      </w:pPr>
      <w:r>
        <w:rPr>
          <w:lang w:val="en-US"/>
        </w:rPr>
        <w:t>Gearing Ratio</w:t>
      </w:r>
    </w:p>
    <w:tbl>
      <w:tblPr>
        <w:tblW w:w="6020" w:type="dxa"/>
        <w:tblInd w:w="108" w:type="dxa"/>
        <w:tblLook w:val="04A0" w:firstRow="1" w:lastRow="0" w:firstColumn="1" w:lastColumn="0" w:noHBand="0" w:noVBand="1"/>
      </w:tblPr>
      <w:tblGrid>
        <w:gridCol w:w="3180"/>
        <w:gridCol w:w="1480"/>
        <w:gridCol w:w="1476"/>
      </w:tblGrid>
      <w:tr w:rsidR="00C67CDD" w:rsidRPr="00C67CDD" w14:paraId="4ABC5926" w14:textId="77777777" w:rsidTr="00C67CDD">
        <w:trPr>
          <w:trHeight w:val="264"/>
        </w:trPr>
        <w:tc>
          <w:tcPr>
            <w:tcW w:w="3180" w:type="dxa"/>
            <w:tcBorders>
              <w:top w:val="nil"/>
              <w:left w:val="nil"/>
              <w:bottom w:val="nil"/>
              <w:right w:val="nil"/>
            </w:tcBorders>
            <w:shd w:val="clear" w:color="auto" w:fill="auto"/>
            <w:noWrap/>
            <w:vAlign w:val="bottom"/>
            <w:hideMark/>
          </w:tcPr>
          <w:p w14:paraId="545A2471" w14:textId="77777777" w:rsidR="00C67CDD" w:rsidRPr="00C67CDD" w:rsidRDefault="00C67CDD" w:rsidP="007C1F3D">
            <w:pPr>
              <w:spacing w:after="0"/>
              <w:jc w:val="left"/>
              <w:rPr>
                <w:rFonts w:eastAsia="Times New Roman"/>
                <w:szCs w:val="24"/>
                <w:lang w:val="en-US"/>
              </w:rPr>
            </w:pPr>
            <w:r w:rsidRPr="00C67CDD">
              <w:rPr>
                <w:rFonts w:eastAsia="Times New Roman"/>
                <w:szCs w:val="24"/>
                <w:lang w:val="en-US"/>
              </w:rPr>
              <w:t>Details</w:t>
            </w:r>
          </w:p>
        </w:tc>
        <w:tc>
          <w:tcPr>
            <w:tcW w:w="1480" w:type="dxa"/>
            <w:tcBorders>
              <w:top w:val="nil"/>
              <w:left w:val="nil"/>
              <w:bottom w:val="nil"/>
              <w:right w:val="nil"/>
            </w:tcBorders>
            <w:shd w:val="clear" w:color="auto" w:fill="auto"/>
            <w:noWrap/>
            <w:vAlign w:val="bottom"/>
            <w:hideMark/>
          </w:tcPr>
          <w:p w14:paraId="2134EC7A"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2022</w:t>
            </w:r>
          </w:p>
        </w:tc>
        <w:tc>
          <w:tcPr>
            <w:tcW w:w="1360" w:type="dxa"/>
            <w:tcBorders>
              <w:top w:val="nil"/>
              <w:left w:val="nil"/>
              <w:bottom w:val="nil"/>
              <w:right w:val="nil"/>
            </w:tcBorders>
            <w:shd w:val="clear" w:color="auto" w:fill="auto"/>
            <w:noWrap/>
            <w:vAlign w:val="bottom"/>
            <w:hideMark/>
          </w:tcPr>
          <w:p w14:paraId="0660CD9B"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2021</w:t>
            </w:r>
          </w:p>
        </w:tc>
      </w:tr>
      <w:tr w:rsidR="00C67CDD" w:rsidRPr="00C67CDD" w14:paraId="50C5FAA3" w14:textId="77777777" w:rsidTr="00C67CDD">
        <w:trPr>
          <w:trHeight w:val="264"/>
        </w:trPr>
        <w:tc>
          <w:tcPr>
            <w:tcW w:w="3180" w:type="dxa"/>
            <w:tcBorders>
              <w:top w:val="nil"/>
              <w:left w:val="nil"/>
              <w:bottom w:val="nil"/>
              <w:right w:val="nil"/>
            </w:tcBorders>
            <w:shd w:val="clear" w:color="auto" w:fill="auto"/>
            <w:noWrap/>
            <w:vAlign w:val="bottom"/>
            <w:hideMark/>
          </w:tcPr>
          <w:p w14:paraId="36B4D63B" w14:textId="77777777" w:rsidR="00C67CDD" w:rsidRPr="00C67CDD" w:rsidRDefault="00C67CDD" w:rsidP="007C1F3D">
            <w:pPr>
              <w:spacing w:after="0"/>
              <w:jc w:val="left"/>
              <w:rPr>
                <w:rFonts w:eastAsia="Times New Roman"/>
                <w:szCs w:val="24"/>
                <w:lang w:val="en-US"/>
              </w:rPr>
            </w:pPr>
            <w:r w:rsidRPr="00C67CDD">
              <w:rPr>
                <w:rFonts w:eastAsia="Times New Roman"/>
                <w:szCs w:val="24"/>
                <w:lang w:val="en-US"/>
              </w:rPr>
              <w:t>Total debt</w:t>
            </w:r>
          </w:p>
        </w:tc>
        <w:tc>
          <w:tcPr>
            <w:tcW w:w="1480" w:type="dxa"/>
            <w:tcBorders>
              <w:top w:val="nil"/>
              <w:left w:val="nil"/>
              <w:bottom w:val="nil"/>
              <w:right w:val="nil"/>
            </w:tcBorders>
            <w:shd w:val="clear" w:color="auto" w:fill="auto"/>
            <w:noWrap/>
            <w:vAlign w:val="bottom"/>
            <w:hideMark/>
          </w:tcPr>
          <w:p w14:paraId="528B5D97"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6648</w:t>
            </w:r>
          </w:p>
        </w:tc>
        <w:tc>
          <w:tcPr>
            <w:tcW w:w="1360" w:type="dxa"/>
            <w:tcBorders>
              <w:top w:val="nil"/>
              <w:left w:val="nil"/>
              <w:bottom w:val="nil"/>
              <w:right w:val="nil"/>
            </w:tcBorders>
            <w:shd w:val="clear" w:color="auto" w:fill="auto"/>
            <w:noWrap/>
            <w:vAlign w:val="bottom"/>
            <w:hideMark/>
          </w:tcPr>
          <w:p w14:paraId="4792409F"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7175</w:t>
            </w:r>
          </w:p>
        </w:tc>
      </w:tr>
      <w:tr w:rsidR="00C67CDD" w:rsidRPr="00C67CDD" w14:paraId="2616A1A2" w14:textId="77777777" w:rsidTr="00C67CDD">
        <w:trPr>
          <w:trHeight w:val="264"/>
        </w:trPr>
        <w:tc>
          <w:tcPr>
            <w:tcW w:w="3180" w:type="dxa"/>
            <w:tcBorders>
              <w:top w:val="nil"/>
              <w:left w:val="nil"/>
              <w:bottom w:val="nil"/>
              <w:right w:val="nil"/>
            </w:tcBorders>
            <w:shd w:val="clear" w:color="auto" w:fill="auto"/>
            <w:noWrap/>
            <w:vAlign w:val="bottom"/>
            <w:hideMark/>
          </w:tcPr>
          <w:p w14:paraId="562D281D" w14:textId="77777777" w:rsidR="00C67CDD" w:rsidRPr="00C67CDD" w:rsidRDefault="00C67CDD" w:rsidP="007C1F3D">
            <w:pPr>
              <w:spacing w:after="0"/>
              <w:jc w:val="left"/>
              <w:rPr>
                <w:rFonts w:eastAsia="Times New Roman"/>
                <w:szCs w:val="24"/>
                <w:lang w:val="en-US"/>
              </w:rPr>
            </w:pPr>
            <w:r w:rsidRPr="00C67CDD">
              <w:rPr>
                <w:rFonts w:eastAsia="Times New Roman"/>
                <w:szCs w:val="24"/>
                <w:lang w:val="en-US"/>
              </w:rPr>
              <w:t>Total  equity</w:t>
            </w:r>
          </w:p>
        </w:tc>
        <w:tc>
          <w:tcPr>
            <w:tcW w:w="1480" w:type="dxa"/>
            <w:tcBorders>
              <w:top w:val="nil"/>
              <w:left w:val="nil"/>
              <w:bottom w:val="nil"/>
              <w:right w:val="nil"/>
            </w:tcBorders>
            <w:shd w:val="clear" w:color="auto" w:fill="auto"/>
            <w:noWrap/>
            <w:vAlign w:val="bottom"/>
            <w:hideMark/>
          </w:tcPr>
          <w:p w14:paraId="1D68C5C4"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3088</w:t>
            </w:r>
          </w:p>
        </w:tc>
        <w:tc>
          <w:tcPr>
            <w:tcW w:w="1360" w:type="dxa"/>
            <w:tcBorders>
              <w:top w:val="nil"/>
              <w:left w:val="nil"/>
              <w:bottom w:val="nil"/>
              <w:right w:val="nil"/>
            </w:tcBorders>
            <w:shd w:val="clear" w:color="auto" w:fill="auto"/>
            <w:noWrap/>
            <w:vAlign w:val="bottom"/>
            <w:hideMark/>
          </w:tcPr>
          <w:p w14:paraId="5777B2E3"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2912</w:t>
            </w:r>
          </w:p>
        </w:tc>
      </w:tr>
      <w:tr w:rsidR="00C67CDD" w:rsidRPr="00C67CDD" w14:paraId="0AAD531A" w14:textId="77777777" w:rsidTr="00C67CDD">
        <w:trPr>
          <w:trHeight w:val="264"/>
        </w:trPr>
        <w:tc>
          <w:tcPr>
            <w:tcW w:w="3180" w:type="dxa"/>
            <w:tcBorders>
              <w:top w:val="nil"/>
              <w:left w:val="nil"/>
              <w:bottom w:val="nil"/>
              <w:right w:val="nil"/>
            </w:tcBorders>
            <w:shd w:val="clear" w:color="auto" w:fill="auto"/>
            <w:noWrap/>
            <w:vAlign w:val="bottom"/>
            <w:hideMark/>
          </w:tcPr>
          <w:p w14:paraId="4D437E4C" w14:textId="77777777" w:rsidR="00C67CDD" w:rsidRPr="00C67CDD" w:rsidRDefault="00C67CDD" w:rsidP="007C1F3D">
            <w:pPr>
              <w:spacing w:after="0"/>
              <w:jc w:val="left"/>
              <w:rPr>
                <w:rFonts w:eastAsia="Times New Roman"/>
                <w:szCs w:val="24"/>
                <w:lang w:val="en-US"/>
              </w:rPr>
            </w:pPr>
            <w:r w:rsidRPr="00C67CDD">
              <w:rPr>
                <w:rFonts w:eastAsia="Times New Roman"/>
                <w:szCs w:val="24"/>
                <w:lang w:val="en-US"/>
              </w:rPr>
              <w:t>Gearing Ratio</w:t>
            </w:r>
          </w:p>
        </w:tc>
        <w:tc>
          <w:tcPr>
            <w:tcW w:w="1480" w:type="dxa"/>
            <w:tcBorders>
              <w:top w:val="nil"/>
              <w:left w:val="nil"/>
              <w:bottom w:val="nil"/>
              <w:right w:val="nil"/>
            </w:tcBorders>
            <w:shd w:val="clear" w:color="auto" w:fill="auto"/>
            <w:noWrap/>
            <w:vAlign w:val="bottom"/>
            <w:hideMark/>
          </w:tcPr>
          <w:p w14:paraId="3150F729"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215.2849741</w:t>
            </w:r>
          </w:p>
        </w:tc>
        <w:tc>
          <w:tcPr>
            <w:tcW w:w="1360" w:type="dxa"/>
            <w:tcBorders>
              <w:top w:val="nil"/>
              <w:left w:val="nil"/>
              <w:bottom w:val="nil"/>
              <w:right w:val="nil"/>
            </w:tcBorders>
            <w:shd w:val="clear" w:color="auto" w:fill="auto"/>
            <w:noWrap/>
            <w:vAlign w:val="bottom"/>
            <w:hideMark/>
          </w:tcPr>
          <w:p w14:paraId="0A26B9AA"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246.3942308</w:t>
            </w:r>
          </w:p>
        </w:tc>
      </w:tr>
    </w:tbl>
    <w:p w14:paraId="3659C398" w14:textId="77777777" w:rsidR="00C67CDD" w:rsidRDefault="00C67CDD" w:rsidP="007C1F3D">
      <w:pPr>
        <w:tabs>
          <w:tab w:val="left" w:pos="3072"/>
        </w:tabs>
        <w:rPr>
          <w:lang w:val="en-US"/>
        </w:rPr>
      </w:pPr>
      <w:r>
        <w:rPr>
          <w:lang w:val="en-US"/>
        </w:rPr>
        <w:t>Gearing Ratio=Total debt *100/total equity</w:t>
      </w:r>
    </w:p>
    <w:p w14:paraId="2CB16C12" w14:textId="77777777" w:rsidR="005F39F2" w:rsidRDefault="00C67CDD" w:rsidP="007C1F3D">
      <w:pPr>
        <w:tabs>
          <w:tab w:val="left" w:pos="3072"/>
        </w:tabs>
        <w:rPr>
          <w:lang w:val="en-US"/>
        </w:rPr>
      </w:pPr>
      <w:r>
        <w:rPr>
          <w:lang w:val="en-US"/>
        </w:rPr>
        <w:t>Total debt includes both current and non-current liabilities. The total debt of the company was £6648</w:t>
      </w:r>
      <w:r w:rsidR="00642464">
        <w:rPr>
          <w:lang w:val="en-US"/>
        </w:rPr>
        <w:t>m</w:t>
      </w:r>
      <w:r>
        <w:rPr>
          <w:lang w:val="en-US"/>
        </w:rPr>
        <w:t xml:space="preserve"> for 2022 and £7175</w:t>
      </w:r>
      <w:r w:rsidR="00642464">
        <w:rPr>
          <w:lang w:val="en-US"/>
        </w:rPr>
        <w:t>m</w:t>
      </w:r>
      <w:r>
        <w:rPr>
          <w:lang w:val="en-US"/>
        </w:rPr>
        <w:t xml:space="preserve"> for 2021. The amoun</w:t>
      </w:r>
      <w:r w:rsidR="00310861">
        <w:rPr>
          <w:lang w:val="en-US"/>
        </w:rPr>
        <w:t>t</w:t>
      </w:r>
      <w:r>
        <w:rPr>
          <w:lang w:val="en-US"/>
        </w:rPr>
        <w:t xml:space="preserve"> of debt of the company has been reduced in 2022 than that of 2021. </w:t>
      </w:r>
      <w:r w:rsidR="002E4A6A">
        <w:rPr>
          <w:lang w:val="en-US"/>
        </w:rPr>
        <w:t>The total equity of the company was £3088</w:t>
      </w:r>
      <w:r w:rsidR="00642464">
        <w:rPr>
          <w:lang w:val="en-US"/>
        </w:rPr>
        <w:t>m</w:t>
      </w:r>
      <w:r w:rsidR="002E4A6A">
        <w:rPr>
          <w:lang w:val="en-US"/>
        </w:rPr>
        <w:t xml:space="preserve"> for 2022 and £2912</w:t>
      </w:r>
      <w:r w:rsidR="00642464">
        <w:rPr>
          <w:lang w:val="en-US"/>
        </w:rPr>
        <w:t>m</w:t>
      </w:r>
      <w:r w:rsidR="002E4A6A">
        <w:rPr>
          <w:lang w:val="en-US"/>
        </w:rPr>
        <w:t xml:space="preserve"> for 2021. The gearing ratio of the company was 215% for 2022 and 246% for 2021</w:t>
      </w:r>
      <w:r w:rsidR="00D62DC8">
        <w:rPr>
          <w:lang w:val="en-US"/>
        </w:rPr>
        <w:t xml:space="preserve"> (Siyanbola et al, 2015)</w:t>
      </w:r>
      <w:r w:rsidR="002E4A6A">
        <w:rPr>
          <w:lang w:val="en-US"/>
        </w:rPr>
        <w:t xml:space="preserve">. </w:t>
      </w:r>
    </w:p>
    <w:p w14:paraId="2D8BBDD1" w14:textId="77777777" w:rsidR="002E4A6A" w:rsidRDefault="002E4A6A" w:rsidP="007C1F3D">
      <w:pPr>
        <w:tabs>
          <w:tab w:val="left" w:pos="3072"/>
        </w:tabs>
        <w:rPr>
          <w:lang w:val="en-US"/>
        </w:rPr>
      </w:pPr>
      <w:r>
        <w:rPr>
          <w:lang w:val="en-US"/>
        </w:rPr>
        <w:t>Interest C</w:t>
      </w:r>
      <w:r w:rsidR="00310861">
        <w:rPr>
          <w:lang w:val="en-US"/>
        </w:rPr>
        <w:t>o</w:t>
      </w:r>
      <w:r>
        <w:rPr>
          <w:lang w:val="en-US"/>
        </w:rPr>
        <w:t>verage Ratio</w:t>
      </w:r>
    </w:p>
    <w:tbl>
      <w:tblPr>
        <w:tblW w:w="6020" w:type="dxa"/>
        <w:tblInd w:w="108" w:type="dxa"/>
        <w:tblLook w:val="04A0" w:firstRow="1" w:lastRow="0" w:firstColumn="1" w:lastColumn="0" w:noHBand="0" w:noVBand="1"/>
      </w:tblPr>
      <w:tblGrid>
        <w:gridCol w:w="3180"/>
        <w:gridCol w:w="1480"/>
        <w:gridCol w:w="1476"/>
      </w:tblGrid>
      <w:tr w:rsidR="002E4A6A" w:rsidRPr="002E4A6A" w14:paraId="3B1B4DF0" w14:textId="77777777" w:rsidTr="002E4A6A">
        <w:trPr>
          <w:trHeight w:val="264"/>
        </w:trPr>
        <w:tc>
          <w:tcPr>
            <w:tcW w:w="3180" w:type="dxa"/>
            <w:tcBorders>
              <w:top w:val="nil"/>
              <w:left w:val="nil"/>
              <w:bottom w:val="nil"/>
              <w:right w:val="nil"/>
            </w:tcBorders>
            <w:shd w:val="clear" w:color="auto" w:fill="auto"/>
            <w:noWrap/>
            <w:vAlign w:val="bottom"/>
            <w:hideMark/>
          </w:tcPr>
          <w:p w14:paraId="64FDB525" w14:textId="77777777" w:rsidR="002E4A6A" w:rsidRPr="002E4A6A" w:rsidRDefault="002E4A6A" w:rsidP="007C1F3D">
            <w:pPr>
              <w:spacing w:after="0"/>
              <w:jc w:val="left"/>
              <w:rPr>
                <w:rFonts w:eastAsia="Times New Roman"/>
                <w:szCs w:val="24"/>
                <w:lang w:val="en-US"/>
              </w:rPr>
            </w:pPr>
            <w:r w:rsidRPr="002E4A6A">
              <w:rPr>
                <w:rFonts w:eastAsia="Times New Roman"/>
                <w:szCs w:val="24"/>
                <w:lang w:val="en-US"/>
              </w:rPr>
              <w:t>Details</w:t>
            </w:r>
          </w:p>
        </w:tc>
        <w:tc>
          <w:tcPr>
            <w:tcW w:w="1480" w:type="dxa"/>
            <w:tcBorders>
              <w:top w:val="nil"/>
              <w:left w:val="nil"/>
              <w:bottom w:val="nil"/>
              <w:right w:val="nil"/>
            </w:tcBorders>
            <w:shd w:val="clear" w:color="auto" w:fill="auto"/>
            <w:noWrap/>
            <w:vAlign w:val="bottom"/>
            <w:hideMark/>
          </w:tcPr>
          <w:p w14:paraId="741B2B73"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2022</w:t>
            </w:r>
          </w:p>
        </w:tc>
        <w:tc>
          <w:tcPr>
            <w:tcW w:w="1360" w:type="dxa"/>
            <w:tcBorders>
              <w:top w:val="nil"/>
              <w:left w:val="nil"/>
              <w:bottom w:val="nil"/>
              <w:right w:val="nil"/>
            </w:tcBorders>
            <w:shd w:val="clear" w:color="auto" w:fill="auto"/>
            <w:noWrap/>
            <w:vAlign w:val="bottom"/>
            <w:hideMark/>
          </w:tcPr>
          <w:p w14:paraId="515EC0E7"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2021</w:t>
            </w:r>
          </w:p>
        </w:tc>
      </w:tr>
      <w:tr w:rsidR="002E4A6A" w:rsidRPr="002E4A6A" w14:paraId="0834E74F" w14:textId="77777777" w:rsidTr="002E4A6A">
        <w:trPr>
          <w:trHeight w:val="264"/>
        </w:trPr>
        <w:tc>
          <w:tcPr>
            <w:tcW w:w="3180" w:type="dxa"/>
            <w:tcBorders>
              <w:top w:val="nil"/>
              <w:left w:val="nil"/>
              <w:bottom w:val="nil"/>
              <w:right w:val="nil"/>
            </w:tcBorders>
            <w:shd w:val="clear" w:color="auto" w:fill="auto"/>
            <w:noWrap/>
            <w:vAlign w:val="bottom"/>
            <w:hideMark/>
          </w:tcPr>
          <w:p w14:paraId="2189B8DF" w14:textId="77777777" w:rsidR="002E4A6A" w:rsidRPr="002E4A6A" w:rsidRDefault="002E4A6A" w:rsidP="007C1F3D">
            <w:pPr>
              <w:spacing w:after="0"/>
              <w:jc w:val="left"/>
              <w:rPr>
                <w:rFonts w:eastAsia="Times New Roman"/>
                <w:szCs w:val="24"/>
                <w:lang w:val="en-US"/>
              </w:rPr>
            </w:pPr>
            <w:r w:rsidRPr="002E4A6A">
              <w:rPr>
                <w:rFonts w:eastAsia="Times New Roman"/>
                <w:szCs w:val="24"/>
                <w:lang w:val="en-US"/>
              </w:rPr>
              <w:t>EBIT</w:t>
            </w:r>
          </w:p>
        </w:tc>
        <w:tc>
          <w:tcPr>
            <w:tcW w:w="1480" w:type="dxa"/>
            <w:tcBorders>
              <w:top w:val="nil"/>
              <w:left w:val="nil"/>
              <w:bottom w:val="nil"/>
              <w:right w:val="nil"/>
            </w:tcBorders>
            <w:shd w:val="clear" w:color="auto" w:fill="auto"/>
            <w:noWrap/>
            <w:vAlign w:val="bottom"/>
            <w:hideMark/>
          </w:tcPr>
          <w:p w14:paraId="3B85FDD5"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394</w:t>
            </w:r>
          </w:p>
        </w:tc>
        <w:tc>
          <w:tcPr>
            <w:tcW w:w="1360" w:type="dxa"/>
            <w:tcBorders>
              <w:top w:val="nil"/>
              <w:left w:val="nil"/>
              <w:bottom w:val="nil"/>
              <w:right w:val="nil"/>
            </w:tcBorders>
            <w:shd w:val="clear" w:color="auto" w:fill="auto"/>
            <w:noWrap/>
            <w:vAlign w:val="bottom"/>
            <w:hideMark/>
          </w:tcPr>
          <w:p w14:paraId="1E679E69"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358</w:t>
            </w:r>
          </w:p>
        </w:tc>
      </w:tr>
      <w:tr w:rsidR="002E4A6A" w:rsidRPr="002E4A6A" w14:paraId="1D13198A" w14:textId="77777777" w:rsidTr="002E4A6A">
        <w:trPr>
          <w:trHeight w:val="264"/>
        </w:trPr>
        <w:tc>
          <w:tcPr>
            <w:tcW w:w="3180" w:type="dxa"/>
            <w:tcBorders>
              <w:top w:val="nil"/>
              <w:left w:val="nil"/>
              <w:bottom w:val="nil"/>
              <w:right w:val="nil"/>
            </w:tcBorders>
            <w:shd w:val="clear" w:color="auto" w:fill="auto"/>
            <w:noWrap/>
            <w:vAlign w:val="bottom"/>
            <w:hideMark/>
          </w:tcPr>
          <w:p w14:paraId="709A67E9" w14:textId="77777777" w:rsidR="002E4A6A" w:rsidRPr="002E4A6A" w:rsidRDefault="002E4A6A" w:rsidP="007C1F3D">
            <w:pPr>
              <w:spacing w:after="0"/>
              <w:jc w:val="left"/>
              <w:rPr>
                <w:rFonts w:eastAsia="Times New Roman"/>
                <w:szCs w:val="24"/>
                <w:lang w:val="en-US"/>
              </w:rPr>
            </w:pPr>
            <w:r w:rsidRPr="002E4A6A">
              <w:rPr>
                <w:rFonts w:eastAsia="Times New Roman"/>
                <w:szCs w:val="24"/>
                <w:lang w:val="en-US"/>
              </w:rPr>
              <w:t>Interest Expense</w:t>
            </w:r>
          </w:p>
        </w:tc>
        <w:tc>
          <w:tcPr>
            <w:tcW w:w="1480" w:type="dxa"/>
            <w:tcBorders>
              <w:top w:val="nil"/>
              <w:left w:val="nil"/>
              <w:bottom w:val="nil"/>
              <w:right w:val="nil"/>
            </w:tcBorders>
            <w:shd w:val="clear" w:color="auto" w:fill="auto"/>
            <w:noWrap/>
            <w:vAlign w:val="bottom"/>
            <w:hideMark/>
          </w:tcPr>
          <w:p w14:paraId="6E9147E8"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226</w:t>
            </w:r>
          </w:p>
        </w:tc>
        <w:tc>
          <w:tcPr>
            <w:tcW w:w="1360" w:type="dxa"/>
            <w:tcBorders>
              <w:top w:val="nil"/>
              <w:left w:val="nil"/>
              <w:bottom w:val="nil"/>
              <w:right w:val="nil"/>
            </w:tcBorders>
            <w:shd w:val="clear" w:color="auto" w:fill="auto"/>
            <w:noWrap/>
            <w:vAlign w:val="bottom"/>
            <w:hideMark/>
          </w:tcPr>
          <w:p w14:paraId="56808FA2"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181</w:t>
            </w:r>
          </w:p>
        </w:tc>
      </w:tr>
      <w:tr w:rsidR="002E4A6A" w:rsidRPr="002E4A6A" w14:paraId="75754385" w14:textId="77777777" w:rsidTr="002E4A6A">
        <w:trPr>
          <w:trHeight w:val="264"/>
        </w:trPr>
        <w:tc>
          <w:tcPr>
            <w:tcW w:w="3180" w:type="dxa"/>
            <w:tcBorders>
              <w:top w:val="nil"/>
              <w:left w:val="nil"/>
              <w:bottom w:val="nil"/>
              <w:right w:val="nil"/>
            </w:tcBorders>
            <w:shd w:val="clear" w:color="auto" w:fill="auto"/>
            <w:noWrap/>
            <w:vAlign w:val="bottom"/>
            <w:hideMark/>
          </w:tcPr>
          <w:p w14:paraId="00C774E4" w14:textId="77777777" w:rsidR="002E4A6A" w:rsidRPr="002E4A6A" w:rsidRDefault="002E4A6A" w:rsidP="007C1F3D">
            <w:pPr>
              <w:spacing w:after="0"/>
              <w:jc w:val="left"/>
              <w:rPr>
                <w:rFonts w:eastAsia="Times New Roman"/>
                <w:szCs w:val="24"/>
                <w:lang w:val="en-US"/>
              </w:rPr>
            </w:pPr>
            <w:r w:rsidRPr="002E4A6A">
              <w:rPr>
                <w:rFonts w:eastAsia="Times New Roman"/>
                <w:szCs w:val="24"/>
                <w:lang w:val="en-US"/>
              </w:rPr>
              <w:t>Interest Cover Ratio</w:t>
            </w:r>
          </w:p>
        </w:tc>
        <w:tc>
          <w:tcPr>
            <w:tcW w:w="1480" w:type="dxa"/>
            <w:tcBorders>
              <w:top w:val="nil"/>
              <w:left w:val="nil"/>
              <w:bottom w:val="nil"/>
              <w:right w:val="nil"/>
            </w:tcBorders>
            <w:shd w:val="clear" w:color="auto" w:fill="auto"/>
            <w:noWrap/>
            <w:vAlign w:val="bottom"/>
            <w:hideMark/>
          </w:tcPr>
          <w:p w14:paraId="7EDBF351"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1.743362832</w:t>
            </w:r>
          </w:p>
        </w:tc>
        <w:tc>
          <w:tcPr>
            <w:tcW w:w="1360" w:type="dxa"/>
            <w:tcBorders>
              <w:top w:val="nil"/>
              <w:left w:val="nil"/>
              <w:bottom w:val="nil"/>
              <w:right w:val="nil"/>
            </w:tcBorders>
            <w:shd w:val="clear" w:color="auto" w:fill="auto"/>
            <w:noWrap/>
            <w:vAlign w:val="bottom"/>
            <w:hideMark/>
          </w:tcPr>
          <w:p w14:paraId="571255DF"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1.977900552</w:t>
            </w:r>
          </w:p>
        </w:tc>
      </w:tr>
    </w:tbl>
    <w:p w14:paraId="2EAC3AA8" w14:textId="77777777" w:rsidR="002E4A6A" w:rsidRDefault="00ED3CD4" w:rsidP="007C1F3D">
      <w:pPr>
        <w:tabs>
          <w:tab w:val="left" w:pos="3072"/>
        </w:tabs>
        <w:rPr>
          <w:lang w:val="en-US"/>
        </w:rPr>
      </w:pPr>
      <w:r>
        <w:rPr>
          <w:lang w:val="en-US"/>
        </w:rPr>
        <w:t>Interest coverage ratio=EBIT/interest expense</w:t>
      </w:r>
    </w:p>
    <w:p w14:paraId="205303E5" w14:textId="77777777" w:rsidR="00ED3CD4" w:rsidRDefault="00ED3CD4" w:rsidP="007C1F3D">
      <w:pPr>
        <w:tabs>
          <w:tab w:val="left" w:pos="3072"/>
        </w:tabs>
        <w:rPr>
          <w:lang w:val="en-US"/>
        </w:rPr>
      </w:pPr>
      <w:r>
        <w:rPr>
          <w:lang w:val="en-US"/>
        </w:rPr>
        <w:t>The EBIT of Sweets plc was £394</w:t>
      </w:r>
      <w:r w:rsidR="00642464">
        <w:rPr>
          <w:lang w:val="en-US"/>
        </w:rPr>
        <w:t>m</w:t>
      </w:r>
      <w:r>
        <w:rPr>
          <w:lang w:val="en-US"/>
        </w:rPr>
        <w:t xml:space="preserve"> for 2022 and £358</w:t>
      </w:r>
      <w:r w:rsidR="00642464">
        <w:rPr>
          <w:lang w:val="en-US"/>
        </w:rPr>
        <w:t>m</w:t>
      </w:r>
      <w:r>
        <w:rPr>
          <w:lang w:val="en-US"/>
        </w:rPr>
        <w:t xml:space="preserve"> for 2021 while the interes</w:t>
      </w:r>
      <w:r w:rsidR="005B6185">
        <w:rPr>
          <w:lang w:val="en-US"/>
        </w:rPr>
        <w:t>t</w:t>
      </w:r>
      <w:r>
        <w:rPr>
          <w:lang w:val="en-US"/>
        </w:rPr>
        <w:t xml:space="preserve"> expense of the company was £226</w:t>
      </w:r>
      <w:r w:rsidR="00642464">
        <w:rPr>
          <w:lang w:val="en-US"/>
        </w:rPr>
        <w:t>m</w:t>
      </w:r>
      <w:r>
        <w:rPr>
          <w:lang w:val="en-US"/>
        </w:rPr>
        <w:t xml:space="preserve"> and £181</w:t>
      </w:r>
      <w:r w:rsidR="00642464">
        <w:rPr>
          <w:lang w:val="en-US"/>
        </w:rPr>
        <w:t>m</w:t>
      </w:r>
      <w:r>
        <w:rPr>
          <w:lang w:val="en-US"/>
        </w:rPr>
        <w:t xml:space="preserve"> for 2022 and 2021 respectively.</w:t>
      </w:r>
      <w:r w:rsidR="00211E85">
        <w:rPr>
          <w:lang w:val="en-US"/>
        </w:rPr>
        <w:t xml:space="preserve"> The inter</w:t>
      </w:r>
      <w:r w:rsidR="005B6185">
        <w:rPr>
          <w:lang w:val="en-US"/>
        </w:rPr>
        <w:t>e</w:t>
      </w:r>
      <w:r w:rsidR="00211E85">
        <w:rPr>
          <w:lang w:val="en-US"/>
        </w:rPr>
        <w:t>st coverage ratio of the company was 1.74 for 2022 and 1.98 for 2021. The inter</w:t>
      </w:r>
      <w:r w:rsidR="005B6185">
        <w:rPr>
          <w:lang w:val="en-US"/>
        </w:rPr>
        <w:t>e</w:t>
      </w:r>
      <w:r w:rsidR="00211E85">
        <w:rPr>
          <w:lang w:val="en-US"/>
        </w:rPr>
        <w:t xml:space="preserve">st coverage ratio was better in 2021 than that of 2021. </w:t>
      </w:r>
      <w:r>
        <w:rPr>
          <w:lang w:val="en-US"/>
        </w:rPr>
        <w:t xml:space="preserve"> </w:t>
      </w:r>
    </w:p>
    <w:p w14:paraId="2BC918E5" w14:textId="77777777" w:rsidR="007B20DC" w:rsidRDefault="007B20DC" w:rsidP="007C1F3D">
      <w:pPr>
        <w:pStyle w:val="Titlu1"/>
        <w:rPr>
          <w:lang w:val="en-US"/>
        </w:rPr>
      </w:pPr>
      <w:bookmarkStart w:id="12" w:name="_Toc153445789"/>
      <w:bookmarkStart w:id="13" w:name="_Toc153474623"/>
      <w:bookmarkStart w:id="14" w:name="_Toc153474667"/>
      <w:r>
        <w:rPr>
          <w:lang w:val="en-US"/>
        </w:rPr>
        <w:t>Discussing the financial performance and position of Sweets plc</w:t>
      </w:r>
      <w:bookmarkEnd w:id="12"/>
      <w:bookmarkEnd w:id="13"/>
      <w:bookmarkEnd w:id="14"/>
    </w:p>
    <w:p w14:paraId="5CCCE594" w14:textId="77777777" w:rsidR="00D83CBE" w:rsidRDefault="007B20DC" w:rsidP="007C1F3D">
      <w:pPr>
        <w:rPr>
          <w:lang w:val="en-US"/>
        </w:rPr>
      </w:pPr>
      <w:r>
        <w:rPr>
          <w:lang w:val="en-US"/>
        </w:rPr>
        <w:t>From the given financial statements and calculated ratios using the financial information of Sweets plc</w:t>
      </w:r>
      <w:r w:rsidR="00CC49D0">
        <w:rPr>
          <w:lang w:val="en-US"/>
        </w:rPr>
        <w:t>,</w:t>
      </w:r>
      <w:r>
        <w:rPr>
          <w:lang w:val="en-US"/>
        </w:rPr>
        <w:t xml:space="preserve"> the financial performance and position can be discussed. </w:t>
      </w:r>
      <w:r w:rsidR="00926500">
        <w:rPr>
          <w:lang w:val="en-US"/>
        </w:rPr>
        <w:t>The revenue of the co</w:t>
      </w:r>
      <w:r w:rsidR="00CC49D0">
        <w:rPr>
          <w:lang w:val="en-US"/>
        </w:rPr>
        <w:t>m</w:t>
      </w:r>
      <w:r w:rsidR="00926500">
        <w:rPr>
          <w:lang w:val="en-US"/>
        </w:rPr>
        <w:t>pany was £6441</w:t>
      </w:r>
      <w:r w:rsidR="00642464">
        <w:rPr>
          <w:lang w:val="en-US"/>
        </w:rPr>
        <w:t>m</w:t>
      </w:r>
      <w:r w:rsidR="00926500">
        <w:rPr>
          <w:lang w:val="en-US"/>
        </w:rPr>
        <w:t xml:space="preserve"> in 2021. In the next year, it incr</w:t>
      </w:r>
      <w:r w:rsidR="00CC49D0">
        <w:rPr>
          <w:lang w:val="en-US"/>
        </w:rPr>
        <w:t>e</w:t>
      </w:r>
      <w:r w:rsidR="00926500">
        <w:rPr>
          <w:lang w:val="en-US"/>
        </w:rPr>
        <w:t>ases to £6738</w:t>
      </w:r>
      <w:r w:rsidR="00642464">
        <w:rPr>
          <w:lang w:val="en-US"/>
        </w:rPr>
        <w:t>m</w:t>
      </w:r>
      <w:r w:rsidR="00926500">
        <w:rPr>
          <w:lang w:val="en-US"/>
        </w:rPr>
        <w:t>. This indicates that the sales revenue of the company is enhancing. The operating o</w:t>
      </w:r>
      <w:r w:rsidR="00CC49D0">
        <w:rPr>
          <w:lang w:val="en-US"/>
        </w:rPr>
        <w:t>f</w:t>
      </w:r>
      <w:r w:rsidR="00926500">
        <w:rPr>
          <w:lang w:val="en-US"/>
        </w:rPr>
        <w:t xml:space="preserve"> the company also increased to £</w:t>
      </w:r>
      <w:r w:rsidR="00642464">
        <w:rPr>
          <w:lang w:val="en-US"/>
        </w:rPr>
        <w:t xml:space="preserve">805m </w:t>
      </w:r>
      <w:r w:rsidR="00926500">
        <w:rPr>
          <w:lang w:val="en-US"/>
        </w:rPr>
        <w:t>in 2022 from £699</w:t>
      </w:r>
      <w:r w:rsidR="00642464">
        <w:rPr>
          <w:lang w:val="en-US"/>
        </w:rPr>
        <w:t>m</w:t>
      </w:r>
      <w:r w:rsidR="00926500">
        <w:rPr>
          <w:lang w:val="en-US"/>
        </w:rPr>
        <w:t xml:space="preserve"> in 2021. </w:t>
      </w:r>
      <w:r w:rsidR="00EE6706">
        <w:rPr>
          <w:lang w:val="en-US"/>
        </w:rPr>
        <w:t xml:space="preserve">There is </w:t>
      </w:r>
      <w:r w:rsidR="00CC49D0">
        <w:rPr>
          <w:lang w:val="en-US"/>
        </w:rPr>
        <w:t xml:space="preserve">an </w:t>
      </w:r>
      <w:r w:rsidR="00EE6706">
        <w:rPr>
          <w:lang w:val="en-US"/>
        </w:rPr>
        <w:t>increase of more than</w:t>
      </w:r>
      <w:r w:rsidR="007410CD">
        <w:rPr>
          <w:lang w:val="en-US"/>
        </w:rPr>
        <w:t xml:space="preserve"> £100m in 2022 than 2021.</w:t>
      </w:r>
      <w:r w:rsidR="00833792">
        <w:rPr>
          <w:lang w:val="en-US"/>
        </w:rPr>
        <w:t xml:space="preserve"> </w:t>
      </w:r>
      <w:r w:rsidR="00CC49D0">
        <w:rPr>
          <w:lang w:val="en-US"/>
        </w:rPr>
        <w:t>However,</w:t>
      </w:r>
      <w:r w:rsidR="00833792">
        <w:rPr>
          <w:lang w:val="en-US"/>
        </w:rPr>
        <w:t xml:space="preserve"> the operation expe</w:t>
      </w:r>
      <w:r w:rsidR="00CC49D0">
        <w:rPr>
          <w:lang w:val="en-US"/>
        </w:rPr>
        <w:t>ns</w:t>
      </w:r>
      <w:r w:rsidR="00833792">
        <w:rPr>
          <w:lang w:val="en-US"/>
        </w:rPr>
        <w:t>es of the company ha</w:t>
      </w:r>
      <w:r w:rsidR="00CC49D0">
        <w:rPr>
          <w:lang w:val="en-US"/>
        </w:rPr>
        <w:t>ve</w:t>
      </w:r>
      <w:r w:rsidR="00833792">
        <w:rPr>
          <w:lang w:val="en-US"/>
        </w:rPr>
        <w:t xml:space="preserve"> increase</w:t>
      </w:r>
      <w:r w:rsidR="00CC49D0">
        <w:rPr>
          <w:lang w:val="en-US"/>
        </w:rPr>
        <w:t>d</w:t>
      </w:r>
      <w:r w:rsidR="00833792">
        <w:rPr>
          <w:lang w:val="en-US"/>
        </w:rPr>
        <w:t xml:space="preserve"> to </w:t>
      </w:r>
      <w:r w:rsidR="00CC49D0">
        <w:rPr>
          <w:lang w:val="en-US"/>
        </w:rPr>
        <w:t xml:space="preserve">a </w:t>
      </w:r>
      <w:r w:rsidR="00833792">
        <w:rPr>
          <w:lang w:val="en-US"/>
        </w:rPr>
        <w:t>great</w:t>
      </w:r>
      <w:r w:rsidR="00CC49D0">
        <w:rPr>
          <w:lang w:val="en-US"/>
        </w:rPr>
        <w:t>er</w:t>
      </w:r>
      <w:r w:rsidR="00833792">
        <w:rPr>
          <w:lang w:val="en-US"/>
        </w:rPr>
        <w:t xml:space="preserve"> extent in 2022 than </w:t>
      </w:r>
      <w:r w:rsidR="00CC49D0">
        <w:rPr>
          <w:lang w:val="en-US"/>
        </w:rPr>
        <w:t xml:space="preserve">in </w:t>
      </w:r>
      <w:r w:rsidR="00833792">
        <w:rPr>
          <w:lang w:val="en-US"/>
        </w:rPr>
        <w:t>2021. In 2022 the operation expenses w</w:t>
      </w:r>
      <w:r w:rsidR="00CC49D0">
        <w:rPr>
          <w:lang w:val="en-US"/>
        </w:rPr>
        <w:t>ere</w:t>
      </w:r>
      <w:r w:rsidR="00833792">
        <w:rPr>
          <w:lang w:val="en-US"/>
        </w:rPr>
        <w:t xml:space="preserve"> £226m while in 2021 it was £181m. The net profit of the company was £366m in 2021 which increased to £431 within just one year. </w:t>
      </w:r>
      <w:r w:rsidR="00FA505E">
        <w:rPr>
          <w:lang w:val="en-US"/>
        </w:rPr>
        <w:t xml:space="preserve">Analysing the income statement of the company it can be said that the financial performance of the company has been improved. </w:t>
      </w:r>
      <w:r w:rsidR="009F20DD">
        <w:rPr>
          <w:lang w:val="en-US"/>
        </w:rPr>
        <w:t xml:space="preserve">The total assets of Sweets plc are almost </w:t>
      </w:r>
      <w:r w:rsidR="00CC49D0">
        <w:rPr>
          <w:lang w:val="en-US"/>
        </w:rPr>
        <w:t xml:space="preserve">the </w:t>
      </w:r>
      <w:r w:rsidR="009F20DD">
        <w:rPr>
          <w:lang w:val="en-US"/>
        </w:rPr>
        <w:t xml:space="preserve">same in both 2022 and 2021. </w:t>
      </w:r>
      <w:r w:rsidR="00CC49D0">
        <w:rPr>
          <w:lang w:val="en-US"/>
        </w:rPr>
        <w:t>However,</w:t>
      </w:r>
      <w:r w:rsidR="009F20DD">
        <w:rPr>
          <w:lang w:val="en-US"/>
        </w:rPr>
        <w:t xml:space="preserve"> the current liabil</w:t>
      </w:r>
      <w:r w:rsidR="00CC49D0">
        <w:rPr>
          <w:lang w:val="en-US"/>
        </w:rPr>
        <w:t>iti</w:t>
      </w:r>
      <w:r w:rsidR="009F20DD">
        <w:rPr>
          <w:lang w:val="en-US"/>
        </w:rPr>
        <w:t>es of the company ha</w:t>
      </w:r>
      <w:r w:rsidR="00CC49D0">
        <w:rPr>
          <w:lang w:val="en-US"/>
        </w:rPr>
        <w:t>ve</w:t>
      </w:r>
      <w:r w:rsidR="009F20DD">
        <w:rPr>
          <w:lang w:val="en-US"/>
        </w:rPr>
        <w:t xml:space="preserve"> been </w:t>
      </w:r>
      <w:r w:rsidR="00CC49D0">
        <w:rPr>
          <w:lang w:val="en-US"/>
        </w:rPr>
        <w:t>r</w:t>
      </w:r>
      <w:r w:rsidR="009F20DD">
        <w:rPr>
          <w:lang w:val="en-US"/>
        </w:rPr>
        <w:t>educed to £2511m in 2022 from £3046m in 2021.</w:t>
      </w:r>
      <w:r w:rsidR="001C7E9F">
        <w:rPr>
          <w:lang w:val="en-US"/>
        </w:rPr>
        <w:t xml:space="preserve"> This means that the company</w:t>
      </w:r>
      <w:r w:rsidR="00CC49D0">
        <w:rPr>
          <w:lang w:val="en-US"/>
        </w:rPr>
        <w:t>'</w:t>
      </w:r>
      <w:r w:rsidR="001C7E9F">
        <w:rPr>
          <w:lang w:val="en-US"/>
        </w:rPr>
        <w:t>s liability for the short term has been reduced. The shareholders</w:t>
      </w:r>
      <w:r w:rsidR="00CC49D0">
        <w:rPr>
          <w:lang w:val="en-US"/>
        </w:rPr>
        <w:t>'</w:t>
      </w:r>
      <w:r w:rsidR="001C7E9F">
        <w:rPr>
          <w:lang w:val="en-US"/>
        </w:rPr>
        <w:t xml:space="preserve"> equity of the company has been increased in 2022 from that of 2021. </w:t>
      </w:r>
      <w:r w:rsidR="00E74F40">
        <w:rPr>
          <w:lang w:val="en-US"/>
        </w:rPr>
        <w:t xml:space="preserve">The ROCE of the company </w:t>
      </w:r>
      <w:r w:rsidR="005C19F0">
        <w:rPr>
          <w:lang w:val="en-US"/>
        </w:rPr>
        <w:t>has increase</w:t>
      </w:r>
      <w:r w:rsidR="00CC49D0">
        <w:rPr>
          <w:lang w:val="en-US"/>
        </w:rPr>
        <w:t>d</w:t>
      </w:r>
      <w:r w:rsidR="005C19F0">
        <w:rPr>
          <w:lang w:val="en-US"/>
        </w:rPr>
        <w:t xml:space="preserve"> to 8.58% from 7.65%. This indicates that the return of capital employed has been increased. The income on the capital inv</w:t>
      </w:r>
      <w:r w:rsidR="00CC49D0">
        <w:rPr>
          <w:lang w:val="en-US"/>
        </w:rPr>
        <w:t>e</w:t>
      </w:r>
      <w:r w:rsidR="005C19F0">
        <w:rPr>
          <w:lang w:val="en-US"/>
        </w:rPr>
        <w:t xml:space="preserve">sted by the shareholders has been increased. The financial performance of the company has been </w:t>
      </w:r>
      <w:r w:rsidR="00CC49D0">
        <w:rPr>
          <w:lang w:val="en-US"/>
        </w:rPr>
        <w:t>e</w:t>
      </w:r>
      <w:r w:rsidR="005C19F0">
        <w:rPr>
          <w:lang w:val="en-US"/>
        </w:rPr>
        <w:t xml:space="preserve">nhanced. </w:t>
      </w:r>
      <w:r w:rsidR="00E2480C">
        <w:rPr>
          <w:lang w:val="en-US"/>
        </w:rPr>
        <w:t>Like ROCE, the ROE of the com</w:t>
      </w:r>
      <w:r w:rsidR="00CC49D0">
        <w:rPr>
          <w:lang w:val="en-US"/>
        </w:rPr>
        <w:t>pan</w:t>
      </w:r>
      <w:r w:rsidR="00E2480C">
        <w:rPr>
          <w:lang w:val="en-US"/>
        </w:rPr>
        <w:t xml:space="preserve">y has increased indicating an improvement in the financial performance of the company. </w:t>
      </w:r>
      <w:r w:rsidR="00695220">
        <w:rPr>
          <w:lang w:val="en-US"/>
        </w:rPr>
        <w:t>The earnings per share of Sweets plc was £.61 in 2021 which increased to £.72 in 2022. The increase in ear</w:t>
      </w:r>
      <w:r w:rsidR="00CC49D0">
        <w:rPr>
          <w:lang w:val="en-US"/>
        </w:rPr>
        <w:t>n</w:t>
      </w:r>
      <w:r w:rsidR="00695220">
        <w:rPr>
          <w:lang w:val="en-US"/>
        </w:rPr>
        <w:t>ings per share ha</w:t>
      </w:r>
      <w:r w:rsidR="00CC49D0">
        <w:rPr>
          <w:lang w:val="en-US"/>
        </w:rPr>
        <w:t>s</w:t>
      </w:r>
      <w:r w:rsidR="00695220">
        <w:rPr>
          <w:lang w:val="en-US"/>
        </w:rPr>
        <w:t xml:space="preserve"> been increased by almost 20% just within one year </w:t>
      </w:r>
      <w:r w:rsidR="00CC49D0">
        <w:rPr>
          <w:lang w:val="en-US"/>
        </w:rPr>
        <w:t>which</w:t>
      </w:r>
      <w:r w:rsidR="00695220">
        <w:rPr>
          <w:lang w:val="en-US"/>
        </w:rPr>
        <w:t xml:space="preserve"> indicates a huge improvement in the financial performance of the company. The profit margin of the has also increased to 6.4% in 2022 from 5.68% </w:t>
      </w:r>
      <w:r w:rsidR="00CC49D0">
        <w:rPr>
          <w:lang w:val="en-US"/>
        </w:rPr>
        <w:t>in</w:t>
      </w:r>
      <w:r w:rsidR="00695220">
        <w:rPr>
          <w:lang w:val="en-US"/>
        </w:rPr>
        <w:t xml:space="preserve"> 2021. </w:t>
      </w:r>
      <w:r w:rsidR="00D35B80">
        <w:rPr>
          <w:lang w:val="en-US"/>
        </w:rPr>
        <w:t>The asset turnover ratio of the company has also increased in 2021 than that o</w:t>
      </w:r>
      <w:r w:rsidR="00CC49D0">
        <w:rPr>
          <w:lang w:val="en-US"/>
        </w:rPr>
        <w:t>f</w:t>
      </w:r>
      <w:r w:rsidR="00D35B80">
        <w:rPr>
          <w:lang w:val="en-US"/>
        </w:rPr>
        <w:t xml:space="preserve"> 2021. That means the compan</w:t>
      </w:r>
      <w:r w:rsidR="00CC49D0">
        <w:rPr>
          <w:lang w:val="en-US"/>
        </w:rPr>
        <w:t>y'</w:t>
      </w:r>
      <w:r w:rsidR="00D35B80">
        <w:rPr>
          <w:lang w:val="en-US"/>
        </w:rPr>
        <w:t>s financial po</w:t>
      </w:r>
      <w:r w:rsidR="00CC49D0">
        <w:rPr>
          <w:lang w:val="en-US"/>
        </w:rPr>
        <w:t>s</w:t>
      </w:r>
      <w:r w:rsidR="00D35B80">
        <w:rPr>
          <w:lang w:val="en-US"/>
        </w:rPr>
        <w:t xml:space="preserve">ition has been improving than </w:t>
      </w:r>
      <w:r w:rsidR="00CC49D0">
        <w:rPr>
          <w:lang w:val="en-US"/>
        </w:rPr>
        <w:t xml:space="preserve">the </w:t>
      </w:r>
      <w:r w:rsidR="00D35B80">
        <w:rPr>
          <w:lang w:val="en-US"/>
        </w:rPr>
        <w:t>previous year. The stock holding days of the company ha</w:t>
      </w:r>
      <w:r w:rsidR="00CC49D0">
        <w:rPr>
          <w:lang w:val="en-US"/>
        </w:rPr>
        <w:t>ve</w:t>
      </w:r>
      <w:r w:rsidR="00D35B80">
        <w:rPr>
          <w:lang w:val="en-US"/>
        </w:rPr>
        <w:t xml:space="preserve"> been reduced by 2 days which is a good sign for the company. </w:t>
      </w:r>
      <w:r w:rsidR="000E3F06">
        <w:rPr>
          <w:lang w:val="en-US"/>
        </w:rPr>
        <w:t xml:space="preserve">The debtor collection period has </w:t>
      </w:r>
      <w:r w:rsidR="00CC49D0">
        <w:rPr>
          <w:lang w:val="en-US"/>
        </w:rPr>
        <w:t xml:space="preserve">been </w:t>
      </w:r>
      <w:r w:rsidR="000E3F06">
        <w:rPr>
          <w:lang w:val="en-US"/>
        </w:rPr>
        <w:t xml:space="preserve">reduced to 69 days in 2022 from 73 days in 2021. </w:t>
      </w:r>
      <w:r w:rsidR="00D4309E">
        <w:rPr>
          <w:lang w:val="en-US"/>
        </w:rPr>
        <w:t>This reduction in the de</w:t>
      </w:r>
      <w:r w:rsidR="00CC49D0">
        <w:rPr>
          <w:lang w:val="en-US"/>
        </w:rPr>
        <w:t>b</w:t>
      </w:r>
      <w:r w:rsidR="00D4309E">
        <w:rPr>
          <w:lang w:val="en-US"/>
        </w:rPr>
        <w:t xml:space="preserve">tor collection period of the company </w:t>
      </w:r>
      <w:r w:rsidR="00F90725">
        <w:rPr>
          <w:lang w:val="en-US"/>
        </w:rPr>
        <w:t>indicates that the company</w:t>
      </w:r>
      <w:r w:rsidR="00CC49D0">
        <w:rPr>
          <w:lang w:val="en-US"/>
        </w:rPr>
        <w:t>'</w:t>
      </w:r>
      <w:r w:rsidR="00F90725">
        <w:rPr>
          <w:lang w:val="en-US"/>
        </w:rPr>
        <w:t xml:space="preserve">s collection strategy was improved. And it can </w:t>
      </w:r>
      <w:r w:rsidR="0030558B">
        <w:rPr>
          <w:lang w:val="en-US"/>
        </w:rPr>
        <w:t>reinvest th</w:t>
      </w:r>
      <w:r w:rsidR="00CC49D0">
        <w:rPr>
          <w:lang w:val="en-US"/>
        </w:rPr>
        <w:t>is</w:t>
      </w:r>
      <w:r w:rsidR="0030558B">
        <w:rPr>
          <w:lang w:val="en-US"/>
        </w:rPr>
        <w:t xml:space="preserve"> collected money in its business. </w:t>
      </w:r>
      <w:r w:rsidR="003E61FB">
        <w:rPr>
          <w:lang w:val="en-US"/>
        </w:rPr>
        <w:t>The current ratio, gearing ratio and interest coverage ratio of the company also indicated a</w:t>
      </w:r>
      <w:r w:rsidR="00CC49D0">
        <w:rPr>
          <w:lang w:val="en-US"/>
        </w:rPr>
        <w:t>n</w:t>
      </w:r>
      <w:r w:rsidR="003E61FB">
        <w:rPr>
          <w:lang w:val="en-US"/>
        </w:rPr>
        <w:t xml:space="preserve"> improvement in financia</w:t>
      </w:r>
      <w:r w:rsidR="00CC49D0">
        <w:rPr>
          <w:lang w:val="en-US"/>
        </w:rPr>
        <w:t>l</w:t>
      </w:r>
      <w:r w:rsidR="003E61FB">
        <w:rPr>
          <w:lang w:val="en-US"/>
        </w:rPr>
        <w:t>; performance and financial condition of the company</w:t>
      </w:r>
      <w:r w:rsidR="00082221">
        <w:rPr>
          <w:lang w:val="en-US"/>
        </w:rPr>
        <w:t xml:space="preserve"> (Palepu et al, 2020)</w:t>
      </w:r>
      <w:r w:rsidR="003E61FB">
        <w:rPr>
          <w:lang w:val="en-US"/>
        </w:rPr>
        <w:t>.</w:t>
      </w:r>
    </w:p>
    <w:p w14:paraId="3B90372E" w14:textId="77777777" w:rsidR="007B20DC" w:rsidRDefault="00D83CBE" w:rsidP="007C1F3D">
      <w:pPr>
        <w:pStyle w:val="Titlu1"/>
        <w:rPr>
          <w:lang w:val="en-US"/>
        </w:rPr>
      </w:pPr>
      <w:r>
        <w:rPr>
          <w:lang w:val="en-US"/>
        </w:rPr>
        <w:br w:type="page"/>
      </w:r>
      <w:bookmarkStart w:id="15" w:name="_Toc153445790"/>
      <w:bookmarkStart w:id="16" w:name="_Toc153474624"/>
      <w:bookmarkStart w:id="17" w:name="_Toc153474668"/>
      <w:r>
        <w:rPr>
          <w:lang w:val="en-US"/>
        </w:rPr>
        <w:t>Conclusion</w:t>
      </w:r>
      <w:bookmarkEnd w:id="15"/>
      <w:bookmarkEnd w:id="16"/>
      <w:bookmarkEnd w:id="17"/>
    </w:p>
    <w:p w14:paraId="26A1C671" w14:textId="77777777" w:rsidR="005463A4" w:rsidRDefault="00A806B6" w:rsidP="007C1F3D">
      <w:pPr>
        <w:rPr>
          <w:lang w:val="en-US"/>
        </w:rPr>
      </w:pPr>
      <w:r>
        <w:rPr>
          <w:lang w:val="en-US"/>
        </w:rPr>
        <w:t>The statement of financial posit</w:t>
      </w:r>
      <w:r w:rsidR="0056151D">
        <w:rPr>
          <w:lang w:val="en-US"/>
        </w:rPr>
        <w:t>i</w:t>
      </w:r>
      <w:r>
        <w:rPr>
          <w:lang w:val="en-US"/>
        </w:rPr>
        <w:t>on of a company shows the items of assets, liabilities, and equi</w:t>
      </w:r>
      <w:r w:rsidR="0056151D">
        <w:rPr>
          <w:lang w:val="en-US"/>
        </w:rPr>
        <w:t>t</w:t>
      </w:r>
      <w:r>
        <w:rPr>
          <w:lang w:val="en-US"/>
        </w:rPr>
        <w:t>y while the cash flow statement shows the inflow and outflow of cash. The non-curren</w:t>
      </w:r>
      <w:r w:rsidR="0056151D">
        <w:rPr>
          <w:lang w:val="en-US"/>
        </w:rPr>
        <w:t>t</w:t>
      </w:r>
      <w:r>
        <w:rPr>
          <w:lang w:val="en-US"/>
        </w:rPr>
        <w:t xml:space="preserve"> assets of a company may be move</w:t>
      </w:r>
      <w:r w:rsidR="0056151D">
        <w:rPr>
          <w:lang w:val="en-US"/>
        </w:rPr>
        <w:t>ab</w:t>
      </w:r>
      <w:r>
        <w:rPr>
          <w:lang w:val="en-US"/>
        </w:rPr>
        <w:t>le or immovable. And m</w:t>
      </w:r>
      <w:r w:rsidR="0056151D">
        <w:rPr>
          <w:lang w:val="en-US"/>
        </w:rPr>
        <w:t>a</w:t>
      </w:r>
      <w:r>
        <w:rPr>
          <w:lang w:val="en-US"/>
        </w:rPr>
        <w:t>nagers should provide all the financial information to all of its stak</w:t>
      </w:r>
      <w:r w:rsidR="0056151D">
        <w:rPr>
          <w:lang w:val="en-US"/>
        </w:rPr>
        <w:t>e</w:t>
      </w:r>
      <w:r>
        <w:rPr>
          <w:lang w:val="en-US"/>
        </w:rPr>
        <w:t>holders. A manager should have a good understanding of the fundamentals of accounting as he need</w:t>
      </w:r>
      <w:r w:rsidR="0056151D">
        <w:rPr>
          <w:lang w:val="en-US"/>
        </w:rPr>
        <w:t>s</w:t>
      </w:r>
      <w:r>
        <w:rPr>
          <w:lang w:val="en-US"/>
        </w:rPr>
        <w:t xml:space="preserve"> the knowledge of accounting in reco</w:t>
      </w:r>
      <w:r w:rsidR="0056151D">
        <w:rPr>
          <w:lang w:val="en-US"/>
        </w:rPr>
        <w:t>r</w:t>
      </w:r>
      <w:r>
        <w:rPr>
          <w:lang w:val="en-US"/>
        </w:rPr>
        <w:t>ding financial activities and taking any business decision that may benefit the company.</w:t>
      </w:r>
      <w:r w:rsidR="000D64F9">
        <w:rPr>
          <w:lang w:val="en-US"/>
        </w:rPr>
        <w:t xml:space="preserve"> Wales plc’s financial performance was good as it managed to earn a profit of £3350 in 2022. Analyzing the financial sta</w:t>
      </w:r>
      <w:r w:rsidR="0056151D">
        <w:rPr>
          <w:lang w:val="en-US"/>
        </w:rPr>
        <w:t>t</w:t>
      </w:r>
      <w:r w:rsidR="000D64F9">
        <w:rPr>
          <w:lang w:val="en-US"/>
        </w:rPr>
        <w:t>ements and calculating the ratios of Sweets plc it is also found that the financial performance and financial position of the company ha</w:t>
      </w:r>
      <w:r w:rsidR="0056151D">
        <w:rPr>
          <w:lang w:val="en-US"/>
        </w:rPr>
        <w:t>ve</w:t>
      </w:r>
      <w:r w:rsidR="000D64F9">
        <w:rPr>
          <w:lang w:val="en-US"/>
        </w:rPr>
        <w:t xml:space="preserve"> been improved in 2022 compared to 2021. </w:t>
      </w:r>
    </w:p>
    <w:p w14:paraId="274691A7" w14:textId="77777777" w:rsidR="00A806B6" w:rsidRDefault="00B451AE" w:rsidP="007C1F3D">
      <w:pPr>
        <w:pStyle w:val="Titlu1"/>
        <w:rPr>
          <w:lang w:val="en-US"/>
        </w:rPr>
      </w:pPr>
      <w:r>
        <w:rPr>
          <w:lang w:val="en-US"/>
        </w:rPr>
        <w:t xml:space="preserve">    </w:t>
      </w:r>
      <w:r w:rsidR="005463A4">
        <w:rPr>
          <w:lang w:val="en-US"/>
        </w:rPr>
        <w:br w:type="page"/>
      </w:r>
      <w:bookmarkStart w:id="18" w:name="_Toc153445791"/>
      <w:bookmarkStart w:id="19" w:name="_Toc153474625"/>
      <w:bookmarkStart w:id="20" w:name="_Toc153474669"/>
      <w:r w:rsidR="005463A4">
        <w:rPr>
          <w:lang w:val="en-US"/>
        </w:rPr>
        <w:t>References</w:t>
      </w:r>
      <w:bookmarkEnd w:id="18"/>
      <w:bookmarkEnd w:id="19"/>
      <w:bookmarkEnd w:id="20"/>
    </w:p>
    <w:p w14:paraId="594E7AC6" w14:textId="77777777" w:rsidR="00C444D8" w:rsidRPr="008C2A43" w:rsidRDefault="00C444D8" w:rsidP="007C1F3D">
      <w:pPr>
        <w:ind w:left="576" w:hanging="576"/>
        <w:rPr>
          <w:lang w:val="en-US"/>
        </w:rPr>
      </w:pPr>
      <w:r w:rsidRPr="008C2A43">
        <w:rPr>
          <w:lang w:val="en-US"/>
        </w:rPr>
        <w:t xml:space="preserve">Chandra, P. (2017) </w:t>
      </w:r>
      <w:r w:rsidRPr="008C2A43">
        <w:rPr>
          <w:i/>
          <w:iCs/>
          <w:lang w:val="en-US"/>
        </w:rPr>
        <w:t>Fundamentals of financial management</w:t>
      </w:r>
      <w:r w:rsidRPr="008C2A43">
        <w:rPr>
          <w:lang w:val="en-US"/>
        </w:rPr>
        <w:t>. McGraw Hill Education.</w:t>
      </w:r>
    </w:p>
    <w:p w14:paraId="32C8E63B" w14:textId="77777777" w:rsidR="00C444D8" w:rsidRPr="004D56B5" w:rsidRDefault="00C444D8" w:rsidP="007C1F3D">
      <w:pPr>
        <w:ind w:left="576" w:hanging="576"/>
        <w:rPr>
          <w:lang w:val="en-US"/>
        </w:rPr>
      </w:pPr>
      <w:r w:rsidRPr="004D56B5">
        <w:rPr>
          <w:lang w:val="en-US"/>
        </w:rPr>
        <w:t xml:space="preserve">Davies, T. and Crawford, I.P. (2011) </w:t>
      </w:r>
      <w:r w:rsidRPr="004D56B5">
        <w:rPr>
          <w:i/>
          <w:iCs/>
          <w:lang w:val="en-US"/>
        </w:rPr>
        <w:t>Business accounting and finance</w:t>
      </w:r>
      <w:r w:rsidRPr="004D56B5">
        <w:rPr>
          <w:lang w:val="en-US"/>
        </w:rPr>
        <w:t>. Financial Times Prentice Hall.</w:t>
      </w:r>
    </w:p>
    <w:p w14:paraId="60353947" w14:textId="77777777" w:rsidR="00C444D8" w:rsidRDefault="00FC21AF" w:rsidP="007C1F3D">
      <w:pPr>
        <w:ind w:left="576" w:hanging="576"/>
        <w:rPr>
          <w:lang w:val="en-US"/>
        </w:rPr>
      </w:pPr>
      <w:r>
        <w:t>Fridson, M.S. and Alvarez, F. (2022)</w:t>
      </w:r>
      <w:r w:rsidR="00C444D8" w:rsidRPr="00812551">
        <w:t> </w:t>
      </w:r>
      <w:r w:rsidR="00C444D8" w:rsidRPr="00812551">
        <w:rPr>
          <w:i/>
          <w:iCs/>
        </w:rPr>
        <w:t>Financial statement analysis: a practitioner's guide</w:t>
      </w:r>
      <w:r w:rsidR="00C444D8" w:rsidRPr="00812551">
        <w:t>. John Wiley &amp; Sons.</w:t>
      </w:r>
    </w:p>
    <w:p w14:paraId="74E33C72" w14:textId="77777777" w:rsidR="00C444D8" w:rsidRDefault="00FC21AF" w:rsidP="007C1F3D">
      <w:pPr>
        <w:ind w:left="576" w:hanging="576"/>
        <w:rPr>
          <w:lang w:val="en-US"/>
        </w:rPr>
      </w:pPr>
      <w:r>
        <w:t>Gowthorpe, C. (2021)</w:t>
      </w:r>
      <w:r w:rsidR="00C444D8" w:rsidRPr="00DC0EA6">
        <w:t> </w:t>
      </w:r>
      <w:r w:rsidR="00C444D8" w:rsidRPr="00DC0EA6">
        <w:rPr>
          <w:i/>
          <w:iCs/>
        </w:rPr>
        <w:t>Business accounting and finance</w:t>
      </w:r>
      <w:r w:rsidR="00C444D8" w:rsidRPr="00DC0EA6">
        <w:t>. Catherine Gowthorpe.</w:t>
      </w:r>
    </w:p>
    <w:p w14:paraId="4C92D195" w14:textId="77A16ECD" w:rsidR="00C444D8" w:rsidRDefault="00C444D8" w:rsidP="007C1F3D">
      <w:pPr>
        <w:ind w:left="576" w:hanging="576"/>
      </w:pPr>
      <w:r w:rsidRPr="0032586E">
        <w:t>Nar</w:t>
      </w:r>
      <w:r w:rsidR="00FC21AF">
        <w:t xml:space="preserve">iswari, T.N. and Nugraha, N.M. (2020) </w:t>
      </w:r>
      <w:r w:rsidRPr="0032586E">
        <w:t>Profit growth: impact of net profit margin, gross profit margin and total assets turnover. </w:t>
      </w:r>
      <w:r w:rsidRPr="0032586E">
        <w:rPr>
          <w:i/>
          <w:iCs/>
        </w:rPr>
        <w:t>International Journal of Finance &amp; Banking Studies (2147-4486)</w:t>
      </w:r>
      <w:r w:rsidRPr="0032586E">
        <w:t>, </w:t>
      </w:r>
      <w:r w:rsidRPr="0032586E">
        <w:rPr>
          <w:i/>
          <w:iCs/>
        </w:rPr>
        <w:t>9</w:t>
      </w:r>
      <w:r w:rsidRPr="0032586E">
        <w:t>(4), pp.87-96.</w:t>
      </w:r>
    </w:p>
    <w:p w14:paraId="377F17D2" w14:textId="77777777" w:rsidR="00C444D8" w:rsidRPr="004D56B5" w:rsidRDefault="00C444D8" w:rsidP="007C1F3D">
      <w:pPr>
        <w:ind w:left="576" w:hanging="576"/>
        <w:rPr>
          <w:lang w:val="en-US"/>
        </w:rPr>
      </w:pPr>
      <w:r w:rsidRPr="004D56B5">
        <w:rPr>
          <w:lang w:val="en-US"/>
        </w:rPr>
        <w:t>Palepu, K.G., Healy, P.M., Wright, S.</w:t>
      </w:r>
      <w:r w:rsidR="00FC21AF">
        <w:rPr>
          <w:lang w:val="en-US"/>
        </w:rPr>
        <w:t>, Bradbury, M. and Coulton, J. (2020)</w:t>
      </w:r>
      <w:r w:rsidRPr="004D56B5">
        <w:rPr>
          <w:lang w:val="en-US"/>
        </w:rPr>
        <w:t xml:space="preserve"> </w:t>
      </w:r>
      <w:r w:rsidRPr="004D56B5">
        <w:rPr>
          <w:i/>
          <w:iCs/>
          <w:lang w:val="en-US"/>
        </w:rPr>
        <w:t>Business analysis and valuation: Using financial statements</w:t>
      </w:r>
      <w:r w:rsidRPr="004D56B5">
        <w:rPr>
          <w:lang w:val="en-US"/>
        </w:rPr>
        <w:t>. Cengage AU.</w:t>
      </w:r>
    </w:p>
    <w:p w14:paraId="21C1B333" w14:textId="07249F18" w:rsidR="00C444D8" w:rsidRDefault="00C444D8" w:rsidP="007C1F3D">
      <w:pPr>
        <w:ind w:left="576" w:hanging="576"/>
        <w:rPr>
          <w:lang w:val="en-US"/>
        </w:rPr>
      </w:pPr>
      <w:r w:rsidRPr="00262831">
        <w:t>Peprah Ph</w:t>
      </w:r>
      <w:r w:rsidR="008C76DA">
        <w:t>.</w:t>
      </w:r>
      <w:r w:rsidRPr="00262831">
        <w:t xml:space="preserve"> D, W.K.</w:t>
      </w:r>
      <w:r w:rsidR="00FC21AF">
        <w:t>, Abas Jr, R.P. and Ampofo, A. (2022)</w:t>
      </w:r>
      <w:r w:rsidRPr="00262831">
        <w:t xml:space="preserve"> Applicability of blockchain technology to the normal accounting cycle. </w:t>
      </w:r>
      <w:r w:rsidRPr="00262831">
        <w:rPr>
          <w:i/>
          <w:iCs/>
        </w:rPr>
        <w:t>Applied Finance and Accounting</w:t>
      </w:r>
      <w:r w:rsidRPr="00262831">
        <w:t>, </w:t>
      </w:r>
      <w:r w:rsidRPr="00262831">
        <w:rPr>
          <w:i/>
          <w:iCs/>
        </w:rPr>
        <w:t>8</w:t>
      </w:r>
      <w:r w:rsidRPr="00262831">
        <w:t>(1).</w:t>
      </w:r>
    </w:p>
    <w:p w14:paraId="1F047230" w14:textId="77777777" w:rsidR="00C444D8" w:rsidRDefault="00C444D8" w:rsidP="007C1F3D">
      <w:pPr>
        <w:ind w:left="576" w:hanging="576"/>
        <w:rPr>
          <w:lang w:val="en-US"/>
        </w:rPr>
      </w:pPr>
      <w:r w:rsidRPr="00783538">
        <w:t xml:space="preserve">Roychowdhury, </w:t>
      </w:r>
      <w:r w:rsidR="00FC21AF">
        <w:t>S., Shroff, N. and Verdi, R.S. (2019)</w:t>
      </w:r>
      <w:r w:rsidRPr="00783538">
        <w:t xml:space="preserve"> The effects of financial reporting and disclosure on corporate investment: A review. </w:t>
      </w:r>
      <w:r w:rsidRPr="00783538">
        <w:rPr>
          <w:i/>
          <w:iCs/>
        </w:rPr>
        <w:t>Journal of Accounting and Economics</w:t>
      </w:r>
      <w:r w:rsidRPr="00783538">
        <w:t>, </w:t>
      </w:r>
      <w:r w:rsidRPr="00783538">
        <w:rPr>
          <w:i/>
          <w:iCs/>
        </w:rPr>
        <w:t>68</w:t>
      </w:r>
      <w:r w:rsidRPr="00783538">
        <w:t>(2-3), p.101246.</w:t>
      </w:r>
    </w:p>
    <w:p w14:paraId="089D59EE" w14:textId="77777777" w:rsidR="00C444D8" w:rsidRDefault="00FC21AF" w:rsidP="007C1F3D">
      <w:pPr>
        <w:ind w:left="576" w:hanging="576"/>
        <w:rPr>
          <w:lang w:val="en-US"/>
        </w:rPr>
      </w:pPr>
      <w:r>
        <w:t>Sangster, A. and Wood, F. (2018)</w:t>
      </w:r>
      <w:r w:rsidR="00C444D8" w:rsidRPr="00CA3D69">
        <w:t> </w:t>
      </w:r>
      <w:r w:rsidR="00C444D8" w:rsidRPr="00CA3D69">
        <w:rPr>
          <w:i/>
          <w:iCs/>
        </w:rPr>
        <w:t>Frank Wood's Business Accounting Volume 1</w:t>
      </w:r>
      <w:r w:rsidR="00C444D8" w:rsidRPr="00CA3D69">
        <w:t> (Vol. 1). Pearson UK.</w:t>
      </w:r>
    </w:p>
    <w:p w14:paraId="178FC5AC" w14:textId="77777777" w:rsidR="00C444D8" w:rsidRPr="0032586E" w:rsidRDefault="00C444D8" w:rsidP="007C1F3D">
      <w:pPr>
        <w:ind w:left="576" w:hanging="576"/>
        <w:rPr>
          <w:lang w:val="en-US"/>
        </w:rPr>
      </w:pPr>
      <w:r w:rsidRPr="00D62DC8">
        <w:t>Siyanbola, T.T.,</w:t>
      </w:r>
      <w:r w:rsidR="005068E9">
        <w:t xml:space="preserve"> Olaoye, S.A. and Olurin, O.T. (2015)</w:t>
      </w:r>
      <w:r w:rsidRPr="00D62DC8">
        <w:t xml:space="preserve"> Impact of gearing on performance of companies. </w:t>
      </w:r>
      <w:r w:rsidRPr="00D62DC8">
        <w:rPr>
          <w:i/>
          <w:iCs/>
        </w:rPr>
        <w:t>Arabian Journal of Business and Management Review (Nigerian Chapter)</w:t>
      </w:r>
      <w:r w:rsidRPr="00D62DC8">
        <w:t>, </w:t>
      </w:r>
      <w:r w:rsidRPr="00D62DC8">
        <w:rPr>
          <w:i/>
          <w:iCs/>
        </w:rPr>
        <w:t>3</w:t>
      </w:r>
      <w:r w:rsidRPr="00D62DC8">
        <w:t>(1), pp.68-80.</w:t>
      </w:r>
    </w:p>
    <w:p w14:paraId="019F1288" w14:textId="22F80F7F" w:rsidR="00C444D8" w:rsidRDefault="005068E9" w:rsidP="007C1F3D">
      <w:pPr>
        <w:ind w:left="576" w:hanging="576"/>
        <w:rPr>
          <w:lang w:val="en-US"/>
        </w:rPr>
      </w:pPr>
      <w:r>
        <w:t>Vij, S. and Bedi, H.S. (2016)</w:t>
      </w:r>
      <w:r w:rsidR="00C444D8" w:rsidRPr="000E404D">
        <w:t xml:space="preserve"> Are subjective business performance measures justified? </w:t>
      </w:r>
      <w:r w:rsidR="00C444D8" w:rsidRPr="000E404D">
        <w:rPr>
          <w:i/>
          <w:iCs/>
        </w:rPr>
        <w:t>International Journal of Productivity and Performance Management</w:t>
      </w:r>
      <w:r w:rsidR="00C444D8" w:rsidRPr="000E404D">
        <w:t>, </w:t>
      </w:r>
      <w:r w:rsidR="00C444D8" w:rsidRPr="000E404D">
        <w:rPr>
          <w:i/>
          <w:iCs/>
        </w:rPr>
        <w:t>65</w:t>
      </w:r>
      <w:r w:rsidR="00C444D8" w:rsidRPr="000E404D">
        <w:t>(5), pp.603-621.</w:t>
      </w:r>
    </w:p>
    <w:p w14:paraId="4E96A3FA" w14:textId="77777777" w:rsidR="00C444D8" w:rsidRDefault="00C444D8" w:rsidP="007C1F3D">
      <w:pPr>
        <w:ind w:left="576" w:hanging="576"/>
        <w:rPr>
          <w:lang w:val="en-US"/>
        </w:rPr>
      </w:pPr>
      <w:r w:rsidRPr="00AC201B">
        <w:t>Weygandt, J.J., Kimme</w:t>
      </w:r>
      <w:r w:rsidR="005068E9">
        <w:t>l, P.D. and Aly, I.M. (2020)</w:t>
      </w:r>
      <w:r w:rsidRPr="00AC201B">
        <w:t> </w:t>
      </w:r>
      <w:r w:rsidRPr="00AC201B">
        <w:rPr>
          <w:i/>
          <w:iCs/>
        </w:rPr>
        <w:t>Managerial Accounting: Tools for Business Decision-Making</w:t>
      </w:r>
      <w:r w:rsidRPr="00AC201B">
        <w:t>. John Wiley &amp; Sons.</w:t>
      </w:r>
    </w:p>
    <w:p w14:paraId="041D8CFC" w14:textId="77777777" w:rsidR="00C444D8" w:rsidRDefault="00C444D8" w:rsidP="007C1F3D">
      <w:pPr>
        <w:ind w:left="576" w:hanging="576"/>
        <w:rPr>
          <w:lang w:val="en-US"/>
        </w:rPr>
      </w:pPr>
      <w:r w:rsidRPr="003F3F89">
        <w:t>Yusrini</w:t>
      </w:r>
      <w:r w:rsidR="005068E9">
        <w:t xml:space="preserve">, L., Hamid, S. and Khan, A.I. (2021) </w:t>
      </w:r>
      <w:r w:rsidRPr="003F3F89">
        <w:t>Working Capital Management and Firm's Financial Performance (ROCE). </w:t>
      </w:r>
      <w:r w:rsidRPr="003F3F89">
        <w:rPr>
          <w:i/>
          <w:iCs/>
        </w:rPr>
        <w:t>Turkish Online Journal of Qualitative Inquiry</w:t>
      </w:r>
      <w:r w:rsidRPr="003F3F89">
        <w:t>, </w:t>
      </w:r>
      <w:r w:rsidRPr="003F3F89">
        <w:rPr>
          <w:i/>
          <w:iCs/>
        </w:rPr>
        <w:t>12</w:t>
      </w:r>
      <w:r w:rsidRPr="003F3F89">
        <w:t>(9).</w:t>
      </w:r>
    </w:p>
    <w:sectPr w:rsidR="00C444D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7F9C2" w14:textId="77777777" w:rsidR="002A4EC3" w:rsidRDefault="002A4EC3" w:rsidP="0014688B">
      <w:pPr>
        <w:spacing w:after="0" w:line="240" w:lineRule="auto"/>
      </w:pPr>
      <w:r>
        <w:separator/>
      </w:r>
    </w:p>
  </w:endnote>
  <w:endnote w:type="continuationSeparator" w:id="0">
    <w:p w14:paraId="7C35EAC8" w14:textId="77777777" w:rsidR="002A4EC3" w:rsidRDefault="002A4EC3" w:rsidP="00146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D0EEA" w14:textId="77777777" w:rsidR="0014688B" w:rsidRDefault="0014688B">
    <w:pPr>
      <w:pStyle w:val="Subsol"/>
      <w:jc w:val="center"/>
    </w:pPr>
    <w:r>
      <w:fldChar w:fldCharType="begin"/>
    </w:r>
    <w:r>
      <w:instrText xml:space="preserve"> PAGE   \* MERGEFORMAT </w:instrText>
    </w:r>
    <w:r>
      <w:fldChar w:fldCharType="separate"/>
    </w:r>
    <w:r w:rsidR="005068E9">
      <w:rPr>
        <w:noProof/>
      </w:rPr>
      <w:t>13</w:t>
    </w:r>
    <w:r>
      <w:rPr>
        <w:noProof/>
      </w:rPr>
      <w:fldChar w:fldCharType="end"/>
    </w:r>
  </w:p>
  <w:p w14:paraId="0431F144" w14:textId="77777777" w:rsidR="0014688B" w:rsidRDefault="0014688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A460F" w14:textId="77777777" w:rsidR="002A4EC3" w:rsidRDefault="002A4EC3" w:rsidP="0014688B">
      <w:pPr>
        <w:spacing w:after="0" w:line="240" w:lineRule="auto"/>
      </w:pPr>
      <w:r>
        <w:separator/>
      </w:r>
    </w:p>
  </w:footnote>
  <w:footnote w:type="continuationSeparator" w:id="0">
    <w:p w14:paraId="01BFD791" w14:textId="77777777" w:rsidR="002A4EC3" w:rsidRDefault="002A4EC3" w:rsidP="001468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hideSpellingErrors/>
  <w:hideGrammaticalErrors/>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M0NjOxMDO1NDK0NDVW0lEKTi0uzszPAykwrQUA+ZUS9CwAAAA="/>
  </w:docVars>
  <w:rsids>
    <w:rsidRoot w:val="00B34F20"/>
    <w:rsid w:val="00046829"/>
    <w:rsid w:val="000655C9"/>
    <w:rsid w:val="00082221"/>
    <w:rsid w:val="000D64F9"/>
    <w:rsid w:val="000D68C5"/>
    <w:rsid w:val="000E3F06"/>
    <w:rsid w:val="000E404D"/>
    <w:rsid w:val="000F3C02"/>
    <w:rsid w:val="00110358"/>
    <w:rsid w:val="00124F05"/>
    <w:rsid w:val="0014688B"/>
    <w:rsid w:val="00155153"/>
    <w:rsid w:val="0016203D"/>
    <w:rsid w:val="001750D2"/>
    <w:rsid w:val="00195CBC"/>
    <w:rsid w:val="001A099A"/>
    <w:rsid w:val="001B5863"/>
    <w:rsid w:val="001C5F71"/>
    <w:rsid w:val="001C7E9F"/>
    <w:rsid w:val="001D3186"/>
    <w:rsid w:val="001E3F2A"/>
    <w:rsid w:val="001F2758"/>
    <w:rsid w:val="00201709"/>
    <w:rsid w:val="00211E85"/>
    <w:rsid w:val="00262831"/>
    <w:rsid w:val="002A4EC3"/>
    <w:rsid w:val="002B3E6A"/>
    <w:rsid w:val="002D7FAF"/>
    <w:rsid w:val="002E4A6A"/>
    <w:rsid w:val="0030558B"/>
    <w:rsid w:val="00310861"/>
    <w:rsid w:val="0032586E"/>
    <w:rsid w:val="003A0AB5"/>
    <w:rsid w:val="003E61FB"/>
    <w:rsid w:val="003F3F89"/>
    <w:rsid w:val="00400595"/>
    <w:rsid w:val="004070A4"/>
    <w:rsid w:val="004406AB"/>
    <w:rsid w:val="0045343F"/>
    <w:rsid w:val="004B2B7A"/>
    <w:rsid w:val="004D56B5"/>
    <w:rsid w:val="00505C48"/>
    <w:rsid w:val="005068E9"/>
    <w:rsid w:val="005463A4"/>
    <w:rsid w:val="00556059"/>
    <w:rsid w:val="0056151D"/>
    <w:rsid w:val="005624BB"/>
    <w:rsid w:val="005630BF"/>
    <w:rsid w:val="00572B13"/>
    <w:rsid w:val="005757D6"/>
    <w:rsid w:val="005B6185"/>
    <w:rsid w:val="005C19F0"/>
    <w:rsid w:val="005F39F2"/>
    <w:rsid w:val="005F5457"/>
    <w:rsid w:val="00622148"/>
    <w:rsid w:val="006417F1"/>
    <w:rsid w:val="00642464"/>
    <w:rsid w:val="00664E89"/>
    <w:rsid w:val="00674B1C"/>
    <w:rsid w:val="006878CA"/>
    <w:rsid w:val="00692894"/>
    <w:rsid w:val="00695220"/>
    <w:rsid w:val="006A7AE9"/>
    <w:rsid w:val="006B1CB6"/>
    <w:rsid w:val="006B2C19"/>
    <w:rsid w:val="006F0CCC"/>
    <w:rsid w:val="007410CD"/>
    <w:rsid w:val="007437FB"/>
    <w:rsid w:val="00783538"/>
    <w:rsid w:val="007A1BE5"/>
    <w:rsid w:val="007A4715"/>
    <w:rsid w:val="007B20DC"/>
    <w:rsid w:val="007C1F3D"/>
    <w:rsid w:val="007E2EBD"/>
    <w:rsid w:val="00800A0F"/>
    <w:rsid w:val="00811C9D"/>
    <w:rsid w:val="00812551"/>
    <w:rsid w:val="00824BC7"/>
    <w:rsid w:val="00833792"/>
    <w:rsid w:val="0085018B"/>
    <w:rsid w:val="008578E5"/>
    <w:rsid w:val="008A26F8"/>
    <w:rsid w:val="008A5D03"/>
    <w:rsid w:val="008B69C9"/>
    <w:rsid w:val="008C2A43"/>
    <w:rsid w:val="008C76DA"/>
    <w:rsid w:val="008F2F27"/>
    <w:rsid w:val="00905A8E"/>
    <w:rsid w:val="00924A47"/>
    <w:rsid w:val="00926500"/>
    <w:rsid w:val="00941E92"/>
    <w:rsid w:val="00952525"/>
    <w:rsid w:val="009756E4"/>
    <w:rsid w:val="0098213A"/>
    <w:rsid w:val="00983233"/>
    <w:rsid w:val="00994FB2"/>
    <w:rsid w:val="009C786D"/>
    <w:rsid w:val="009D68F1"/>
    <w:rsid w:val="009F20DD"/>
    <w:rsid w:val="00A15C79"/>
    <w:rsid w:val="00A806B6"/>
    <w:rsid w:val="00A950D3"/>
    <w:rsid w:val="00AC201B"/>
    <w:rsid w:val="00AF6F04"/>
    <w:rsid w:val="00B03A77"/>
    <w:rsid w:val="00B12249"/>
    <w:rsid w:val="00B2262F"/>
    <w:rsid w:val="00B34F20"/>
    <w:rsid w:val="00B41180"/>
    <w:rsid w:val="00B451AE"/>
    <w:rsid w:val="00B75A18"/>
    <w:rsid w:val="00B80900"/>
    <w:rsid w:val="00B94FAC"/>
    <w:rsid w:val="00BE0A00"/>
    <w:rsid w:val="00BF152A"/>
    <w:rsid w:val="00C22855"/>
    <w:rsid w:val="00C444D8"/>
    <w:rsid w:val="00C67CDD"/>
    <w:rsid w:val="00C74022"/>
    <w:rsid w:val="00C949C8"/>
    <w:rsid w:val="00C96C09"/>
    <w:rsid w:val="00CA3D69"/>
    <w:rsid w:val="00CC0BF8"/>
    <w:rsid w:val="00CC49D0"/>
    <w:rsid w:val="00CD114F"/>
    <w:rsid w:val="00CE06A7"/>
    <w:rsid w:val="00D033DC"/>
    <w:rsid w:val="00D26102"/>
    <w:rsid w:val="00D35B80"/>
    <w:rsid w:val="00D4309E"/>
    <w:rsid w:val="00D47B69"/>
    <w:rsid w:val="00D62DC8"/>
    <w:rsid w:val="00D83CBE"/>
    <w:rsid w:val="00DB6ED0"/>
    <w:rsid w:val="00DC0EA6"/>
    <w:rsid w:val="00DC660B"/>
    <w:rsid w:val="00DE1857"/>
    <w:rsid w:val="00E2480C"/>
    <w:rsid w:val="00E30592"/>
    <w:rsid w:val="00E41449"/>
    <w:rsid w:val="00E61C02"/>
    <w:rsid w:val="00E73075"/>
    <w:rsid w:val="00E74F40"/>
    <w:rsid w:val="00ED3CD4"/>
    <w:rsid w:val="00EE6706"/>
    <w:rsid w:val="00F45119"/>
    <w:rsid w:val="00F5476D"/>
    <w:rsid w:val="00F673FB"/>
    <w:rsid w:val="00F90725"/>
    <w:rsid w:val="00F92FBB"/>
    <w:rsid w:val="00FA505E"/>
    <w:rsid w:val="00FC21AF"/>
    <w:rsid w:val="00FC2AA6"/>
    <w:rsid w:val="00FF2CA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2AAEF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Times New Roman"/>
        <w:lang w:val="en-US"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E6A"/>
    <w:pPr>
      <w:spacing w:after="160" w:line="360" w:lineRule="auto"/>
      <w:jc w:val="both"/>
    </w:pPr>
    <w:rPr>
      <w:sz w:val="24"/>
      <w:szCs w:val="22"/>
      <w:lang w:val="en-GB" w:bidi="ar-SA"/>
    </w:rPr>
  </w:style>
  <w:style w:type="paragraph" w:styleId="Titlu1">
    <w:name w:val="heading 1"/>
    <w:basedOn w:val="Normal"/>
    <w:next w:val="Normal"/>
    <w:link w:val="Titlu1Caracter"/>
    <w:uiPriority w:val="9"/>
    <w:qFormat/>
    <w:rsid w:val="00D26102"/>
    <w:pPr>
      <w:keepNext/>
      <w:keepLines/>
      <w:spacing w:before="240" w:after="0"/>
      <w:outlineLvl w:val="0"/>
    </w:pPr>
    <w:rPr>
      <w:rFonts w:eastAsia="Times New Roman"/>
      <w:b/>
      <w:sz w:val="32"/>
      <w:szCs w:val="32"/>
    </w:rPr>
  </w:style>
  <w:style w:type="paragraph" w:styleId="Titlu2">
    <w:name w:val="heading 2"/>
    <w:basedOn w:val="Normal"/>
    <w:next w:val="Normal"/>
    <w:link w:val="Titlu2Caracter"/>
    <w:uiPriority w:val="9"/>
    <w:unhideWhenUsed/>
    <w:qFormat/>
    <w:rsid w:val="00D26102"/>
    <w:pPr>
      <w:keepNext/>
      <w:keepLines/>
      <w:spacing w:before="40" w:after="0"/>
      <w:outlineLvl w:val="1"/>
    </w:pPr>
    <w:rPr>
      <w:rFonts w:eastAsia="Times New Roman"/>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uiPriority w:val="9"/>
    <w:rsid w:val="00D26102"/>
    <w:rPr>
      <w:rFonts w:eastAsia="Times New Roman" w:cs="Times New Roman"/>
      <w:b/>
      <w:sz w:val="32"/>
      <w:szCs w:val="32"/>
    </w:rPr>
  </w:style>
  <w:style w:type="character" w:customStyle="1" w:styleId="Titlu2Caracter">
    <w:name w:val="Titlu 2 Caracter"/>
    <w:link w:val="Titlu2"/>
    <w:uiPriority w:val="9"/>
    <w:rsid w:val="00D26102"/>
    <w:rPr>
      <w:rFonts w:eastAsia="Times New Roman" w:cs="Times New Roman"/>
      <w:b/>
      <w:sz w:val="26"/>
      <w:szCs w:val="26"/>
    </w:rPr>
  </w:style>
  <w:style w:type="paragraph" w:styleId="Titlucuprins">
    <w:name w:val="TOC Heading"/>
    <w:basedOn w:val="Titlu1"/>
    <w:next w:val="Normal"/>
    <w:uiPriority w:val="39"/>
    <w:unhideWhenUsed/>
    <w:qFormat/>
    <w:rsid w:val="004406AB"/>
    <w:pPr>
      <w:spacing w:line="259" w:lineRule="auto"/>
      <w:jc w:val="left"/>
      <w:outlineLvl w:val="9"/>
    </w:pPr>
    <w:rPr>
      <w:rFonts w:ascii="Calibri Light" w:hAnsi="Calibri Light"/>
      <w:b w:val="0"/>
      <w:color w:val="2E74B5"/>
      <w:lang w:val="en-US"/>
    </w:rPr>
  </w:style>
  <w:style w:type="paragraph" w:styleId="Cuprins1">
    <w:name w:val="toc 1"/>
    <w:basedOn w:val="Normal"/>
    <w:next w:val="Normal"/>
    <w:autoRedefine/>
    <w:uiPriority w:val="39"/>
    <w:unhideWhenUsed/>
    <w:rsid w:val="004406AB"/>
  </w:style>
  <w:style w:type="character" w:styleId="Hyperlink">
    <w:name w:val="Hyperlink"/>
    <w:uiPriority w:val="99"/>
    <w:unhideWhenUsed/>
    <w:rsid w:val="004406AB"/>
    <w:rPr>
      <w:color w:val="0563C1"/>
      <w:u w:val="single"/>
    </w:rPr>
  </w:style>
  <w:style w:type="paragraph" w:styleId="Antet">
    <w:name w:val="header"/>
    <w:basedOn w:val="Normal"/>
    <w:link w:val="AntetCaracter"/>
    <w:uiPriority w:val="99"/>
    <w:unhideWhenUsed/>
    <w:rsid w:val="0014688B"/>
    <w:pPr>
      <w:tabs>
        <w:tab w:val="center" w:pos="4680"/>
        <w:tab w:val="right" w:pos="9360"/>
      </w:tabs>
    </w:pPr>
  </w:style>
  <w:style w:type="character" w:customStyle="1" w:styleId="AntetCaracter">
    <w:name w:val="Antet Caracter"/>
    <w:link w:val="Antet"/>
    <w:uiPriority w:val="99"/>
    <w:rsid w:val="0014688B"/>
    <w:rPr>
      <w:sz w:val="24"/>
      <w:szCs w:val="22"/>
      <w:lang w:val="en-GB"/>
    </w:rPr>
  </w:style>
  <w:style w:type="paragraph" w:styleId="Subsol">
    <w:name w:val="footer"/>
    <w:basedOn w:val="Normal"/>
    <w:link w:val="SubsolCaracter"/>
    <w:uiPriority w:val="99"/>
    <w:unhideWhenUsed/>
    <w:rsid w:val="0014688B"/>
    <w:pPr>
      <w:tabs>
        <w:tab w:val="center" w:pos="4680"/>
        <w:tab w:val="right" w:pos="9360"/>
      </w:tabs>
    </w:pPr>
  </w:style>
  <w:style w:type="character" w:customStyle="1" w:styleId="SubsolCaracter">
    <w:name w:val="Subsol Caracter"/>
    <w:link w:val="Subsol"/>
    <w:uiPriority w:val="99"/>
    <w:rsid w:val="0014688B"/>
    <w:rPr>
      <w:sz w:val="24"/>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676992">
      <w:bodyDiv w:val="1"/>
      <w:marLeft w:val="0"/>
      <w:marRight w:val="0"/>
      <w:marTop w:val="0"/>
      <w:marBottom w:val="0"/>
      <w:divBdr>
        <w:top w:val="none" w:sz="0" w:space="0" w:color="auto"/>
        <w:left w:val="none" w:sz="0" w:space="0" w:color="auto"/>
        <w:bottom w:val="none" w:sz="0" w:space="0" w:color="auto"/>
        <w:right w:val="none" w:sz="0" w:space="0" w:color="auto"/>
      </w:divBdr>
    </w:div>
    <w:div w:id="408771701">
      <w:bodyDiv w:val="1"/>
      <w:marLeft w:val="0"/>
      <w:marRight w:val="0"/>
      <w:marTop w:val="0"/>
      <w:marBottom w:val="0"/>
      <w:divBdr>
        <w:top w:val="none" w:sz="0" w:space="0" w:color="auto"/>
        <w:left w:val="none" w:sz="0" w:space="0" w:color="auto"/>
        <w:bottom w:val="none" w:sz="0" w:space="0" w:color="auto"/>
        <w:right w:val="none" w:sz="0" w:space="0" w:color="auto"/>
      </w:divBdr>
    </w:div>
    <w:div w:id="502863731">
      <w:bodyDiv w:val="1"/>
      <w:marLeft w:val="0"/>
      <w:marRight w:val="0"/>
      <w:marTop w:val="0"/>
      <w:marBottom w:val="0"/>
      <w:divBdr>
        <w:top w:val="none" w:sz="0" w:space="0" w:color="auto"/>
        <w:left w:val="none" w:sz="0" w:space="0" w:color="auto"/>
        <w:bottom w:val="none" w:sz="0" w:space="0" w:color="auto"/>
        <w:right w:val="none" w:sz="0" w:space="0" w:color="auto"/>
      </w:divBdr>
    </w:div>
    <w:div w:id="702286067">
      <w:bodyDiv w:val="1"/>
      <w:marLeft w:val="0"/>
      <w:marRight w:val="0"/>
      <w:marTop w:val="0"/>
      <w:marBottom w:val="0"/>
      <w:divBdr>
        <w:top w:val="none" w:sz="0" w:space="0" w:color="auto"/>
        <w:left w:val="none" w:sz="0" w:space="0" w:color="auto"/>
        <w:bottom w:val="none" w:sz="0" w:space="0" w:color="auto"/>
        <w:right w:val="none" w:sz="0" w:space="0" w:color="auto"/>
      </w:divBdr>
    </w:div>
    <w:div w:id="761493793">
      <w:bodyDiv w:val="1"/>
      <w:marLeft w:val="0"/>
      <w:marRight w:val="0"/>
      <w:marTop w:val="0"/>
      <w:marBottom w:val="0"/>
      <w:divBdr>
        <w:top w:val="none" w:sz="0" w:space="0" w:color="auto"/>
        <w:left w:val="none" w:sz="0" w:space="0" w:color="auto"/>
        <w:bottom w:val="none" w:sz="0" w:space="0" w:color="auto"/>
        <w:right w:val="none" w:sz="0" w:space="0" w:color="auto"/>
      </w:divBdr>
    </w:div>
    <w:div w:id="807481015">
      <w:bodyDiv w:val="1"/>
      <w:marLeft w:val="0"/>
      <w:marRight w:val="0"/>
      <w:marTop w:val="0"/>
      <w:marBottom w:val="0"/>
      <w:divBdr>
        <w:top w:val="none" w:sz="0" w:space="0" w:color="auto"/>
        <w:left w:val="none" w:sz="0" w:space="0" w:color="auto"/>
        <w:bottom w:val="none" w:sz="0" w:space="0" w:color="auto"/>
        <w:right w:val="none" w:sz="0" w:space="0" w:color="auto"/>
      </w:divBdr>
    </w:div>
    <w:div w:id="985277677">
      <w:bodyDiv w:val="1"/>
      <w:marLeft w:val="0"/>
      <w:marRight w:val="0"/>
      <w:marTop w:val="0"/>
      <w:marBottom w:val="0"/>
      <w:divBdr>
        <w:top w:val="none" w:sz="0" w:space="0" w:color="auto"/>
        <w:left w:val="none" w:sz="0" w:space="0" w:color="auto"/>
        <w:bottom w:val="none" w:sz="0" w:space="0" w:color="auto"/>
        <w:right w:val="none" w:sz="0" w:space="0" w:color="auto"/>
      </w:divBdr>
    </w:div>
    <w:div w:id="1001354736">
      <w:bodyDiv w:val="1"/>
      <w:marLeft w:val="0"/>
      <w:marRight w:val="0"/>
      <w:marTop w:val="0"/>
      <w:marBottom w:val="0"/>
      <w:divBdr>
        <w:top w:val="none" w:sz="0" w:space="0" w:color="auto"/>
        <w:left w:val="none" w:sz="0" w:space="0" w:color="auto"/>
        <w:bottom w:val="none" w:sz="0" w:space="0" w:color="auto"/>
        <w:right w:val="none" w:sz="0" w:space="0" w:color="auto"/>
      </w:divBdr>
    </w:div>
    <w:div w:id="1097604845">
      <w:bodyDiv w:val="1"/>
      <w:marLeft w:val="0"/>
      <w:marRight w:val="0"/>
      <w:marTop w:val="0"/>
      <w:marBottom w:val="0"/>
      <w:divBdr>
        <w:top w:val="none" w:sz="0" w:space="0" w:color="auto"/>
        <w:left w:val="none" w:sz="0" w:space="0" w:color="auto"/>
        <w:bottom w:val="none" w:sz="0" w:space="0" w:color="auto"/>
        <w:right w:val="none" w:sz="0" w:space="0" w:color="auto"/>
      </w:divBdr>
    </w:div>
    <w:div w:id="1123841035">
      <w:bodyDiv w:val="1"/>
      <w:marLeft w:val="0"/>
      <w:marRight w:val="0"/>
      <w:marTop w:val="0"/>
      <w:marBottom w:val="0"/>
      <w:divBdr>
        <w:top w:val="none" w:sz="0" w:space="0" w:color="auto"/>
        <w:left w:val="none" w:sz="0" w:space="0" w:color="auto"/>
        <w:bottom w:val="none" w:sz="0" w:space="0" w:color="auto"/>
        <w:right w:val="none" w:sz="0" w:space="0" w:color="auto"/>
      </w:divBdr>
    </w:div>
    <w:div w:id="1317147344">
      <w:bodyDiv w:val="1"/>
      <w:marLeft w:val="0"/>
      <w:marRight w:val="0"/>
      <w:marTop w:val="0"/>
      <w:marBottom w:val="0"/>
      <w:divBdr>
        <w:top w:val="none" w:sz="0" w:space="0" w:color="auto"/>
        <w:left w:val="none" w:sz="0" w:space="0" w:color="auto"/>
        <w:bottom w:val="none" w:sz="0" w:space="0" w:color="auto"/>
        <w:right w:val="none" w:sz="0" w:space="0" w:color="auto"/>
      </w:divBdr>
    </w:div>
    <w:div w:id="1393968934">
      <w:bodyDiv w:val="1"/>
      <w:marLeft w:val="0"/>
      <w:marRight w:val="0"/>
      <w:marTop w:val="0"/>
      <w:marBottom w:val="0"/>
      <w:divBdr>
        <w:top w:val="none" w:sz="0" w:space="0" w:color="auto"/>
        <w:left w:val="none" w:sz="0" w:space="0" w:color="auto"/>
        <w:bottom w:val="none" w:sz="0" w:space="0" w:color="auto"/>
        <w:right w:val="none" w:sz="0" w:space="0" w:color="auto"/>
      </w:divBdr>
    </w:div>
    <w:div w:id="1794513824">
      <w:bodyDiv w:val="1"/>
      <w:marLeft w:val="0"/>
      <w:marRight w:val="0"/>
      <w:marTop w:val="0"/>
      <w:marBottom w:val="0"/>
      <w:divBdr>
        <w:top w:val="none" w:sz="0" w:space="0" w:color="auto"/>
        <w:left w:val="none" w:sz="0" w:space="0" w:color="auto"/>
        <w:bottom w:val="none" w:sz="0" w:space="0" w:color="auto"/>
        <w:right w:val="none" w:sz="0" w:space="0" w:color="auto"/>
      </w:divBdr>
    </w:div>
    <w:div w:id="1894348260">
      <w:bodyDiv w:val="1"/>
      <w:marLeft w:val="0"/>
      <w:marRight w:val="0"/>
      <w:marTop w:val="0"/>
      <w:marBottom w:val="0"/>
      <w:divBdr>
        <w:top w:val="none" w:sz="0" w:space="0" w:color="auto"/>
        <w:left w:val="none" w:sz="0" w:space="0" w:color="auto"/>
        <w:bottom w:val="none" w:sz="0" w:space="0" w:color="auto"/>
        <w:right w:val="none" w:sz="0" w:space="0" w:color="auto"/>
      </w:divBdr>
    </w:div>
    <w:div w:id="2105614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33FDE5-947A-4BD6-87F9-1CC63F441B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2907</Words>
  <Characters>16863</Characters>
  <Application>Microsoft Office Word</Application>
  <DocSecurity>0</DocSecurity>
  <PresentationFormat/>
  <Lines>140</Lines>
  <Paragraphs>39</Paragraphs>
  <Slides>0</Slides>
  <Notes>0</Notes>
  <HiddenSlides>0</HiddenSlides>
  <MMClips>0</MMClip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19731</CharactersWithSpaces>
  <SharedDoc>false</SharedDoc>
  <HLinks>
    <vt:vector size="42" baseType="variant">
      <vt:variant>
        <vt:i4>1048627</vt:i4>
      </vt:variant>
      <vt:variant>
        <vt:i4>38</vt:i4>
      </vt:variant>
      <vt:variant>
        <vt:i4>0</vt:i4>
      </vt:variant>
      <vt:variant>
        <vt:i4>5</vt:i4>
      </vt:variant>
      <vt:variant>
        <vt:lpwstr/>
      </vt:variant>
      <vt:variant>
        <vt:lpwstr>_Toc153474625</vt:lpwstr>
      </vt:variant>
      <vt:variant>
        <vt:i4>1048627</vt:i4>
      </vt:variant>
      <vt:variant>
        <vt:i4>32</vt:i4>
      </vt:variant>
      <vt:variant>
        <vt:i4>0</vt:i4>
      </vt:variant>
      <vt:variant>
        <vt:i4>5</vt:i4>
      </vt:variant>
      <vt:variant>
        <vt:lpwstr/>
      </vt:variant>
      <vt:variant>
        <vt:lpwstr>_Toc153474624</vt:lpwstr>
      </vt:variant>
      <vt:variant>
        <vt:i4>1048627</vt:i4>
      </vt:variant>
      <vt:variant>
        <vt:i4>26</vt:i4>
      </vt:variant>
      <vt:variant>
        <vt:i4>0</vt:i4>
      </vt:variant>
      <vt:variant>
        <vt:i4>5</vt:i4>
      </vt:variant>
      <vt:variant>
        <vt:lpwstr/>
      </vt:variant>
      <vt:variant>
        <vt:lpwstr>_Toc153474623</vt:lpwstr>
      </vt:variant>
      <vt:variant>
        <vt:i4>1048627</vt:i4>
      </vt:variant>
      <vt:variant>
        <vt:i4>20</vt:i4>
      </vt:variant>
      <vt:variant>
        <vt:i4>0</vt:i4>
      </vt:variant>
      <vt:variant>
        <vt:i4>5</vt:i4>
      </vt:variant>
      <vt:variant>
        <vt:lpwstr/>
      </vt:variant>
      <vt:variant>
        <vt:lpwstr>_Toc153474622</vt:lpwstr>
      </vt:variant>
      <vt:variant>
        <vt:i4>1048627</vt:i4>
      </vt:variant>
      <vt:variant>
        <vt:i4>14</vt:i4>
      </vt:variant>
      <vt:variant>
        <vt:i4>0</vt:i4>
      </vt:variant>
      <vt:variant>
        <vt:i4>5</vt:i4>
      </vt:variant>
      <vt:variant>
        <vt:lpwstr/>
      </vt:variant>
      <vt:variant>
        <vt:lpwstr>_Toc153474621</vt:lpwstr>
      </vt:variant>
      <vt:variant>
        <vt:i4>1048627</vt:i4>
      </vt:variant>
      <vt:variant>
        <vt:i4>8</vt:i4>
      </vt:variant>
      <vt:variant>
        <vt:i4>0</vt:i4>
      </vt:variant>
      <vt:variant>
        <vt:i4>5</vt:i4>
      </vt:variant>
      <vt:variant>
        <vt:lpwstr/>
      </vt:variant>
      <vt:variant>
        <vt:lpwstr>_Toc153474620</vt:lpwstr>
      </vt:variant>
      <vt:variant>
        <vt:i4>1245235</vt:i4>
      </vt:variant>
      <vt:variant>
        <vt:i4>2</vt:i4>
      </vt:variant>
      <vt:variant>
        <vt:i4>0</vt:i4>
      </vt:variant>
      <vt:variant>
        <vt:i4>5</vt:i4>
      </vt:variant>
      <vt:variant>
        <vt:lpwstr/>
      </vt:variant>
      <vt:variant>
        <vt:lpwstr>_Toc153474619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2023-12-16T15:56:00Z</dcterms:created>
  <dcterms:modified xsi:type="dcterms:W3CDTF">2023-12-20T09:52:00Z</dcterms:modified>
  <cp:category/>
</cp:coreProperties>
</file>