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pPr>
      <w:r w:rsidDel="00000000" w:rsidR="00000000" w:rsidRPr="00000000">
        <w:rPr>
          <w:rtl w:val="0"/>
        </w:rPr>
        <w:br w:type="textWrapping"/>
        <w:br w:type="textWrapping"/>
        <w:t xml:space="preserve">This conference proposal is based on the examination of the contrasting beliefs on abortion within Islam, with reference to religious and legal text, and a particular focus on Sunni Islam, as it is the largest denomination.This topic could be further explored by an additional examination of religious texts, and interpretations of said texts by scholars. Additionally, questionnaires could be used to gather an overall opinion of Sunni Muslims of a particular demographic (perhaps a specific age and/or location etc). Statistics on abortion rates in specific countries could also be analysed in order to surmise the differing opinions within this denomination, and compare which countries are more accepting, as well as observing the abortion laws of these countries.</w:t>
        <w:br w:type="textWrapping"/>
        <w:br w:type="textWrapping"/>
        <w:t xml:space="preserve">While abortion is considered a sin in Islam,  there are many inconsistencies regarding the perceived severity of the sin. Despite this, all countries with muslim majorities permit abortions to be carried out (the restraints and conditions put in place by each country differ depending on the restrictiveness of the school of thought it follows). It is determined on a case-by-case basis, depending on the circumstances and the medical needs of the mother. Tunisia and Turkey for example, permit abortions upon request, whilst other such as Algeria, would require the pregnancy to be deemed damaging to the mental/physical health of the mother</w:t>
      </w:r>
      <w:r w:rsidDel="00000000" w:rsidR="00000000" w:rsidRPr="00000000">
        <w:rPr>
          <w:vertAlign w:val="superscript"/>
        </w:rPr>
        <w:footnoteReference w:customMarkFollows="0" w:id="0"/>
      </w:r>
      <w:r w:rsidDel="00000000" w:rsidR="00000000" w:rsidRPr="00000000">
        <w:rPr>
          <w:rtl w:val="0"/>
        </w:rPr>
        <w:t xml:space="preserve">.But what do the fundamental religious texts have to say on the matter?</w:t>
        <w:br w:type="textWrapping"/>
        <w:br w:type="textWrapping"/>
        <w:t xml:space="preserve">While the Qur’an itself does not specifically mention abortion, many passages that mention the view of the sanctity of life or killing of children, are often used and applied to the debates concerning abortion. The quote most frequently used to argue the sanctity of life being: “If anyone kills a person, it is as if he kills all mankind, while if any saves a life, it is as if he saves the life of all mankind” (Qur’an 5:32). This quote holds the killing of an individual human with arguably the same severity as if a person had killed all of man, clearly demonstrating the importance, and sacredness of human life according to Islam.</w:t>
        <w:br w:type="textWrapping"/>
        <w:t xml:space="preserve">However, it can be argued that these quotes are not applicable to use in this debate as a fetus at various stages cannot yet be considered a child, or even human, by some standards. All muslims agree that the fetus can be considered a child when the process of ensoulment has occurred, but there are conflicting opinions on at which stage of pregnancy this process occurs. It is worth noting that the heavy emphasis placed on discouraging the killing of children is often taken out of context and applied to the abortion debate, when at the time, it was emphasized purely to stop the pre-islamic, pagan arabs from killing their children (particularly the females)</w:t>
      </w:r>
      <w:r w:rsidDel="00000000" w:rsidR="00000000" w:rsidRPr="00000000">
        <w:rPr>
          <w:vertAlign w:val="superscript"/>
        </w:rPr>
        <w:footnoteReference w:customMarkFollows="0" w:id="1"/>
      </w:r>
      <w:r w:rsidDel="00000000" w:rsidR="00000000" w:rsidRPr="00000000">
        <w:rPr>
          <w:rtl w:val="0"/>
        </w:rPr>
        <w:t xml:space="preserve"> for fear of them making them poor or bringing shame to the family.</w:t>
        <w:br w:type="textWrapping"/>
        <w:br w:type="textWrapping"/>
        <w:t xml:space="preserve">In addition to the Qur’an, the Sunnah (way of the prophet) also does not report that Muhammad had any direct dealings with intentional abortions. However, there is one recorded case of a forced miscarriage, which details how a woman killed her pregnant co-wife and the fetus by striking her with a tent pole. The Prophet required that blood money (</w:t>
      </w:r>
      <w:r w:rsidDel="00000000" w:rsidR="00000000" w:rsidRPr="00000000">
        <w:rPr>
          <w:i w:val="1"/>
          <w:rtl w:val="0"/>
        </w:rPr>
        <w:t xml:space="preserve">diya</w:t>
      </w:r>
      <w:r w:rsidDel="00000000" w:rsidR="00000000" w:rsidRPr="00000000">
        <w:rPr>
          <w:rtl w:val="0"/>
        </w:rPr>
        <w:t xml:space="preserve">) be paid by the murderer’s family for the deceased woman, and a payment of a male or female slave (known as </w:t>
      </w:r>
      <w:r w:rsidDel="00000000" w:rsidR="00000000" w:rsidRPr="00000000">
        <w:rPr>
          <w:i w:val="1"/>
          <w:rtl w:val="0"/>
        </w:rPr>
        <w:t xml:space="preserve">ghurra)</w:t>
      </w:r>
      <w:r w:rsidDel="00000000" w:rsidR="00000000" w:rsidRPr="00000000">
        <w:rPr>
          <w:rtl w:val="0"/>
        </w:rPr>
        <w:t xml:space="preserve"> for the fetus. This legal ruling, while not relating to the abortion debate itself, is able to demonstrates that the unborn fetus does have legal protection, albeit not the same protection afforded to a fully-formed and born human.</w:t>
        <w:br w:type="textWrapping"/>
        <w:br w:type="textWrapping"/>
        <w:t xml:space="preserve">Within the sunni branch of Islam, there are four main schools of thought, all of which have differing opinions on the subject of abortion, the most liberal of them being the Hanafi school, which argues that abortion is acceptable as long as it occurs before 120 days, which is when ensoulment is believed to occur. This is largely due to the hadith which states that “</w:t>
      </w:r>
      <w:r w:rsidDel="00000000" w:rsidR="00000000" w:rsidRPr="00000000">
        <w:rPr>
          <w:highlight w:val="white"/>
          <w:rtl w:val="0"/>
        </w:rPr>
        <w:t xml:space="preserve">Each of you is constituted in your mother's womb for 40 days as a </w:t>
      </w:r>
      <w:r w:rsidDel="00000000" w:rsidR="00000000" w:rsidRPr="00000000">
        <w:rPr>
          <w:i w:val="1"/>
          <w:highlight w:val="white"/>
          <w:rtl w:val="0"/>
        </w:rPr>
        <w:t xml:space="preserve">nutfa</w:t>
      </w:r>
      <w:r w:rsidDel="00000000" w:rsidR="00000000" w:rsidRPr="00000000">
        <w:rPr>
          <w:highlight w:val="white"/>
          <w:rtl w:val="0"/>
        </w:rPr>
        <w:t xml:space="preserve"> (semen), then it becomes an </w:t>
      </w:r>
      <w:r w:rsidDel="00000000" w:rsidR="00000000" w:rsidRPr="00000000">
        <w:rPr>
          <w:i w:val="1"/>
          <w:highlight w:val="white"/>
          <w:rtl w:val="0"/>
        </w:rPr>
        <w:t xml:space="preserve">alaqa</w:t>
      </w:r>
      <w:r w:rsidDel="00000000" w:rsidR="00000000" w:rsidRPr="00000000">
        <w:rPr>
          <w:highlight w:val="white"/>
          <w:rtl w:val="0"/>
        </w:rPr>
        <w:t xml:space="preserve"> (clot) for an equal period, then a </w:t>
      </w:r>
      <w:r w:rsidDel="00000000" w:rsidR="00000000" w:rsidRPr="00000000">
        <w:rPr>
          <w:i w:val="1"/>
          <w:highlight w:val="white"/>
          <w:rtl w:val="0"/>
        </w:rPr>
        <w:t xml:space="preserve">mudgha</w:t>
      </w:r>
      <w:r w:rsidDel="00000000" w:rsidR="00000000" w:rsidRPr="00000000">
        <w:rPr>
          <w:highlight w:val="white"/>
          <w:rtl w:val="0"/>
        </w:rPr>
        <w:t xml:space="preserve"> (lump of flesh) for another equal period, then the angel is sent and he breathes the </w:t>
      </w:r>
      <w:r w:rsidDel="00000000" w:rsidR="00000000" w:rsidRPr="00000000">
        <w:rPr>
          <w:i w:val="1"/>
          <w:highlight w:val="white"/>
          <w:rtl w:val="0"/>
        </w:rPr>
        <w:t xml:space="preserve">ruh</w:t>
      </w:r>
      <w:r w:rsidDel="00000000" w:rsidR="00000000" w:rsidRPr="00000000">
        <w:rPr>
          <w:highlight w:val="white"/>
          <w:rtl w:val="0"/>
        </w:rPr>
        <w:t xml:space="preserve">, (spirit) into it”</w:t>
      </w:r>
      <w:r w:rsidDel="00000000" w:rsidR="00000000" w:rsidRPr="00000000">
        <w:rPr>
          <w:vertAlign w:val="superscript"/>
        </w:rPr>
        <w:footnoteReference w:customMarkFollows="0" w:id="2"/>
      </w:r>
      <w:r w:rsidDel="00000000" w:rsidR="00000000" w:rsidRPr="00000000">
        <w:rPr>
          <w:rtl w:val="0"/>
        </w:rPr>
        <w:t xml:space="preserve">. Some medical practitioners have argued that there is no basis in modern medicine for the process of ‘ensoulment’ at 120 days, and therefore abortion at any time should be forbidden.However, prominent Hanafi jurist Ibn ‘Abidin (d.1842 C.E.) argued that it was permissible for the woman to have an abortion before the 120 day mark, as before this point, the fetus is not deemed a full human being, due to the lack of typical human characteristics, such as the formation of the limbs etc. Abortion after this period of time is normally prohibited unless there is a ‘just cause’, which would normally constitute the endangerment of the mother’s life/health. In this situation, the mother’s life takes precedence over that of the fetus because the woman already has a family, a life, and people who depend on her. Additionally, the lives of existing children are also considered to be of a higher priority than the fetus, which adds to the maternal precedence if she already has children that are dependent on her.</w:t>
        <w:br w:type="textWrapping"/>
        <w:br w:type="textWrapping"/>
        <w:t xml:space="preserve">In contrast to this, the Maliki school of thought (joined by many Shafi’is, Ibadis and even Imami Shia) holds the strictest perspective, arguing that the fetus is ensouled at the moment of conception, or within the first 40 days.</w:t>
        <w:br w:type="textWrapping"/>
        <w:t xml:space="preserve">Despite these discrepancies of a time frame for ensoulment, one belief is consistent throughout all schools; abortion in the early stages is a sin, but the sin grows more serious as more time passes, allowing the fetus to develop further.</w:t>
      </w:r>
    </w:p>
    <w:p w:rsidR="00000000" w:rsidDel="00000000" w:rsidP="00000000" w:rsidRDefault="00000000" w:rsidRPr="00000000">
      <w:pPr>
        <w:contextualSpacing w:val="0"/>
        <w:rPr>
          <w:i w:val="1"/>
        </w:rPr>
      </w:pPr>
      <w:r w:rsidDel="00000000" w:rsidR="00000000" w:rsidRPr="00000000">
        <w:rPr>
          <w:rtl w:val="0"/>
        </w:rPr>
        <w:br w:type="textWrapping"/>
        <w:t xml:space="preserve">In conclusion, there are many conflicting opinions regarding the severity of the act of abortion. On the one hand, it would be deemed a just act by some schools if it were done to save the mother (and within an acceptable time frame). On the other, it would be perceived as haram (forbidden)  either way, and therefore not permissible. However, the fact that abortion is not directly mentioned or dealt with in the Qur’an, could arguably allow an open dialogue to be established and debated between Muslim scholars, in order to discourage the few remaining schools that view it as a morally wrong act, but rather an act that is a final resort to the thousands of women that need it.</w:t>
        <w:br w:type="textWrapping"/>
        <w:br w:type="textWrapping"/>
        <w:br w:type="textWrapping"/>
        <w:br w:type="textWrapping"/>
        <w:br w:type="textWrapping"/>
        <w:br w:type="textWrapping"/>
        <w:br w:type="textWrapping"/>
        <w:br w:type="textWrapping"/>
        <w:br w:type="textWrapping"/>
        <w:br w:type="textWrapping"/>
      </w:r>
      <w:r w:rsidDel="00000000" w:rsidR="00000000" w:rsidRPr="00000000">
        <w:rPr>
          <w:b w:val="1"/>
          <w:sz w:val="28"/>
          <w:szCs w:val="28"/>
          <w:rtl w:val="0"/>
        </w:rPr>
        <w:t xml:space="preserve">Bibliography</w:t>
        <w:br w:type="textWrapping"/>
        <w:br w:type="textWrapping"/>
      </w:r>
      <w:r w:rsidDel="00000000" w:rsidR="00000000" w:rsidRPr="00000000">
        <w:rPr>
          <w:b w:val="1"/>
          <w:sz w:val="24"/>
          <w:szCs w:val="24"/>
          <w:rtl w:val="0"/>
        </w:rPr>
        <w:t xml:space="preserve">Books:</w:t>
      </w:r>
      <w:r w:rsidDel="00000000" w:rsidR="00000000" w:rsidRPr="00000000">
        <w:rPr>
          <w:b w:val="1"/>
          <w:sz w:val="28"/>
          <w:szCs w:val="28"/>
          <w:rtl w:val="0"/>
        </w:rPr>
        <w:br w:type="textWrapping"/>
      </w:r>
      <w:r w:rsidDel="00000000" w:rsidR="00000000" w:rsidRPr="00000000">
        <w:rPr>
          <w:b w:val="1"/>
          <w:sz w:val="20"/>
          <w:szCs w:val="20"/>
          <w:rtl w:val="0"/>
        </w:rPr>
        <w:t xml:space="preserve">Muslim,</w:t>
      </w:r>
      <w:r w:rsidDel="00000000" w:rsidR="00000000" w:rsidRPr="00000000">
        <w:rPr>
          <w:b w:val="1"/>
          <w:i w:val="1"/>
          <w:sz w:val="20"/>
          <w:szCs w:val="20"/>
          <w:rtl w:val="0"/>
        </w:rPr>
        <w:t xml:space="preserve"> Book of Qadr </w:t>
      </w:r>
      <w:r w:rsidDel="00000000" w:rsidR="00000000" w:rsidRPr="00000000">
        <w:rPr>
          <w:b w:val="1"/>
          <w:sz w:val="20"/>
          <w:szCs w:val="20"/>
          <w:rtl w:val="0"/>
        </w:rPr>
        <w:t xml:space="preserve">Hadith no.4781</w:t>
      </w:r>
      <w:r w:rsidDel="00000000" w:rsidR="00000000" w:rsidRPr="00000000">
        <w:rPr>
          <w:sz w:val="20"/>
          <w:szCs w:val="20"/>
          <w:rtl w:val="0"/>
        </w:rPr>
        <w:t xml:space="preserve"> (quoted by Sa’diyya Shaik:</w:t>
      </w:r>
      <w:r w:rsidDel="00000000" w:rsidR="00000000" w:rsidRPr="00000000">
        <w:rPr>
          <w:i w:val="1"/>
          <w:sz w:val="20"/>
          <w:szCs w:val="20"/>
          <w:rtl w:val="0"/>
        </w:rPr>
        <w:t xml:space="preserve"> Family Planning, Contraception and Abortion in Islam </w:t>
      </w:r>
      <w:r w:rsidDel="00000000" w:rsidR="00000000" w:rsidRPr="00000000">
        <w:rPr>
          <w:sz w:val="20"/>
          <w:szCs w:val="20"/>
          <w:rtl w:val="0"/>
        </w:rPr>
        <w:t xml:space="preserve">Found in</w:t>
      </w:r>
      <w:r w:rsidDel="00000000" w:rsidR="00000000" w:rsidRPr="00000000">
        <w:rPr>
          <w:sz w:val="20"/>
          <w:szCs w:val="20"/>
          <w:rtl w:val="0"/>
        </w:rPr>
        <w:t xml:space="preserve"> </w:t>
      </w:r>
      <w:r w:rsidDel="00000000" w:rsidR="00000000" w:rsidRPr="00000000">
        <w:rPr>
          <w:i w:val="1"/>
          <w:sz w:val="20"/>
          <w:szCs w:val="20"/>
          <w:rtl w:val="0"/>
        </w:rPr>
        <w:t xml:space="preserve">Sacred Rights: The Case for Contraception and Abortion in World Religions , </w:t>
      </w:r>
      <w:r w:rsidDel="00000000" w:rsidR="00000000" w:rsidRPr="00000000">
        <w:rPr>
          <w:sz w:val="20"/>
          <w:szCs w:val="20"/>
          <w:rtl w:val="0"/>
        </w:rPr>
        <w:t xml:space="preserve">Oxford Scholarship Online 2011</w:t>
      </w:r>
      <w:r w:rsidDel="00000000" w:rsidR="00000000" w:rsidRPr="00000000">
        <w:rPr>
          <w:i w:val="1"/>
          <w:sz w:val="20"/>
          <w:szCs w:val="20"/>
          <w:rtl w:val="0"/>
        </w:rPr>
        <w:t xml:space="preserve">)</w:t>
        <w:br w:type="textWrapping"/>
        <w:br w:type="textWrapping"/>
      </w:r>
      <w:r w:rsidDel="00000000" w:rsidR="00000000" w:rsidRPr="00000000">
        <w:rPr>
          <w:b w:val="1"/>
          <w:sz w:val="20"/>
          <w:szCs w:val="20"/>
          <w:rtl w:val="0"/>
        </w:rPr>
        <w:t xml:space="preserve"> Nanji,Azim:</w:t>
      </w:r>
      <w:r w:rsidDel="00000000" w:rsidR="00000000" w:rsidRPr="00000000">
        <w:rPr>
          <w:b w:val="1"/>
          <w:i w:val="1"/>
          <w:sz w:val="20"/>
          <w:szCs w:val="20"/>
          <w:rtl w:val="0"/>
        </w:rPr>
        <w:t xml:space="preserve">Islamic Ethics</w:t>
      </w:r>
      <w:r w:rsidDel="00000000" w:rsidR="00000000" w:rsidRPr="00000000">
        <w:rPr>
          <w:i w:val="1"/>
          <w:rtl w:val="0"/>
        </w:rPr>
        <w:t xml:space="preserve"> (</w:t>
      </w:r>
      <w:r w:rsidDel="00000000" w:rsidR="00000000" w:rsidRPr="00000000">
        <w:rPr>
          <w:sz w:val="20"/>
          <w:szCs w:val="20"/>
          <w:rtl w:val="0"/>
        </w:rPr>
        <w:t xml:space="preserve">Found in</w:t>
      </w:r>
      <w:r w:rsidDel="00000000" w:rsidR="00000000" w:rsidRPr="00000000">
        <w:rPr>
          <w:rtl w:val="0"/>
        </w:rPr>
        <w:t xml:space="preserve"> </w:t>
      </w:r>
      <w:r w:rsidDel="00000000" w:rsidR="00000000" w:rsidRPr="00000000">
        <w:rPr>
          <w:i w:val="1"/>
          <w:sz w:val="20"/>
          <w:szCs w:val="20"/>
          <w:rtl w:val="0"/>
        </w:rPr>
        <w:t xml:space="preserve">Islamic Ethics of Life: Abortion, War, and Euthanasia</w:t>
      </w:r>
      <w:r w:rsidDel="00000000" w:rsidR="00000000" w:rsidRPr="00000000">
        <w:rPr>
          <w:i w:val="1"/>
          <w:rtl w:val="0"/>
        </w:rPr>
        <w:t xml:space="preserve">,</w:t>
      </w:r>
      <w:r w:rsidDel="00000000" w:rsidR="00000000" w:rsidRPr="00000000">
        <w:rPr>
          <w:sz w:val="20"/>
          <w:szCs w:val="20"/>
          <w:rtl w:val="0"/>
        </w:rPr>
        <w:t xml:space="preserve">University of South Carolina Press, Columbia, South Carolina 2003</w:t>
      </w:r>
      <w:r w:rsidDel="00000000" w:rsidR="00000000" w:rsidRPr="00000000">
        <w:rPr>
          <w:i w:val="1"/>
          <w:rtl w:val="0"/>
        </w:rPr>
        <w:t xml:space="preserve">)</w:t>
      </w:r>
    </w:p>
    <w:p w:rsidR="00000000" w:rsidDel="00000000" w:rsidP="00000000" w:rsidRDefault="00000000" w:rsidRPr="00000000">
      <w:pPr>
        <w:contextualSpacing w:val="0"/>
        <w:rPr>
          <w:b w:val="1"/>
          <w:sz w:val="24"/>
          <w:szCs w:val="24"/>
        </w:rPr>
      </w:pPr>
      <w:r w:rsidDel="00000000" w:rsidR="00000000" w:rsidRPr="00000000">
        <w:rPr>
          <w:b w:val="1"/>
          <w:sz w:val="28"/>
          <w:szCs w:val="28"/>
          <w:rtl w:val="0"/>
        </w:rPr>
        <w:br w:type="textWrapping"/>
      </w:r>
      <w:r w:rsidDel="00000000" w:rsidR="00000000" w:rsidRPr="00000000">
        <w:rPr>
          <w:b w:val="1"/>
          <w:sz w:val="24"/>
          <w:szCs w:val="24"/>
          <w:rtl w:val="0"/>
        </w:rPr>
        <w:t xml:space="preserve">Articles:</w:t>
        <w:br w:type="textWrapping"/>
      </w:r>
      <w:r w:rsidDel="00000000" w:rsidR="00000000" w:rsidRPr="00000000">
        <w:rPr>
          <w:sz w:val="20"/>
          <w:szCs w:val="20"/>
          <w:rtl w:val="0"/>
        </w:rPr>
        <w:t xml:space="preserve">Leila Hessini </w:t>
      </w:r>
      <w:r w:rsidDel="00000000" w:rsidR="00000000" w:rsidRPr="00000000">
        <w:rPr>
          <w:i w:val="1"/>
          <w:sz w:val="20"/>
          <w:szCs w:val="20"/>
          <w:rtl w:val="0"/>
        </w:rPr>
        <w:t xml:space="preserve">Islam and Abortion: The Diversity of Discourses and Practises (Volume 39 Issue 3, 5th July 2008)</w:t>
      </w:r>
      <w:r w:rsidDel="00000000" w:rsidR="00000000" w:rsidRPr="00000000">
        <w:rPr>
          <w:b w:val="1"/>
          <w:sz w:val="28"/>
          <w:szCs w:val="28"/>
          <w:rtl w:val="0"/>
        </w:rPr>
        <w:br w:type="textWrapping"/>
      </w: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1">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Azim Nanji:</w:t>
      </w:r>
      <w:r w:rsidDel="00000000" w:rsidR="00000000" w:rsidRPr="00000000">
        <w:rPr>
          <w:i w:val="1"/>
          <w:sz w:val="20"/>
          <w:szCs w:val="20"/>
          <w:rtl w:val="0"/>
        </w:rPr>
        <w:t xml:space="preserve">Islamic Ethics (</w:t>
      </w:r>
      <w:r w:rsidDel="00000000" w:rsidR="00000000" w:rsidRPr="00000000">
        <w:rPr>
          <w:sz w:val="20"/>
          <w:szCs w:val="20"/>
          <w:rtl w:val="0"/>
        </w:rPr>
        <w:t xml:space="preserve">Found in </w:t>
      </w:r>
      <w:r w:rsidDel="00000000" w:rsidR="00000000" w:rsidRPr="00000000">
        <w:rPr>
          <w:i w:val="1"/>
          <w:sz w:val="20"/>
          <w:szCs w:val="20"/>
          <w:rtl w:val="0"/>
        </w:rPr>
        <w:t xml:space="preserve">Islamic Ethics of Life: Abortion, War, and Euthanasia </w:t>
      </w:r>
      <w:r w:rsidDel="00000000" w:rsidR="00000000" w:rsidRPr="00000000">
        <w:rPr>
          <w:sz w:val="20"/>
          <w:szCs w:val="20"/>
          <w:rtl w:val="0"/>
        </w:rPr>
        <w:t xml:space="preserve">pg 109</w:t>
      </w:r>
      <w:r w:rsidDel="00000000" w:rsidR="00000000" w:rsidRPr="00000000">
        <w:rPr>
          <w:i w:val="1"/>
          <w:sz w:val="20"/>
          <w:szCs w:val="20"/>
          <w:rtl w:val="0"/>
        </w:rPr>
        <w:t xml:space="preserve">)</w:t>
      </w:r>
    </w:p>
  </w:footnote>
  <w:footnote w:id="2">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Muslim,</w:t>
      </w:r>
      <w:r w:rsidDel="00000000" w:rsidR="00000000" w:rsidRPr="00000000">
        <w:rPr>
          <w:i w:val="1"/>
          <w:sz w:val="20"/>
          <w:szCs w:val="20"/>
          <w:rtl w:val="0"/>
        </w:rPr>
        <w:t xml:space="preserve"> Book of Qadr </w:t>
      </w:r>
      <w:r w:rsidDel="00000000" w:rsidR="00000000" w:rsidRPr="00000000">
        <w:rPr>
          <w:sz w:val="20"/>
          <w:szCs w:val="20"/>
          <w:rtl w:val="0"/>
        </w:rPr>
        <w:t xml:space="preserve">Hadith no.4781 (quoted by Daniel C. Maguire, </w:t>
      </w:r>
      <w:r w:rsidDel="00000000" w:rsidR="00000000" w:rsidRPr="00000000">
        <w:rPr>
          <w:i w:val="1"/>
          <w:sz w:val="20"/>
          <w:szCs w:val="20"/>
          <w:rtl w:val="0"/>
        </w:rPr>
        <w:t xml:space="preserve">Sacred Rights: The Case for Contraception and Abortion in World Religions pg.120)</w:t>
      </w:r>
    </w:p>
  </w:footnote>
  <w:footnote w:id="0">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Leila Hessini </w:t>
      </w:r>
      <w:r w:rsidDel="00000000" w:rsidR="00000000" w:rsidRPr="00000000">
        <w:rPr>
          <w:i w:val="1"/>
          <w:sz w:val="20"/>
          <w:szCs w:val="20"/>
          <w:rtl w:val="0"/>
        </w:rPr>
        <w:t xml:space="preserve">Islam and Abortion: The Diversity of Discourses and Practises (pg 5)</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