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B66A2" w:rsidRDefault="00CB66A2">
      <w:pPr>
        <w:rPr>
          <w:b/>
          <w:sz w:val="28"/>
        </w:rPr>
      </w:pPr>
      <w:r w:rsidRPr="00CB66A2">
        <w:rPr>
          <w:b/>
          <w:sz w:val="28"/>
        </w:rPr>
        <w:t>Was Frederick II a visionary, or simply self-serving?</w:t>
      </w:r>
    </w:p>
    <w:p w:rsidR="00244616" w:rsidRDefault="00244616">
      <w:pPr>
        <w:rPr>
          <w:b/>
          <w:sz w:val="28"/>
        </w:rPr>
      </w:pPr>
    </w:p>
    <w:p w:rsidR="00244616" w:rsidRDefault="00244616">
      <w:pPr>
        <w:rPr>
          <w:sz w:val="24"/>
        </w:rPr>
      </w:pPr>
      <w:r w:rsidRPr="00244616">
        <w:rPr>
          <w:sz w:val="24"/>
        </w:rPr>
        <w:t xml:space="preserve">Frederick II was </w:t>
      </w:r>
      <w:r w:rsidR="008E4B57">
        <w:rPr>
          <w:sz w:val="24"/>
        </w:rPr>
        <w:t>undoubtedly</w:t>
      </w:r>
      <w:r w:rsidRPr="00244616">
        <w:rPr>
          <w:sz w:val="24"/>
        </w:rPr>
        <w:t xml:space="preserve"> a </w:t>
      </w:r>
      <w:r>
        <w:rPr>
          <w:sz w:val="24"/>
        </w:rPr>
        <w:t xml:space="preserve">key figure in European history. Whether he was ruling from Sicily or Germany, he was a powerful figure throughout </w:t>
      </w:r>
      <w:r w:rsidR="00F55D0C">
        <w:rPr>
          <w:sz w:val="24"/>
        </w:rPr>
        <w:t xml:space="preserve">his </w:t>
      </w:r>
      <w:r w:rsidR="001022B2">
        <w:rPr>
          <w:sz w:val="24"/>
        </w:rPr>
        <w:t>domains</w:t>
      </w:r>
      <w:r w:rsidR="00F55D0C">
        <w:rPr>
          <w:sz w:val="24"/>
        </w:rPr>
        <w:t xml:space="preserve"> and achieved a great deal throughout the course of his life. </w:t>
      </w:r>
      <w:r w:rsidR="00564BC9">
        <w:rPr>
          <w:sz w:val="24"/>
        </w:rPr>
        <w:t>This essay will address the question of whether these accomplishments were the result of a visionary ruler who did all he can to ensure the best results for his kingdoms, or if they were in fact simply the result of a self-serving man who was seeking personal wealth and power with his own motives. Scholarship provides mixed views on this matter which will be critically analysed throughout the course of this essay, as well as discussing primary source material surviving from the period that can help us understand and provide an a</w:t>
      </w:r>
      <w:r w:rsidR="000F6A53">
        <w:rPr>
          <w:sz w:val="24"/>
        </w:rPr>
        <w:t xml:space="preserve">nswer to this complex question. </w:t>
      </w:r>
      <w:r w:rsidR="00E620A2">
        <w:rPr>
          <w:sz w:val="24"/>
        </w:rPr>
        <w:t xml:space="preserve">It is important for this work not to become a biography of Frederick’s life and for this reason, only certain events and periods of Fredrick’s life will be highlighted where they relate to the question. </w:t>
      </w:r>
      <w:r w:rsidR="000F6A53">
        <w:rPr>
          <w:sz w:val="24"/>
        </w:rPr>
        <w:t xml:space="preserve">While critically discussing both sides of the argument and giving reasons for any conclusions that can be made, key periods throughout the lifetime of Frederick II will be noted and commented on where it relates to the question. </w:t>
      </w:r>
    </w:p>
    <w:p w:rsidR="00562308" w:rsidRDefault="000F6A53">
      <w:pPr>
        <w:rPr>
          <w:sz w:val="24"/>
        </w:rPr>
      </w:pPr>
      <w:r>
        <w:rPr>
          <w:sz w:val="24"/>
        </w:rPr>
        <w:t xml:space="preserve">The first of these </w:t>
      </w:r>
      <w:r w:rsidR="001022B2">
        <w:rPr>
          <w:sz w:val="24"/>
        </w:rPr>
        <w:t>important periods of Frederick’s life that should be noted is his interesting early life &amp; childhood. Upon the sudden death of Frederick’s father, Henry VI, there was initially a lot of confusion in regard to what would happen with the territories of the deceased ruler due to the unstable situation relating to the crown at that point in time.</w:t>
      </w:r>
      <w:r w:rsidR="001022B2">
        <w:rPr>
          <w:rStyle w:val="FootnoteReference"/>
          <w:sz w:val="24"/>
        </w:rPr>
        <w:footnoteReference w:id="1"/>
      </w:r>
      <w:r w:rsidR="00E815F2">
        <w:rPr>
          <w:sz w:val="24"/>
        </w:rPr>
        <w:t xml:space="preserve"> </w:t>
      </w:r>
      <w:r w:rsidR="00842432">
        <w:rPr>
          <w:sz w:val="24"/>
        </w:rPr>
        <w:t xml:space="preserve">A very young </w:t>
      </w:r>
      <w:r w:rsidR="00E815F2">
        <w:rPr>
          <w:sz w:val="24"/>
        </w:rPr>
        <w:t>Frederick was sent to reside in Sicily with his mother</w:t>
      </w:r>
      <w:r w:rsidR="00842432">
        <w:rPr>
          <w:sz w:val="24"/>
        </w:rPr>
        <w:t>, Constance,</w:t>
      </w:r>
      <w:r w:rsidR="00E815F2">
        <w:rPr>
          <w:sz w:val="24"/>
        </w:rPr>
        <w:t xml:space="preserve"> and was crowned king of Sicily </w:t>
      </w:r>
      <w:r w:rsidR="00842432">
        <w:rPr>
          <w:sz w:val="24"/>
        </w:rPr>
        <w:t>in May 1198. It is both interesting and important to note that at this point Frederick received full support from the pope, who at this time was Innocent III.</w:t>
      </w:r>
      <w:r w:rsidR="00842432">
        <w:rPr>
          <w:rStyle w:val="FootnoteReference"/>
          <w:sz w:val="24"/>
        </w:rPr>
        <w:footnoteReference w:id="2"/>
      </w:r>
      <w:r w:rsidR="00842432">
        <w:rPr>
          <w:sz w:val="24"/>
        </w:rPr>
        <w:t xml:space="preserve"> Although this support would later dwindle, this is a point that will be addressed in more detail further on in this essay. However, it is important to note at this early stage as it is a point that will relate directly to the question. </w:t>
      </w:r>
      <w:r w:rsidR="00301C30">
        <w:rPr>
          <w:sz w:val="24"/>
        </w:rPr>
        <w:t>The primary reasons that the pope was so happy to go along with this arrangement, which was arranged by Constance shortly before her death, were both Frederick’s legitimate claim through his Norman bloodline and the popes own desire to see the relationship between Sicily and Germany deteriorate.</w:t>
      </w:r>
      <w:r w:rsidR="00D05C8E">
        <w:rPr>
          <w:rStyle w:val="FootnoteReference"/>
          <w:sz w:val="24"/>
        </w:rPr>
        <w:footnoteReference w:id="3"/>
      </w:r>
      <w:r w:rsidR="00C96705">
        <w:rPr>
          <w:sz w:val="24"/>
        </w:rPr>
        <w:t xml:space="preserve"> This is indeed an understandable ambition as the pope would want to feel as safe as possible within the papal states throughout central Italy in which he governed; a strong relationship between two of his surrounding neighbours could certainly be seen as a threat to the safety of the papal states in the event of relationships between pope and emperor deteriorating. </w:t>
      </w:r>
      <w:r w:rsidR="00562308">
        <w:rPr>
          <w:sz w:val="24"/>
        </w:rPr>
        <w:t>Throughout the course of this early period of his life and rule, Sicily was in the midst of chaos with local barons having more power than the crowned child monarch. This situation</w:t>
      </w:r>
      <w:r w:rsidR="005A1587">
        <w:rPr>
          <w:sz w:val="24"/>
        </w:rPr>
        <w:t xml:space="preserve"> was eventually </w:t>
      </w:r>
      <w:r w:rsidR="00612E6B">
        <w:rPr>
          <w:sz w:val="24"/>
        </w:rPr>
        <w:t>stabilised in</w:t>
      </w:r>
      <w:r w:rsidR="005A1587">
        <w:rPr>
          <w:sz w:val="24"/>
        </w:rPr>
        <w:t xml:space="preserve"> 1206 following the conquering of Palermo.</w:t>
      </w:r>
      <w:r w:rsidR="005A1587">
        <w:rPr>
          <w:rStyle w:val="FootnoteReference"/>
          <w:sz w:val="24"/>
        </w:rPr>
        <w:footnoteReference w:id="4"/>
      </w:r>
      <w:r w:rsidR="00612E6B">
        <w:rPr>
          <w:sz w:val="24"/>
        </w:rPr>
        <w:t xml:space="preserve"> The reason it is so important to keep these aspects of Frederick’s early life in mind when critically thinking </w:t>
      </w:r>
      <w:r w:rsidR="00612E6B">
        <w:rPr>
          <w:sz w:val="24"/>
        </w:rPr>
        <w:lastRenderedPageBreak/>
        <w:t>about how visionary of self-serving he truly was is that one must consider how these very early experiences would have had a longer lasting effect, both on him personally and more significantly, on his style of ruling. Frederick’s early reign of Sicily was anything but peaceful with rebellions and invasions rife and this absolutely would have had the potential to effect Frederick’s outlook on different groups of people which could be linked with events later on in his life, as will be covered. Perhaps the most important point to note at this stage is that these events very early on in Frederick’s life gave him an insight</w:t>
      </w:r>
      <w:r w:rsidR="00270717">
        <w:rPr>
          <w:sz w:val="24"/>
        </w:rPr>
        <w:t>, experience</w:t>
      </w:r>
      <w:r w:rsidR="00612E6B">
        <w:rPr>
          <w:sz w:val="24"/>
        </w:rPr>
        <w:t xml:space="preserve"> and knowledge that a ruler who had only governed over peaceful domains would </w:t>
      </w:r>
      <w:r w:rsidR="00270717">
        <w:rPr>
          <w:sz w:val="24"/>
        </w:rPr>
        <w:t>not have gained so easily. This point is reinforced by Kantorowicz, who claims the “immortal boy” learnt lessons that only a boy king such as Frederick could have been subjected to.</w:t>
      </w:r>
      <w:r w:rsidR="00270717">
        <w:rPr>
          <w:rStyle w:val="FootnoteReference"/>
          <w:sz w:val="24"/>
        </w:rPr>
        <w:footnoteReference w:id="5"/>
      </w:r>
    </w:p>
    <w:p w:rsidR="00BF06F5" w:rsidRDefault="00562308">
      <w:pPr>
        <w:rPr>
          <w:sz w:val="24"/>
        </w:rPr>
      </w:pPr>
      <w:r>
        <w:rPr>
          <w:sz w:val="24"/>
        </w:rPr>
        <w:t>The</w:t>
      </w:r>
      <w:r w:rsidR="00AA48F0">
        <w:rPr>
          <w:sz w:val="24"/>
        </w:rPr>
        <w:t xml:space="preserve"> possibility of a deteriorating relationship between </w:t>
      </w:r>
      <w:r>
        <w:rPr>
          <w:sz w:val="24"/>
        </w:rPr>
        <w:t xml:space="preserve">kings and popes is one that became a </w:t>
      </w:r>
      <w:r w:rsidR="00352720">
        <w:rPr>
          <w:sz w:val="24"/>
        </w:rPr>
        <w:t>sudden reality for Frederick II. Th</w:t>
      </w:r>
      <w:r>
        <w:rPr>
          <w:sz w:val="24"/>
        </w:rPr>
        <w:t xml:space="preserve">is the second period which is important to consider when addressing the question of </w:t>
      </w:r>
      <w:r w:rsidR="00352720">
        <w:rPr>
          <w:sz w:val="24"/>
        </w:rPr>
        <w:t>what proportion</w:t>
      </w:r>
      <w:r w:rsidR="00F51023">
        <w:rPr>
          <w:sz w:val="24"/>
        </w:rPr>
        <w:t xml:space="preserve"> of Frederic</w:t>
      </w:r>
      <w:r w:rsidR="00352720">
        <w:rPr>
          <w:sz w:val="24"/>
        </w:rPr>
        <w:t>k</w:t>
      </w:r>
      <w:r w:rsidR="00F51023">
        <w:rPr>
          <w:sz w:val="24"/>
        </w:rPr>
        <w:t xml:space="preserve">’s achievements were centred around his own personal ambitions and </w:t>
      </w:r>
      <w:r w:rsidR="00352720">
        <w:rPr>
          <w:sz w:val="24"/>
        </w:rPr>
        <w:t xml:space="preserve">what was done for the benefit of the kingdoms. </w:t>
      </w:r>
      <w:r w:rsidR="00203C02">
        <w:rPr>
          <w:sz w:val="24"/>
        </w:rPr>
        <w:t xml:space="preserve">Without wasting words by going in to detail about each and every one of these conflicts and battles with papal forces, it is fair to summarise </w:t>
      </w:r>
      <w:r w:rsidR="004D0F2F">
        <w:rPr>
          <w:sz w:val="24"/>
        </w:rPr>
        <w:t xml:space="preserve">by saying </w:t>
      </w:r>
      <w:r w:rsidR="00203C02">
        <w:rPr>
          <w:sz w:val="24"/>
        </w:rPr>
        <w:t>that relations between the two governing rulers deteriorated rapidly throughout the course of Frederick’s rule.</w:t>
      </w:r>
      <w:r w:rsidR="00203C02">
        <w:rPr>
          <w:rStyle w:val="FootnoteReference"/>
          <w:sz w:val="24"/>
        </w:rPr>
        <w:footnoteReference w:id="6"/>
      </w:r>
      <w:r w:rsidR="004D0F2F">
        <w:rPr>
          <w:sz w:val="24"/>
        </w:rPr>
        <w:t xml:space="preserve"> Many modern writers, </w:t>
      </w:r>
      <w:r w:rsidR="000C2DB5">
        <w:rPr>
          <w:sz w:val="24"/>
        </w:rPr>
        <w:t xml:space="preserve">such as </w:t>
      </w:r>
      <w:r w:rsidR="00015F59">
        <w:rPr>
          <w:sz w:val="24"/>
        </w:rPr>
        <w:t xml:space="preserve">Bryce, believe that part of the reason for Frederick standing up so vigorously against the supposed sovereignty of the papal monarchy wasn’t to </w:t>
      </w:r>
      <w:r w:rsidR="00902523">
        <w:rPr>
          <w:sz w:val="24"/>
        </w:rPr>
        <w:t>defend the rights of his domain</w:t>
      </w:r>
      <w:r w:rsidR="00015F59">
        <w:rPr>
          <w:sz w:val="24"/>
        </w:rPr>
        <w:t xml:space="preserve"> but rather to gain more power for himself.</w:t>
      </w:r>
      <w:r w:rsidR="00015F59">
        <w:rPr>
          <w:rStyle w:val="FootnoteReference"/>
          <w:sz w:val="24"/>
        </w:rPr>
        <w:footnoteReference w:id="7"/>
      </w:r>
      <w:r w:rsidR="00902523">
        <w:rPr>
          <w:sz w:val="24"/>
        </w:rPr>
        <w:t xml:space="preserve"> Although the topic of Frederick and his problems with the popes is very difficult to discuss in a short number of words, when one looks at other sources and investigates more closely the precise reasons for the disputes as well as which side was often the instigator in these matters, it becomes quite clear that there was almost certainly much more to these incidents than an emperor simply wishing to gain more territory and wealth.  </w:t>
      </w:r>
    </w:p>
    <w:p w:rsidR="005A012B" w:rsidRDefault="005A012B">
      <w:pPr>
        <w:rPr>
          <w:sz w:val="24"/>
        </w:rPr>
      </w:pPr>
      <w:r>
        <w:rPr>
          <w:sz w:val="24"/>
        </w:rPr>
        <w:t>The third and final period of the life of Frederick II I will briefly discuss as I feel it relates to the background of the question is Frederick’</w:t>
      </w:r>
      <w:r w:rsidR="00B4412C">
        <w:rPr>
          <w:sz w:val="24"/>
        </w:rPr>
        <w:t xml:space="preserve">s crusading activities. While already dealing with </w:t>
      </w:r>
      <w:r w:rsidR="00D04145">
        <w:rPr>
          <w:sz w:val="24"/>
        </w:rPr>
        <w:t>papal conflicts</w:t>
      </w:r>
      <w:r w:rsidR="00F7171C">
        <w:rPr>
          <w:sz w:val="24"/>
        </w:rPr>
        <w:t>, problems in Italy</w:t>
      </w:r>
      <w:r w:rsidR="00D04145">
        <w:rPr>
          <w:sz w:val="24"/>
        </w:rPr>
        <w:t xml:space="preserve"> and excommunication, Frederick embarked upon crusade to recapture the Holy Land as he had sworn to do at his coronation several years prior.</w:t>
      </w:r>
      <w:r w:rsidR="00D04145">
        <w:rPr>
          <w:rStyle w:val="FootnoteReference"/>
          <w:sz w:val="24"/>
        </w:rPr>
        <w:footnoteReference w:id="8"/>
      </w:r>
      <w:r w:rsidR="00396752">
        <w:rPr>
          <w:sz w:val="24"/>
        </w:rPr>
        <w:t xml:space="preserve"> Despite being an excommunicated emperor who would go straight back to battle with the papal forces upon the completion of his time on crusade, Frederick managed to get himself crowned King of Jerusalem. Many people consider this affair to be the defining moment that demonstrates the self-serving side of Frederick II, a point reinforced by the author Barraclough.</w:t>
      </w:r>
      <w:r w:rsidR="00396752">
        <w:rPr>
          <w:rStyle w:val="FootnoteReference"/>
          <w:sz w:val="24"/>
        </w:rPr>
        <w:footnoteReference w:id="9"/>
      </w:r>
      <w:r w:rsidR="00887360">
        <w:rPr>
          <w:sz w:val="24"/>
        </w:rPr>
        <w:t xml:space="preserve"> While there is surely the possibility that the only reason Frederick eventually went on crusade was to further his own agenda by having another title under his belt, one must be careful not to jump to conclusions when reading works of this type. A key piece of </w:t>
      </w:r>
      <w:r w:rsidR="00887360">
        <w:rPr>
          <w:sz w:val="24"/>
        </w:rPr>
        <w:lastRenderedPageBreak/>
        <w:t>evidence against this argument is the fact that Frederick took the oath many years before going on crusade, seemingly implying that he always had intended to take the trip but other commitments had come in the way of fulfilling this.</w:t>
      </w:r>
      <w:r w:rsidR="004E7200">
        <w:rPr>
          <w:rStyle w:val="FootnoteReference"/>
          <w:sz w:val="24"/>
        </w:rPr>
        <w:footnoteReference w:id="10"/>
      </w:r>
      <w:r w:rsidR="0068190E">
        <w:rPr>
          <w:sz w:val="24"/>
        </w:rPr>
        <w:t xml:space="preserve"> </w:t>
      </w:r>
    </w:p>
    <w:p w:rsidR="00BF06F5" w:rsidRDefault="00BF06F5">
      <w:pPr>
        <w:rPr>
          <w:sz w:val="24"/>
        </w:rPr>
      </w:pPr>
      <w:r>
        <w:rPr>
          <w:sz w:val="24"/>
        </w:rPr>
        <w:t>The final important aspect to think about while addressing this question, while keeping in mind all previous points made regarding Frederick’s life and how these events demonstrate him being a visionary or simply self-serving, is what our primary sources tell us from the time. One of the best contemporary narrations of Frederick features in Dante’s essay “</w:t>
      </w:r>
      <w:r w:rsidRPr="00BF06F5">
        <w:rPr>
          <w:sz w:val="24"/>
        </w:rPr>
        <w:t xml:space="preserve">De </w:t>
      </w:r>
      <w:proofErr w:type="spellStart"/>
      <w:r w:rsidRPr="00BF06F5">
        <w:rPr>
          <w:sz w:val="24"/>
        </w:rPr>
        <w:t>vulgari</w:t>
      </w:r>
      <w:proofErr w:type="spellEnd"/>
      <w:r w:rsidRPr="00BF06F5">
        <w:rPr>
          <w:sz w:val="24"/>
        </w:rPr>
        <w:t xml:space="preserve"> </w:t>
      </w:r>
      <w:proofErr w:type="spellStart"/>
      <w:r w:rsidRPr="00BF06F5">
        <w:rPr>
          <w:sz w:val="24"/>
        </w:rPr>
        <w:t>eloquentia</w:t>
      </w:r>
      <w:proofErr w:type="spellEnd"/>
      <w:r>
        <w:rPr>
          <w:sz w:val="24"/>
        </w:rPr>
        <w:t>”, written in Latin, which compliments Frederick as a wise man and a great ruler.</w:t>
      </w:r>
      <w:r>
        <w:rPr>
          <w:rStyle w:val="FootnoteReference"/>
          <w:sz w:val="24"/>
        </w:rPr>
        <w:footnoteReference w:id="11"/>
      </w:r>
      <w:r w:rsidR="00B53280">
        <w:rPr>
          <w:sz w:val="24"/>
        </w:rPr>
        <w:t xml:space="preserve"> This is significant as it demonstrates that Frederick II was somewhat popular even during the century in which he lived and was not simply glorified after death as many others have been. This popularity could have been a reflection on his governing style and what the people thought of him as a le</w:t>
      </w:r>
      <w:r w:rsidR="00957B4F">
        <w:rPr>
          <w:sz w:val="24"/>
        </w:rPr>
        <w:t xml:space="preserve">ader and his priorities. It is, however, important to consider this evidence critically and not just assume that every person thought highly of Frederick and his tactics. It is interesting to note that the same author, Dante, criticises Frederick and questions his leadership in his later work, </w:t>
      </w:r>
      <w:r w:rsidR="00930180">
        <w:rPr>
          <w:sz w:val="24"/>
        </w:rPr>
        <w:t>“</w:t>
      </w:r>
      <w:proofErr w:type="spellStart"/>
      <w:r w:rsidR="00930180">
        <w:rPr>
          <w:sz w:val="24"/>
        </w:rPr>
        <w:t>Convivio</w:t>
      </w:r>
      <w:proofErr w:type="spellEnd"/>
      <w:r w:rsidR="00930180">
        <w:rPr>
          <w:sz w:val="24"/>
        </w:rPr>
        <w:t>”, and even goes as far as to dismiss him as a heretic.</w:t>
      </w:r>
      <w:r w:rsidR="000C2DB5">
        <w:rPr>
          <w:rStyle w:val="FootnoteReference"/>
          <w:sz w:val="24"/>
        </w:rPr>
        <w:footnoteReference w:id="12"/>
      </w:r>
      <w:r w:rsidR="00930180">
        <w:rPr>
          <w:sz w:val="24"/>
        </w:rPr>
        <w:t xml:space="preserve"> This is especially important as it raises the interesting question of just what </w:t>
      </w:r>
      <w:r w:rsidR="00587E9A">
        <w:rPr>
          <w:sz w:val="24"/>
        </w:rPr>
        <w:t xml:space="preserve">happened throughout this period that caused Dante, and possibly other people of the period, </w:t>
      </w:r>
      <w:r w:rsidR="00E620A2">
        <w:rPr>
          <w:sz w:val="24"/>
        </w:rPr>
        <w:t xml:space="preserve">to </w:t>
      </w:r>
      <w:r w:rsidR="00587E9A">
        <w:rPr>
          <w:sz w:val="24"/>
        </w:rPr>
        <w:t>change their opinions of Frederick so drastically</w:t>
      </w:r>
      <w:r w:rsidR="00E620A2">
        <w:rPr>
          <w:sz w:val="24"/>
        </w:rPr>
        <w:t xml:space="preserve"> and so quickly</w:t>
      </w:r>
      <w:r w:rsidR="00587E9A">
        <w:rPr>
          <w:sz w:val="24"/>
        </w:rPr>
        <w:t xml:space="preserve">. </w:t>
      </w:r>
      <w:r w:rsidR="00ED51B7">
        <w:rPr>
          <w:sz w:val="24"/>
        </w:rPr>
        <w:t>One other person who was certainly of the same opinion of Dante was the monk Matthew Paris, who much like Dante at first praises the emperor before turning on him in later works.</w:t>
      </w:r>
      <w:r w:rsidR="00ED51B7">
        <w:rPr>
          <w:rStyle w:val="FootnoteReference"/>
          <w:sz w:val="24"/>
        </w:rPr>
        <w:footnoteReference w:id="13"/>
      </w:r>
      <w:r w:rsidR="00ED51B7">
        <w:rPr>
          <w:sz w:val="24"/>
        </w:rPr>
        <w:t xml:space="preserve"> </w:t>
      </w:r>
      <w:r w:rsidR="00E620A2">
        <w:rPr>
          <w:sz w:val="24"/>
        </w:rPr>
        <w:t>It is certainly possible that these people became enlightened to information they had not previously been aware of, very possibly in relation to the way in which Fredrick does things and what his true motives were for doing so</w:t>
      </w:r>
      <w:r w:rsidR="004D0F2F">
        <w:rPr>
          <w:sz w:val="24"/>
        </w:rPr>
        <w:t xml:space="preserve">. </w:t>
      </w:r>
      <w:r w:rsidR="00ED51B7">
        <w:rPr>
          <w:sz w:val="24"/>
        </w:rPr>
        <w:t xml:space="preserve">Whether this information was accurate or papal propaganda one can only speculate. </w:t>
      </w:r>
      <w:r w:rsidR="004D0F2F">
        <w:rPr>
          <w:sz w:val="24"/>
        </w:rPr>
        <w:t>Throughout history, perceptions of rulers can change when new information surfaces about the way in which a person achieved their aims. Although this can be beneficial or disastrous, in the short term Frederick seemed to be at a disadvantage in this regard and, at least in certain corners, his reputation was potentially damaged throughout the course of his life.</w:t>
      </w:r>
      <w:r w:rsidR="00ED51B7">
        <w:rPr>
          <w:sz w:val="24"/>
        </w:rPr>
        <w:t xml:space="preserve"> </w:t>
      </w:r>
    </w:p>
    <w:p w:rsidR="007C6F81" w:rsidRDefault="004D0F2F">
      <w:pPr>
        <w:rPr>
          <w:sz w:val="24"/>
        </w:rPr>
      </w:pPr>
      <w:r>
        <w:rPr>
          <w:sz w:val="24"/>
        </w:rPr>
        <w:t xml:space="preserve">Just as it appears that perhaps Frederick wasn’t quite all he was worked up to be based on the evidence from primary sources, things become even more interesting when one looks at more modern scholarship on the matter. </w:t>
      </w:r>
      <w:r w:rsidR="007C6F81">
        <w:rPr>
          <w:sz w:val="24"/>
        </w:rPr>
        <w:t>Many</w:t>
      </w:r>
      <w:r>
        <w:rPr>
          <w:sz w:val="24"/>
        </w:rPr>
        <w:t xml:space="preserve"> modern writers believe that Frederic was </w:t>
      </w:r>
      <w:r w:rsidR="007C6F81">
        <w:rPr>
          <w:sz w:val="24"/>
        </w:rPr>
        <w:t xml:space="preserve">a man ahead of his time who transformed the face of Europe as it was known at the time. </w:t>
      </w:r>
      <w:r w:rsidR="00C761F5">
        <w:rPr>
          <w:sz w:val="24"/>
        </w:rPr>
        <w:t xml:space="preserve">Some scholars, such as </w:t>
      </w:r>
      <w:proofErr w:type="spellStart"/>
      <w:r w:rsidR="00C761F5">
        <w:rPr>
          <w:sz w:val="24"/>
        </w:rPr>
        <w:t>Abulafia</w:t>
      </w:r>
      <w:proofErr w:type="spellEnd"/>
      <w:r w:rsidR="00C761F5">
        <w:rPr>
          <w:sz w:val="24"/>
        </w:rPr>
        <w:t>, even go as far as claiming that Frederick was a “rationalist ahead of his time”.</w:t>
      </w:r>
      <w:r w:rsidR="00C761F5">
        <w:rPr>
          <w:rStyle w:val="FootnoteReference"/>
          <w:sz w:val="24"/>
        </w:rPr>
        <w:footnoteReference w:id="14"/>
      </w:r>
      <w:r w:rsidR="0073068C">
        <w:rPr>
          <w:sz w:val="24"/>
        </w:rPr>
        <w:t xml:space="preserve"> This can certainly be shown in some of the events of his life in which he </w:t>
      </w:r>
      <w:r w:rsidR="0073068C">
        <w:rPr>
          <w:sz w:val="24"/>
        </w:rPr>
        <w:lastRenderedPageBreak/>
        <w:t xml:space="preserve">showed he was much more of a free thinker than most men of his period, although it is important to be careful not to get carried away with this narrative. </w:t>
      </w:r>
      <w:r w:rsidR="00026EAE">
        <w:rPr>
          <w:sz w:val="24"/>
        </w:rPr>
        <w:t xml:space="preserve"> Another example of modern scholarship portraying Frederick as much more than a simple, power hungry tyrant is demonstrated by Kantorowicz, where he states “Frederick had no lack of shrewd commercial instinct, but he did not use it systematically to amass riches”.</w:t>
      </w:r>
      <w:r w:rsidR="00026EAE">
        <w:rPr>
          <w:rStyle w:val="FootnoteReference"/>
          <w:sz w:val="24"/>
        </w:rPr>
        <w:footnoteReference w:id="15"/>
      </w:r>
      <w:r w:rsidR="004E71DF">
        <w:rPr>
          <w:sz w:val="24"/>
        </w:rPr>
        <w:t xml:space="preserve"> This is incredibly important as it is just one example of Frederick having the ability to take advantage of a situation if he wished, but chose not to do so. It also demonstrates earlier points regarding him learning unique life lessons early on in his life and shows he had knowledge that would not have been so blatantly obvious to other rulers of the time who had not had the sort of upbringing that Frederick had.</w:t>
      </w:r>
      <w:r w:rsidR="00E97CBD">
        <w:rPr>
          <w:sz w:val="24"/>
        </w:rPr>
        <w:t xml:space="preserve"> Being crowned a king at such a young age already gave him an advantage over less experienced enemies, such as the pope himself. Experience and knowledge are incredibly vital tools and these surely played a part in forming his character. </w:t>
      </w:r>
    </w:p>
    <w:p w:rsidR="007C6F81" w:rsidRPr="00244616" w:rsidRDefault="007C6F81">
      <w:pPr>
        <w:rPr>
          <w:sz w:val="24"/>
        </w:rPr>
      </w:pPr>
      <w:r>
        <w:rPr>
          <w:sz w:val="24"/>
        </w:rPr>
        <w:t xml:space="preserve">In conclusion, </w:t>
      </w:r>
      <w:r w:rsidR="007C542B">
        <w:rPr>
          <w:sz w:val="24"/>
        </w:rPr>
        <w:t xml:space="preserve">the question of whether Frederick II was a visionary or simply self-serving is a topic that has been debated for centuries and is an incredibly interesting subject to consider. As this essay has demonstrated, there are many arguments for both viewpoints and these views have been shown in conflicting primary sources and modern scholarship. When one takes in to account the undeniable successes and achievements of this emperor, it is difficult to disagree with the statement that Frederick II was a visionary and he played a huge part in transforming the Holy Roman Empire and Europe from what it once was. Indeed, the writer </w:t>
      </w:r>
      <w:proofErr w:type="spellStart"/>
      <w:r w:rsidR="007C542B">
        <w:rPr>
          <w:sz w:val="24"/>
        </w:rPr>
        <w:t>Abulafia</w:t>
      </w:r>
      <w:proofErr w:type="spellEnd"/>
      <w:r w:rsidR="007C542B">
        <w:rPr>
          <w:sz w:val="24"/>
        </w:rPr>
        <w:t xml:space="preserve"> claims that upon Frederick’s death, the Holy Roman Empire entered a period of “long recession” that it did not truly escape from until the rule of Charles V in the sixteenth century.</w:t>
      </w:r>
      <w:r w:rsidR="007C542B">
        <w:rPr>
          <w:rStyle w:val="FootnoteReference"/>
          <w:sz w:val="24"/>
        </w:rPr>
        <w:footnoteReference w:id="16"/>
      </w:r>
      <w:r w:rsidR="007C542B">
        <w:rPr>
          <w:sz w:val="24"/>
        </w:rPr>
        <w:t xml:space="preserve"> </w:t>
      </w:r>
      <w:r w:rsidR="001D66F4">
        <w:rPr>
          <w:sz w:val="24"/>
        </w:rPr>
        <w:t xml:space="preserve">While the latter half of his point is debatable, it is true that the sudden absence of Frederick left a void in the </w:t>
      </w:r>
      <w:r w:rsidR="001E2836">
        <w:rPr>
          <w:sz w:val="24"/>
        </w:rPr>
        <w:t>kingdom that proved to be very difficult to fill for quite some time. That being said, it is also difficult to disagree with the statement that he was self-serving. Frederick certainly had his own reasons and motives for doing things, in particular in regard to his dealings with the pope. However, one must keep in mind the politics of the time and understand that in the medieval world an element of self-</w:t>
      </w:r>
      <w:r w:rsidR="00B00F82">
        <w:rPr>
          <w:sz w:val="24"/>
        </w:rPr>
        <w:t>serving wa</w:t>
      </w:r>
      <w:r w:rsidR="003D5F23">
        <w:rPr>
          <w:sz w:val="24"/>
        </w:rPr>
        <w:t xml:space="preserve">s not an uncommon practice among kings and emperors. </w:t>
      </w:r>
      <w:r w:rsidR="001E2836">
        <w:rPr>
          <w:sz w:val="24"/>
        </w:rPr>
        <w:t xml:space="preserve"> </w:t>
      </w:r>
      <w:r w:rsidR="006B2D35">
        <w:rPr>
          <w:sz w:val="24"/>
        </w:rPr>
        <w:t xml:space="preserve">In regard to the evidence presented by the primary sources used, it is very important to keep in mind just how much the pope, among many others, disliked Frederick and would have gladly spread lies to tarnish his name and reputation, whether that be in life or death. </w:t>
      </w:r>
      <w:r w:rsidR="003D5F23">
        <w:rPr>
          <w:sz w:val="24"/>
        </w:rPr>
        <w:t>Despite his motives and reasoning, Frederick II was a man of great determination, resolve and passion for protecting his kingdom and making a stand against authority when necessary</w:t>
      </w:r>
      <w:r w:rsidR="00B810B6">
        <w:rPr>
          <w:sz w:val="24"/>
        </w:rPr>
        <w:t>, as well as a stand for sovereignty</w:t>
      </w:r>
      <w:r w:rsidR="003D5F23">
        <w:rPr>
          <w:sz w:val="24"/>
        </w:rPr>
        <w:t>.</w:t>
      </w:r>
      <w:r w:rsidR="00B810B6">
        <w:rPr>
          <w:sz w:val="24"/>
        </w:rPr>
        <w:t xml:space="preserve"> </w:t>
      </w:r>
      <w:r w:rsidR="003D5F23">
        <w:rPr>
          <w:sz w:val="24"/>
        </w:rPr>
        <w:t>After all these strengths and achievements, it is no surprise that the man who earned the title “Stupor Mundi” is considered a visionary ahead of his time even to this day.</w:t>
      </w:r>
      <w:r w:rsidR="003D5F23">
        <w:rPr>
          <w:rStyle w:val="FootnoteReference"/>
          <w:sz w:val="24"/>
        </w:rPr>
        <w:footnoteReference w:id="17"/>
      </w:r>
    </w:p>
    <w:p w:rsidR="00CB66A2" w:rsidRDefault="00CB66A2">
      <w:pPr>
        <w:rPr>
          <w:sz w:val="24"/>
        </w:rPr>
      </w:pPr>
      <w:r>
        <w:rPr>
          <w:sz w:val="24"/>
        </w:rPr>
        <w:br w:type="page"/>
      </w:r>
    </w:p>
    <w:p w:rsidR="00CB66A2" w:rsidRDefault="00CB66A2">
      <w:pPr>
        <w:rPr>
          <w:b/>
          <w:sz w:val="36"/>
        </w:rPr>
      </w:pPr>
    </w:p>
    <w:p w:rsidR="00CB66A2" w:rsidRDefault="00CB66A2">
      <w:pPr>
        <w:rPr>
          <w:b/>
          <w:sz w:val="36"/>
        </w:rPr>
      </w:pPr>
      <w:r>
        <w:rPr>
          <w:b/>
          <w:sz w:val="36"/>
        </w:rPr>
        <w:t>Bibliography</w:t>
      </w:r>
    </w:p>
    <w:p w:rsidR="00CB66A2" w:rsidRDefault="00CB66A2">
      <w:pPr>
        <w:rPr>
          <w:b/>
          <w:sz w:val="36"/>
        </w:rPr>
      </w:pPr>
    </w:p>
    <w:p w:rsidR="00CB66A2" w:rsidRDefault="00CB66A2">
      <w:pPr>
        <w:rPr>
          <w:b/>
          <w:sz w:val="36"/>
        </w:rPr>
      </w:pPr>
    </w:p>
    <w:p w:rsidR="00CB66A2" w:rsidRPr="00CB66A2" w:rsidRDefault="00CB66A2">
      <w:pPr>
        <w:rPr>
          <w:sz w:val="28"/>
          <w:u w:val="single"/>
        </w:rPr>
      </w:pPr>
      <w:r w:rsidRPr="00CB66A2">
        <w:rPr>
          <w:sz w:val="28"/>
          <w:u w:val="single"/>
        </w:rPr>
        <w:t>Primary Sources</w:t>
      </w:r>
    </w:p>
    <w:p w:rsidR="00CB66A2" w:rsidRDefault="007A7DD5">
      <w:pPr>
        <w:rPr>
          <w:sz w:val="24"/>
        </w:rPr>
      </w:pPr>
      <w:r w:rsidRPr="006A3E4A">
        <w:rPr>
          <w:sz w:val="24"/>
        </w:rPr>
        <w:t xml:space="preserve">Dante, </w:t>
      </w:r>
      <w:r w:rsidRPr="006A3E4A">
        <w:rPr>
          <w:i/>
          <w:sz w:val="24"/>
        </w:rPr>
        <w:t xml:space="preserve">De </w:t>
      </w:r>
      <w:proofErr w:type="spellStart"/>
      <w:r w:rsidRPr="006A3E4A">
        <w:rPr>
          <w:i/>
          <w:sz w:val="24"/>
        </w:rPr>
        <w:t>vulgari</w:t>
      </w:r>
      <w:proofErr w:type="spellEnd"/>
      <w:r w:rsidRPr="006A3E4A">
        <w:rPr>
          <w:i/>
          <w:sz w:val="24"/>
        </w:rPr>
        <w:t xml:space="preserve"> </w:t>
      </w:r>
      <w:proofErr w:type="spellStart"/>
      <w:r w:rsidRPr="006A3E4A">
        <w:rPr>
          <w:i/>
          <w:sz w:val="24"/>
        </w:rPr>
        <w:t>eloquentia</w:t>
      </w:r>
      <w:proofErr w:type="spellEnd"/>
      <w:r w:rsidR="007046C1">
        <w:rPr>
          <w:i/>
          <w:sz w:val="24"/>
        </w:rPr>
        <w:t xml:space="preserve"> </w:t>
      </w:r>
      <w:r w:rsidR="007046C1">
        <w:rPr>
          <w:sz w:val="24"/>
        </w:rPr>
        <w:t>1.12</w:t>
      </w:r>
      <w:r w:rsidRPr="006A3E4A">
        <w:rPr>
          <w:i/>
          <w:sz w:val="24"/>
        </w:rPr>
        <w:t xml:space="preserve">. </w:t>
      </w:r>
      <w:r w:rsidRPr="006A3E4A">
        <w:rPr>
          <w:sz w:val="24"/>
        </w:rPr>
        <w:t xml:space="preserve">Translated by Steven </w:t>
      </w:r>
      <w:proofErr w:type="spellStart"/>
      <w:r w:rsidRPr="006A3E4A">
        <w:rPr>
          <w:sz w:val="24"/>
        </w:rPr>
        <w:t>Botterill</w:t>
      </w:r>
      <w:proofErr w:type="spellEnd"/>
      <w:r w:rsidRPr="006A3E4A">
        <w:rPr>
          <w:sz w:val="24"/>
        </w:rPr>
        <w:t xml:space="preserve"> [online]. </w:t>
      </w:r>
      <w:r w:rsidR="006A3E4A" w:rsidRPr="006A3E4A">
        <w:rPr>
          <w:sz w:val="24"/>
        </w:rPr>
        <w:t>Available</w:t>
      </w:r>
      <w:r w:rsidR="006A3E4A">
        <w:rPr>
          <w:sz w:val="24"/>
        </w:rPr>
        <w:t xml:space="preserve"> at</w:t>
      </w:r>
      <w:r w:rsidRPr="006A3E4A">
        <w:rPr>
          <w:sz w:val="24"/>
        </w:rPr>
        <w:t xml:space="preserve">: </w:t>
      </w:r>
      <w:hyperlink r:id="rId7" w:history="1">
        <w:r w:rsidR="006A3E4A" w:rsidRPr="003D1097">
          <w:rPr>
            <w:rStyle w:val="Hyperlink"/>
            <w:sz w:val="24"/>
          </w:rPr>
          <w:t>https://www2.warwick.ac.uk/fac/arts/modernlanguages/academic/lines/community/kenilworth/term2-wk9-dante-reading_2.pdf</w:t>
        </w:r>
      </w:hyperlink>
    </w:p>
    <w:p w:rsidR="006A3E4A" w:rsidRPr="006A3E4A" w:rsidRDefault="00851AE7">
      <w:pPr>
        <w:rPr>
          <w:b/>
          <w:sz w:val="32"/>
        </w:rPr>
      </w:pPr>
      <w:r>
        <w:rPr>
          <w:sz w:val="24"/>
        </w:rPr>
        <w:t>(Accessed 23/10/2017)</w:t>
      </w:r>
    </w:p>
    <w:p w:rsidR="00CB66A2" w:rsidRDefault="00CB66A2">
      <w:pPr>
        <w:rPr>
          <w:b/>
          <w:sz w:val="28"/>
        </w:rPr>
      </w:pPr>
    </w:p>
    <w:p w:rsidR="00CB66A2" w:rsidRDefault="00CB66A2">
      <w:pPr>
        <w:rPr>
          <w:b/>
          <w:sz w:val="28"/>
        </w:rPr>
      </w:pPr>
    </w:p>
    <w:p w:rsidR="00CB66A2" w:rsidRDefault="00CB66A2">
      <w:pPr>
        <w:rPr>
          <w:b/>
          <w:sz w:val="28"/>
        </w:rPr>
      </w:pPr>
    </w:p>
    <w:p w:rsidR="00CB66A2" w:rsidRDefault="00CB66A2">
      <w:pPr>
        <w:rPr>
          <w:b/>
          <w:sz w:val="28"/>
        </w:rPr>
      </w:pPr>
    </w:p>
    <w:p w:rsidR="00CB66A2" w:rsidRDefault="00CB66A2">
      <w:pPr>
        <w:rPr>
          <w:b/>
          <w:sz w:val="28"/>
        </w:rPr>
      </w:pPr>
    </w:p>
    <w:p w:rsidR="00CB66A2" w:rsidRDefault="00CB66A2">
      <w:pPr>
        <w:rPr>
          <w:sz w:val="28"/>
          <w:u w:val="single"/>
        </w:rPr>
      </w:pPr>
      <w:r w:rsidRPr="00CB66A2">
        <w:rPr>
          <w:sz w:val="28"/>
          <w:u w:val="single"/>
        </w:rPr>
        <w:t>Secondary Sources</w:t>
      </w:r>
    </w:p>
    <w:p w:rsidR="00B1387C" w:rsidRDefault="00B1387C">
      <w:pPr>
        <w:rPr>
          <w:sz w:val="28"/>
          <w:u w:val="single"/>
        </w:rPr>
      </w:pPr>
    </w:p>
    <w:p w:rsidR="00B1387C" w:rsidRDefault="00B1387C">
      <w:pPr>
        <w:rPr>
          <w:sz w:val="24"/>
        </w:rPr>
      </w:pPr>
      <w:proofErr w:type="spellStart"/>
      <w:r>
        <w:rPr>
          <w:sz w:val="24"/>
        </w:rPr>
        <w:t>Abulafia</w:t>
      </w:r>
      <w:proofErr w:type="spellEnd"/>
      <w:r>
        <w:rPr>
          <w:sz w:val="24"/>
        </w:rPr>
        <w:t xml:space="preserve">, D. </w:t>
      </w:r>
      <w:r w:rsidRPr="00B1387C">
        <w:rPr>
          <w:i/>
          <w:sz w:val="24"/>
        </w:rPr>
        <w:t>Frederick II</w:t>
      </w:r>
      <w:r>
        <w:rPr>
          <w:sz w:val="24"/>
        </w:rPr>
        <w:t xml:space="preserve"> (London: Penguin, 1988).</w:t>
      </w:r>
    </w:p>
    <w:p w:rsidR="00B1387C" w:rsidRDefault="00B1387C">
      <w:pPr>
        <w:rPr>
          <w:sz w:val="24"/>
        </w:rPr>
      </w:pPr>
      <w:r>
        <w:rPr>
          <w:sz w:val="24"/>
        </w:rPr>
        <w:t xml:space="preserve">Barraclough, G. </w:t>
      </w:r>
      <w:r w:rsidRPr="001F2CF9">
        <w:rPr>
          <w:i/>
          <w:sz w:val="24"/>
        </w:rPr>
        <w:t>The Crucible of Europe</w:t>
      </w:r>
      <w:r>
        <w:rPr>
          <w:sz w:val="24"/>
        </w:rPr>
        <w:t xml:space="preserve"> (London: Thames &amp; Hudson, 1976).</w:t>
      </w:r>
    </w:p>
    <w:p w:rsidR="00B1387C" w:rsidRDefault="00B1387C">
      <w:pPr>
        <w:rPr>
          <w:sz w:val="24"/>
        </w:rPr>
      </w:pPr>
      <w:r>
        <w:rPr>
          <w:sz w:val="24"/>
        </w:rPr>
        <w:t xml:space="preserve">Bryce, J. </w:t>
      </w:r>
      <w:r w:rsidRPr="00B1387C">
        <w:rPr>
          <w:i/>
          <w:sz w:val="24"/>
        </w:rPr>
        <w:t>The Holy Roman Empire</w:t>
      </w:r>
      <w:r>
        <w:rPr>
          <w:sz w:val="24"/>
        </w:rPr>
        <w:t xml:space="preserve"> (London: Macmillan and Co, 1904).</w:t>
      </w:r>
    </w:p>
    <w:p w:rsidR="00AD26C1" w:rsidRDefault="00AD26C1">
      <w:pPr>
        <w:rPr>
          <w:sz w:val="24"/>
        </w:rPr>
      </w:pPr>
      <w:r>
        <w:rPr>
          <w:sz w:val="24"/>
        </w:rPr>
        <w:t xml:space="preserve">Kantorowicz, E. </w:t>
      </w:r>
      <w:r w:rsidRPr="00B1387C">
        <w:rPr>
          <w:i/>
          <w:sz w:val="24"/>
        </w:rPr>
        <w:t>Frederi</w:t>
      </w:r>
      <w:r w:rsidR="00B1387C" w:rsidRPr="00B1387C">
        <w:rPr>
          <w:i/>
          <w:sz w:val="24"/>
        </w:rPr>
        <w:t>ck the Second: 1194-1250</w:t>
      </w:r>
      <w:r w:rsidR="00B1387C">
        <w:rPr>
          <w:sz w:val="24"/>
        </w:rPr>
        <w:t xml:space="preserve"> (London: Constable &amp; Co, 1931).</w:t>
      </w:r>
    </w:p>
    <w:p w:rsidR="001F2CF9" w:rsidRDefault="001F2CF9">
      <w:pPr>
        <w:rPr>
          <w:sz w:val="24"/>
        </w:rPr>
      </w:pPr>
      <w:r>
        <w:rPr>
          <w:sz w:val="24"/>
        </w:rPr>
        <w:t xml:space="preserve">Power, D. </w:t>
      </w:r>
      <w:r w:rsidRPr="001F2CF9">
        <w:rPr>
          <w:i/>
          <w:sz w:val="24"/>
        </w:rPr>
        <w:t>The Central Middle Ages</w:t>
      </w:r>
      <w:r>
        <w:rPr>
          <w:sz w:val="24"/>
        </w:rPr>
        <w:t xml:space="preserve"> (London, Oxford University Press, 2006).</w:t>
      </w:r>
    </w:p>
    <w:p w:rsidR="008850E1" w:rsidRDefault="008850E1">
      <w:pPr>
        <w:rPr>
          <w:sz w:val="24"/>
        </w:rPr>
      </w:pPr>
      <w:r>
        <w:rPr>
          <w:sz w:val="24"/>
        </w:rPr>
        <w:t xml:space="preserve">Scott, M. </w:t>
      </w:r>
      <w:r w:rsidRPr="001F2CF9">
        <w:rPr>
          <w:i/>
          <w:sz w:val="24"/>
        </w:rPr>
        <w:t>Medieval Europe</w:t>
      </w:r>
      <w:r>
        <w:rPr>
          <w:sz w:val="24"/>
        </w:rPr>
        <w:t xml:space="preserve"> (London: Longmans, 1964).</w:t>
      </w:r>
    </w:p>
    <w:p w:rsidR="001415FB" w:rsidRDefault="001415FB">
      <w:pPr>
        <w:rPr>
          <w:sz w:val="24"/>
        </w:rPr>
      </w:pPr>
      <w:proofErr w:type="spellStart"/>
      <w:r>
        <w:rPr>
          <w:sz w:val="24"/>
        </w:rPr>
        <w:t>R</w:t>
      </w:r>
      <w:r w:rsidRPr="001415FB">
        <w:rPr>
          <w:sz w:val="24"/>
        </w:rPr>
        <w:t>.Vaughan</w:t>
      </w:r>
      <w:proofErr w:type="spellEnd"/>
      <w:r w:rsidRPr="001415FB">
        <w:rPr>
          <w:sz w:val="24"/>
        </w:rPr>
        <w:t xml:space="preserve">, </w:t>
      </w:r>
      <w:proofErr w:type="gramStart"/>
      <w:r w:rsidRPr="001415FB">
        <w:rPr>
          <w:i/>
          <w:sz w:val="24"/>
        </w:rPr>
        <w:t>The</w:t>
      </w:r>
      <w:proofErr w:type="gramEnd"/>
      <w:r w:rsidRPr="001415FB">
        <w:rPr>
          <w:i/>
          <w:sz w:val="24"/>
        </w:rPr>
        <w:t xml:space="preserve"> Illustrated Chronicles</w:t>
      </w:r>
      <w:bookmarkStart w:id="0" w:name="_GoBack"/>
      <w:bookmarkEnd w:id="0"/>
      <w:r w:rsidRPr="001415FB">
        <w:rPr>
          <w:i/>
          <w:sz w:val="24"/>
        </w:rPr>
        <w:t xml:space="preserve"> of Matthew Paris</w:t>
      </w:r>
      <w:r w:rsidRPr="001415FB">
        <w:rPr>
          <w:sz w:val="24"/>
        </w:rPr>
        <w:t>. (Stroud: Alan Sutton, 1993).</w:t>
      </w:r>
    </w:p>
    <w:p w:rsidR="00203C02" w:rsidRDefault="00203C02">
      <w:pPr>
        <w:rPr>
          <w:sz w:val="24"/>
        </w:rPr>
      </w:pPr>
    </w:p>
    <w:p w:rsidR="00F37213" w:rsidRDefault="00F37213">
      <w:pPr>
        <w:rPr>
          <w:sz w:val="24"/>
        </w:rPr>
      </w:pPr>
    </w:p>
    <w:p w:rsidR="00F37213" w:rsidRDefault="00F37213">
      <w:pPr>
        <w:rPr>
          <w:sz w:val="24"/>
        </w:rPr>
      </w:pPr>
    </w:p>
    <w:p w:rsidR="00F37213" w:rsidRDefault="00F37213">
      <w:pPr>
        <w:rPr>
          <w:sz w:val="24"/>
        </w:rPr>
      </w:pPr>
    </w:p>
    <w:p w:rsidR="00F37213" w:rsidRDefault="00F37213">
      <w:pPr>
        <w:rPr>
          <w:sz w:val="24"/>
        </w:rPr>
      </w:pPr>
    </w:p>
    <w:p w:rsidR="00DC2729" w:rsidRDefault="00DC2729" w:rsidP="00DC2729">
      <w:pPr>
        <w:rPr>
          <w:sz w:val="28"/>
          <w:u w:val="single"/>
        </w:rPr>
      </w:pPr>
      <w:r w:rsidRPr="00CB66A2">
        <w:rPr>
          <w:sz w:val="28"/>
          <w:u w:val="single"/>
        </w:rPr>
        <w:lastRenderedPageBreak/>
        <w:t>Secondary Sources</w:t>
      </w:r>
      <w:r>
        <w:rPr>
          <w:sz w:val="28"/>
          <w:u w:val="single"/>
        </w:rPr>
        <w:t xml:space="preserve"> (continued)</w:t>
      </w:r>
    </w:p>
    <w:p w:rsidR="00DC2729" w:rsidRDefault="00DC2729">
      <w:pPr>
        <w:rPr>
          <w:sz w:val="24"/>
        </w:rPr>
      </w:pPr>
    </w:p>
    <w:p w:rsidR="00D756B6" w:rsidRDefault="00D756B6">
      <w:pPr>
        <w:rPr>
          <w:sz w:val="24"/>
        </w:rPr>
      </w:pPr>
      <w:proofErr w:type="spellStart"/>
      <w:r w:rsidRPr="00D756B6">
        <w:rPr>
          <w:sz w:val="24"/>
        </w:rPr>
        <w:t>G.Raccagni</w:t>
      </w:r>
      <w:proofErr w:type="spellEnd"/>
      <w:r w:rsidRPr="00D756B6">
        <w:rPr>
          <w:sz w:val="24"/>
        </w:rPr>
        <w:t xml:space="preserve"> ‘</w:t>
      </w:r>
      <w:proofErr w:type="gramStart"/>
      <w:r w:rsidRPr="00D756B6">
        <w:rPr>
          <w:sz w:val="24"/>
        </w:rPr>
        <w:t>The</w:t>
      </w:r>
      <w:proofErr w:type="gramEnd"/>
      <w:r w:rsidRPr="00D756B6">
        <w:rPr>
          <w:sz w:val="24"/>
        </w:rPr>
        <w:t xml:space="preserve"> Crusade Against Frederick II: A Neglected Piece of Evidence’, </w:t>
      </w:r>
      <w:r w:rsidRPr="00D756B6">
        <w:rPr>
          <w:i/>
          <w:sz w:val="24"/>
        </w:rPr>
        <w:t xml:space="preserve">The Journal of Ecclesiastical History, </w:t>
      </w:r>
      <w:r w:rsidRPr="00D756B6">
        <w:rPr>
          <w:sz w:val="24"/>
        </w:rPr>
        <w:t xml:space="preserve">vol. 67, </w:t>
      </w:r>
      <w:proofErr w:type="spellStart"/>
      <w:r w:rsidRPr="00D756B6">
        <w:rPr>
          <w:sz w:val="24"/>
        </w:rPr>
        <w:t>Iss</w:t>
      </w:r>
      <w:proofErr w:type="spellEnd"/>
      <w:r w:rsidRPr="00D756B6">
        <w:rPr>
          <w:sz w:val="24"/>
        </w:rPr>
        <w:t>. 4. Available</w:t>
      </w:r>
      <w:r>
        <w:rPr>
          <w:sz w:val="24"/>
        </w:rPr>
        <w:t xml:space="preserve"> at</w:t>
      </w:r>
      <w:r w:rsidRPr="00D756B6">
        <w:rPr>
          <w:sz w:val="24"/>
        </w:rPr>
        <w:t xml:space="preserve">: </w:t>
      </w:r>
      <w:hyperlink r:id="rId8" w:history="1">
        <w:r w:rsidRPr="003D1097">
          <w:rPr>
            <w:rStyle w:val="Hyperlink"/>
            <w:sz w:val="24"/>
          </w:rPr>
          <w:t>https://search-proquest-com.ezproxy.uwtsd.ac.uk/docview/1823858919?OpenUrlRefId=info:xri/sid:primo&amp;accountid=130472</w:t>
        </w:r>
      </w:hyperlink>
    </w:p>
    <w:p w:rsidR="00D756B6" w:rsidRDefault="00851AE7">
      <w:pPr>
        <w:rPr>
          <w:sz w:val="24"/>
        </w:rPr>
      </w:pPr>
      <w:r>
        <w:rPr>
          <w:sz w:val="24"/>
        </w:rPr>
        <w:t>(</w:t>
      </w:r>
      <w:proofErr w:type="gramStart"/>
      <w:r>
        <w:rPr>
          <w:sz w:val="24"/>
        </w:rPr>
        <w:t>accessed</w:t>
      </w:r>
      <w:proofErr w:type="gramEnd"/>
      <w:r>
        <w:rPr>
          <w:sz w:val="24"/>
        </w:rPr>
        <w:t xml:space="preserve"> 15/10/2017)</w:t>
      </w:r>
    </w:p>
    <w:p w:rsidR="00D756B6" w:rsidRDefault="00D756B6">
      <w:pPr>
        <w:rPr>
          <w:sz w:val="24"/>
        </w:rPr>
      </w:pPr>
    </w:p>
    <w:p w:rsidR="00D756B6" w:rsidRDefault="00D756B6">
      <w:pPr>
        <w:rPr>
          <w:sz w:val="24"/>
        </w:rPr>
      </w:pPr>
    </w:p>
    <w:p w:rsidR="000C2DB5" w:rsidRDefault="000C2DB5">
      <w:pPr>
        <w:rPr>
          <w:sz w:val="24"/>
        </w:rPr>
      </w:pPr>
      <w:r w:rsidRPr="000C2DB5">
        <w:rPr>
          <w:sz w:val="24"/>
        </w:rPr>
        <w:t xml:space="preserve">Christopher </w:t>
      </w:r>
      <w:proofErr w:type="spellStart"/>
      <w:r w:rsidRPr="000C2DB5">
        <w:rPr>
          <w:sz w:val="24"/>
        </w:rPr>
        <w:t>Kleinhenz</w:t>
      </w:r>
      <w:proofErr w:type="spellEnd"/>
      <w:r w:rsidRPr="000C2DB5">
        <w:rPr>
          <w:sz w:val="24"/>
        </w:rPr>
        <w:t>, ‘The Oxford Companion to Italian Literature: Frederick II’, [online]. Available</w:t>
      </w:r>
      <w:r>
        <w:rPr>
          <w:sz w:val="24"/>
        </w:rPr>
        <w:t xml:space="preserve"> at</w:t>
      </w:r>
      <w:r w:rsidRPr="000C2DB5">
        <w:rPr>
          <w:sz w:val="24"/>
        </w:rPr>
        <w:t xml:space="preserve">: </w:t>
      </w:r>
      <w:hyperlink r:id="rId9" w:history="1">
        <w:r w:rsidRPr="003D1097">
          <w:rPr>
            <w:rStyle w:val="Hyperlink"/>
            <w:sz w:val="24"/>
          </w:rPr>
          <w:t>http://www.oxfordreference.com.ezproxy.uwtsd.ac.uk/view/10.1093/acref/9780198183327.001.0001/acref-9780198183327-e-1386</w:t>
        </w:r>
      </w:hyperlink>
    </w:p>
    <w:p w:rsidR="000C2DB5" w:rsidRDefault="000C2DB5">
      <w:pPr>
        <w:rPr>
          <w:sz w:val="24"/>
        </w:rPr>
      </w:pPr>
      <w:r>
        <w:rPr>
          <w:sz w:val="24"/>
        </w:rPr>
        <w:t>(</w:t>
      </w:r>
      <w:proofErr w:type="gramStart"/>
      <w:r>
        <w:rPr>
          <w:sz w:val="24"/>
        </w:rPr>
        <w:t>accessed</w:t>
      </w:r>
      <w:proofErr w:type="gramEnd"/>
      <w:r>
        <w:rPr>
          <w:sz w:val="24"/>
        </w:rPr>
        <w:t xml:space="preserve"> 31/10/2017)</w:t>
      </w:r>
    </w:p>
    <w:p w:rsidR="007C6F81" w:rsidRDefault="007C6F81">
      <w:pPr>
        <w:rPr>
          <w:sz w:val="24"/>
        </w:rPr>
      </w:pPr>
    </w:p>
    <w:p w:rsidR="007C6F81" w:rsidRDefault="007C6F81">
      <w:pPr>
        <w:rPr>
          <w:sz w:val="24"/>
        </w:rPr>
      </w:pPr>
    </w:p>
    <w:p w:rsidR="007C6F81" w:rsidRDefault="007C6F81">
      <w:pPr>
        <w:rPr>
          <w:sz w:val="24"/>
        </w:rPr>
      </w:pPr>
      <w:r>
        <w:rPr>
          <w:sz w:val="24"/>
        </w:rPr>
        <w:t xml:space="preserve">Fitzwilliam Museum, ‘Frederick II Coinage’, [online]. Available at: </w:t>
      </w:r>
      <w:hyperlink r:id="rId10" w:history="1">
        <w:r w:rsidRPr="003D1097">
          <w:rPr>
            <w:rStyle w:val="Hyperlink"/>
            <w:sz w:val="24"/>
          </w:rPr>
          <w:t>http://www.fitzmuseum.cam.ac.uk/collect</w:t>
        </w:r>
        <w:r w:rsidRPr="003D1097">
          <w:rPr>
            <w:rStyle w:val="Hyperlink"/>
            <w:sz w:val="24"/>
          </w:rPr>
          <w:t>i</w:t>
        </w:r>
        <w:r w:rsidRPr="003D1097">
          <w:rPr>
            <w:rStyle w:val="Hyperlink"/>
            <w:sz w:val="24"/>
          </w:rPr>
          <w:t>ons/coinsandmedals/CM.PG.1191</w:t>
        </w:r>
      </w:hyperlink>
    </w:p>
    <w:p w:rsidR="007C6F81" w:rsidRDefault="007C6F81">
      <w:pPr>
        <w:rPr>
          <w:sz w:val="24"/>
        </w:rPr>
      </w:pPr>
      <w:r>
        <w:rPr>
          <w:sz w:val="24"/>
        </w:rPr>
        <w:t>(</w:t>
      </w:r>
      <w:proofErr w:type="gramStart"/>
      <w:r>
        <w:rPr>
          <w:sz w:val="24"/>
        </w:rPr>
        <w:t>accessed</w:t>
      </w:r>
      <w:proofErr w:type="gramEnd"/>
      <w:r>
        <w:rPr>
          <w:sz w:val="24"/>
        </w:rPr>
        <w:t xml:space="preserve"> 03/11/2017)</w:t>
      </w:r>
    </w:p>
    <w:p w:rsidR="000C2DB5" w:rsidRDefault="000C2DB5">
      <w:pPr>
        <w:rPr>
          <w:sz w:val="24"/>
        </w:rPr>
      </w:pPr>
    </w:p>
    <w:p w:rsidR="000C2DB5" w:rsidRPr="000C2DB5" w:rsidRDefault="000C2DB5">
      <w:pPr>
        <w:rPr>
          <w:sz w:val="28"/>
        </w:rPr>
      </w:pPr>
    </w:p>
    <w:p w:rsidR="00203C02" w:rsidRDefault="00203C02">
      <w:pPr>
        <w:rPr>
          <w:sz w:val="24"/>
        </w:rPr>
      </w:pPr>
      <w:r w:rsidRPr="00203C02">
        <w:rPr>
          <w:sz w:val="24"/>
        </w:rPr>
        <w:t xml:space="preserve">Gunther Wolf, ‘Frederick II’, [online]. </w:t>
      </w:r>
      <w:r>
        <w:rPr>
          <w:sz w:val="24"/>
        </w:rPr>
        <w:t>Available at</w:t>
      </w:r>
      <w:r w:rsidRPr="00203C02">
        <w:rPr>
          <w:sz w:val="24"/>
        </w:rPr>
        <w:t xml:space="preserve">: </w:t>
      </w:r>
      <w:hyperlink r:id="rId11" w:history="1">
        <w:r w:rsidRPr="003D1097">
          <w:rPr>
            <w:rStyle w:val="Hyperlink"/>
            <w:sz w:val="24"/>
          </w:rPr>
          <w:t>https://www.britannica.com/biography/Frederick-II-Holy-Roman-emperor</w:t>
        </w:r>
      </w:hyperlink>
    </w:p>
    <w:p w:rsidR="00203C02" w:rsidRDefault="00851AE7">
      <w:pPr>
        <w:rPr>
          <w:sz w:val="24"/>
        </w:rPr>
      </w:pPr>
      <w:r>
        <w:rPr>
          <w:sz w:val="24"/>
        </w:rPr>
        <w:t>(</w:t>
      </w:r>
      <w:proofErr w:type="gramStart"/>
      <w:r>
        <w:rPr>
          <w:sz w:val="24"/>
        </w:rPr>
        <w:t>accessed</w:t>
      </w:r>
      <w:proofErr w:type="gramEnd"/>
      <w:r>
        <w:rPr>
          <w:sz w:val="24"/>
        </w:rPr>
        <w:t xml:space="preserve"> 20/10/2017)</w:t>
      </w:r>
    </w:p>
    <w:p w:rsidR="00B1387C" w:rsidRPr="00AD26C1" w:rsidRDefault="00B1387C">
      <w:pPr>
        <w:rPr>
          <w:sz w:val="24"/>
        </w:rPr>
      </w:pPr>
    </w:p>
    <w:sectPr w:rsidR="00B1387C" w:rsidRPr="00AD26C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A68F2" w:rsidRDefault="003A68F2" w:rsidP="00CB66A2">
      <w:pPr>
        <w:spacing w:after="0" w:line="240" w:lineRule="auto"/>
      </w:pPr>
      <w:r>
        <w:separator/>
      </w:r>
    </w:p>
  </w:endnote>
  <w:endnote w:type="continuationSeparator" w:id="0">
    <w:p w:rsidR="003A68F2" w:rsidRDefault="003A68F2" w:rsidP="00CB66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A68F2" w:rsidRDefault="003A68F2" w:rsidP="00CB66A2">
      <w:pPr>
        <w:spacing w:after="0" w:line="240" w:lineRule="auto"/>
      </w:pPr>
      <w:r>
        <w:separator/>
      </w:r>
    </w:p>
  </w:footnote>
  <w:footnote w:type="continuationSeparator" w:id="0">
    <w:p w:rsidR="003A68F2" w:rsidRDefault="003A68F2" w:rsidP="00CB66A2">
      <w:pPr>
        <w:spacing w:after="0" w:line="240" w:lineRule="auto"/>
      </w:pPr>
      <w:r>
        <w:continuationSeparator/>
      </w:r>
    </w:p>
  </w:footnote>
  <w:footnote w:id="1">
    <w:p w:rsidR="001022B2" w:rsidRDefault="001022B2">
      <w:pPr>
        <w:pStyle w:val="FootnoteText"/>
      </w:pPr>
      <w:r>
        <w:rPr>
          <w:rStyle w:val="FootnoteReference"/>
        </w:rPr>
        <w:footnoteRef/>
      </w:r>
      <w:r>
        <w:t xml:space="preserve"> </w:t>
      </w:r>
      <w:proofErr w:type="spellStart"/>
      <w:r w:rsidR="00A278B3">
        <w:t>M.Scott</w:t>
      </w:r>
      <w:proofErr w:type="spellEnd"/>
      <w:r w:rsidR="00A278B3">
        <w:t xml:space="preserve">, </w:t>
      </w:r>
      <w:r w:rsidR="00A278B3" w:rsidRPr="00D05C8E">
        <w:rPr>
          <w:i/>
        </w:rPr>
        <w:t>Medieval Europe</w:t>
      </w:r>
      <w:r w:rsidR="00A278B3">
        <w:t xml:space="preserve"> (London: </w:t>
      </w:r>
      <w:proofErr w:type="spellStart"/>
      <w:r w:rsidR="00A278B3">
        <w:t>Logmans</w:t>
      </w:r>
      <w:proofErr w:type="spellEnd"/>
      <w:r w:rsidR="00A278B3">
        <w:t>, 1964).</w:t>
      </w:r>
      <w:r w:rsidR="00E815F2">
        <w:t xml:space="preserve"> pp.258</w:t>
      </w:r>
    </w:p>
  </w:footnote>
  <w:footnote w:id="2">
    <w:p w:rsidR="00842432" w:rsidRDefault="00842432">
      <w:pPr>
        <w:pStyle w:val="FootnoteText"/>
      </w:pPr>
      <w:r>
        <w:rPr>
          <w:rStyle w:val="FootnoteReference"/>
        </w:rPr>
        <w:footnoteRef/>
      </w:r>
      <w:r>
        <w:t xml:space="preserve"> </w:t>
      </w:r>
      <w:proofErr w:type="spellStart"/>
      <w:r w:rsidR="00B94377">
        <w:t>J.Bryce</w:t>
      </w:r>
      <w:proofErr w:type="spellEnd"/>
      <w:r w:rsidR="00B94377">
        <w:t xml:space="preserve">, </w:t>
      </w:r>
      <w:r w:rsidR="00B94377" w:rsidRPr="00D05C8E">
        <w:rPr>
          <w:i/>
        </w:rPr>
        <w:t>The Holy Roman Empire</w:t>
      </w:r>
      <w:r w:rsidR="00B94377">
        <w:t xml:space="preserve"> (London: Macmillan and Co, 1984) pp.202</w:t>
      </w:r>
    </w:p>
  </w:footnote>
  <w:footnote w:id="3">
    <w:p w:rsidR="00D05C8E" w:rsidRDefault="00D05C8E">
      <w:pPr>
        <w:pStyle w:val="FootnoteText"/>
      </w:pPr>
      <w:r>
        <w:rPr>
          <w:rStyle w:val="FootnoteReference"/>
        </w:rPr>
        <w:footnoteRef/>
      </w:r>
      <w:r>
        <w:t xml:space="preserve"> </w:t>
      </w:r>
      <w:proofErr w:type="spellStart"/>
      <w:r>
        <w:t>E.Kantorowicz</w:t>
      </w:r>
      <w:proofErr w:type="spellEnd"/>
      <w:r>
        <w:t xml:space="preserve">, </w:t>
      </w:r>
      <w:r w:rsidRPr="00D05C8E">
        <w:rPr>
          <w:i/>
        </w:rPr>
        <w:t>Frederic the Second: 1194-1250</w:t>
      </w:r>
      <w:r>
        <w:t xml:space="preserve"> (London, Constable &amp; Co, 1931) pp. 15</w:t>
      </w:r>
    </w:p>
  </w:footnote>
  <w:footnote w:id="4">
    <w:p w:rsidR="005A1587" w:rsidRDefault="005A1587">
      <w:pPr>
        <w:pStyle w:val="FootnoteText"/>
      </w:pPr>
      <w:r>
        <w:rPr>
          <w:rStyle w:val="FootnoteReference"/>
        </w:rPr>
        <w:footnoteRef/>
      </w:r>
      <w:r>
        <w:t xml:space="preserve"> Gunther Wolf, ‘Frederick II’</w:t>
      </w:r>
      <w:r w:rsidR="00612E6B">
        <w:t xml:space="preserve">, [online]. available: </w:t>
      </w:r>
      <w:r w:rsidR="00612E6B" w:rsidRPr="00612E6B">
        <w:t>https://www.britannica.com/biography/Frederick-II-Holy-Roman-emperor</w:t>
      </w:r>
    </w:p>
  </w:footnote>
  <w:footnote w:id="5">
    <w:p w:rsidR="00270717" w:rsidRDefault="00270717">
      <w:pPr>
        <w:pStyle w:val="FootnoteText"/>
      </w:pPr>
      <w:r>
        <w:rPr>
          <w:rStyle w:val="FootnoteReference"/>
        </w:rPr>
        <w:footnoteRef/>
      </w:r>
      <w:r>
        <w:t xml:space="preserve"> </w:t>
      </w:r>
      <w:proofErr w:type="spellStart"/>
      <w:r>
        <w:t>E.Kantorowicz</w:t>
      </w:r>
      <w:proofErr w:type="spellEnd"/>
      <w:r>
        <w:t xml:space="preserve">, </w:t>
      </w:r>
      <w:r w:rsidRPr="00D05C8E">
        <w:rPr>
          <w:i/>
        </w:rPr>
        <w:t>Frederic the Second: 1194-1250</w:t>
      </w:r>
      <w:r>
        <w:t xml:space="preserve"> (London, Constable &amp; Co, 1931) </w:t>
      </w:r>
      <w:r>
        <w:t>pp. 668-669</w:t>
      </w:r>
    </w:p>
  </w:footnote>
  <w:footnote w:id="6">
    <w:p w:rsidR="00203C02" w:rsidRPr="00203C02" w:rsidRDefault="00203C02">
      <w:pPr>
        <w:pStyle w:val="FootnoteText"/>
      </w:pPr>
      <w:r>
        <w:rPr>
          <w:rStyle w:val="FootnoteReference"/>
        </w:rPr>
        <w:footnoteRef/>
      </w:r>
      <w:r>
        <w:t xml:space="preserve"> </w:t>
      </w:r>
      <w:proofErr w:type="spellStart"/>
      <w:r>
        <w:t>G.Raccagni</w:t>
      </w:r>
      <w:proofErr w:type="spellEnd"/>
      <w:r>
        <w:t xml:space="preserve"> ‘</w:t>
      </w:r>
      <w:proofErr w:type="gramStart"/>
      <w:r w:rsidRPr="00203C02">
        <w:t>The</w:t>
      </w:r>
      <w:proofErr w:type="gramEnd"/>
      <w:r w:rsidRPr="00203C02">
        <w:t xml:space="preserve"> Crusade Against Frederick II: A Neglected Piece of Evidence</w:t>
      </w:r>
      <w:r>
        <w:t xml:space="preserve">’, </w:t>
      </w:r>
      <w:r w:rsidRPr="00203C02">
        <w:rPr>
          <w:i/>
        </w:rPr>
        <w:t>The Journal of Ecclesiastical History</w:t>
      </w:r>
      <w:r>
        <w:rPr>
          <w:i/>
        </w:rPr>
        <w:t xml:space="preserve">, </w:t>
      </w:r>
      <w:r>
        <w:t xml:space="preserve">vol. 67, </w:t>
      </w:r>
      <w:proofErr w:type="spellStart"/>
      <w:r>
        <w:t>Iss</w:t>
      </w:r>
      <w:proofErr w:type="spellEnd"/>
      <w:r>
        <w:t xml:space="preserve">. 4. </w:t>
      </w:r>
      <w:r w:rsidR="007A7DD5">
        <w:t>available</w:t>
      </w:r>
      <w:r>
        <w:t xml:space="preserve">: </w:t>
      </w:r>
      <w:r w:rsidRPr="00203C02">
        <w:t>https://search-proquest-com.ezproxy.uwtsd.ac.uk/docview/1823858919?OpenUrlRefId=info:xri/sid:primo&amp;accountid=130472</w:t>
      </w:r>
    </w:p>
  </w:footnote>
  <w:footnote w:id="7">
    <w:p w:rsidR="00015F59" w:rsidRDefault="00015F59">
      <w:pPr>
        <w:pStyle w:val="FootnoteText"/>
      </w:pPr>
      <w:r>
        <w:rPr>
          <w:rStyle w:val="FootnoteReference"/>
        </w:rPr>
        <w:footnoteRef/>
      </w:r>
      <w:r>
        <w:t xml:space="preserve"> </w:t>
      </w:r>
      <w:r>
        <w:t xml:space="preserve">.Bryce, </w:t>
      </w:r>
      <w:r w:rsidRPr="00D05C8E">
        <w:rPr>
          <w:i/>
        </w:rPr>
        <w:t>The Holy Roman Empire</w:t>
      </w:r>
      <w:r>
        <w:t xml:space="preserve"> (London</w:t>
      </w:r>
      <w:r>
        <w:t>: Macmillan and Co, 1984)</w:t>
      </w:r>
    </w:p>
  </w:footnote>
  <w:footnote w:id="8">
    <w:p w:rsidR="00D04145" w:rsidRDefault="00D04145">
      <w:pPr>
        <w:pStyle w:val="FootnoteText"/>
      </w:pPr>
      <w:r>
        <w:rPr>
          <w:rStyle w:val="FootnoteReference"/>
        </w:rPr>
        <w:footnoteRef/>
      </w:r>
      <w:r>
        <w:t xml:space="preserve"> </w:t>
      </w:r>
      <w:proofErr w:type="spellStart"/>
      <w:r w:rsidR="00396752">
        <w:t>D.Power</w:t>
      </w:r>
      <w:proofErr w:type="spellEnd"/>
      <w:r w:rsidR="00396752">
        <w:t>,</w:t>
      </w:r>
      <w:r w:rsidRPr="00D04145">
        <w:t xml:space="preserve"> </w:t>
      </w:r>
      <w:proofErr w:type="gramStart"/>
      <w:r w:rsidRPr="00D04145">
        <w:rPr>
          <w:i/>
        </w:rPr>
        <w:t>The</w:t>
      </w:r>
      <w:proofErr w:type="gramEnd"/>
      <w:r w:rsidRPr="00D04145">
        <w:rPr>
          <w:i/>
        </w:rPr>
        <w:t xml:space="preserve"> Central Middle Ages</w:t>
      </w:r>
      <w:r w:rsidRPr="00D04145">
        <w:t xml:space="preserve"> (London, Oxford University Press, 2006).</w:t>
      </w:r>
      <w:r>
        <w:t xml:space="preserve"> pp. 180-181</w:t>
      </w:r>
    </w:p>
  </w:footnote>
  <w:footnote w:id="9">
    <w:p w:rsidR="00396752" w:rsidRDefault="00396752">
      <w:pPr>
        <w:pStyle w:val="FootnoteText"/>
      </w:pPr>
      <w:r>
        <w:rPr>
          <w:rStyle w:val="FootnoteReference"/>
        </w:rPr>
        <w:footnoteRef/>
      </w:r>
      <w:r>
        <w:t xml:space="preserve"> </w:t>
      </w:r>
      <w:proofErr w:type="spellStart"/>
      <w:r>
        <w:t>G.Barraclough</w:t>
      </w:r>
      <w:proofErr w:type="spellEnd"/>
      <w:r w:rsidRPr="00396752">
        <w:rPr>
          <w:i/>
        </w:rPr>
        <w:t xml:space="preserve">, </w:t>
      </w:r>
      <w:proofErr w:type="gramStart"/>
      <w:r w:rsidRPr="00396752">
        <w:rPr>
          <w:i/>
        </w:rPr>
        <w:t>The</w:t>
      </w:r>
      <w:proofErr w:type="gramEnd"/>
      <w:r w:rsidRPr="00396752">
        <w:rPr>
          <w:i/>
        </w:rPr>
        <w:t xml:space="preserve"> Crucible of Europe </w:t>
      </w:r>
      <w:r w:rsidRPr="00396752">
        <w:t>(London: Thames &amp; Hudson, 1976).</w:t>
      </w:r>
      <w:r>
        <w:t xml:space="preserve"> pp .66</w:t>
      </w:r>
    </w:p>
  </w:footnote>
  <w:footnote w:id="10">
    <w:p w:rsidR="004E7200" w:rsidRDefault="004E7200">
      <w:pPr>
        <w:pStyle w:val="FootnoteText"/>
      </w:pPr>
      <w:r>
        <w:rPr>
          <w:rStyle w:val="FootnoteReference"/>
        </w:rPr>
        <w:footnoteRef/>
      </w:r>
      <w:r>
        <w:t xml:space="preserve"> </w:t>
      </w:r>
      <w:proofErr w:type="spellStart"/>
      <w:r w:rsidRPr="004E7200">
        <w:t>M.Scott</w:t>
      </w:r>
      <w:proofErr w:type="spellEnd"/>
      <w:r w:rsidRPr="004E7200">
        <w:t xml:space="preserve">, </w:t>
      </w:r>
      <w:r w:rsidRPr="004E7200">
        <w:rPr>
          <w:i/>
        </w:rPr>
        <w:t>Medieval Europe</w:t>
      </w:r>
      <w:r>
        <w:t xml:space="preserve"> (London: </w:t>
      </w:r>
      <w:proofErr w:type="spellStart"/>
      <w:r>
        <w:t>Logmans</w:t>
      </w:r>
      <w:proofErr w:type="spellEnd"/>
      <w:r>
        <w:t>, 1964). pp.260-261</w:t>
      </w:r>
    </w:p>
  </w:footnote>
  <w:footnote w:id="11">
    <w:p w:rsidR="00BF06F5" w:rsidRPr="00BF06F5" w:rsidRDefault="00BF06F5">
      <w:pPr>
        <w:pStyle w:val="FootnoteText"/>
      </w:pPr>
      <w:r>
        <w:rPr>
          <w:rStyle w:val="FootnoteReference"/>
        </w:rPr>
        <w:footnoteRef/>
      </w:r>
      <w:r>
        <w:t xml:space="preserve"> Dante, </w:t>
      </w:r>
      <w:r w:rsidRPr="00BF06F5">
        <w:rPr>
          <w:i/>
        </w:rPr>
        <w:t xml:space="preserve">De </w:t>
      </w:r>
      <w:proofErr w:type="spellStart"/>
      <w:r w:rsidRPr="00BF06F5">
        <w:rPr>
          <w:i/>
        </w:rPr>
        <w:t>vulgari</w:t>
      </w:r>
      <w:proofErr w:type="spellEnd"/>
      <w:r w:rsidRPr="00BF06F5">
        <w:rPr>
          <w:i/>
        </w:rPr>
        <w:t xml:space="preserve"> </w:t>
      </w:r>
      <w:proofErr w:type="spellStart"/>
      <w:r w:rsidRPr="00BF06F5">
        <w:rPr>
          <w:i/>
        </w:rPr>
        <w:t>eloquentia</w:t>
      </w:r>
      <w:proofErr w:type="spellEnd"/>
      <w:r w:rsidR="007046C1">
        <w:rPr>
          <w:i/>
        </w:rPr>
        <w:t xml:space="preserve"> </w:t>
      </w:r>
      <w:r w:rsidR="007046C1">
        <w:t>1.12</w:t>
      </w:r>
      <w:r>
        <w:rPr>
          <w:i/>
        </w:rPr>
        <w:t xml:space="preserve">. </w:t>
      </w:r>
      <w:r>
        <w:t xml:space="preserve">Translated by </w:t>
      </w:r>
      <w:r w:rsidR="00F141F2">
        <w:t xml:space="preserve">Steven </w:t>
      </w:r>
      <w:proofErr w:type="spellStart"/>
      <w:r w:rsidR="00F141F2">
        <w:t>Botterill</w:t>
      </w:r>
      <w:proofErr w:type="spellEnd"/>
      <w:r w:rsidR="000C2DB5">
        <w:t>,</w:t>
      </w:r>
      <w:r w:rsidR="00F141F2">
        <w:t xml:space="preserve"> [online]. </w:t>
      </w:r>
      <w:r w:rsidR="007A7DD5">
        <w:t>available</w:t>
      </w:r>
      <w:r w:rsidR="00F141F2">
        <w:t xml:space="preserve">: </w:t>
      </w:r>
      <w:r w:rsidR="00F141F2" w:rsidRPr="00F141F2">
        <w:t>https://www2.warwick.ac.uk/fac/arts/modernlanguages/academic/lines/community/kenilworth/term2-wk9-dante-reading_2.pdf</w:t>
      </w:r>
    </w:p>
  </w:footnote>
  <w:footnote w:id="12">
    <w:p w:rsidR="000C2DB5" w:rsidRDefault="000C2DB5">
      <w:pPr>
        <w:pStyle w:val="FootnoteText"/>
      </w:pPr>
      <w:r>
        <w:rPr>
          <w:rStyle w:val="FootnoteReference"/>
        </w:rPr>
        <w:footnoteRef/>
      </w:r>
      <w:r>
        <w:t xml:space="preserve"> Christopher </w:t>
      </w:r>
      <w:proofErr w:type="spellStart"/>
      <w:r>
        <w:t>Kleinhenz</w:t>
      </w:r>
      <w:proofErr w:type="spellEnd"/>
      <w:r>
        <w:t xml:space="preserve">, ‘The Oxford Companion to Italian Literature: Frederick II’, [online]. Available: </w:t>
      </w:r>
      <w:r w:rsidRPr="000C2DB5">
        <w:t>http://www.oxfordreference.com.ezproxy.uwtsd.ac.uk/view/10.1093/acref/9780198183327.001.0001/acref-9780198183327-e-1386</w:t>
      </w:r>
    </w:p>
  </w:footnote>
  <w:footnote w:id="13">
    <w:p w:rsidR="00ED51B7" w:rsidRDefault="00ED51B7">
      <w:pPr>
        <w:pStyle w:val="FootnoteText"/>
      </w:pPr>
      <w:r>
        <w:rPr>
          <w:rStyle w:val="FootnoteReference"/>
        </w:rPr>
        <w:footnoteRef/>
      </w:r>
      <w:r>
        <w:t xml:space="preserve"> </w:t>
      </w:r>
      <w:proofErr w:type="spellStart"/>
      <w:r w:rsidR="001415FB">
        <w:t>R.Vaughan</w:t>
      </w:r>
      <w:proofErr w:type="spellEnd"/>
      <w:r w:rsidR="001415FB">
        <w:t>,</w:t>
      </w:r>
      <w:r w:rsidR="001415FB" w:rsidRPr="001415FB">
        <w:t xml:space="preserve"> </w:t>
      </w:r>
      <w:proofErr w:type="gramStart"/>
      <w:r w:rsidR="001415FB" w:rsidRPr="001415FB">
        <w:rPr>
          <w:i/>
        </w:rPr>
        <w:t>The</w:t>
      </w:r>
      <w:proofErr w:type="gramEnd"/>
      <w:r w:rsidR="001415FB" w:rsidRPr="001415FB">
        <w:rPr>
          <w:i/>
        </w:rPr>
        <w:t xml:space="preserve"> Illustrated Chronicles of Matthew Paris</w:t>
      </w:r>
      <w:r w:rsidR="001415FB" w:rsidRPr="001415FB">
        <w:t xml:space="preserve">. </w:t>
      </w:r>
      <w:r w:rsidR="001415FB">
        <w:t>(</w:t>
      </w:r>
      <w:r w:rsidR="001415FB" w:rsidRPr="001415FB">
        <w:t>Stroud: Alan Sutton, 1993</w:t>
      </w:r>
      <w:r w:rsidR="001415FB">
        <w:t>).</w:t>
      </w:r>
    </w:p>
  </w:footnote>
  <w:footnote w:id="14">
    <w:p w:rsidR="00C761F5" w:rsidRDefault="00C761F5" w:rsidP="00C761F5">
      <w:pPr>
        <w:pStyle w:val="FootnoteText"/>
      </w:pPr>
      <w:r>
        <w:rPr>
          <w:rStyle w:val="FootnoteReference"/>
        </w:rPr>
        <w:footnoteRef/>
      </w:r>
      <w:r>
        <w:t xml:space="preserve"> </w:t>
      </w:r>
      <w:proofErr w:type="spellStart"/>
      <w:r>
        <w:t>D.Abulafi</w:t>
      </w:r>
      <w:proofErr w:type="spellEnd"/>
      <w:r>
        <w:rPr>
          <w:i/>
        </w:rPr>
        <w:t>,</w:t>
      </w:r>
      <w:r w:rsidRPr="007C542B">
        <w:rPr>
          <w:i/>
        </w:rPr>
        <w:t xml:space="preserve"> Frederick II </w:t>
      </w:r>
      <w:r w:rsidRPr="007C542B">
        <w:t>(London: Penguin, 1988).</w:t>
      </w:r>
      <w:r>
        <w:t xml:space="preserve"> </w:t>
      </w:r>
      <w:r>
        <w:t>pp.437-438</w:t>
      </w:r>
    </w:p>
    <w:p w:rsidR="00C761F5" w:rsidRDefault="00C761F5">
      <w:pPr>
        <w:pStyle w:val="FootnoteText"/>
      </w:pPr>
    </w:p>
  </w:footnote>
  <w:footnote w:id="15">
    <w:p w:rsidR="00026EAE" w:rsidRDefault="00026EAE">
      <w:pPr>
        <w:pStyle w:val="FootnoteText"/>
      </w:pPr>
      <w:r>
        <w:rPr>
          <w:rStyle w:val="FootnoteReference"/>
        </w:rPr>
        <w:footnoteRef/>
      </w:r>
      <w:r>
        <w:t xml:space="preserve"> </w:t>
      </w:r>
      <w:proofErr w:type="spellStart"/>
      <w:r>
        <w:t>E.Kantorowicz</w:t>
      </w:r>
      <w:proofErr w:type="spellEnd"/>
      <w:r>
        <w:t xml:space="preserve">, </w:t>
      </w:r>
      <w:r w:rsidRPr="00D05C8E">
        <w:rPr>
          <w:i/>
        </w:rPr>
        <w:t>Frederic the Second: 1194-1250</w:t>
      </w:r>
      <w:r>
        <w:t xml:space="preserve"> (London, Constable &amp; Co, 1931) </w:t>
      </w:r>
      <w:r>
        <w:t>pp. 287</w:t>
      </w:r>
    </w:p>
  </w:footnote>
  <w:footnote w:id="16">
    <w:p w:rsidR="007C542B" w:rsidRDefault="007C542B">
      <w:pPr>
        <w:pStyle w:val="FootnoteText"/>
      </w:pPr>
      <w:r>
        <w:rPr>
          <w:rStyle w:val="FootnoteReference"/>
        </w:rPr>
        <w:footnoteRef/>
      </w:r>
      <w:r>
        <w:t xml:space="preserve"> </w:t>
      </w:r>
      <w:proofErr w:type="spellStart"/>
      <w:r w:rsidR="001415FB">
        <w:t>D.Abulafi</w:t>
      </w:r>
      <w:proofErr w:type="spellEnd"/>
      <w:r w:rsidR="001415FB">
        <w:rPr>
          <w:i/>
        </w:rPr>
        <w:t>,</w:t>
      </w:r>
      <w:r w:rsidRPr="007C542B">
        <w:rPr>
          <w:i/>
        </w:rPr>
        <w:t xml:space="preserve"> Frederick II </w:t>
      </w:r>
      <w:r w:rsidRPr="007C542B">
        <w:t>(London: Penguin, 1988).</w:t>
      </w:r>
      <w:r w:rsidR="00E53F7E">
        <w:t xml:space="preserve"> </w:t>
      </w:r>
      <w:r w:rsidR="002A7590">
        <w:t>pp.1</w:t>
      </w:r>
    </w:p>
  </w:footnote>
  <w:footnote w:id="17">
    <w:p w:rsidR="003D5F23" w:rsidRDefault="003D5F23">
      <w:pPr>
        <w:pStyle w:val="FootnoteText"/>
      </w:pPr>
      <w:r>
        <w:rPr>
          <w:rStyle w:val="FootnoteReference"/>
        </w:rPr>
        <w:footnoteRef/>
      </w:r>
      <w:r>
        <w:t xml:space="preserve"> </w:t>
      </w:r>
      <w:r w:rsidRPr="003D5F23">
        <w:t xml:space="preserve">Fitzwilliam Museum, ‘Frederick II </w:t>
      </w:r>
      <w:r>
        <w:t>Coinage’, [online]. Available</w:t>
      </w:r>
      <w:r w:rsidRPr="003D5F23">
        <w:t>: http://www.fitzmuseum.cam.ac.uk/collections/coinsandmedals/CM.PG.1191</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B66A2" w:rsidRDefault="00CB66A2">
    <w:pPr>
      <w:pStyle w:val="Header"/>
    </w:pPr>
    <w:r>
      <w:ptab w:relativeTo="margin" w:alignment="center" w:leader="none"/>
    </w:r>
    <w:r>
      <w:ptab w:relativeTo="margin" w:alignment="right" w:leader="none"/>
    </w:r>
    <w:r>
      <w:t>Jordan James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66A2"/>
    <w:rsid w:val="00015F59"/>
    <w:rsid w:val="00026EAE"/>
    <w:rsid w:val="00031DDF"/>
    <w:rsid w:val="000C2DB5"/>
    <w:rsid w:val="000F6A53"/>
    <w:rsid w:val="001022B2"/>
    <w:rsid w:val="001415FB"/>
    <w:rsid w:val="001D66F4"/>
    <w:rsid w:val="001E2836"/>
    <w:rsid w:val="001F2CF9"/>
    <w:rsid w:val="00203C02"/>
    <w:rsid w:val="00244616"/>
    <w:rsid w:val="0027010B"/>
    <w:rsid w:val="00270717"/>
    <w:rsid w:val="002A7590"/>
    <w:rsid w:val="00301C30"/>
    <w:rsid w:val="00352720"/>
    <w:rsid w:val="003527D8"/>
    <w:rsid w:val="00396752"/>
    <w:rsid w:val="003A68F2"/>
    <w:rsid w:val="003D5F23"/>
    <w:rsid w:val="004D0F2F"/>
    <w:rsid w:val="004E71DF"/>
    <w:rsid w:val="004E7200"/>
    <w:rsid w:val="00562308"/>
    <w:rsid w:val="00564BC9"/>
    <w:rsid w:val="00587E9A"/>
    <w:rsid w:val="005A012B"/>
    <w:rsid w:val="005A1587"/>
    <w:rsid w:val="005A5EF4"/>
    <w:rsid w:val="005D0235"/>
    <w:rsid w:val="005F7779"/>
    <w:rsid w:val="00612E6B"/>
    <w:rsid w:val="00634A23"/>
    <w:rsid w:val="0068190E"/>
    <w:rsid w:val="006A3E4A"/>
    <w:rsid w:val="006B2D35"/>
    <w:rsid w:val="007046C1"/>
    <w:rsid w:val="0073068C"/>
    <w:rsid w:val="007A7DD5"/>
    <w:rsid w:val="007C542B"/>
    <w:rsid w:val="007C6F81"/>
    <w:rsid w:val="00842432"/>
    <w:rsid w:val="00851AE7"/>
    <w:rsid w:val="008850E1"/>
    <w:rsid w:val="00887360"/>
    <w:rsid w:val="008E4B57"/>
    <w:rsid w:val="00902523"/>
    <w:rsid w:val="00930180"/>
    <w:rsid w:val="00957818"/>
    <w:rsid w:val="00957B4F"/>
    <w:rsid w:val="0099474F"/>
    <w:rsid w:val="00A07E6A"/>
    <w:rsid w:val="00A278B3"/>
    <w:rsid w:val="00AA48F0"/>
    <w:rsid w:val="00AD26C1"/>
    <w:rsid w:val="00B00F82"/>
    <w:rsid w:val="00B1387C"/>
    <w:rsid w:val="00B4412C"/>
    <w:rsid w:val="00B53280"/>
    <w:rsid w:val="00B810B6"/>
    <w:rsid w:val="00B94377"/>
    <w:rsid w:val="00BF06F5"/>
    <w:rsid w:val="00C761F5"/>
    <w:rsid w:val="00C96705"/>
    <w:rsid w:val="00CA5A52"/>
    <w:rsid w:val="00CB66A2"/>
    <w:rsid w:val="00D04145"/>
    <w:rsid w:val="00D05C8E"/>
    <w:rsid w:val="00D756B6"/>
    <w:rsid w:val="00DC2729"/>
    <w:rsid w:val="00E53F7E"/>
    <w:rsid w:val="00E620A2"/>
    <w:rsid w:val="00E75D75"/>
    <w:rsid w:val="00E815F2"/>
    <w:rsid w:val="00E97CBD"/>
    <w:rsid w:val="00ED51B7"/>
    <w:rsid w:val="00F06847"/>
    <w:rsid w:val="00F141F2"/>
    <w:rsid w:val="00F37213"/>
    <w:rsid w:val="00F51023"/>
    <w:rsid w:val="00F55D0C"/>
    <w:rsid w:val="00F717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D79E119-EBF0-4C88-9705-0C65B928C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66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66A2"/>
  </w:style>
  <w:style w:type="paragraph" w:styleId="Footer">
    <w:name w:val="footer"/>
    <w:basedOn w:val="Normal"/>
    <w:link w:val="FooterChar"/>
    <w:uiPriority w:val="99"/>
    <w:unhideWhenUsed/>
    <w:rsid w:val="00CB66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66A2"/>
  </w:style>
  <w:style w:type="paragraph" w:styleId="FootnoteText">
    <w:name w:val="footnote text"/>
    <w:basedOn w:val="Normal"/>
    <w:link w:val="FootnoteTextChar"/>
    <w:uiPriority w:val="99"/>
    <w:semiHidden/>
    <w:unhideWhenUsed/>
    <w:rsid w:val="001022B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22B2"/>
    <w:rPr>
      <w:sz w:val="20"/>
      <w:szCs w:val="20"/>
    </w:rPr>
  </w:style>
  <w:style w:type="character" w:styleId="FootnoteReference">
    <w:name w:val="footnote reference"/>
    <w:basedOn w:val="DefaultParagraphFont"/>
    <w:uiPriority w:val="99"/>
    <w:semiHidden/>
    <w:unhideWhenUsed/>
    <w:rsid w:val="001022B2"/>
    <w:rPr>
      <w:vertAlign w:val="superscript"/>
    </w:rPr>
  </w:style>
  <w:style w:type="character" w:styleId="Hyperlink">
    <w:name w:val="Hyperlink"/>
    <w:basedOn w:val="DefaultParagraphFont"/>
    <w:uiPriority w:val="99"/>
    <w:unhideWhenUsed/>
    <w:rsid w:val="00203C02"/>
    <w:rPr>
      <w:color w:val="0563C1" w:themeColor="hyperlink"/>
      <w:u w:val="single"/>
    </w:rPr>
  </w:style>
  <w:style w:type="character" w:styleId="FollowedHyperlink">
    <w:name w:val="FollowedHyperlink"/>
    <w:basedOn w:val="DefaultParagraphFont"/>
    <w:uiPriority w:val="99"/>
    <w:semiHidden/>
    <w:unhideWhenUsed/>
    <w:rsid w:val="003D5F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earch-proquest-com.ezproxy.uwtsd.ac.uk/docview/1823858919?OpenUrlRefId=info:xri/sid:primo&amp;accountid=13047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2.warwick.ac.uk/fac/arts/modernlanguages/academic/lines/community/kenilworth/term2-wk9-dante-reading_2.pdf"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biography/Frederick-II-Holy-Roman-emperor" TargetMode="External"/><Relationship Id="rId5" Type="http://schemas.openxmlformats.org/officeDocument/2006/relationships/footnotes" Target="footnotes.xml"/><Relationship Id="rId10" Type="http://schemas.openxmlformats.org/officeDocument/2006/relationships/hyperlink" Target="http://www.fitzmuseum.cam.ac.uk/collections/coinsandmedals/CM.PG.1191" TargetMode="External"/><Relationship Id="rId4" Type="http://schemas.openxmlformats.org/officeDocument/2006/relationships/webSettings" Target="webSettings.xml"/><Relationship Id="rId9" Type="http://schemas.openxmlformats.org/officeDocument/2006/relationships/hyperlink" Target="http://www.oxfordreference.com.ezproxy.uwtsd.ac.uk/view/10.1093/acref/9780198183327.001.0001/acref-9780198183327-e-138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A3D7A5-C723-479B-ADB6-3AF79D881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480</TotalTime>
  <Pages>6</Pages>
  <Words>2203</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132</cp:revision>
  <dcterms:created xsi:type="dcterms:W3CDTF">2017-11-17T15:21:00Z</dcterms:created>
  <dcterms:modified xsi:type="dcterms:W3CDTF">2017-11-17T23:43:00Z</dcterms:modified>
</cp:coreProperties>
</file>