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7B107B" w14:textId="77777777" w:rsidR="00F90986" w:rsidRDefault="00F90986" w:rsidP="00F90986">
      <w:pPr>
        <w:spacing w:line="360" w:lineRule="auto"/>
        <w:rPr>
          <w:rFonts w:ascii="Arial" w:hAnsi="Arial" w:cs="Arial"/>
          <w:sz w:val="24"/>
          <w:szCs w:val="24"/>
        </w:rPr>
      </w:pPr>
      <w:r w:rsidRPr="00CF2CBC">
        <w:rPr>
          <w:rFonts w:ascii="Arial" w:hAnsi="Arial" w:cs="Arial"/>
          <w:sz w:val="24"/>
          <w:szCs w:val="24"/>
        </w:rPr>
        <w:t xml:space="preserve">Student name: </w:t>
      </w:r>
      <w:r>
        <w:rPr>
          <w:rFonts w:ascii="Arial" w:hAnsi="Arial" w:cs="Arial"/>
          <w:sz w:val="24"/>
          <w:szCs w:val="24"/>
        </w:rPr>
        <w:t>Irina-Diana Buture</w:t>
      </w:r>
    </w:p>
    <w:p w14:paraId="26F37E7F" w14:textId="77777777" w:rsidR="00F90986" w:rsidRDefault="00F90986" w:rsidP="00F90986">
      <w:pPr>
        <w:spacing w:line="360" w:lineRule="auto"/>
        <w:rPr>
          <w:rFonts w:ascii="Arial" w:hAnsi="Arial" w:cs="Arial"/>
          <w:sz w:val="24"/>
          <w:szCs w:val="24"/>
        </w:rPr>
      </w:pPr>
      <w:r w:rsidRPr="00CF2CBC">
        <w:rPr>
          <w:rFonts w:ascii="Arial" w:hAnsi="Arial" w:cs="Arial"/>
          <w:sz w:val="24"/>
          <w:szCs w:val="24"/>
        </w:rPr>
        <w:t xml:space="preserve">Student id: </w:t>
      </w:r>
      <w:r w:rsidRPr="00211FD4">
        <w:rPr>
          <w:rFonts w:ascii="Arial" w:hAnsi="Arial" w:cs="Arial"/>
          <w:sz w:val="24"/>
          <w:szCs w:val="24"/>
        </w:rPr>
        <w:t>2239006</w:t>
      </w:r>
    </w:p>
    <w:p w14:paraId="33D0D6A8" w14:textId="77777777" w:rsidR="00F90986" w:rsidRPr="00CF2CBC" w:rsidRDefault="00F90986" w:rsidP="00F90986">
      <w:pPr>
        <w:spacing w:line="360" w:lineRule="auto"/>
        <w:rPr>
          <w:rFonts w:ascii="Arial" w:hAnsi="Arial" w:cs="Arial"/>
          <w:sz w:val="24"/>
          <w:szCs w:val="24"/>
        </w:rPr>
      </w:pPr>
      <w:r w:rsidRPr="00CF2CBC">
        <w:rPr>
          <w:rFonts w:ascii="Arial" w:hAnsi="Arial" w:cs="Arial"/>
          <w:sz w:val="24"/>
          <w:szCs w:val="24"/>
        </w:rPr>
        <w:t>Module lead: Tristan Hawkins</w:t>
      </w:r>
    </w:p>
    <w:p w14:paraId="17001DDB" w14:textId="001B13B1" w:rsidR="00CF2CBC" w:rsidRDefault="00CF2CBC" w:rsidP="00211FD4">
      <w:pPr>
        <w:spacing w:line="360" w:lineRule="auto"/>
        <w:rPr>
          <w:rFonts w:ascii="Arial" w:hAnsi="Arial" w:cs="Arial"/>
          <w:sz w:val="24"/>
          <w:szCs w:val="24"/>
        </w:rPr>
      </w:pPr>
      <w:r w:rsidRPr="00CF2CBC">
        <w:rPr>
          <w:rFonts w:ascii="Arial" w:hAnsi="Arial" w:cs="Arial"/>
          <w:sz w:val="24"/>
          <w:szCs w:val="24"/>
        </w:rPr>
        <w:t>Business Report - Comparison of Two  Hospitality Organisations</w:t>
      </w:r>
    </w:p>
    <w:p w14:paraId="571B5E62" w14:textId="77777777" w:rsidR="0076786F" w:rsidRDefault="0076786F" w:rsidP="00211FD4">
      <w:pPr>
        <w:spacing w:line="360" w:lineRule="auto"/>
        <w:rPr>
          <w:rFonts w:ascii="Arial" w:hAnsi="Arial" w:cs="Arial"/>
          <w:sz w:val="24"/>
          <w:szCs w:val="24"/>
        </w:rPr>
      </w:pPr>
    </w:p>
    <w:p w14:paraId="633B7B9B" w14:textId="77777777" w:rsidR="0076786F" w:rsidRDefault="0076786F" w:rsidP="0076786F">
      <w:pPr>
        <w:spacing w:line="360" w:lineRule="auto"/>
        <w:jc w:val="center"/>
        <w:rPr>
          <w:rFonts w:ascii="Arial" w:hAnsi="Arial" w:cs="Arial"/>
          <w:sz w:val="24"/>
          <w:szCs w:val="24"/>
        </w:rPr>
      </w:pPr>
    </w:p>
    <w:p w14:paraId="768E894E" w14:textId="5000B4D6" w:rsidR="0076786F" w:rsidRPr="0076786F" w:rsidRDefault="0076786F" w:rsidP="0076786F">
      <w:pPr>
        <w:spacing w:line="360" w:lineRule="auto"/>
        <w:jc w:val="center"/>
        <w:rPr>
          <w:rFonts w:ascii="Arial" w:hAnsi="Arial" w:cs="Arial"/>
          <w:b/>
          <w:bCs/>
          <w:sz w:val="24"/>
          <w:szCs w:val="24"/>
        </w:rPr>
      </w:pPr>
      <w:r w:rsidRPr="0076786F">
        <w:rPr>
          <w:rFonts w:ascii="Arial" w:hAnsi="Arial" w:cs="Arial"/>
          <w:b/>
          <w:bCs/>
          <w:sz w:val="24"/>
          <w:szCs w:val="24"/>
        </w:rPr>
        <w:t>Financial Management for the Hotel Industry/ BMIH5007</w:t>
      </w:r>
    </w:p>
    <w:p w14:paraId="6E34B19B" w14:textId="77777777" w:rsidR="0076786F" w:rsidRPr="00CF2CBC" w:rsidRDefault="0076786F" w:rsidP="0076786F">
      <w:pPr>
        <w:spacing w:line="360" w:lineRule="auto"/>
        <w:jc w:val="center"/>
        <w:rPr>
          <w:rFonts w:ascii="Arial" w:hAnsi="Arial" w:cs="Arial"/>
          <w:sz w:val="24"/>
          <w:szCs w:val="24"/>
        </w:rPr>
      </w:pPr>
    </w:p>
    <w:p w14:paraId="70F5EC08" w14:textId="77777777" w:rsidR="00CF2CBC" w:rsidRDefault="00CF2CBC" w:rsidP="00CF2CBC"/>
    <w:p w14:paraId="5DE764E2" w14:textId="77777777" w:rsidR="00CF2CBC" w:rsidRDefault="00CF2CBC" w:rsidP="00CF2CBC"/>
    <w:p w14:paraId="1A445B24" w14:textId="77777777" w:rsidR="00CF2CBC" w:rsidRDefault="00CF2CBC" w:rsidP="00CF2CBC"/>
    <w:p w14:paraId="1F527F67" w14:textId="77777777" w:rsidR="00CF2CBC" w:rsidRDefault="00CF2CBC" w:rsidP="00CF2CBC"/>
    <w:p w14:paraId="64213B29" w14:textId="77777777" w:rsidR="00CF2CBC" w:rsidRDefault="00CF2CBC" w:rsidP="00CF2CBC"/>
    <w:p w14:paraId="711E57CC" w14:textId="77777777" w:rsidR="00CF2CBC" w:rsidRDefault="00CF2CBC" w:rsidP="00CF2CBC"/>
    <w:p w14:paraId="1238C14B" w14:textId="77777777" w:rsidR="00CF2CBC" w:rsidRDefault="00CF2CBC" w:rsidP="00CF2CBC"/>
    <w:p w14:paraId="33CC6C49" w14:textId="77777777" w:rsidR="00CF2CBC" w:rsidRDefault="00CF2CBC" w:rsidP="00CF2CBC"/>
    <w:p w14:paraId="25CCAB09" w14:textId="77777777" w:rsidR="00CF2CBC" w:rsidRDefault="00CF2CBC" w:rsidP="00CF2CBC"/>
    <w:p w14:paraId="656F885B" w14:textId="77777777" w:rsidR="00CF2CBC" w:rsidRDefault="00CF2CBC" w:rsidP="00CF2CBC"/>
    <w:p w14:paraId="563E7C94" w14:textId="77777777" w:rsidR="00CF2CBC" w:rsidRDefault="00CF2CBC" w:rsidP="00CF2CBC"/>
    <w:p w14:paraId="091B0C1D" w14:textId="77777777" w:rsidR="00CF2CBC" w:rsidRDefault="00CF2CBC" w:rsidP="00CF2CBC"/>
    <w:p w14:paraId="09C310E7" w14:textId="77777777" w:rsidR="00CF2CBC" w:rsidRDefault="00CF2CBC" w:rsidP="00CF2CBC"/>
    <w:p w14:paraId="20C254EA" w14:textId="77777777" w:rsidR="00CF2CBC" w:rsidRDefault="00CF2CBC" w:rsidP="00CF2CBC"/>
    <w:p w14:paraId="7134B72E" w14:textId="77777777" w:rsidR="00CF2CBC" w:rsidRDefault="00CF2CBC" w:rsidP="00CF2CBC"/>
    <w:p w14:paraId="38848B00" w14:textId="77777777" w:rsidR="00CF2CBC" w:rsidRDefault="00CF2CBC" w:rsidP="00CF2CBC"/>
    <w:p w14:paraId="475C1AAA" w14:textId="77777777" w:rsidR="00CF2CBC" w:rsidRDefault="00CF2CBC" w:rsidP="00CF2CBC"/>
    <w:p w14:paraId="155A2AF4" w14:textId="77777777" w:rsidR="00CF2CBC" w:rsidRDefault="00CF2CBC" w:rsidP="00CF2CBC"/>
    <w:p w14:paraId="7A3777E6" w14:textId="77777777" w:rsidR="00CF2CBC" w:rsidRDefault="00CF2CBC" w:rsidP="00CF2CBC"/>
    <w:p w14:paraId="37B8F6D0" w14:textId="77777777" w:rsidR="00CF2CBC" w:rsidRDefault="00CF2CBC" w:rsidP="00CF2CBC"/>
    <w:p w14:paraId="5BC04BCD" w14:textId="77777777" w:rsidR="00CF2CBC" w:rsidRDefault="00CF2CBC" w:rsidP="00CF2CBC"/>
    <w:p w14:paraId="6C7367DF" w14:textId="77777777" w:rsidR="00CF2CBC" w:rsidRDefault="00CF2CBC" w:rsidP="00CF2CBC"/>
    <w:p w14:paraId="49FE03A5" w14:textId="11DB0277" w:rsidR="00CF2CBC" w:rsidRPr="009B4545" w:rsidRDefault="00CF2CBC" w:rsidP="009B4545">
      <w:pPr>
        <w:pStyle w:val="EU"/>
        <w:spacing w:line="360" w:lineRule="auto"/>
        <w:rPr>
          <w:color w:val="auto"/>
        </w:rPr>
      </w:pPr>
      <w:bookmarkStart w:id="0" w:name="_Toc180176792"/>
      <w:r w:rsidRPr="009B4545">
        <w:rPr>
          <w:color w:val="auto"/>
        </w:rPr>
        <w:t>Executive summary</w:t>
      </w:r>
      <w:bookmarkEnd w:id="0"/>
      <w:r w:rsidRPr="009B4545">
        <w:rPr>
          <w:color w:val="auto"/>
        </w:rPr>
        <w:t xml:space="preserve"> </w:t>
      </w:r>
    </w:p>
    <w:p w14:paraId="5B54F8FD" w14:textId="61C70BE4" w:rsidR="00CF2CBC" w:rsidRPr="009B4545" w:rsidRDefault="009B4545" w:rsidP="009B4545">
      <w:pPr>
        <w:spacing w:line="360" w:lineRule="auto"/>
        <w:jc w:val="both"/>
        <w:rPr>
          <w:rFonts w:ascii="Arial" w:hAnsi="Arial" w:cs="Arial"/>
          <w:sz w:val="24"/>
          <w:szCs w:val="24"/>
        </w:rPr>
      </w:pPr>
      <w:r w:rsidRPr="009B4545">
        <w:rPr>
          <w:rFonts w:ascii="Arial" w:hAnsi="Arial" w:cs="Arial"/>
          <w:sz w:val="24"/>
          <w:szCs w:val="24"/>
        </w:rPr>
        <w:t>This paper analyses the financial management strategies of two hospitality brands, Shangri-La Hotels and Premier Inn, focussing on revenue generation, profitability, market positioning, development potential, and corporate social responsibility (CSR) programs. The purpose of this paper was to investigate how these two organisations manage their financial resources while serving to two separate market segments: luxury and affordable hospitality. Shangri-La, a luxury hotel brand, earns money from high-end services including premium room reservations, gourmet dining, and spa centres. The company's premium pricing approach generates a gross profit margin of 68.61%, while high operating costs reduce the net profit margin to 6.4%. Premier Inn, a bargain hotel operator, generates most of its revenue from room bookings, taking use of economies of scale to keep prices down. Premier Inn's cost-cutting strategy paid off in 2023, with a gross profit margin of 37.67% and a net profit margin of 15.27%. Both organisations show great dedication to CSR, but Premier Inn's sustainability initiatives are more closely connected with its cost-saving business strategy. Shangri-La confronts hurdles in incorporating sustainability because of its resource-intensive premium services. The analysis suggests that both businesses improve operational efficiency and sustainability in order to increase long-term profitability.</w:t>
      </w:r>
    </w:p>
    <w:p w14:paraId="6B241605" w14:textId="77777777" w:rsidR="00B151A8" w:rsidRDefault="00B151A8"/>
    <w:p w14:paraId="3139E74A" w14:textId="77777777" w:rsidR="00CF2CBC" w:rsidRDefault="00CF2CBC"/>
    <w:p w14:paraId="3CE6F7A0" w14:textId="77777777" w:rsidR="00CF2CBC" w:rsidRDefault="00CF2CBC"/>
    <w:p w14:paraId="0BD6FF95" w14:textId="77777777" w:rsidR="00CF2CBC" w:rsidRDefault="00CF2CBC"/>
    <w:p w14:paraId="6F831ECA" w14:textId="77777777" w:rsidR="00CF2CBC" w:rsidRDefault="00CF2CBC"/>
    <w:p w14:paraId="22ECEE58" w14:textId="77777777" w:rsidR="00CF2CBC" w:rsidRDefault="00CF2CBC"/>
    <w:p w14:paraId="39412A8E" w14:textId="77777777" w:rsidR="00CF2CBC" w:rsidRDefault="00CF2CBC"/>
    <w:p w14:paraId="6CB4E85B" w14:textId="77777777" w:rsidR="00CF2CBC" w:rsidRDefault="00CF2CBC"/>
    <w:p w14:paraId="65A4E4FC" w14:textId="77777777" w:rsidR="00CF2CBC" w:rsidRDefault="00CF2CBC"/>
    <w:p w14:paraId="2C34F3FA" w14:textId="77777777" w:rsidR="00CF2CBC" w:rsidRDefault="00CF2CBC"/>
    <w:p w14:paraId="0A1F86EC" w14:textId="77777777" w:rsidR="00CF2CBC" w:rsidRDefault="00CF2CBC"/>
    <w:p w14:paraId="539C4B4F" w14:textId="77777777" w:rsidR="00CF2CBC" w:rsidRDefault="00CF2CBC"/>
    <w:p w14:paraId="1EBEEB3C" w14:textId="77777777" w:rsidR="00CF2CBC" w:rsidRDefault="00CF2CBC"/>
    <w:p w14:paraId="17509758" w14:textId="77777777" w:rsidR="00CF2CBC" w:rsidRDefault="00CF2CBC"/>
    <w:sdt>
      <w:sdtPr>
        <w:rPr>
          <w:rFonts w:asciiTheme="minorHAnsi" w:eastAsiaTheme="minorHAnsi" w:hAnsiTheme="minorHAnsi" w:cstheme="minorBidi"/>
          <w:color w:val="auto"/>
          <w:kern w:val="2"/>
          <w:sz w:val="22"/>
          <w:szCs w:val="22"/>
          <w:lang w:val="en-GB"/>
          <w14:ligatures w14:val="standardContextual"/>
        </w:rPr>
        <w:id w:val="307762736"/>
        <w:docPartObj>
          <w:docPartGallery w:val="Table of Contents"/>
          <w:docPartUnique/>
        </w:docPartObj>
      </w:sdtPr>
      <w:sdtEndPr>
        <w:rPr>
          <w:b/>
          <w:bCs/>
          <w:noProof/>
        </w:rPr>
      </w:sdtEndPr>
      <w:sdtContent>
        <w:p w14:paraId="57783993" w14:textId="0CA74C73" w:rsidR="009B4545" w:rsidRPr="009B4545" w:rsidRDefault="009B4545" w:rsidP="009B4545">
          <w:pPr>
            <w:pStyle w:val="TOCHeading"/>
            <w:spacing w:line="360" w:lineRule="auto"/>
            <w:rPr>
              <w:rFonts w:ascii="Arial" w:hAnsi="Arial" w:cs="Arial"/>
            </w:rPr>
          </w:pPr>
          <w:r w:rsidRPr="009B4545">
            <w:rPr>
              <w:rFonts w:ascii="Arial" w:hAnsi="Arial" w:cs="Arial"/>
            </w:rPr>
            <w:t>Table of Contents</w:t>
          </w:r>
        </w:p>
        <w:p w14:paraId="0CEBA41F" w14:textId="3E88FD2D" w:rsidR="009B4545" w:rsidRPr="009B4545" w:rsidRDefault="009B4545" w:rsidP="009B4545">
          <w:pPr>
            <w:pStyle w:val="TOC1"/>
            <w:tabs>
              <w:tab w:val="right" w:leader="dot" w:pos="9016"/>
            </w:tabs>
            <w:spacing w:line="360" w:lineRule="auto"/>
            <w:rPr>
              <w:rFonts w:ascii="Arial" w:hAnsi="Arial" w:cs="Arial"/>
              <w:noProof/>
            </w:rPr>
          </w:pPr>
          <w:r w:rsidRPr="009B4545">
            <w:rPr>
              <w:rFonts w:ascii="Arial" w:hAnsi="Arial" w:cs="Arial"/>
            </w:rPr>
            <w:fldChar w:fldCharType="begin"/>
          </w:r>
          <w:r w:rsidRPr="009B4545">
            <w:rPr>
              <w:rFonts w:ascii="Arial" w:hAnsi="Arial" w:cs="Arial"/>
            </w:rPr>
            <w:instrText xml:space="preserve"> TOC \o "1-3" \h \z \u </w:instrText>
          </w:r>
          <w:r w:rsidRPr="009B4545">
            <w:rPr>
              <w:rFonts w:ascii="Arial" w:hAnsi="Arial" w:cs="Arial"/>
            </w:rPr>
            <w:fldChar w:fldCharType="separate"/>
          </w:r>
          <w:hyperlink w:anchor="_Toc180176792" w:history="1">
            <w:r w:rsidRPr="009B4545">
              <w:rPr>
                <w:rStyle w:val="Hyperlink"/>
                <w:rFonts w:ascii="Arial" w:hAnsi="Arial" w:cs="Arial"/>
                <w:noProof/>
              </w:rPr>
              <w:t>Executive summary</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_Toc180176792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2</w:t>
            </w:r>
            <w:r w:rsidRPr="009B4545">
              <w:rPr>
                <w:rFonts w:ascii="Arial" w:hAnsi="Arial" w:cs="Arial"/>
                <w:noProof/>
                <w:webHidden/>
              </w:rPr>
              <w:fldChar w:fldCharType="end"/>
            </w:r>
          </w:hyperlink>
        </w:p>
        <w:p w14:paraId="4703F042" w14:textId="5A534904" w:rsidR="009B4545" w:rsidRPr="009B4545" w:rsidRDefault="009B4545" w:rsidP="009B4545">
          <w:pPr>
            <w:pStyle w:val="TOC1"/>
            <w:tabs>
              <w:tab w:val="right" w:leader="dot" w:pos="9016"/>
            </w:tabs>
            <w:spacing w:line="360" w:lineRule="auto"/>
            <w:rPr>
              <w:rFonts w:ascii="Arial" w:hAnsi="Arial" w:cs="Arial"/>
              <w:noProof/>
            </w:rPr>
          </w:pPr>
          <w:hyperlink w:anchor="_Toc180176793" w:history="1">
            <w:r w:rsidRPr="009B4545">
              <w:rPr>
                <w:rStyle w:val="Hyperlink"/>
                <w:rFonts w:ascii="Arial" w:hAnsi="Arial" w:cs="Arial"/>
                <w:noProof/>
              </w:rPr>
              <w:t>Introduction</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_Toc180176793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4</w:t>
            </w:r>
            <w:r w:rsidRPr="009B4545">
              <w:rPr>
                <w:rFonts w:ascii="Arial" w:hAnsi="Arial" w:cs="Arial"/>
                <w:noProof/>
                <w:webHidden/>
              </w:rPr>
              <w:fldChar w:fldCharType="end"/>
            </w:r>
          </w:hyperlink>
        </w:p>
        <w:p w14:paraId="7D24FA40" w14:textId="4D956412" w:rsidR="009B4545" w:rsidRPr="009B4545" w:rsidRDefault="009B4545" w:rsidP="009B4545">
          <w:pPr>
            <w:pStyle w:val="TOC1"/>
            <w:tabs>
              <w:tab w:val="right" w:leader="dot" w:pos="9016"/>
            </w:tabs>
            <w:spacing w:line="360" w:lineRule="auto"/>
            <w:rPr>
              <w:rFonts w:ascii="Arial" w:hAnsi="Arial" w:cs="Arial"/>
              <w:noProof/>
            </w:rPr>
          </w:pPr>
          <w:hyperlink w:anchor="_Toc180176794" w:history="1">
            <w:r w:rsidRPr="009B4545">
              <w:rPr>
                <w:rStyle w:val="Hyperlink"/>
                <w:rFonts w:ascii="Arial" w:hAnsi="Arial" w:cs="Arial"/>
                <w:noProof/>
              </w:rPr>
              <w:t>About the companies</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_Toc180176794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4</w:t>
            </w:r>
            <w:r w:rsidRPr="009B4545">
              <w:rPr>
                <w:rFonts w:ascii="Arial" w:hAnsi="Arial" w:cs="Arial"/>
                <w:noProof/>
                <w:webHidden/>
              </w:rPr>
              <w:fldChar w:fldCharType="end"/>
            </w:r>
          </w:hyperlink>
        </w:p>
        <w:p w14:paraId="0EA16722" w14:textId="13409187" w:rsidR="009B4545" w:rsidRPr="009B4545" w:rsidRDefault="009B4545" w:rsidP="009B4545">
          <w:pPr>
            <w:pStyle w:val="TOC1"/>
            <w:tabs>
              <w:tab w:val="right" w:leader="dot" w:pos="9016"/>
            </w:tabs>
            <w:spacing w:line="360" w:lineRule="auto"/>
            <w:rPr>
              <w:rFonts w:ascii="Arial" w:hAnsi="Arial" w:cs="Arial"/>
              <w:noProof/>
            </w:rPr>
          </w:pPr>
          <w:hyperlink w:anchor="_Toc180176795" w:history="1">
            <w:r w:rsidRPr="009B4545">
              <w:rPr>
                <w:rStyle w:val="Hyperlink"/>
                <w:rFonts w:ascii="Arial" w:hAnsi="Arial" w:cs="Arial"/>
                <w:noProof/>
              </w:rPr>
              <w:t>Revenue Streams and Profitability</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_Toc180176795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4</w:t>
            </w:r>
            <w:r w:rsidRPr="009B4545">
              <w:rPr>
                <w:rFonts w:ascii="Arial" w:hAnsi="Arial" w:cs="Arial"/>
                <w:noProof/>
                <w:webHidden/>
              </w:rPr>
              <w:fldChar w:fldCharType="end"/>
            </w:r>
          </w:hyperlink>
        </w:p>
        <w:p w14:paraId="60FE3CD2" w14:textId="54B6661F" w:rsidR="009B4545" w:rsidRPr="009B4545" w:rsidRDefault="009B4545" w:rsidP="009B4545">
          <w:pPr>
            <w:pStyle w:val="TOC1"/>
            <w:tabs>
              <w:tab w:val="right" w:leader="dot" w:pos="9016"/>
            </w:tabs>
            <w:spacing w:line="360" w:lineRule="auto"/>
            <w:rPr>
              <w:rFonts w:ascii="Arial" w:hAnsi="Arial" w:cs="Arial"/>
              <w:noProof/>
            </w:rPr>
          </w:pPr>
          <w:hyperlink w:anchor="_Toc180176796" w:history="1">
            <w:r w:rsidRPr="009B4545">
              <w:rPr>
                <w:rStyle w:val="Hyperlink"/>
                <w:rFonts w:ascii="Arial" w:hAnsi="Arial" w:cs="Arial"/>
                <w:noProof/>
              </w:rPr>
              <w:t>Market Positioning</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_Toc180176796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5</w:t>
            </w:r>
            <w:r w:rsidRPr="009B4545">
              <w:rPr>
                <w:rFonts w:ascii="Arial" w:hAnsi="Arial" w:cs="Arial"/>
                <w:noProof/>
                <w:webHidden/>
              </w:rPr>
              <w:fldChar w:fldCharType="end"/>
            </w:r>
          </w:hyperlink>
        </w:p>
        <w:p w14:paraId="14702A58" w14:textId="50092D45" w:rsidR="009B4545" w:rsidRPr="009B4545" w:rsidRDefault="009B4545" w:rsidP="009B4545">
          <w:pPr>
            <w:pStyle w:val="TOC1"/>
            <w:tabs>
              <w:tab w:val="right" w:leader="dot" w:pos="9016"/>
            </w:tabs>
            <w:spacing w:line="360" w:lineRule="auto"/>
            <w:rPr>
              <w:rFonts w:ascii="Arial" w:hAnsi="Arial" w:cs="Arial"/>
              <w:noProof/>
            </w:rPr>
          </w:pPr>
          <w:hyperlink w:anchor="_Toc180176797" w:history="1">
            <w:r w:rsidRPr="009B4545">
              <w:rPr>
                <w:rStyle w:val="Hyperlink"/>
                <w:rFonts w:ascii="Arial" w:hAnsi="Arial" w:cs="Arial"/>
                <w:noProof/>
              </w:rPr>
              <w:t>Growth Potential</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_Toc180176797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6</w:t>
            </w:r>
            <w:r w:rsidRPr="009B4545">
              <w:rPr>
                <w:rFonts w:ascii="Arial" w:hAnsi="Arial" w:cs="Arial"/>
                <w:noProof/>
                <w:webHidden/>
              </w:rPr>
              <w:fldChar w:fldCharType="end"/>
            </w:r>
          </w:hyperlink>
        </w:p>
        <w:p w14:paraId="2E153495" w14:textId="17C13192" w:rsidR="009B4545" w:rsidRPr="009B4545" w:rsidRDefault="009B4545" w:rsidP="009B4545">
          <w:pPr>
            <w:pStyle w:val="TOC1"/>
            <w:tabs>
              <w:tab w:val="right" w:leader="dot" w:pos="9016"/>
            </w:tabs>
            <w:spacing w:line="360" w:lineRule="auto"/>
            <w:rPr>
              <w:rFonts w:ascii="Arial" w:hAnsi="Arial" w:cs="Arial"/>
              <w:noProof/>
            </w:rPr>
          </w:pPr>
          <w:hyperlink w:anchor="_Toc180176798" w:history="1">
            <w:r w:rsidRPr="009B4545">
              <w:rPr>
                <w:rStyle w:val="Hyperlink"/>
                <w:rFonts w:ascii="Arial" w:hAnsi="Arial" w:cs="Arial"/>
                <w:noProof/>
              </w:rPr>
              <w:t>CSR approaches</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_Toc180176798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7</w:t>
            </w:r>
            <w:r w:rsidRPr="009B4545">
              <w:rPr>
                <w:rFonts w:ascii="Arial" w:hAnsi="Arial" w:cs="Arial"/>
                <w:noProof/>
                <w:webHidden/>
              </w:rPr>
              <w:fldChar w:fldCharType="end"/>
            </w:r>
          </w:hyperlink>
        </w:p>
        <w:p w14:paraId="7E8EFDF5" w14:textId="730B6E04" w:rsidR="009B4545" w:rsidRPr="009B4545" w:rsidRDefault="009B4545" w:rsidP="009B4545">
          <w:pPr>
            <w:pStyle w:val="TOC1"/>
            <w:tabs>
              <w:tab w:val="right" w:leader="dot" w:pos="9016"/>
            </w:tabs>
            <w:spacing w:line="360" w:lineRule="auto"/>
            <w:rPr>
              <w:rFonts w:ascii="Arial" w:hAnsi="Arial" w:cs="Arial"/>
              <w:noProof/>
            </w:rPr>
          </w:pPr>
          <w:hyperlink w:anchor="_Toc180176799" w:history="1">
            <w:r w:rsidRPr="009B4545">
              <w:rPr>
                <w:rStyle w:val="Hyperlink"/>
                <w:rFonts w:ascii="Arial" w:hAnsi="Arial" w:cs="Arial"/>
                <w:noProof/>
              </w:rPr>
              <w:t>Conclusion</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_Toc180176799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8</w:t>
            </w:r>
            <w:r w:rsidRPr="009B4545">
              <w:rPr>
                <w:rFonts w:ascii="Arial" w:hAnsi="Arial" w:cs="Arial"/>
                <w:noProof/>
                <w:webHidden/>
              </w:rPr>
              <w:fldChar w:fldCharType="end"/>
            </w:r>
          </w:hyperlink>
        </w:p>
        <w:p w14:paraId="4EB1AB4C" w14:textId="45B7A2EC" w:rsidR="009B4545" w:rsidRPr="009B4545" w:rsidRDefault="009B4545" w:rsidP="009B4545">
          <w:pPr>
            <w:pStyle w:val="TOC1"/>
            <w:tabs>
              <w:tab w:val="right" w:leader="dot" w:pos="9016"/>
            </w:tabs>
            <w:spacing w:line="360" w:lineRule="auto"/>
            <w:rPr>
              <w:rFonts w:ascii="Arial" w:hAnsi="Arial" w:cs="Arial"/>
              <w:noProof/>
            </w:rPr>
          </w:pPr>
          <w:hyperlink w:anchor="_Toc180176800" w:history="1">
            <w:r w:rsidRPr="009B4545">
              <w:rPr>
                <w:rStyle w:val="Hyperlink"/>
                <w:rFonts w:ascii="Arial" w:hAnsi="Arial" w:cs="Arial"/>
                <w:noProof/>
              </w:rPr>
              <w:t>References</w:t>
            </w:r>
            <w:r w:rsidRPr="009B4545">
              <w:rPr>
                <w:rFonts w:ascii="Arial" w:hAnsi="Arial" w:cs="Arial"/>
                <w:noProof/>
                <w:webHidden/>
              </w:rPr>
              <w:tab/>
            </w:r>
            <w:r w:rsidRPr="009B4545">
              <w:rPr>
                <w:rFonts w:ascii="Arial" w:hAnsi="Arial" w:cs="Arial"/>
                <w:noProof/>
                <w:webHidden/>
              </w:rPr>
              <w:fldChar w:fldCharType="begin"/>
            </w:r>
            <w:r w:rsidRPr="009B4545">
              <w:rPr>
                <w:rFonts w:ascii="Arial" w:hAnsi="Arial" w:cs="Arial"/>
                <w:noProof/>
                <w:webHidden/>
              </w:rPr>
              <w:instrText xml:space="preserve"> PAGEREF _Toc180176800 \h </w:instrText>
            </w:r>
            <w:r w:rsidRPr="009B4545">
              <w:rPr>
                <w:rFonts w:ascii="Arial" w:hAnsi="Arial" w:cs="Arial"/>
                <w:noProof/>
                <w:webHidden/>
              </w:rPr>
            </w:r>
            <w:r w:rsidRPr="009B4545">
              <w:rPr>
                <w:rFonts w:ascii="Arial" w:hAnsi="Arial" w:cs="Arial"/>
                <w:noProof/>
                <w:webHidden/>
              </w:rPr>
              <w:fldChar w:fldCharType="separate"/>
            </w:r>
            <w:r w:rsidR="00EE4351">
              <w:rPr>
                <w:rFonts w:ascii="Arial" w:hAnsi="Arial" w:cs="Arial"/>
                <w:noProof/>
                <w:webHidden/>
              </w:rPr>
              <w:t>10</w:t>
            </w:r>
            <w:r w:rsidRPr="009B4545">
              <w:rPr>
                <w:rFonts w:ascii="Arial" w:hAnsi="Arial" w:cs="Arial"/>
                <w:noProof/>
                <w:webHidden/>
              </w:rPr>
              <w:fldChar w:fldCharType="end"/>
            </w:r>
          </w:hyperlink>
        </w:p>
        <w:p w14:paraId="3A45A0A8" w14:textId="64758CCC" w:rsidR="009B4545" w:rsidRDefault="009B4545" w:rsidP="009B4545">
          <w:pPr>
            <w:spacing w:line="360" w:lineRule="auto"/>
          </w:pPr>
          <w:r w:rsidRPr="009B4545">
            <w:rPr>
              <w:rFonts w:ascii="Arial" w:hAnsi="Arial" w:cs="Arial"/>
              <w:b/>
              <w:bCs/>
              <w:noProof/>
            </w:rPr>
            <w:fldChar w:fldCharType="end"/>
          </w:r>
        </w:p>
      </w:sdtContent>
    </w:sdt>
    <w:p w14:paraId="45180922" w14:textId="77777777" w:rsidR="00CF2CBC" w:rsidRDefault="00CF2CBC"/>
    <w:p w14:paraId="50C11C32" w14:textId="77777777" w:rsidR="00CF2CBC" w:rsidRDefault="00CF2CBC"/>
    <w:p w14:paraId="5472A489" w14:textId="77777777" w:rsidR="00CF2CBC" w:rsidRDefault="00CF2CBC"/>
    <w:p w14:paraId="365CC362" w14:textId="77777777" w:rsidR="00CF2CBC" w:rsidRDefault="00CF2CBC"/>
    <w:p w14:paraId="2E470E81" w14:textId="77777777" w:rsidR="00CF2CBC" w:rsidRDefault="00CF2CBC"/>
    <w:p w14:paraId="79E37E06" w14:textId="77777777" w:rsidR="00CF2CBC" w:rsidRDefault="00CF2CBC"/>
    <w:p w14:paraId="29B3748E" w14:textId="77777777" w:rsidR="00CF2CBC" w:rsidRDefault="00CF2CBC"/>
    <w:p w14:paraId="4D2CE131" w14:textId="77777777" w:rsidR="00CF2CBC" w:rsidRDefault="00CF2CBC"/>
    <w:p w14:paraId="0C6820BE" w14:textId="77777777" w:rsidR="00CF2CBC" w:rsidRDefault="00CF2CBC"/>
    <w:p w14:paraId="12CD3E60" w14:textId="77777777" w:rsidR="00CF2CBC" w:rsidRDefault="00CF2CBC"/>
    <w:p w14:paraId="040FE6A8" w14:textId="77777777" w:rsidR="00CF2CBC" w:rsidRDefault="00CF2CBC"/>
    <w:p w14:paraId="1F88D619" w14:textId="77777777" w:rsidR="00CF2CBC" w:rsidRDefault="00CF2CBC"/>
    <w:p w14:paraId="5580D815" w14:textId="77777777" w:rsidR="00CF2CBC" w:rsidRDefault="00CF2CBC"/>
    <w:p w14:paraId="3BEDEB4C" w14:textId="77777777" w:rsidR="00CF2CBC" w:rsidRDefault="00CF2CBC"/>
    <w:p w14:paraId="14D97E5E" w14:textId="77777777" w:rsidR="00CF2CBC" w:rsidRDefault="00CF2CBC"/>
    <w:p w14:paraId="60E73A24" w14:textId="77777777" w:rsidR="00CF2CBC" w:rsidRDefault="00CF2CBC"/>
    <w:p w14:paraId="381B10C4" w14:textId="77777777" w:rsidR="00CF2CBC" w:rsidRDefault="00CF2CBC"/>
    <w:p w14:paraId="0D64D923" w14:textId="77777777" w:rsidR="00CF2CBC" w:rsidRDefault="00CF2CBC"/>
    <w:p w14:paraId="60FC45AD" w14:textId="13645DAC" w:rsidR="00CF2CBC" w:rsidRPr="00EE4351" w:rsidRDefault="00CF2CBC" w:rsidP="00EE4351">
      <w:pPr>
        <w:pStyle w:val="EU"/>
        <w:spacing w:line="360" w:lineRule="auto"/>
        <w:rPr>
          <w:color w:val="auto"/>
        </w:rPr>
      </w:pPr>
      <w:bookmarkStart w:id="1" w:name="_Toc180176793"/>
      <w:r w:rsidRPr="00EE4351">
        <w:rPr>
          <w:color w:val="auto"/>
        </w:rPr>
        <w:lastRenderedPageBreak/>
        <w:t>Introduction</w:t>
      </w:r>
      <w:bookmarkEnd w:id="1"/>
      <w:r w:rsidRPr="00EE4351">
        <w:rPr>
          <w:color w:val="auto"/>
        </w:rPr>
        <w:t xml:space="preserve"> </w:t>
      </w:r>
    </w:p>
    <w:p w14:paraId="70258F2E" w14:textId="17B0AF91" w:rsidR="003F560F" w:rsidRPr="00EE4351" w:rsidRDefault="003F560F"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The hospitality industry is under constant pressure from shifting consumer expectations, economic conditions, and operational challenges. Effective financial management is crucial for hotel businesses to remain competitive, grow, and ensure long-term viability</w:t>
      </w:r>
      <w:r w:rsidR="009B4545" w:rsidRPr="00EE4351">
        <w:rPr>
          <w:rFonts w:ascii="Arial" w:hAnsi="Arial" w:cs="Arial"/>
          <w:sz w:val="24"/>
          <w:szCs w:val="24"/>
        </w:rPr>
        <w:t xml:space="preserve"> </w:t>
      </w:r>
      <w:r w:rsidR="009B4545" w:rsidRPr="00EE4351">
        <w:rPr>
          <w:rFonts w:ascii="Arial" w:hAnsi="Arial" w:cs="Arial"/>
          <w:sz w:val="24"/>
          <w:szCs w:val="24"/>
          <w:lang w:eastAsia="en-GB"/>
        </w:rPr>
        <w:t>(Sun and Nasrullah, 2024)</w:t>
      </w:r>
      <w:r w:rsidRPr="00EE4351">
        <w:rPr>
          <w:rFonts w:ascii="Arial" w:hAnsi="Arial" w:cs="Arial"/>
          <w:sz w:val="24"/>
          <w:szCs w:val="24"/>
          <w:lang w:eastAsia="en-GB"/>
        </w:rPr>
        <w:t>. This study compares the financial management strategies of two different hotel brands: Shangri-La Hotels, a luxury hotel chain, and Premier Inn, a large budget hotel operator. Both companies cater to separate market niches and operating models. The examination focusses on their revenue sources, profitability, market positioning, growth potential, and corporate social responsibility (CSR) initiatives, stressing how their financial management approaches align with their business models and market needs.</w:t>
      </w:r>
    </w:p>
    <w:p w14:paraId="5E353F0C" w14:textId="7284DFA4" w:rsidR="003F560F" w:rsidRPr="00EE4351" w:rsidRDefault="003F560F" w:rsidP="00EE4351">
      <w:pPr>
        <w:pStyle w:val="EU"/>
        <w:spacing w:line="360" w:lineRule="auto"/>
        <w:rPr>
          <w:color w:val="auto"/>
        </w:rPr>
      </w:pPr>
      <w:bookmarkStart w:id="2" w:name="_Toc180176794"/>
      <w:r w:rsidRPr="00EE4351">
        <w:rPr>
          <w:color w:val="auto"/>
        </w:rPr>
        <w:t>About the companies</w:t>
      </w:r>
      <w:bookmarkEnd w:id="2"/>
    </w:p>
    <w:p w14:paraId="6B9FB62F" w14:textId="73885943" w:rsidR="003F560F" w:rsidRPr="00EE4351" w:rsidRDefault="003F560F"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Shangri-La Hotels was founded in 1971 and operates in the luxury segment of the hotel business, offering premium services in upscale locations throughout Asia, the Middle East, Europe, and North America. With over 100 hotels worldwide, the brand caters to affluent travellers looking for unique experiences, including health programs, excellent food, and event hosting. Shangri-La's operational strategy is on offering unique services and experiences that match its premium pricing model and brand positioning (Shangri-La, 202</w:t>
      </w:r>
      <w:r w:rsidR="00AD6656" w:rsidRPr="00EE4351">
        <w:rPr>
          <w:rFonts w:ascii="Arial" w:hAnsi="Arial" w:cs="Arial"/>
          <w:sz w:val="24"/>
          <w:szCs w:val="24"/>
          <w:lang w:eastAsia="en-GB"/>
        </w:rPr>
        <w:t>2</w:t>
      </w:r>
      <w:r w:rsidRPr="00EE4351">
        <w:rPr>
          <w:rFonts w:ascii="Arial" w:hAnsi="Arial" w:cs="Arial"/>
          <w:sz w:val="24"/>
          <w:szCs w:val="24"/>
          <w:lang w:eastAsia="en-GB"/>
        </w:rPr>
        <w:t>). Whitbread PLC's Premier Inn competes in the budget hotel sector, offering low-cost, high-quality lodgings. As of 2023, Premier Inn has over 850 hotels, the majority of which are located in the United Kingdom, although the company has also expanded into Germany and Ireland. The Premier Inn business model is cost-effective, with operational efficiency, economies of scale, and high occupancy rates generating profitability (Whitbread, 2023). The company strives to provide exceptional value to both leisure and business tourists, catering to budget-conscious clients seeking trustworthy housing at a reasonable price.</w:t>
      </w:r>
    </w:p>
    <w:p w14:paraId="7FE6BC18" w14:textId="4369C8F5" w:rsidR="003F560F" w:rsidRPr="00EE4351" w:rsidRDefault="003F560F" w:rsidP="00EE4351">
      <w:pPr>
        <w:pStyle w:val="EU"/>
        <w:spacing w:line="360" w:lineRule="auto"/>
        <w:rPr>
          <w:color w:val="auto"/>
        </w:rPr>
      </w:pPr>
      <w:bookmarkStart w:id="3" w:name="_Toc180176795"/>
      <w:r w:rsidRPr="00EE4351">
        <w:rPr>
          <w:color w:val="auto"/>
        </w:rPr>
        <w:t>Revenue Streams and Profitability</w:t>
      </w:r>
      <w:bookmarkEnd w:id="3"/>
    </w:p>
    <w:p w14:paraId="52054BFE" w14:textId="7B11B7E3" w:rsidR="003F560F" w:rsidRPr="00EE4351" w:rsidRDefault="003F560F"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Shangri-La generates money through a variety of avenues, including room bookings, food and beverage services, spa facilities, and event hosting. Room bookings account for a significant portion of its earnings, with premium pricing allowing the company to generate more money from fewer rooms than budget chains</w:t>
      </w:r>
      <w:r w:rsidR="00AD6656" w:rsidRPr="00EE4351">
        <w:rPr>
          <w:rFonts w:ascii="Arial" w:hAnsi="Arial" w:cs="Arial"/>
          <w:sz w:val="24"/>
          <w:szCs w:val="24"/>
          <w:lang w:eastAsia="en-GB"/>
        </w:rPr>
        <w:t xml:space="preserve"> (Shangri-La, 2023).</w:t>
      </w:r>
      <w:r w:rsidRPr="00EE4351">
        <w:rPr>
          <w:rFonts w:ascii="Arial" w:hAnsi="Arial" w:cs="Arial"/>
          <w:sz w:val="24"/>
          <w:szCs w:val="24"/>
          <w:lang w:eastAsia="en-GB"/>
        </w:rPr>
        <w:t xml:space="preserve"> Shangri-La's total revenue in 2023 was 2.27 billion THB, including significant </w:t>
      </w:r>
      <w:r w:rsidRPr="00EE4351">
        <w:rPr>
          <w:rFonts w:ascii="Arial" w:hAnsi="Arial" w:cs="Arial"/>
          <w:sz w:val="24"/>
          <w:szCs w:val="24"/>
          <w:lang w:eastAsia="en-GB"/>
        </w:rPr>
        <w:lastRenderedPageBreak/>
        <w:t>contributions from its food and beverage companies, which are commonly coupled with hotel reservations to improve customer experience (Shangri-La, 2023). The brand's gross profit margin of 68.61% demonstrates its ability to charge premium prices, yet its net profit margin of 6.4% reflects the expensive costs of maintaining luxury hotels (Shangri-La, 2023). Premier Inn, on the other hand, based its business strategy primarily on room bookings, which make for the great majority of its total revenue. Premier Inn recorded revenues of £2.96 billion in 2023, a significant increase driven by high occupancy rates and strategic expansion into the German market (Whitbread, 2023). Premier Inn's strategy keeps operating costs low, leading in a gross profit margin of 37.67%. This, along with a net profit margin of 15.27%, demonstrates Premier Inn's ability to control operational costs. The company benefits from economies of scale, which allow it to remain profitable even in a highly competitive and price-sensitive market</w:t>
      </w:r>
      <w:r w:rsidR="00AD6656" w:rsidRPr="00EE4351">
        <w:rPr>
          <w:rFonts w:ascii="Arial" w:hAnsi="Arial" w:cs="Arial"/>
          <w:sz w:val="24"/>
          <w:szCs w:val="24"/>
          <w:lang w:eastAsia="en-GB"/>
        </w:rPr>
        <w:t xml:space="preserve"> (Walker, 2021)</w:t>
      </w:r>
      <w:r w:rsidRPr="00EE4351">
        <w:rPr>
          <w:rFonts w:ascii="Arial" w:hAnsi="Arial" w:cs="Arial"/>
          <w:sz w:val="24"/>
          <w:szCs w:val="24"/>
          <w:lang w:eastAsia="en-GB"/>
        </w:rPr>
        <w:t>. Premier Inn's focus on direct bookings through its website has reduced reliance on third-party booking systems, resulting in lower client acquisition costs. In 2023, more than 60% of bookings were made directly through Premier Inn's website, saving the company significant commission costs often associated with online travel brokers</w:t>
      </w:r>
      <w:r w:rsidR="00AD6656" w:rsidRPr="00EE4351">
        <w:rPr>
          <w:rFonts w:ascii="Arial" w:hAnsi="Arial" w:cs="Arial"/>
          <w:sz w:val="24"/>
          <w:szCs w:val="24"/>
          <w:lang w:eastAsia="en-GB"/>
        </w:rPr>
        <w:t xml:space="preserve"> (Premier Inn, 2023)</w:t>
      </w:r>
      <w:r w:rsidRPr="00EE4351">
        <w:rPr>
          <w:rFonts w:ascii="Arial" w:hAnsi="Arial" w:cs="Arial"/>
          <w:sz w:val="24"/>
          <w:szCs w:val="24"/>
          <w:lang w:eastAsia="en-GB"/>
        </w:rPr>
        <w:t>. Furthermore, Premier Inn's simplified service offering, with a concentration on food and beverage operations, ensures that variable expenditures are kept low, contributing to the company's strong financial performance</w:t>
      </w:r>
      <w:r w:rsidR="00AD6656" w:rsidRPr="00EE4351">
        <w:rPr>
          <w:rFonts w:ascii="Arial" w:hAnsi="Arial" w:cs="Arial"/>
          <w:sz w:val="24"/>
          <w:szCs w:val="24"/>
          <w:lang w:eastAsia="en-GB"/>
        </w:rPr>
        <w:t xml:space="preserve"> (Walker, 2021).</w:t>
      </w:r>
    </w:p>
    <w:p w14:paraId="542A505F" w14:textId="365B2FCF" w:rsidR="003F560F" w:rsidRPr="00EE4351" w:rsidRDefault="003F560F" w:rsidP="00EE4351">
      <w:pPr>
        <w:pStyle w:val="EU"/>
        <w:spacing w:line="360" w:lineRule="auto"/>
        <w:rPr>
          <w:color w:val="auto"/>
        </w:rPr>
      </w:pPr>
      <w:bookmarkStart w:id="4" w:name="_Toc180176796"/>
      <w:r w:rsidRPr="00EE4351">
        <w:rPr>
          <w:color w:val="auto"/>
        </w:rPr>
        <w:t>Market Positioning</w:t>
      </w:r>
      <w:bookmarkEnd w:id="4"/>
    </w:p>
    <w:p w14:paraId="5F145623" w14:textId="1B53B8C0" w:rsidR="003F560F" w:rsidRPr="00EE4351" w:rsidRDefault="003F560F"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Shangri-La's strategy of focussing on the premium part of the hotel market is bolstered by its emphasis on providing culturally immersive experiences for wealthy, discriminating travellers. The company goes above and beyond standard luxury items by infusing local culture into its offerings, such as offering region-specific health treatments in its spas, building hotels with locally sourced materials, and encouraging farm-to-table dining experiences</w:t>
      </w:r>
      <w:r w:rsidR="00AD6656" w:rsidRPr="00EE4351">
        <w:rPr>
          <w:rFonts w:ascii="Arial" w:hAnsi="Arial" w:cs="Arial"/>
          <w:sz w:val="24"/>
          <w:szCs w:val="24"/>
          <w:lang w:eastAsia="en-GB"/>
        </w:rPr>
        <w:t xml:space="preserve"> (Shangri-La, 2021)</w:t>
      </w:r>
      <w:r w:rsidRPr="00EE4351">
        <w:rPr>
          <w:rFonts w:ascii="Arial" w:hAnsi="Arial" w:cs="Arial"/>
          <w:sz w:val="24"/>
          <w:szCs w:val="24"/>
          <w:lang w:eastAsia="en-GB"/>
        </w:rPr>
        <w:t>. For example, Shangri-La's luxury resort in Boracay, Philippines, features villas built with traditional Filipino craftsmanship, providing tourists with a true cultural experience while maintaining high-end luxury standards (Shangri-La, 202</w:t>
      </w:r>
      <w:r w:rsidR="00AD6656" w:rsidRPr="00EE4351">
        <w:rPr>
          <w:rFonts w:ascii="Arial" w:hAnsi="Arial" w:cs="Arial"/>
          <w:sz w:val="24"/>
          <w:szCs w:val="24"/>
          <w:lang w:eastAsia="en-GB"/>
        </w:rPr>
        <w:t>1</w:t>
      </w:r>
      <w:r w:rsidRPr="00EE4351">
        <w:rPr>
          <w:rFonts w:ascii="Arial" w:hAnsi="Arial" w:cs="Arial"/>
          <w:sz w:val="24"/>
          <w:szCs w:val="24"/>
          <w:lang w:eastAsia="en-GB"/>
        </w:rPr>
        <w:t xml:space="preserve">). Furthermore, the brand's </w:t>
      </w:r>
      <w:r w:rsidR="00AD6656" w:rsidRPr="00EE4351">
        <w:rPr>
          <w:rFonts w:ascii="Arial" w:hAnsi="Arial" w:cs="Arial"/>
          <w:sz w:val="24"/>
          <w:szCs w:val="24"/>
          <w:lang w:eastAsia="en-GB"/>
        </w:rPr>
        <w:t>commitment</w:t>
      </w:r>
      <w:r w:rsidRPr="00EE4351">
        <w:rPr>
          <w:rFonts w:ascii="Arial" w:hAnsi="Arial" w:cs="Arial"/>
          <w:sz w:val="24"/>
          <w:szCs w:val="24"/>
          <w:lang w:eastAsia="en-GB"/>
        </w:rPr>
        <w:t xml:space="preserve"> to customisation is shown in its Shangri-La Circle loyalty program, which offers members exclusive services and special events tailored to their preferences, cementing customer loyalty. The brand's ability to adapt to shifting economic </w:t>
      </w:r>
      <w:r w:rsidRPr="00EE4351">
        <w:rPr>
          <w:rFonts w:ascii="Arial" w:hAnsi="Arial" w:cs="Arial"/>
          <w:sz w:val="24"/>
          <w:szCs w:val="24"/>
          <w:lang w:eastAsia="en-GB"/>
        </w:rPr>
        <w:lastRenderedPageBreak/>
        <w:t>conditions while retaining service quality sets it apart. During economic downturns, Shangri-La has kept its premium pricing by adding value through specialised services rather than lowering rates, retaining brand equity and drawing high-net-worth travellers (</w:t>
      </w:r>
      <w:r w:rsidR="00AD6656" w:rsidRPr="00EE4351">
        <w:rPr>
          <w:rFonts w:ascii="Arial" w:hAnsi="Arial" w:cs="Arial"/>
          <w:sz w:val="24"/>
          <w:szCs w:val="24"/>
          <w:lang w:eastAsia="en-GB"/>
        </w:rPr>
        <w:t>Shangri-La, 2023</w:t>
      </w:r>
      <w:r w:rsidRPr="00EE4351">
        <w:rPr>
          <w:rFonts w:ascii="Arial" w:hAnsi="Arial" w:cs="Arial"/>
          <w:sz w:val="24"/>
          <w:szCs w:val="24"/>
          <w:lang w:eastAsia="en-GB"/>
        </w:rPr>
        <w:t>). These strategies position Shangri-La as a luxury hotel industry leader, with a strong brand image that appeals to its target market. Premier Inn's success in the budget hotel sector is based on its ability to find a balance between affordability and constant quality</w:t>
      </w:r>
      <w:r w:rsidR="00DD12BE" w:rsidRPr="00EE4351">
        <w:rPr>
          <w:rFonts w:ascii="Arial" w:hAnsi="Arial" w:cs="Arial"/>
          <w:sz w:val="24"/>
          <w:szCs w:val="24"/>
          <w:lang w:eastAsia="en-GB"/>
        </w:rPr>
        <w:t xml:space="preserve"> (</w:t>
      </w:r>
      <w:proofErr w:type="spellStart"/>
      <w:r w:rsidR="00DD12BE" w:rsidRPr="00EE4351">
        <w:rPr>
          <w:rFonts w:ascii="Arial" w:hAnsi="Arial" w:cs="Arial"/>
          <w:sz w:val="24"/>
          <w:szCs w:val="24"/>
          <w:lang w:eastAsia="en-GB"/>
        </w:rPr>
        <w:t>Guilding</w:t>
      </w:r>
      <w:proofErr w:type="spellEnd"/>
      <w:r w:rsidR="00DD12BE" w:rsidRPr="00EE4351">
        <w:rPr>
          <w:rFonts w:ascii="Arial" w:hAnsi="Arial" w:cs="Arial"/>
          <w:sz w:val="24"/>
          <w:szCs w:val="24"/>
          <w:lang w:eastAsia="en-GB"/>
        </w:rPr>
        <w:t>, 2014)</w:t>
      </w:r>
      <w:r w:rsidRPr="00EE4351">
        <w:rPr>
          <w:rFonts w:ascii="Arial" w:hAnsi="Arial" w:cs="Arial"/>
          <w:sz w:val="24"/>
          <w:szCs w:val="24"/>
          <w:lang w:eastAsia="en-GB"/>
        </w:rPr>
        <w:t>. Unlike many budget hotels that sacrifice comfort for price, Premier Inn distinguishes out by offering standardised, comfortable rooms with features like Hypnos beds and blackout curtains, assuring a good night's sleep at a low cost. This emphasis on giving value for money has helped Premier Inn build a strong reputation among both leisure and business travellers looking for trustworthy, no-frills housing without compromising comfort</w:t>
      </w:r>
      <w:r w:rsidR="00DD12BE" w:rsidRPr="00EE4351">
        <w:rPr>
          <w:rFonts w:ascii="Arial" w:hAnsi="Arial" w:cs="Arial"/>
          <w:sz w:val="24"/>
          <w:szCs w:val="24"/>
          <w:lang w:eastAsia="en-GB"/>
        </w:rPr>
        <w:t xml:space="preserve"> (Premier Inn, n.d.)</w:t>
      </w:r>
      <w:r w:rsidRPr="00EE4351">
        <w:rPr>
          <w:rFonts w:ascii="Arial" w:hAnsi="Arial" w:cs="Arial"/>
          <w:sz w:val="24"/>
          <w:szCs w:val="24"/>
          <w:lang w:eastAsia="en-GB"/>
        </w:rPr>
        <w:t xml:space="preserve">. </w:t>
      </w:r>
      <w:r w:rsidR="00DD12BE" w:rsidRPr="00EE4351">
        <w:rPr>
          <w:rFonts w:ascii="Arial" w:hAnsi="Arial" w:cs="Arial"/>
          <w:sz w:val="24"/>
          <w:szCs w:val="24"/>
          <w:lang w:eastAsia="en-GB"/>
        </w:rPr>
        <w:t>Also</w:t>
      </w:r>
      <w:r w:rsidRPr="00EE4351">
        <w:rPr>
          <w:rFonts w:ascii="Arial" w:hAnsi="Arial" w:cs="Arial"/>
          <w:sz w:val="24"/>
          <w:szCs w:val="24"/>
          <w:lang w:eastAsia="en-GB"/>
        </w:rPr>
        <w:t>, the brand's commitment to maintaining high standards of cleanliness and safety, particularly during the COVID-19 epidemic, increased customer confidence and resulted in great occupancy rates even during tough times (Whitbread, 2023). Premier Inn's strategy of locating its hotels near key transportation hubs, such as airports and train stations, increases its appeal to business travellers, while its presence in popular tourist destinations ensures a steady flow of leisure guests. Premier Inn's success in expanding into Germany, where the brand has already established 60 hotels, demonstrates the company's ability to adapt its UK-centric business model to other markets, providing low-cost, dependable lodging in a region with rising demand for budget hotel options (Whitbread, 2023).</w:t>
      </w:r>
    </w:p>
    <w:p w14:paraId="69ACB5DC" w14:textId="2B6F2A7F" w:rsidR="003F560F" w:rsidRPr="00EE4351" w:rsidRDefault="003F560F" w:rsidP="00EE4351">
      <w:pPr>
        <w:pStyle w:val="EU"/>
        <w:spacing w:line="360" w:lineRule="auto"/>
        <w:rPr>
          <w:color w:val="auto"/>
        </w:rPr>
      </w:pPr>
      <w:bookmarkStart w:id="5" w:name="_Toc180176797"/>
      <w:r w:rsidRPr="00EE4351">
        <w:rPr>
          <w:color w:val="auto"/>
        </w:rPr>
        <w:t>Growth Potential</w:t>
      </w:r>
      <w:bookmarkEnd w:id="5"/>
    </w:p>
    <w:p w14:paraId="5486751C" w14:textId="34B0983A" w:rsidR="00C75036" w:rsidRPr="00EE4351" w:rsidRDefault="00C75036"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Shangri-La's expansion strategy is on extending its presence in emerging markets, particularly Asia, where demand for premium services is increasing. The company is building new properties in key markets like as China, Cambodia, and Saudi Arabia, which are expected to drive future growth (</w:t>
      </w:r>
      <w:r w:rsidR="00DD12BE" w:rsidRPr="00EE4351">
        <w:rPr>
          <w:rFonts w:ascii="Arial" w:hAnsi="Arial" w:cs="Arial"/>
          <w:sz w:val="24"/>
          <w:szCs w:val="24"/>
          <w:lang w:eastAsia="en-GB"/>
        </w:rPr>
        <w:t>Burgos, 2022</w:t>
      </w:r>
      <w:r w:rsidRPr="00EE4351">
        <w:rPr>
          <w:rFonts w:ascii="Arial" w:hAnsi="Arial" w:cs="Arial"/>
          <w:sz w:val="24"/>
          <w:szCs w:val="24"/>
          <w:lang w:eastAsia="en-GB"/>
        </w:rPr>
        <w:t>). Furthermore, Shangri-La has been exploring mixed-use developments that combine hotel operations with residential, business, and retail sectors. This diversification allows the organisation to generate many revenue streams while minimising its reliance on hotel bookings alone</w:t>
      </w:r>
      <w:r w:rsidR="00DD12BE" w:rsidRPr="00EE4351">
        <w:rPr>
          <w:rFonts w:ascii="Arial" w:hAnsi="Arial" w:cs="Arial"/>
          <w:sz w:val="24"/>
          <w:szCs w:val="24"/>
          <w:lang w:eastAsia="en-GB"/>
        </w:rPr>
        <w:t xml:space="preserve"> (Shangri-La, 2020)</w:t>
      </w:r>
      <w:r w:rsidRPr="00EE4351">
        <w:rPr>
          <w:rFonts w:ascii="Arial" w:hAnsi="Arial" w:cs="Arial"/>
          <w:sz w:val="24"/>
          <w:szCs w:val="24"/>
          <w:lang w:eastAsia="en-GB"/>
        </w:rPr>
        <w:t xml:space="preserve">. However, the considerable operating costs associated with maintaining premium standards, as well as the risks of entering new markets, impede Shangri-La's development. To be profitable as it expands into these nations, the firm </w:t>
      </w:r>
      <w:r w:rsidRPr="00EE4351">
        <w:rPr>
          <w:rFonts w:ascii="Arial" w:hAnsi="Arial" w:cs="Arial"/>
          <w:sz w:val="24"/>
          <w:szCs w:val="24"/>
          <w:lang w:eastAsia="en-GB"/>
        </w:rPr>
        <w:lastRenderedPageBreak/>
        <w:t>must closely monitor its capital expenditures and operational costs. Shangri-La's ability to control costs while maintaining a premium service offering will be key to its long-term success in new markets (</w:t>
      </w:r>
      <w:r w:rsidR="00DD12BE" w:rsidRPr="00EE4351">
        <w:rPr>
          <w:rFonts w:ascii="Arial" w:hAnsi="Arial" w:cs="Arial"/>
          <w:sz w:val="24"/>
          <w:szCs w:val="24"/>
          <w:lang w:eastAsia="en-GB"/>
        </w:rPr>
        <w:t>Wild, 2018</w:t>
      </w:r>
      <w:r w:rsidRPr="00EE4351">
        <w:rPr>
          <w:rFonts w:ascii="Arial" w:hAnsi="Arial" w:cs="Arial"/>
          <w:sz w:val="24"/>
          <w:szCs w:val="24"/>
          <w:lang w:eastAsia="en-GB"/>
        </w:rPr>
        <w:t>). Premier Inn's development potential originates from its ongoing expansion into the German market, where it has discovered enormous opportunities for growth in the cheap hotel category. Premier Inn announced plans to extend its footprint in Germany by opening 60 new hotels by 2025, citing the strength of its present operations (Whitbread ESG Report, 2023). The company's focus on worldwide development, along with its cost-effective business model, positions it well for future expansion in the United Kingdom and Europe. Premier Inn's focus on digital transformation, which includes the use of AI and automation in customer service and revenue management, opens up new prospects for growth. Premier Inn can reduce operating costs and enhance profitability by leveraging technology to streamline operations and improve the customer experience. Premier Inn, for example, has already improved efficiency and customer satisfaction by deploying automated check-in systems and AI-powered pricing strategies (Whitbread, 2023).</w:t>
      </w:r>
    </w:p>
    <w:p w14:paraId="1E2F8BB0" w14:textId="64BDACB7" w:rsidR="00C75036" w:rsidRPr="00EE4351" w:rsidRDefault="00C75036" w:rsidP="00EE4351">
      <w:pPr>
        <w:pStyle w:val="EU"/>
        <w:spacing w:line="360" w:lineRule="auto"/>
        <w:rPr>
          <w:color w:val="auto"/>
        </w:rPr>
      </w:pPr>
      <w:bookmarkStart w:id="6" w:name="_Toc180176798"/>
      <w:r w:rsidRPr="00EE4351">
        <w:rPr>
          <w:color w:val="auto"/>
        </w:rPr>
        <w:t>CSR approaches</w:t>
      </w:r>
      <w:bookmarkEnd w:id="6"/>
    </w:p>
    <w:p w14:paraId="6BB28B2B" w14:textId="53752DE5" w:rsidR="00C75036" w:rsidRPr="00EE4351" w:rsidRDefault="00C75036"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Both Shangri-La and Premier Inn have incorporated CSR into their business operations, however their tactics differ depending on their market positioning. Shangri-La has made considerable expenditures in sustainability programs, with an emphasis on environmental protection and social responsibility. The company's "Triple S" approach—Stay, Savour, Shine—emphasizes sustainability principles across its operations, from energy-efficient hotel architecture to renewable energy use (Shangri-La, 2023). For example, the Shangri-La Hotel in Singapore has installed rainwater harvesting systems, solar panels, and energy-efficient lighting, resulting in a 25% decrease in energy use since 2019 (Shangri-L</w:t>
      </w:r>
      <w:r w:rsidR="00DD12BE" w:rsidRPr="00EE4351">
        <w:rPr>
          <w:rFonts w:ascii="Arial" w:hAnsi="Arial" w:cs="Arial"/>
          <w:sz w:val="24"/>
          <w:szCs w:val="24"/>
          <w:lang w:eastAsia="en-GB"/>
        </w:rPr>
        <w:t>a</w:t>
      </w:r>
      <w:r w:rsidRPr="00EE4351">
        <w:rPr>
          <w:rFonts w:ascii="Arial" w:hAnsi="Arial" w:cs="Arial"/>
          <w:sz w:val="24"/>
          <w:szCs w:val="24"/>
          <w:lang w:eastAsia="en-GB"/>
        </w:rPr>
        <w:t xml:space="preserve">, 2023). </w:t>
      </w:r>
      <w:r w:rsidR="00DD12BE" w:rsidRPr="00EE4351">
        <w:rPr>
          <w:rFonts w:ascii="Arial" w:hAnsi="Arial" w:cs="Arial"/>
          <w:sz w:val="24"/>
          <w:szCs w:val="24"/>
          <w:lang w:eastAsia="en-GB"/>
        </w:rPr>
        <w:t>Additionally</w:t>
      </w:r>
      <w:r w:rsidRPr="00EE4351">
        <w:rPr>
          <w:rFonts w:ascii="Arial" w:hAnsi="Arial" w:cs="Arial"/>
          <w:sz w:val="24"/>
          <w:szCs w:val="24"/>
          <w:lang w:eastAsia="en-GB"/>
        </w:rPr>
        <w:t xml:space="preserve">, Shangri-La's emphasis on using locally produced and sustainable materials in its operations is consistent with rising customer demand for environmentally responsible premium services. Premier Inn, under its parent firm Whitbread, has also pledged to promote sustainability through its "Force for Good" initiative. The corporation has high goals, including attaining net-zero carbon emissions by 2040. Premier Inn has implemented energy-efficient building designs as part of this project, including an all-electric hotel in Swindon that runs entirely on renewable energy (Whitbread ESG Report, 2023). </w:t>
      </w:r>
      <w:r w:rsidRPr="00EE4351">
        <w:rPr>
          <w:rFonts w:ascii="Arial" w:hAnsi="Arial" w:cs="Arial"/>
          <w:sz w:val="24"/>
          <w:szCs w:val="24"/>
          <w:lang w:eastAsia="en-GB"/>
        </w:rPr>
        <w:lastRenderedPageBreak/>
        <w:t>Premier Inn has also decreased its carbon emissions by 46% since 2019, owing mostly to the phase-out of gas-powered operations and the deployment of renewable energy sources across its UK estate (Premier Inn, 202</w:t>
      </w:r>
      <w:r w:rsidR="00DD12BE" w:rsidRPr="00EE4351">
        <w:rPr>
          <w:rFonts w:ascii="Arial" w:hAnsi="Arial" w:cs="Arial"/>
          <w:sz w:val="24"/>
          <w:szCs w:val="24"/>
          <w:lang w:eastAsia="en-GB"/>
        </w:rPr>
        <w:t>1</w:t>
      </w:r>
      <w:r w:rsidRPr="00EE4351">
        <w:rPr>
          <w:rFonts w:ascii="Arial" w:hAnsi="Arial" w:cs="Arial"/>
          <w:sz w:val="24"/>
          <w:szCs w:val="24"/>
          <w:lang w:eastAsia="en-GB"/>
        </w:rPr>
        <w:t>). While both organisations are devoted to CSR, Premier Inn's strategy is more in line with its cost-cutting goals. Premier Inn can achieve environmental sustainability as well as financial efficiency by decreasing energy use and operational costs. Shangri-La's premium positioning requires a more resource-intensive operational model, making it more difficult to integrate sustainability with high service standards.</w:t>
      </w:r>
    </w:p>
    <w:p w14:paraId="4C5CE00D" w14:textId="16458D40" w:rsidR="00C75036" w:rsidRPr="00EE4351" w:rsidRDefault="00C75036" w:rsidP="00EE4351">
      <w:pPr>
        <w:pStyle w:val="EU"/>
        <w:spacing w:line="360" w:lineRule="auto"/>
        <w:rPr>
          <w:color w:val="auto"/>
        </w:rPr>
      </w:pPr>
      <w:bookmarkStart w:id="7" w:name="_Toc180176799"/>
      <w:r w:rsidRPr="00EE4351">
        <w:rPr>
          <w:color w:val="auto"/>
        </w:rPr>
        <w:t>Conclusion</w:t>
      </w:r>
      <w:bookmarkEnd w:id="7"/>
      <w:r w:rsidRPr="00EE4351">
        <w:rPr>
          <w:color w:val="auto"/>
        </w:rPr>
        <w:t xml:space="preserve"> </w:t>
      </w:r>
    </w:p>
    <w:p w14:paraId="75FC8B46" w14:textId="77777777" w:rsidR="0091027E" w:rsidRPr="00EE4351" w:rsidRDefault="0091027E"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In conclusion, Shangri-La and Premier Inn represent two divergent financial management practices in the hotel sector, both tailored to their respective market groups. Shangri-La's concentration on luxury services, such as tailored experiences and superior facilities, enables them to charge higher accommodation rates and make significant money. However, its profitability is frequently limited by the significant operating expenses involved with upholding luxury standards, such as premium staffing, substantial property maintenance, and high-end service offerings. These expenses limit its total profit margins, while serving a high-spending customer. To remain profitable, Premier Inn takes a cost-leadership approach, focussing on operational efficiency and economies of scale. Premier Inn can offer inexpensive accommodations while retaining good profit margins in a competitive budget market by keeping costs low through standardised services, efficient workforce, and smart property placements. Both companies are dedicated to corporate social responsibility (CSR), but Premier Inn's sustainability efforts, such as energy-efficient hotels, are more closely aligned with its cost-cutting business model, whereas Shangri-La's resource-intensive luxury operations make it more difficult to fully integrate sustainability without sacrificing service quality.</w:t>
      </w:r>
    </w:p>
    <w:p w14:paraId="30ACCEA5" w14:textId="204F9065" w:rsidR="0091027E" w:rsidRPr="00EE4351" w:rsidRDefault="0091027E" w:rsidP="00EE4351">
      <w:pPr>
        <w:spacing w:line="360" w:lineRule="auto"/>
        <w:jc w:val="both"/>
        <w:rPr>
          <w:rFonts w:ascii="Arial" w:hAnsi="Arial" w:cs="Arial"/>
          <w:b/>
          <w:bCs/>
          <w:sz w:val="24"/>
          <w:szCs w:val="24"/>
          <w:lang w:eastAsia="en-GB"/>
        </w:rPr>
      </w:pPr>
      <w:r w:rsidRPr="00EE4351">
        <w:rPr>
          <w:rFonts w:ascii="Arial" w:hAnsi="Arial" w:cs="Arial"/>
          <w:b/>
          <w:bCs/>
          <w:sz w:val="24"/>
          <w:szCs w:val="24"/>
          <w:lang w:eastAsia="en-GB"/>
        </w:rPr>
        <w:t>Recommendations</w:t>
      </w:r>
    </w:p>
    <w:p w14:paraId="54D06B5E" w14:textId="6C71EAD8" w:rsidR="0091027E" w:rsidRPr="00EE4351" w:rsidRDefault="0091027E" w:rsidP="00EE4351">
      <w:pPr>
        <w:pStyle w:val="ListParagraph"/>
        <w:numPr>
          <w:ilvl w:val="0"/>
          <w:numId w:val="1"/>
        </w:numPr>
        <w:spacing w:line="360" w:lineRule="auto"/>
        <w:jc w:val="both"/>
        <w:rPr>
          <w:rFonts w:ascii="Arial" w:hAnsi="Arial" w:cs="Arial"/>
          <w:sz w:val="24"/>
          <w:szCs w:val="24"/>
          <w:lang w:eastAsia="en-GB"/>
        </w:rPr>
      </w:pPr>
      <w:r w:rsidRPr="00EE4351">
        <w:rPr>
          <w:rFonts w:ascii="Arial" w:hAnsi="Arial" w:cs="Arial"/>
          <w:sz w:val="24"/>
          <w:szCs w:val="24"/>
          <w:lang w:eastAsia="en-GB"/>
        </w:rPr>
        <w:t>To boost profitability, Shangri-La ought to focus on operational efficiency while maintaining luxury standards. One possible approach is to use more advanced technology solutions such as artificial intelligence (AI) and automation in areas such as inventory management and customer service, which might help to reduce operational costs (</w:t>
      </w:r>
      <w:proofErr w:type="spellStart"/>
      <w:r w:rsidR="00DD12BE" w:rsidRPr="00EE4351">
        <w:rPr>
          <w:rFonts w:ascii="Arial" w:hAnsi="Arial" w:cs="Arial"/>
          <w:sz w:val="24"/>
          <w:szCs w:val="24"/>
          <w:lang w:eastAsia="en-GB"/>
        </w:rPr>
        <w:t>Lukanova</w:t>
      </w:r>
      <w:proofErr w:type="spellEnd"/>
      <w:r w:rsidR="00DD12BE" w:rsidRPr="00EE4351">
        <w:rPr>
          <w:rFonts w:ascii="Arial" w:hAnsi="Arial" w:cs="Arial"/>
          <w:sz w:val="24"/>
          <w:szCs w:val="24"/>
          <w:lang w:eastAsia="en-GB"/>
        </w:rPr>
        <w:t xml:space="preserve"> and Ilieva, 2019</w:t>
      </w:r>
      <w:r w:rsidRPr="00EE4351">
        <w:rPr>
          <w:rFonts w:ascii="Arial" w:hAnsi="Arial" w:cs="Arial"/>
          <w:sz w:val="24"/>
          <w:szCs w:val="24"/>
          <w:lang w:eastAsia="en-GB"/>
        </w:rPr>
        <w:t>). For example, AI-</w:t>
      </w:r>
      <w:r w:rsidRPr="00EE4351">
        <w:rPr>
          <w:rFonts w:ascii="Arial" w:hAnsi="Arial" w:cs="Arial"/>
          <w:sz w:val="24"/>
          <w:szCs w:val="24"/>
          <w:lang w:eastAsia="en-GB"/>
        </w:rPr>
        <w:lastRenderedPageBreak/>
        <w:t>powered systems might change workforce numbers depending on visitor occupancy forecasts, decreasing labour costs. Shangri-La can also boost its sustainability efforts by implementing more eco-friendly initiatives, such as green building certifications and energy-efficient technologies, which will appeal to a growing market of environmentally conscious luxury travellers while lowering long-term operational costs (</w:t>
      </w:r>
      <w:r w:rsidR="00DD12BE" w:rsidRPr="00EE4351">
        <w:rPr>
          <w:rFonts w:ascii="Arial" w:hAnsi="Arial" w:cs="Arial"/>
          <w:sz w:val="24"/>
          <w:szCs w:val="24"/>
          <w:lang w:eastAsia="en-GB"/>
        </w:rPr>
        <w:t>Walker, 2021</w:t>
      </w:r>
      <w:r w:rsidRPr="00EE4351">
        <w:rPr>
          <w:rFonts w:ascii="Arial" w:hAnsi="Arial" w:cs="Arial"/>
          <w:sz w:val="24"/>
          <w:szCs w:val="24"/>
          <w:lang w:eastAsia="en-GB"/>
        </w:rPr>
        <w:t>).</w:t>
      </w:r>
    </w:p>
    <w:p w14:paraId="7D469061" w14:textId="287D958D" w:rsidR="0091027E" w:rsidRPr="00EE4351" w:rsidRDefault="0091027E" w:rsidP="00EE4351">
      <w:pPr>
        <w:pStyle w:val="ListParagraph"/>
        <w:numPr>
          <w:ilvl w:val="0"/>
          <w:numId w:val="1"/>
        </w:numPr>
        <w:spacing w:line="360" w:lineRule="auto"/>
        <w:jc w:val="both"/>
        <w:rPr>
          <w:rFonts w:ascii="Arial" w:hAnsi="Arial" w:cs="Arial"/>
          <w:sz w:val="24"/>
          <w:szCs w:val="24"/>
          <w:lang w:eastAsia="en-GB"/>
        </w:rPr>
      </w:pPr>
      <w:r w:rsidRPr="00EE4351">
        <w:rPr>
          <w:rFonts w:ascii="Arial" w:hAnsi="Arial" w:cs="Arial"/>
          <w:sz w:val="24"/>
          <w:szCs w:val="24"/>
          <w:lang w:eastAsia="en-GB"/>
        </w:rPr>
        <w:t>Premier Inn can gain a competitive edge by expanding its digital transformation projects, which include the use of AI to personalise client experiences and improve operational efficiency. AI-powered solutions, such as dynamic pricing algorithms, can help optimise room rates in real time, leading in more revenue (</w:t>
      </w:r>
      <w:r w:rsidR="00DD12BE" w:rsidRPr="00EE4351">
        <w:rPr>
          <w:rFonts w:ascii="Arial" w:hAnsi="Arial" w:cs="Arial"/>
          <w:sz w:val="24"/>
          <w:szCs w:val="24"/>
          <w:lang w:eastAsia="en-GB"/>
        </w:rPr>
        <w:t>Al-</w:t>
      </w:r>
      <w:proofErr w:type="spellStart"/>
      <w:r w:rsidR="00DD12BE" w:rsidRPr="00EE4351">
        <w:rPr>
          <w:rFonts w:ascii="Arial" w:hAnsi="Arial" w:cs="Arial"/>
          <w:sz w:val="24"/>
          <w:szCs w:val="24"/>
          <w:lang w:eastAsia="en-GB"/>
        </w:rPr>
        <w:t>Hyari</w:t>
      </w:r>
      <w:proofErr w:type="spellEnd"/>
      <w:r w:rsidR="00DD12BE" w:rsidRPr="00EE4351">
        <w:rPr>
          <w:rFonts w:ascii="Arial" w:hAnsi="Arial" w:cs="Arial"/>
          <w:sz w:val="24"/>
          <w:szCs w:val="24"/>
          <w:lang w:eastAsia="en-GB"/>
        </w:rPr>
        <w:t xml:space="preserve"> et al., 2023</w:t>
      </w:r>
      <w:r w:rsidRPr="00EE4351">
        <w:rPr>
          <w:rFonts w:ascii="Arial" w:hAnsi="Arial" w:cs="Arial"/>
          <w:sz w:val="24"/>
          <w:szCs w:val="24"/>
          <w:lang w:eastAsia="en-GB"/>
        </w:rPr>
        <w:t>). Premier Inn should also continue to invest in sustainability initiatives, such as using more eco-friendly building materials and increasing its use of renewable energy, to reduce operational costs and increase brand loyalty among environmentally conscious customers (Whitbread ESG Report, 2023). These changes will support long-term growth while remaining consistent with Premier Inn's lowering expenses strategy.</w:t>
      </w:r>
    </w:p>
    <w:p w14:paraId="67325158" w14:textId="77777777" w:rsidR="0091027E" w:rsidRDefault="0091027E" w:rsidP="0091027E">
      <w:pPr>
        <w:spacing w:line="360" w:lineRule="auto"/>
        <w:jc w:val="both"/>
        <w:rPr>
          <w:rFonts w:ascii="Arial" w:hAnsi="Arial" w:cs="Arial"/>
          <w:sz w:val="24"/>
          <w:szCs w:val="24"/>
          <w:lang w:eastAsia="en-GB"/>
        </w:rPr>
      </w:pPr>
    </w:p>
    <w:p w14:paraId="18F3A819" w14:textId="77777777" w:rsidR="0091027E" w:rsidRDefault="0091027E" w:rsidP="0091027E">
      <w:pPr>
        <w:spacing w:line="360" w:lineRule="auto"/>
        <w:jc w:val="both"/>
        <w:rPr>
          <w:rFonts w:ascii="Arial" w:hAnsi="Arial" w:cs="Arial"/>
          <w:sz w:val="24"/>
          <w:szCs w:val="24"/>
          <w:lang w:eastAsia="en-GB"/>
        </w:rPr>
      </w:pPr>
    </w:p>
    <w:p w14:paraId="34B1C25D" w14:textId="77777777" w:rsidR="0091027E" w:rsidRDefault="0091027E" w:rsidP="0091027E">
      <w:pPr>
        <w:spacing w:line="360" w:lineRule="auto"/>
        <w:jc w:val="both"/>
        <w:rPr>
          <w:rFonts w:ascii="Arial" w:hAnsi="Arial" w:cs="Arial"/>
          <w:sz w:val="24"/>
          <w:szCs w:val="24"/>
          <w:lang w:eastAsia="en-GB"/>
        </w:rPr>
      </w:pPr>
    </w:p>
    <w:p w14:paraId="438D5052" w14:textId="77777777" w:rsidR="0091027E" w:rsidRDefault="0091027E" w:rsidP="0091027E">
      <w:pPr>
        <w:spacing w:line="360" w:lineRule="auto"/>
        <w:jc w:val="both"/>
        <w:rPr>
          <w:rFonts w:ascii="Arial" w:hAnsi="Arial" w:cs="Arial"/>
          <w:sz w:val="24"/>
          <w:szCs w:val="24"/>
          <w:lang w:eastAsia="en-GB"/>
        </w:rPr>
      </w:pPr>
    </w:p>
    <w:p w14:paraId="3B57465A" w14:textId="77777777" w:rsidR="0091027E" w:rsidRDefault="0091027E" w:rsidP="0091027E">
      <w:pPr>
        <w:spacing w:line="360" w:lineRule="auto"/>
        <w:jc w:val="both"/>
        <w:rPr>
          <w:rFonts w:ascii="Arial" w:hAnsi="Arial" w:cs="Arial"/>
          <w:sz w:val="24"/>
          <w:szCs w:val="24"/>
          <w:lang w:eastAsia="en-GB"/>
        </w:rPr>
      </w:pPr>
    </w:p>
    <w:p w14:paraId="1C5A1111" w14:textId="77777777" w:rsidR="0091027E" w:rsidRDefault="0091027E" w:rsidP="0091027E">
      <w:pPr>
        <w:spacing w:line="360" w:lineRule="auto"/>
        <w:jc w:val="both"/>
        <w:rPr>
          <w:rFonts w:ascii="Arial" w:hAnsi="Arial" w:cs="Arial"/>
          <w:sz w:val="24"/>
          <w:szCs w:val="24"/>
          <w:lang w:eastAsia="en-GB"/>
        </w:rPr>
      </w:pPr>
    </w:p>
    <w:p w14:paraId="2348549A" w14:textId="77777777" w:rsidR="0091027E" w:rsidRDefault="0091027E" w:rsidP="0091027E">
      <w:pPr>
        <w:spacing w:line="360" w:lineRule="auto"/>
        <w:jc w:val="both"/>
        <w:rPr>
          <w:rFonts w:ascii="Arial" w:hAnsi="Arial" w:cs="Arial"/>
          <w:sz w:val="24"/>
          <w:szCs w:val="24"/>
          <w:lang w:eastAsia="en-GB"/>
        </w:rPr>
      </w:pPr>
    </w:p>
    <w:p w14:paraId="0D9F3276" w14:textId="77777777" w:rsidR="0091027E" w:rsidRDefault="0091027E" w:rsidP="0091027E">
      <w:pPr>
        <w:spacing w:line="360" w:lineRule="auto"/>
        <w:jc w:val="both"/>
        <w:rPr>
          <w:rFonts w:ascii="Arial" w:hAnsi="Arial" w:cs="Arial"/>
          <w:sz w:val="24"/>
          <w:szCs w:val="24"/>
          <w:lang w:eastAsia="en-GB"/>
        </w:rPr>
      </w:pPr>
    </w:p>
    <w:p w14:paraId="7E89A9CB" w14:textId="77777777" w:rsidR="0091027E" w:rsidRDefault="0091027E" w:rsidP="0091027E">
      <w:pPr>
        <w:spacing w:line="360" w:lineRule="auto"/>
        <w:jc w:val="both"/>
        <w:rPr>
          <w:rFonts w:ascii="Arial" w:hAnsi="Arial" w:cs="Arial"/>
          <w:sz w:val="24"/>
          <w:szCs w:val="24"/>
          <w:lang w:eastAsia="en-GB"/>
        </w:rPr>
      </w:pPr>
    </w:p>
    <w:p w14:paraId="7F324655" w14:textId="77777777" w:rsidR="0091027E" w:rsidRDefault="0091027E" w:rsidP="0091027E">
      <w:pPr>
        <w:spacing w:line="360" w:lineRule="auto"/>
        <w:jc w:val="both"/>
        <w:rPr>
          <w:rFonts w:ascii="Arial" w:hAnsi="Arial" w:cs="Arial"/>
          <w:sz w:val="24"/>
          <w:szCs w:val="24"/>
          <w:lang w:eastAsia="en-GB"/>
        </w:rPr>
      </w:pPr>
    </w:p>
    <w:p w14:paraId="786B723C" w14:textId="77777777" w:rsidR="0091027E" w:rsidRDefault="0091027E" w:rsidP="0091027E">
      <w:pPr>
        <w:spacing w:line="360" w:lineRule="auto"/>
        <w:jc w:val="both"/>
        <w:rPr>
          <w:rFonts w:ascii="Arial" w:hAnsi="Arial" w:cs="Arial"/>
          <w:sz w:val="24"/>
          <w:szCs w:val="24"/>
          <w:lang w:eastAsia="en-GB"/>
        </w:rPr>
      </w:pPr>
    </w:p>
    <w:p w14:paraId="20AC978C" w14:textId="77777777" w:rsidR="0091027E" w:rsidRDefault="0091027E" w:rsidP="0091027E">
      <w:pPr>
        <w:spacing w:line="360" w:lineRule="auto"/>
        <w:jc w:val="both"/>
        <w:rPr>
          <w:rFonts w:ascii="Arial" w:hAnsi="Arial" w:cs="Arial"/>
          <w:sz w:val="24"/>
          <w:szCs w:val="24"/>
          <w:lang w:eastAsia="en-GB"/>
        </w:rPr>
      </w:pPr>
    </w:p>
    <w:p w14:paraId="36C4E4C3" w14:textId="77777777" w:rsidR="0091027E" w:rsidRDefault="0091027E" w:rsidP="0091027E">
      <w:pPr>
        <w:spacing w:line="360" w:lineRule="auto"/>
        <w:jc w:val="both"/>
        <w:rPr>
          <w:rFonts w:ascii="Arial" w:hAnsi="Arial" w:cs="Arial"/>
          <w:sz w:val="24"/>
          <w:szCs w:val="24"/>
          <w:lang w:eastAsia="en-GB"/>
        </w:rPr>
      </w:pPr>
    </w:p>
    <w:p w14:paraId="3017DD9E" w14:textId="77777777" w:rsidR="0091027E" w:rsidRDefault="0091027E" w:rsidP="0091027E">
      <w:pPr>
        <w:spacing w:line="360" w:lineRule="auto"/>
        <w:jc w:val="both"/>
        <w:rPr>
          <w:rFonts w:ascii="Arial" w:hAnsi="Arial" w:cs="Arial"/>
          <w:sz w:val="24"/>
          <w:szCs w:val="24"/>
          <w:lang w:eastAsia="en-GB"/>
        </w:rPr>
      </w:pPr>
    </w:p>
    <w:p w14:paraId="169D9ADC" w14:textId="0546CE75" w:rsidR="0091027E" w:rsidRPr="00AD6656" w:rsidRDefault="0091027E" w:rsidP="00AD6656">
      <w:pPr>
        <w:pStyle w:val="EU"/>
        <w:spacing w:line="360" w:lineRule="auto"/>
        <w:rPr>
          <w:color w:val="auto"/>
        </w:rPr>
      </w:pPr>
      <w:bookmarkStart w:id="8" w:name="_Toc180176800"/>
      <w:r w:rsidRPr="00AD6656">
        <w:rPr>
          <w:color w:val="auto"/>
        </w:rPr>
        <w:t>References</w:t>
      </w:r>
      <w:bookmarkEnd w:id="8"/>
      <w:r w:rsidRPr="00AD6656">
        <w:rPr>
          <w:color w:val="auto"/>
        </w:rPr>
        <w:t xml:space="preserve"> </w:t>
      </w:r>
    </w:p>
    <w:p w14:paraId="65B8C284" w14:textId="77777777" w:rsidR="00DD12BE" w:rsidRDefault="00DD12BE" w:rsidP="00AD6656">
      <w:pPr>
        <w:spacing w:line="360" w:lineRule="auto"/>
        <w:jc w:val="both"/>
        <w:rPr>
          <w:rFonts w:ascii="Arial" w:eastAsiaTheme="majorEastAsia" w:hAnsi="Arial" w:cs="Arial"/>
          <w:bCs/>
          <w:kern w:val="0"/>
          <w:sz w:val="24"/>
          <w:szCs w:val="24"/>
          <w:lang w:eastAsia="en-GB"/>
          <w14:ligatures w14:val="none"/>
        </w:rPr>
      </w:pPr>
    </w:p>
    <w:p w14:paraId="220EFF1E" w14:textId="77777777" w:rsidR="00DD12BE" w:rsidRPr="00EE4351" w:rsidRDefault="00DD12BE" w:rsidP="00EE4351">
      <w:pPr>
        <w:spacing w:line="360" w:lineRule="auto"/>
        <w:jc w:val="both"/>
        <w:rPr>
          <w:rFonts w:ascii="Arial" w:eastAsiaTheme="majorEastAsia" w:hAnsi="Arial" w:cs="Arial"/>
          <w:bCs/>
          <w:kern w:val="0"/>
          <w:sz w:val="24"/>
          <w:szCs w:val="24"/>
          <w:lang w:eastAsia="en-GB"/>
          <w14:ligatures w14:val="none"/>
        </w:rPr>
      </w:pPr>
      <w:r w:rsidRPr="00EE4351">
        <w:rPr>
          <w:rFonts w:ascii="Arial" w:eastAsiaTheme="majorEastAsia" w:hAnsi="Arial" w:cs="Arial"/>
          <w:bCs/>
          <w:kern w:val="0"/>
          <w:sz w:val="24"/>
          <w:szCs w:val="24"/>
          <w:lang w:eastAsia="en-GB"/>
          <w14:ligatures w14:val="none"/>
        </w:rPr>
        <w:t>Al-</w:t>
      </w:r>
      <w:proofErr w:type="spellStart"/>
      <w:r w:rsidRPr="00EE4351">
        <w:rPr>
          <w:rFonts w:ascii="Arial" w:eastAsiaTheme="majorEastAsia" w:hAnsi="Arial" w:cs="Arial"/>
          <w:bCs/>
          <w:kern w:val="0"/>
          <w:sz w:val="24"/>
          <w:szCs w:val="24"/>
          <w:lang w:eastAsia="en-GB"/>
          <w14:ligatures w14:val="none"/>
        </w:rPr>
        <w:t>Hyari</w:t>
      </w:r>
      <w:proofErr w:type="spellEnd"/>
      <w:r w:rsidRPr="00EE4351">
        <w:rPr>
          <w:rFonts w:ascii="Arial" w:eastAsiaTheme="majorEastAsia" w:hAnsi="Arial" w:cs="Arial"/>
          <w:bCs/>
          <w:kern w:val="0"/>
          <w:sz w:val="24"/>
          <w:szCs w:val="24"/>
          <w:lang w:eastAsia="en-GB"/>
          <w14:ligatures w14:val="none"/>
        </w:rPr>
        <w:t xml:space="preserve">, H.S.A., Al-Smadi, H.M. and </w:t>
      </w:r>
      <w:proofErr w:type="spellStart"/>
      <w:r w:rsidRPr="00EE4351">
        <w:rPr>
          <w:rFonts w:ascii="Arial" w:eastAsiaTheme="majorEastAsia" w:hAnsi="Arial" w:cs="Arial"/>
          <w:bCs/>
          <w:kern w:val="0"/>
          <w:sz w:val="24"/>
          <w:szCs w:val="24"/>
          <w:lang w:eastAsia="en-GB"/>
          <w14:ligatures w14:val="none"/>
        </w:rPr>
        <w:t>Weshah</w:t>
      </w:r>
      <w:proofErr w:type="spellEnd"/>
      <w:r w:rsidRPr="00EE4351">
        <w:rPr>
          <w:rFonts w:ascii="Arial" w:eastAsiaTheme="majorEastAsia" w:hAnsi="Arial" w:cs="Arial"/>
          <w:bCs/>
          <w:kern w:val="0"/>
          <w:sz w:val="24"/>
          <w:szCs w:val="24"/>
          <w:lang w:eastAsia="en-GB"/>
          <w14:ligatures w14:val="none"/>
        </w:rPr>
        <w:t xml:space="preserve">, S.R., 2023. The impact of artificial intelligence (AI) on guest satisfaction in hotel management: An empirical study of luxury hotels. Geo Journal of Tourism and </w:t>
      </w:r>
      <w:proofErr w:type="spellStart"/>
      <w:r w:rsidRPr="00EE4351">
        <w:rPr>
          <w:rFonts w:ascii="Arial" w:eastAsiaTheme="majorEastAsia" w:hAnsi="Arial" w:cs="Arial"/>
          <w:bCs/>
          <w:kern w:val="0"/>
          <w:sz w:val="24"/>
          <w:szCs w:val="24"/>
          <w:lang w:eastAsia="en-GB"/>
          <w14:ligatures w14:val="none"/>
        </w:rPr>
        <w:t>Geosites</w:t>
      </w:r>
      <w:proofErr w:type="spellEnd"/>
      <w:r w:rsidRPr="00EE4351">
        <w:rPr>
          <w:rFonts w:ascii="Arial" w:eastAsiaTheme="majorEastAsia" w:hAnsi="Arial" w:cs="Arial"/>
          <w:bCs/>
          <w:kern w:val="0"/>
          <w:sz w:val="24"/>
          <w:szCs w:val="24"/>
          <w:lang w:eastAsia="en-GB"/>
          <w14:ligatures w14:val="none"/>
        </w:rPr>
        <w:t>, 48, pp.810-819.</w:t>
      </w:r>
    </w:p>
    <w:p w14:paraId="17B03FEB" w14:textId="16E9CA9F" w:rsidR="00DD12BE" w:rsidRPr="00EE4351" w:rsidRDefault="00DD12BE" w:rsidP="00EE4351">
      <w:pPr>
        <w:spacing w:line="360" w:lineRule="auto"/>
        <w:jc w:val="both"/>
        <w:rPr>
          <w:rFonts w:ascii="Arial" w:eastAsiaTheme="majorEastAsia" w:hAnsi="Arial" w:cs="Arial"/>
          <w:bCs/>
          <w:kern w:val="0"/>
          <w:sz w:val="24"/>
          <w:szCs w:val="24"/>
          <w:lang w:eastAsia="en-GB"/>
          <w14:ligatures w14:val="none"/>
        </w:rPr>
      </w:pPr>
      <w:r w:rsidRPr="00EE4351">
        <w:rPr>
          <w:rFonts w:ascii="Arial" w:eastAsiaTheme="majorEastAsia" w:hAnsi="Arial" w:cs="Arial"/>
          <w:bCs/>
          <w:kern w:val="0"/>
          <w:sz w:val="24"/>
          <w:szCs w:val="24"/>
          <w:lang w:eastAsia="en-GB"/>
          <w14:ligatures w14:val="none"/>
        </w:rPr>
        <w:t>Burgos, J. (2022). Hotel Chains From Hilton To Shangri-La Are Expanding Across Asia On Post-Pandemic Recovery Hopes. [online] Forbes. Available at: https://www.forbes.com/sites/jonathanburgos/2022/04/18/hotel-chains-from-hilton-to-shangri-la-are-expanding-across-asia-on-post-pandemic-recovery-hopes/.</w:t>
      </w:r>
    </w:p>
    <w:p w14:paraId="526C7E73" w14:textId="38184F8A" w:rsidR="00DD12BE" w:rsidRPr="00EE4351" w:rsidRDefault="00DD12BE" w:rsidP="00EE4351">
      <w:pPr>
        <w:spacing w:line="360" w:lineRule="auto"/>
        <w:jc w:val="both"/>
        <w:rPr>
          <w:rFonts w:ascii="Arial" w:eastAsiaTheme="majorEastAsia" w:hAnsi="Arial" w:cs="Arial"/>
          <w:bCs/>
          <w:kern w:val="0"/>
          <w:sz w:val="24"/>
          <w:szCs w:val="24"/>
          <w:lang w:eastAsia="en-GB"/>
          <w14:ligatures w14:val="none"/>
        </w:rPr>
      </w:pPr>
      <w:proofErr w:type="spellStart"/>
      <w:r w:rsidRPr="00EE4351">
        <w:rPr>
          <w:rFonts w:ascii="Arial" w:eastAsiaTheme="majorEastAsia" w:hAnsi="Arial" w:cs="Arial"/>
          <w:bCs/>
          <w:kern w:val="0"/>
          <w:sz w:val="24"/>
          <w:szCs w:val="24"/>
          <w:lang w:eastAsia="en-GB"/>
          <w14:ligatures w14:val="none"/>
        </w:rPr>
        <w:t>Guilding,C</w:t>
      </w:r>
      <w:proofErr w:type="spellEnd"/>
      <w:r w:rsidRPr="00EE4351">
        <w:rPr>
          <w:rFonts w:ascii="Arial" w:eastAsiaTheme="majorEastAsia" w:hAnsi="Arial" w:cs="Arial"/>
          <w:bCs/>
          <w:kern w:val="0"/>
          <w:sz w:val="24"/>
          <w:szCs w:val="24"/>
          <w:lang w:eastAsia="en-GB"/>
          <w14:ligatures w14:val="none"/>
        </w:rPr>
        <w:t>.(2014) (3rd Edition) Accounting Essentials for Hospitality Managers, London, Routledge</w:t>
      </w:r>
    </w:p>
    <w:p w14:paraId="12C9B3DF" w14:textId="46F763B4" w:rsidR="00DD12BE" w:rsidRPr="00EE4351" w:rsidRDefault="00DD12BE" w:rsidP="00EE4351">
      <w:pPr>
        <w:spacing w:line="360" w:lineRule="auto"/>
        <w:jc w:val="both"/>
        <w:rPr>
          <w:rFonts w:ascii="Arial" w:eastAsiaTheme="majorEastAsia" w:hAnsi="Arial" w:cs="Arial"/>
          <w:bCs/>
          <w:kern w:val="0"/>
          <w:sz w:val="24"/>
          <w:szCs w:val="24"/>
          <w:lang w:eastAsia="en-GB"/>
          <w14:ligatures w14:val="none"/>
        </w:rPr>
      </w:pPr>
      <w:proofErr w:type="spellStart"/>
      <w:r w:rsidRPr="00EE4351">
        <w:rPr>
          <w:rFonts w:ascii="Arial" w:eastAsiaTheme="majorEastAsia" w:hAnsi="Arial" w:cs="Arial"/>
          <w:bCs/>
          <w:kern w:val="0"/>
          <w:sz w:val="24"/>
          <w:szCs w:val="24"/>
          <w:lang w:eastAsia="en-GB"/>
          <w14:ligatures w14:val="none"/>
        </w:rPr>
        <w:t>Lukanova</w:t>
      </w:r>
      <w:proofErr w:type="spellEnd"/>
      <w:r w:rsidRPr="00EE4351">
        <w:rPr>
          <w:rFonts w:ascii="Arial" w:eastAsiaTheme="majorEastAsia" w:hAnsi="Arial" w:cs="Arial"/>
          <w:bCs/>
          <w:kern w:val="0"/>
          <w:sz w:val="24"/>
          <w:szCs w:val="24"/>
          <w:lang w:eastAsia="en-GB"/>
          <w14:ligatures w14:val="none"/>
        </w:rPr>
        <w:t>, G. and Ilieva, G., 2019. Robots, artificial intelligence, and service automation in hotels. In Robots, artificial intelligence, and service automation in travel, tourism and hospitality (pp. 157-183). Emerald Publishing Limited.</w:t>
      </w:r>
    </w:p>
    <w:p w14:paraId="2FD4E289" w14:textId="13ECEE1C" w:rsidR="00DD12BE" w:rsidRPr="00EE4351" w:rsidRDefault="00DD12BE" w:rsidP="00EE4351">
      <w:pPr>
        <w:spacing w:line="360" w:lineRule="auto"/>
        <w:jc w:val="both"/>
        <w:rPr>
          <w:rFonts w:ascii="Arial" w:eastAsiaTheme="majorEastAsia" w:hAnsi="Arial" w:cs="Arial"/>
          <w:bCs/>
          <w:kern w:val="0"/>
          <w:sz w:val="24"/>
          <w:szCs w:val="24"/>
          <w:lang w:eastAsia="en-GB"/>
          <w14:ligatures w14:val="none"/>
        </w:rPr>
      </w:pPr>
      <w:r w:rsidRPr="00EE4351">
        <w:rPr>
          <w:rFonts w:ascii="Arial" w:eastAsiaTheme="majorEastAsia" w:hAnsi="Arial" w:cs="Arial"/>
          <w:bCs/>
          <w:kern w:val="0"/>
          <w:sz w:val="24"/>
          <w:szCs w:val="24"/>
          <w:lang w:eastAsia="en-GB"/>
          <w14:ligatures w14:val="none"/>
        </w:rPr>
        <w:t xml:space="preserve">Premier Inn (n.d.). Buy our bed. [online] Available at: </w:t>
      </w:r>
      <w:hyperlink r:id="rId7" w:history="1">
        <w:r w:rsidRPr="00EE4351">
          <w:rPr>
            <w:rStyle w:val="Hyperlink"/>
            <w:rFonts w:ascii="Arial" w:eastAsiaTheme="majorEastAsia" w:hAnsi="Arial" w:cs="Arial"/>
            <w:bCs/>
            <w:color w:val="auto"/>
            <w:kern w:val="0"/>
            <w:sz w:val="24"/>
            <w:szCs w:val="24"/>
            <w:lang w:eastAsia="en-GB"/>
            <w14:ligatures w14:val="none"/>
          </w:rPr>
          <w:t>https://www.premierinn.com/gb/en/sleep/buy-our-bed.html</w:t>
        </w:r>
      </w:hyperlink>
      <w:r w:rsidRPr="00EE4351">
        <w:rPr>
          <w:rFonts w:ascii="Arial" w:eastAsiaTheme="majorEastAsia" w:hAnsi="Arial" w:cs="Arial"/>
          <w:bCs/>
          <w:kern w:val="0"/>
          <w:sz w:val="24"/>
          <w:szCs w:val="24"/>
          <w:lang w:eastAsia="en-GB"/>
          <w14:ligatures w14:val="none"/>
        </w:rPr>
        <w:t>.</w:t>
      </w:r>
    </w:p>
    <w:p w14:paraId="1647EA0A" w14:textId="7D3B41FF" w:rsidR="00DD12BE" w:rsidRPr="00EE4351" w:rsidRDefault="00DD12BE" w:rsidP="00EE4351">
      <w:pPr>
        <w:spacing w:line="360" w:lineRule="auto"/>
        <w:jc w:val="both"/>
        <w:rPr>
          <w:rFonts w:ascii="Arial" w:eastAsiaTheme="majorEastAsia" w:hAnsi="Arial" w:cs="Arial"/>
          <w:bCs/>
          <w:kern w:val="0"/>
          <w:sz w:val="24"/>
          <w:szCs w:val="24"/>
          <w:lang w:eastAsia="en-GB"/>
          <w14:ligatures w14:val="none"/>
        </w:rPr>
      </w:pPr>
      <w:r w:rsidRPr="00EE4351">
        <w:rPr>
          <w:rFonts w:ascii="Arial" w:eastAsiaTheme="majorEastAsia" w:hAnsi="Arial" w:cs="Arial"/>
          <w:bCs/>
          <w:kern w:val="0"/>
          <w:sz w:val="24"/>
          <w:szCs w:val="24"/>
          <w:lang w:eastAsia="en-GB"/>
          <w14:ligatures w14:val="none"/>
        </w:rPr>
        <w:t>Premier Inn (2021). Net zero carbon emissions. [online] www.premierinn.com. Available at: https://www.premierinn.com/gb/en/news/2021/net-zero-carbon-emissions.html.</w:t>
      </w:r>
    </w:p>
    <w:p w14:paraId="705678D6" w14:textId="7C0B23E2" w:rsidR="0091027E" w:rsidRPr="00EE4351" w:rsidRDefault="00AD6656" w:rsidP="00EE4351">
      <w:pPr>
        <w:spacing w:line="360" w:lineRule="auto"/>
        <w:jc w:val="both"/>
        <w:rPr>
          <w:rFonts w:ascii="Arial" w:eastAsiaTheme="majorEastAsia" w:hAnsi="Arial" w:cs="Arial"/>
          <w:bCs/>
          <w:kern w:val="0"/>
          <w:sz w:val="24"/>
          <w:szCs w:val="24"/>
          <w:lang w:eastAsia="en-GB"/>
          <w14:ligatures w14:val="none"/>
        </w:rPr>
      </w:pPr>
      <w:r w:rsidRPr="00EE4351">
        <w:rPr>
          <w:rFonts w:ascii="Arial" w:eastAsiaTheme="majorEastAsia" w:hAnsi="Arial" w:cs="Arial"/>
          <w:bCs/>
          <w:kern w:val="0"/>
          <w:sz w:val="24"/>
          <w:szCs w:val="24"/>
          <w:lang w:eastAsia="en-GB"/>
          <w14:ligatures w14:val="none"/>
        </w:rPr>
        <w:t xml:space="preserve">Premier Inn (2023). Balancing business travel budgets in 2023. [online] Available at: </w:t>
      </w:r>
      <w:hyperlink r:id="rId8" w:history="1">
        <w:r w:rsidRPr="00EE4351">
          <w:rPr>
            <w:rStyle w:val="Hyperlink"/>
            <w:rFonts w:ascii="Arial" w:eastAsiaTheme="majorEastAsia" w:hAnsi="Arial" w:cs="Arial"/>
            <w:bCs/>
            <w:color w:val="auto"/>
            <w:kern w:val="0"/>
            <w:sz w:val="24"/>
            <w:szCs w:val="24"/>
            <w:lang w:eastAsia="en-GB"/>
            <w14:ligatures w14:val="none"/>
          </w:rPr>
          <w:t>https://www.premierinn.com/gb/en/business-blog/balancing-business-travel-budgets-in-2023.html</w:t>
        </w:r>
      </w:hyperlink>
      <w:r w:rsidRPr="00EE4351">
        <w:rPr>
          <w:rFonts w:ascii="Arial" w:eastAsiaTheme="majorEastAsia" w:hAnsi="Arial" w:cs="Arial"/>
          <w:bCs/>
          <w:kern w:val="0"/>
          <w:sz w:val="24"/>
          <w:szCs w:val="24"/>
          <w:lang w:eastAsia="en-GB"/>
          <w14:ligatures w14:val="none"/>
        </w:rPr>
        <w:t>.</w:t>
      </w:r>
    </w:p>
    <w:p w14:paraId="04DBAA16" w14:textId="3A2AAAD9" w:rsidR="00DD12BE" w:rsidRPr="00EE4351" w:rsidRDefault="00DD12BE" w:rsidP="00EE4351">
      <w:pPr>
        <w:spacing w:line="360" w:lineRule="auto"/>
        <w:jc w:val="both"/>
        <w:rPr>
          <w:rFonts w:ascii="Arial" w:eastAsiaTheme="majorEastAsia" w:hAnsi="Arial" w:cs="Arial"/>
          <w:bCs/>
          <w:kern w:val="0"/>
          <w:sz w:val="24"/>
          <w:szCs w:val="24"/>
          <w:lang w:eastAsia="en-GB"/>
          <w14:ligatures w14:val="none"/>
        </w:rPr>
      </w:pPr>
      <w:r w:rsidRPr="00EE4351">
        <w:rPr>
          <w:rFonts w:ascii="Arial" w:eastAsiaTheme="majorEastAsia" w:hAnsi="Arial" w:cs="Arial"/>
          <w:bCs/>
          <w:kern w:val="0"/>
          <w:sz w:val="24"/>
          <w:szCs w:val="24"/>
          <w:lang w:eastAsia="en-GB"/>
          <w14:ligatures w14:val="none"/>
        </w:rPr>
        <w:t>Shangri-la (2020). Available at: https://www.shangri-la.com/group/our-businesses/.</w:t>
      </w:r>
    </w:p>
    <w:p w14:paraId="2A2BBF8E" w14:textId="7F59F38D" w:rsidR="00AD6656" w:rsidRPr="00EE4351" w:rsidRDefault="00AD6656" w:rsidP="00EE4351">
      <w:pPr>
        <w:spacing w:line="360" w:lineRule="auto"/>
        <w:jc w:val="both"/>
        <w:rPr>
          <w:rFonts w:ascii="Arial" w:eastAsiaTheme="majorEastAsia" w:hAnsi="Arial" w:cs="Arial"/>
          <w:bCs/>
          <w:kern w:val="0"/>
          <w:sz w:val="24"/>
          <w:szCs w:val="24"/>
          <w:lang w:eastAsia="en-GB"/>
          <w14:ligatures w14:val="none"/>
        </w:rPr>
      </w:pPr>
      <w:r w:rsidRPr="00AD6656">
        <w:rPr>
          <w:rFonts w:ascii="Arial" w:eastAsiaTheme="majorEastAsia" w:hAnsi="Arial" w:cs="Arial"/>
          <w:bCs/>
          <w:kern w:val="0"/>
          <w:sz w:val="24"/>
          <w:szCs w:val="24"/>
          <w:lang w:eastAsia="en-GB"/>
          <w14:ligatures w14:val="none"/>
        </w:rPr>
        <w:t>Shangri-la (2021). </w:t>
      </w:r>
      <w:r w:rsidRPr="00AD6656">
        <w:rPr>
          <w:rFonts w:ascii="Arial" w:eastAsiaTheme="majorEastAsia" w:hAnsi="Arial" w:cs="Arial"/>
          <w:bCs/>
          <w:i/>
          <w:iCs/>
          <w:kern w:val="0"/>
          <w:sz w:val="24"/>
          <w:szCs w:val="24"/>
          <w:lang w:eastAsia="en-GB"/>
          <w14:ligatures w14:val="none"/>
        </w:rPr>
        <w:t>Luxury Hotel in Boracay | Shangri-La Boracay</w:t>
      </w:r>
      <w:r w:rsidRPr="00AD6656">
        <w:rPr>
          <w:rFonts w:ascii="Arial" w:eastAsiaTheme="majorEastAsia" w:hAnsi="Arial" w:cs="Arial"/>
          <w:bCs/>
          <w:kern w:val="0"/>
          <w:sz w:val="24"/>
          <w:szCs w:val="24"/>
          <w:lang w:eastAsia="en-GB"/>
          <w14:ligatures w14:val="none"/>
        </w:rPr>
        <w:t>. [online] Available at: https://www.shangri-la.com/boracay/boracayresort/.</w:t>
      </w:r>
    </w:p>
    <w:p w14:paraId="45544D6E" w14:textId="18BF3A01" w:rsidR="00AD6656" w:rsidRPr="00EE4351" w:rsidRDefault="00AD6656" w:rsidP="00EE4351">
      <w:pPr>
        <w:spacing w:line="360" w:lineRule="auto"/>
        <w:jc w:val="both"/>
        <w:rPr>
          <w:rFonts w:ascii="Arial" w:eastAsiaTheme="majorEastAsia" w:hAnsi="Arial" w:cs="Arial"/>
          <w:bCs/>
          <w:kern w:val="0"/>
          <w:sz w:val="24"/>
          <w:szCs w:val="24"/>
          <w:lang w:eastAsia="en-GB"/>
          <w14:ligatures w14:val="none"/>
        </w:rPr>
      </w:pPr>
      <w:r w:rsidRPr="00EE4351">
        <w:rPr>
          <w:rFonts w:ascii="Arial" w:eastAsiaTheme="majorEastAsia" w:hAnsi="Arial" w:cs="Arial"/>
          <w:bCs/>
          <w:kern w:val="0"/>
          <w:sz w:val="24"/>
          <w:szCs w:val="24"/>
          <w:lang w:eastAsia="en-GB"/>
          <w14:ligatures w14:val="none"/>
        </w:rPr>
        <w:t>Shangri-La (2021). Shangri-La Group. [online] Available at: https://www.shangri-la.com/group/media/media_post?post=Global%20Brand%20Campaign.</w:t>
      </w:r>
    </w:p>
    <w:p w14:paraId="40641478" w14:textId="3D6E9ED6" w:rsidR="00AD6656" w:rsidRPr="00EE4351" w:rsidRDefault="00AD6656"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lastRenderedPageBreak/>
        <w:t xml:space="preserve">Shangri-La (2022). Luxury Hotels and Resorts | Official Site Shangri-La Hotels and Resorts. [online] Available at: </w:t>
      </w:r>
      <w:hyperlink r:id="rId9" w:history="1">
        <w:r w:rsidRPr="00EE4351">
          <w:rPr>
            <w:rStyle w:val="Hyperlink"/>
            <w:rFonts w:ascii="Arial" w:hAnsi="Arial" w:cs="Arial"/>
            <w:color w:val="auto"/>
            <w:sz w:val="24"/>
            <w:szCs w:val="24"/>
            <w:lang w:eastAsia="en-GB"/>
          </w:rPr>
          <w:t>https://www.shangri-la.com/brand/</w:t>
        </w:r>
      </w:hyperlink>
      <w:r w:rsidRPr="00EE4351">
        <w:rPr>
          <w:rFonts w:ascii="Arial" w:hAnsi="Arial" w:cs="Arial"/>
          <w:sz w:val="24"/>
          <w:szCs w:val="24"/>
          <w:lang w:eastAsia="en-GB"/>
        </w:rPr>
        <w:t>.</w:t>
      </w:r>
    </w:p>
    <w:p w14:paraId="6AE4BDD5" w14:textId="610380E8" w:rsidR="00AD6656" w:rsidRPr="00EE4351" w:rsidRDefault="00AD6656"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 xml:space="preserve">Shangri-La (2023).Annual Report 2023. Available at: </w:t>
      </w:r>
      <w:hyperlink r:id="rId10" w:history="1">
        <w:r w:rsidRPr="00EE4351">
          <w:rPr>
            <w:rStyle w:val="Hyperlink"/>
            <w:rFonts w:ascii="Arial" w:hAnsi="Arial" w:cs="Arial"/>
            <w:color w:val="auto"/>
            <w:sz w:val="24"/>
            <w:szCs w:val="24"/>
            <w:lang w:eastAsia="en-GB"/>
          </w:rPr>
          <w:t>https://sitecore-cd.shangri-la.com/-/media/Project/Shangri-La-Group/Investor/Files/Public-Disclosures/Latest-Top-Publications/2023_Annual_Report_E.pdf</w:t>
        </w:r>
      </w:hyperlink>
    </w:p>
    <w:p w14:paraId="744FE346" w14:textId="14514C8F" w:rsidR="00AD6656" w:rsidRPr="00EE4351" w:rsidRDefault="00AD6656"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Shangri-la.com. (2023). Shangri-La Circle - Benefits. [online] Available at: https://www.shangri-la.com/shangrilacircle/benefits.</w:t>
      </w:r>
    </w:p>
    <w:p w14:paraId="63F811E0" w14:textId="5A720D98" w:rsidR="009B4545" w:rsidRPr="00EE4351" w:rsidRDefault="00AD6656"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w:t>
      </w:r>
      <w:r w:rsidR="009B4545" w:rsidRPr="00EE4351">
        <w:rPr>
          <w:rFonts w:ascii="Arial" w:hAnsi="Arial" w:cs="Arial"/>
          <w:sz w:val="24"/>
          <w:szCs w:val="24"/>
          <w:lang w:eastAsia="en-GB"/>
        </w:rPr>
        <w:t xml:space="preserve">Sun, J. and Nasrullah, A. (2024). Green Transition in the Hospitality Industry: The Influence of Market Forces and Customer Dynamics on Sustainable Performance in the Digital Era. </w:t>
      </w:r>
      <w:proofErr w:type="spellStart"/>
      <w:r w:rsidR="009B4545" w:rsidRPr="00EE4351">
        <w:rPr>
          <w:rFonts w:ascii="Arial" w:hAnsi="Arial" w:cs="Arial"/>
          <w:sz w:val="24"/>
          <w:szCs w:val="24"/>
          <w:lang w:eastAsia="en-GB"/>
        </w:rPr>
        <w:t>Heliyon</w:t>
      </w:r>
      <w:proofErr w:type="spellEnd"/>
      <w:r w:rsidR="009B4545" w:rsidRPr="00EE4351">
        <w:rPr>
          <w:rFonts w:ascii="Arial" w:hAnsi="Arial" w:cs="Arial"/>
          <w:sz w:val="24"/>
          <w:szCs w:val="24"/>
          <w:lang w:eastAsia="en-GB"/>
        </w:rPr>
        <w:t xml:space="preserve">, 10(8), pp.e29563–e29563. </w:t>
      </w:r>
      <w:proofErr w:type="spellStart"/>
      <w:r w:rsidR="009B4545" w:rsidRPr="00EE4351">
        <w:rPr>
          <w:rFonts w:ascii="Arial" w:hAnsi="Arial" w:cs="Arial"/>
          <w:sz w:val="24"/>
          <w:szCs w:val="24"/>
          <w:lang w:eastAsia="en-GB"/>
        </w:rPr>
        <w:t>doi:https</w:t>
      </w:r>
      <w:proofErr w:type="spellEnd"/>
      <w:r w:rsidR="009B4545" w:rsidRPr="00EE4351">
        <w:rPr>
          <w:rFonts w:ascii="Arial" w:hAnsi="Arial" w:cs="Arial"/>
          <w:sz w:val="24"/>
          <w:szCs w:val="24"/>
          <w:lang w:eastAsia="en-GB"/>
        </w:rPr>
        <w:t>://doi.org/10.1016/j.heliyon.2024.e29563.</w:t>
      </w:r>
    </w:p>
    <w:p w14:paraId="2BE83DA7" w14:textId="092D9134" w:rsidR="00AD6656" w:rsidRPr="00EE4351" w:rsidRDefault="00AD6656"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Walker J (2021) Introduction to Hospitality, Harlow, Pearson</w:t>
      </w:r>
    </w:p>
    <w:p w14:paraId="3ED2B583" w14:textId="19DBA442" w:rsidR="009B4545" w:rsidRPr="00EE4351" w:rsidRDefault="00AD6656"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 xml:space="preserve">Whitbread (2023). Annual Report and Account 2023-2024. Available at: </w:t>
      </w:r>
      <w:hyperlink r:id="rId11" w:history="1">
        <w:r w:rsidR="00DD12BE" w:rsidRPr="00EE4351">
          <w:rPr>
            <w:rStyle w:val="Hyperlink"/>
            <w:rFonts w:ascii="Arial" w:hAnsi="Arial" w:cs="Arial"/>
            <w:color w:val="auto"/>
            <w:sz w:val="24"/>
            <w:szCs w:val="24"/>
            <w:lang w:eastAsia="en-GB"/>
          </w:rPr>
          <w:t>https://cdn.whitbread.co.uk/media/2024/05/Whitbread-PLC-Annual-Report-and-Accounts-2023_Single_pages-1.pdf</w:t>
        </w:r>
      </w:hyperlink>
    </w:p>
    <w:p w14:paraId="13328623" w14:textId="4359996E" w:rsidR="00DD12BE" w:rsidRPr="00EE4351" w:rsidRDefault="00DD12BE"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Whitbread ESG Report, (2023). Enabling people to live and work well. Available at: https://cdn.whitbread.co.uk/media/2024/05/Whitbread-PLC-ESG-Report-2023.pdf.</w:t>
      </w:r>
    </w:p>
    <w:p w14:paraId="3C19EB87" w14:textId="37F509E7" w:rsidR="0091027E" w:rsidRPr="00EE4351" w:rsidRDefault="009B4545" w:rsidP="00EE4351">
      <w:pPr>
        <w:spacing w:line="360" w:lineRule="auto"/>
        <w:jc w:val="both"/>
        <w:rPr>
          <w:rFonts w:ascii="Arial" w:hAnsi="Arial" w:cs="Arial"/>
          <w:sz w:val="24"/>
          <w:szCs w:val="24"/>
          <w:lang w:eastAsia="en-GB"/>
        </w:rPr>
      </w:pPr>
      <w:r w:rsidRPr="00EE4351">
        <w:rPr>
          <w:rFonts w:ascii="Arial" w:hAnsi="Arial" w:cs="Arial"/>
          <w:sz w:val="24"/>
          <w:szCs w:val="24"/>
          <w:lang w:eastAsia="en-GB"/>
        </w:rPr>
        <w:t>‌</w:t>
      </w:r>
      <w:r w:rsidR="00DD12BE" w:rsidRPr="00EE4351">
        <w:rPr>
          <w:rFonts w:ascii="Arial" w:hAnsi="Arial" w:cs="Arial"/>
          <w:sz w:val="24"/>
          <w:szCs w:val="24"/>
        </w:rPr>
        <w:t xml:space="preserve"> </w:t>
      </w:r>
      <w:r w:rsidR="00DD12BE" w:rsidRPr="00EE4351">
        <w:rPr>
          <w:rFonts w:ascii="Arial" w:hAnsi="Arial" w:cs="Arial"/>
          <w:sz w:val="24"/>
          <w:szCs w:val="24"/>
          <w:lang w:eastAsia="en-GB"/>
        </w:rPr>
        <w:t>Wild J (2018) Fundamental Accounting Principles, New York, McGraw Hill</w:t>
      </w:r>
    </w:p>
    <w:sectPr w:rsidR="0091027E" w:rsidRPr="00EE435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D4EA05" w14:textId="77777777" w:rsidR="000A59E9" w:rsidRDefault="000A59E9" w:rsidP="00FE0F86">
      <w:pPr>
        <w:spacing w:after="0" w:line="240" w:lineRule="auto"/>
      </w:pPr>
      <w:r>
        <w:separator/>
      </w:r>
    </w:p>
  </w:endnote>
  <w:endnote w:type="continuationSeparator" w:id="0">
    <w:p w14:paraId="35A6B124" w14:textId="77777777" w:rsidR="000A59E9" w:rsidRDefault="000A59E9" w:rsidP="00FE0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4597337"/>
      <w:docPartObj>
        <w:docPartGallery w:val="Page Numbers (Bottom of Page)"/>
        <w:docPartUnique/>
      </w:docPartObj>
    </w:sdtPr>
    <w:sdtEndPr>
      <w:rPr>
        <w:noProof/>
      </w:rPr>
    </w:sdtEndPr>
    <w:sdtContent>
      <w:p w14:paraId="60CB8602" w14:textId="1DF713F9" w:rsidR="00FE0F86" w:rsidRDefault="00FE0F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5DAF36" w14:textId="77777777" w:rsidR="00FE0F86" w:rsidRDefault="00FE0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0B9916" w14:textId="77777777" w:rsidR="000A59E9" w:rsidRDefault="000A59E9" w:rsidP="00FE0F86">
      <w:pPr>
        <w:spacing w:after="0" w:line="240" w:lineRule="auto"/>
      </w:pPr>
      <w:r>
        <w:separator/>
      </w:r>
    </w:p>
  </w:footnote>
  <w:footnote w:type="continuationSeparator" w:id="0">
    <w:p w14:paraId="32856087" w14:textId="77777777" w:rsidR="000A59E9" w:rsidRDefault="000A59E9" w:rsidP="00FE0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A8115A"/>
    <w:multiLevelType w:val="hybridMultilevel"/>
    <w:tmpl w:val="A46C3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8611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F86"/>
    <w:rsid w:val="000A59E9"/>
    <w:rsid w:val="00211FD4"/>
    <w:rsid w:val="003F560F"/>
    <w:rsid w:val="00410D7C"/>
    <w:rsid w:val="005928EE"/>
    <w:rsid w:val="00694841"/>
    <w:rsid w:val="0076786F"/>
    <w:rsid w:val="007B0CC3"/>
    <w:rsid w:val="0091027E"/>
    <w:rsid w:val="009B4545"/>
    <w:rsid w:val="00AD6656"/>
    <w:rsid w:val="00B151A8"/>
    <w:rsid w:val="00C75036"/>
    <w:rsid w:val="00C82D1F"/>
    <w:rsid w:val="00CF2CBC"/>
    <w:rsid w:val="00D10390"/>
    <w:rsid w:val="00D77CF3"/>
    <w:rsid w:val="00DD12BE"/>
    <w:rsid w:val="00EE4351"/>
    <w:rsid w:val="00F90986"/>
    <w:rsid w:val="00FE0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8609DB"/>
  <w15:chartTrackingRefBased/>
  <w15:docId w15:val="{6DA1DB4F-F256-4DB2-890F-358DDD6E9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986"/>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FE0F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F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F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F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F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F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F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F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FE0F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F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F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F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F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F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F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F86"/>
    <w:rPr>
      <w:rFonts w:eastAsiaTheme="majorEastAsia" w:cstheme="majorBidi"/>
      <w:color w:val="272727" w:themeColor="text1" w:themeTint="D8"/>
    </w:rPr>
  </w:style>
  <w:style w:type="paragraph" w:styleId="Title">
    <w:name w:val="Title"/>
    <w:basedOn w:val="Normal"/>
    <w:next w:val="Normal"/>
    <w:link w:val="TitleChar"/>
    <w:uiPriority w:val="10"/>
    <w:qFormat/>
    <w:rsid w:val="00FE0F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F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F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F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F86"/>
    <w:pPr>
      <w:spacing w:before="160"/>
      <w:jc w:val="center"/>
    </w:pPr>
    <w:rPr>
      <w:i/>
      <w:iCs/>
      <w:color w:val="404040" w:themeColor="text1" w:themeTint="BF"/>
    </w:rPr>
  </w:style>
  <w:style w:type="character" w:customStyle="1" w:styleId="QuoteChar">
    <w:name w:val="Quote Char"/>
    <w:basedOn w:val="DefaultParagraphFont"/>
    <w:link w:val="Quote"/>
    <w:uiPriority w:val="29"/>
    <w:rsid w:val="00FE0F86"/>
    <w:rPr>
      <w:i/>
      <w:iCs/>
      <w:color w:val="404040" w:themeColor="text1" w:themeTint="BF"/>
    </w:rPr>
  </w:style>
  <w:style w:type="paragraph" w:styleId="ListParagraph">
    <w:name w:val="List Paragraph"/>
    <w:basedOn w:val="Normal"/>
    <w:uiPriority w:val="34"/>
    <w:qFormat/>
    <w:rsid w:val="00FE0F86"/>
    <w:pPr>
      <w:ind w:left="720"/>
      <w:contextualSpacing/>
    </w:pPr>
  </w:style>
  <w:style w:type="character" w:styleId="IntenseEmphasis">
    <w:name w:val="Intense Emphasis"/>
    <w:basedOn w:val="DefaultParagraphFont"/>
    <w:uiPriority w:val="21"/>
    <w:qFormat/>
    <w:rsid w:val="00FE0F86"/>
    <w:rPr>
      <w:i/>
      <w:iCs/>
      <w:color w:val="0F4761" w:themeColor="accent1" w:themeShade="BF"/>
    </w:rPr>
  </w:style>
  <w:style w:type="paragraph" w:styleId="IntenseQuote">
    <w:name w:val="Intense Quote"/>
    <w:basedOn w:val="Normal"/>
    <w:next w:val="Normal"/>
    <w:link w:val="IntenseQuoteChar"/>
    <w:uiPriority w:val="30"/>
    <w:qFormat/>
    <w:rsid w:val="00FE0F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F86"/>
    <w:rPr>
      <w:i/>
      <w:iCs/>
      <w:color w:val="0F4761" w:themeColor="accent1" w:themeShade="BF"/>
    </w:rPr>
  </w:style>
  <w:style w:type="character" w:styleId="IntenseReference">
    <w:name w:val="Intense Reference"/>
    <w:basedOn w:val="DefaultParagraphFont"/>
    <w:uiPriority w:val="32"/>
    <w:qFormat/>
    <w:rsid w:val="00FE0F86"/>
    <w:rPr>
      <w:b/>
      <w:bCs/>
      <w:smallCaps/>
      <w:color w:val="0F4761" w:themeColor="accent1" w:themeShade="BF"/>
      <w:spacing w:val="5"/>
    </w:rPr>
  </w:style>
  <w:style w:type="paragraph" w:styleId="Header">
    <w:name w:val="header"/>
    <w:basedOn w:val="Normal"/>
    <w:link w:val="HeaderChar"/>
    <w:uiPriority w:val="99"/>
    <w:unhideWhenUsed/>
    <w:rsid w:val="00FE0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F86"/>
  </w:style>
  <w:style w:type="paragraph" w:styleId="Footer">
    <w:name w:val="footer"/>
    <w:basedOn w:val="Normal"/>
    <w:link w:val="FooterChar"/>
    <w:uiPriority w:val="99"/>
    <w:unhideWhenUsed/>
    <w:rsid w:val="00FE0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F86"/>
  </w:style>
  <w:style w:type="paragraph" w:styleId="TOCHeading">
    <w:name w:val="TOC Heading"/>
    <w:basedOn w:val="Heading1"/>
    <w:next w:val="Normal"/>
    <w:uiPriority w:val="39"/>
    <w:unhideWhenUsed/>
    <w:qFormat/>
    <w:rsid w:val="009B4545"/>
    <w:pPr>
      <w:outlineLvl w:val="9"/>
    </w:pPr>
    <w:rPr>
      <w:kern w:val="0"/>
      <w:lang w:val="en-US"/>
      <w14:ligatures w14:val="none"/>
    </w:rPr>
  </w:style>
  <w:style w:type="paragraph" w:styleId="TOC1">
    <w:name w:val="toc 1"/>
    <w:basedOn w:val="Normal"/>
    <w:next w:val="Normal"/>
    <w:autoRedefine/>
    <w:uiPriority w:val="39"/>
    <w:unhideWhenUsed/>
    <w:rsid w:val="009B4545"/>
    <w:pPr>
      <w:spacing w:after="100"/>
    </w:pPr>
  </w:style>
  <w:style w:type="character" w:styleId="Hyperlink">
    <w:name w:val="Hyperlink"/>
    <w:basedOn w:val="DefaultParagraphFont"/>
    <w:uiPriority w:val="99"/>
    <w:unhideWhenUsed/>
    <w:rsid w:val="009B4545"/>
    <w:rPr>
      <w:color w:val="467886" w:themeColor="hyperlink"/>
      <w:u w:val="single"/>
    </w:rPr>
  </w:style>
  <w:style w:type="character" w:styleId="UnresolvedMention">
    <w:name w:val="Unresolved Mention"/>
    <w:basedOn w:val="DefaultParagraphFont"/>
    <w:uiPriority w:val="99"/>
    <w:semiHidden/>
    <w:unhideWhenUsed/>
    <w:rsid w:val="00AD66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77930">
      <w:bodyDiv w:val="1"/>
      <w:marLeft w:val="0"/>
      <w:marRight w:val="0"/>
      <w:marTop w:val="0"/>
      <w:marBottom w:val="0"/>
      <w:divBdr>
        <w:top w:val="none" w:sz="0" w:space="0" w:color="auto"/>
        <w:left w:val="none" w:sz="0" w:space="0" w:color="auto"/>
        <w:bottom w:val="none" w:sz="0" w:space="0" w:color="auto"/>
        <w:right w:val="none" w:sz="0" w:space="0" w:color="auto"/>
      </w:divBdr>
    </w:div>
    <w:div w:id="67503346">
      <w:bodyDiv w:val="1"/>
      <w:marLeft w:val="0"/>
      <w:marRight w:val="0"/>
      <w:marTop w:val="0"/>
      <w:marBottom w:val="0"/>
      <w:divBdr>
        <w:top w:val="none" w:sz="0" w:space="0" w:color="auto"/>
        <w:left w:val="none" w:sz="0" w:space="0" w:color="auto"/>
        <w:bottom w:val="none" w:sz="0" w:space="0" w:color="auto"/>
        <w:right w:val="none" w:sz="0" w:space="0" w:color="auto"/>
      </w:divBdr>
    </w:div>
    <w:div w:id="418403343">
      <w:bodyDiv w:val="1"/>
      <w:marLeft w:val="0"/>
      <w:marRight w:val="0"/>
      <w:marTop w:val="0"/>
      <w:marBottom w:val="0"/>
      <w:divBdr>
        <w:top w:val="none" w:sz="0" w:space="0" w:color="auto"/>
        <w:left w:val="none" w:sz="0" w:space="0" w:color="auto"/>
        <w:bottom w:val="none" w:sz="0" w:space="0" w:color="auto"/>
        <w:right w:val="none" w:sz="0" w:space="0" w:color="auto"/>
      </w:divBdr>
    </w:div>
    <w:div w:id="1029988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business-blog/balancing-business-travel-budgets-in-2023.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remierinn.com/gb/en/sleep/buy-our-bed.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dn.whitbread.co.uk/media/2024/05/Whitbread-PLC-Annual-Report-and-Accounts-2023_Single_pages-1.pdf" TargetMode="External"/><Relationship Id="rId5" Type="http://schemas.openxmlformats.org/officeDocument/2006/relationships/footnotes" Target="footnotes.xml"/><Relationship Id="rId10" Type="http://schemas.openxmlformats.org/officeDocument/2006/relationships/hyperlink" Target="https://sitecore-cd.shangri-la.com/-/media/Project/Shangri-La-Group/Investor/Files/Public-Disclosures/Latest-Top-Publications/2023_Annual_Report_E.pdf" TargetMode="External"/><Relationship Id="rId4" Type="http://schemas.openxmlformats.org/officeDocument/2006/relationships/webSettings" Target="webSettings.xml"/><Relationship Id="rId9" Type="http://schemas.openxmlformats.org/officeDocument/2006/relationships/hyperlink" Target="https://www.shangri-la.com/bran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2590</Words>
  <Characters>17226</Characters>
  <Application>Microsoft Office Word</Application>
  <DocSecurity>0</DocSecurity>
  <Lines>351</Lines>
  <Paragraphs>64</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Executive summary </vt:lpstr>
      <vt:lpstr>Introduction </vt:lpstr>
      <vt:lpstr>About the companies</vt:lpstr>
      <vt:lpstr>Revenue Streams and Profitability</vt:lpstr>
      <vt:lpstr>Market Positioning</vt:lpstr>
      <vt:lpstr>Growth Potential</vt:lpstr>
      <vt:lpstr>CSR approaches</vt:lpstr>
      <vt:lpstr>Conclusion </vt:lpstr>
      <vt:lpstr>References </vt:lpstr>
    </vt:vector>
  </TitlesOfParts>
  <Company/>
  <LinksUpToDate>false</LinksUpToDate>
  <CharactersWithSpaces>19752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Irina Buture</cp:lastModifiedBy>
  <cp:revision>9</cp:revision>
  <dcterms:created xsi:type="dcterms:W3CDTF">2024-10-18T19:27:00Z</dcterms:created>
  <dcterms:modified xsi:type="dcterms:W3CDTF">2024-10-18T20:24:00Z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5bec402e68e2797746c34dc33907d1c50a8b90f58015984d747614d002ab7767</vt:lpwstr>
  </property>
</Properties>
</file>