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C35D5" w14:textId="225AD56B" w:rsidR="00A55237" w:rsidRDefault="00E73DDF" w:rsidP="00E73DDF">
      <w:pPr>
        <w:jc w:val="center"/>
        <w:rPr>
          <w:rFonts w:ascii="Arial" w:hAnsi="Arial" w:cs="Arial"/>
          <w:sz w:val="24"/>
          <w:szCs w:val="24"/>
        </w:rPr>
      </w:pPr>
      <w:r>
        <w:rPr>
          <w:rFonts w:ascii="Arial" w:hAnsi="Arial" w:cs="Arial"/>
          <w:sz w:val="24"/>
          <w:szCs w:val="24"/>
        </w:rPr>
        <w:t>Occupiers Liability</w:t>
      </w:r>
    </w:p>
    <w:p w14:paraId="5E8E014D" w14:textId="33B7B5AF" w:rsidR="00215D6D" w:rsidRPr="00215D6D" w:rsidRDefault="00215D6D" w:rsidP="00215D6D">
      <w:pPr>
        <w:rPr>
          <w:rFonts w:ascii="Arial" w:hAnsi="Arial" w:cs="Arial"/>
          <w:sz w:val="24"/>
          <w:szCs w:val="24"/>
        </w:rPr>
      </w:pPr>
      <w:r w:rsidRPr="00215D6D">
        <w:rPr>
          <w:rFonts w:ascii="Arial" w:hAnsi="Arial" w:cs="Arial"/>
          <w:sz w:val="24"/>
          <w:szCs w:val="24"/>
        </w:rPr>
        <w:t>The statement that "occupiers are always liable for accidents that occur on their property" carries with it a perception of absolute responsibility and legal culpability. However, the reality of occupier liability in the legal systems of England and Wales is far more nuanced and complex. This essay delves into the intricacies of occupier liability, exploring the extent to which this statement holds true within the context of the law. Occupier liability is a fundamental legal concept enshrined in the Occupiers' Liability Act 1957 and the Occupiers' Liability Act 1984. These statutes define the duties and responsibilities of those in control of premises in the event of accidents involving visitors and trespassers. To determine the validity of the statement, we must examine who qualifies as an occupier, the key provisions of the Acts, the specific circumstances under which liability may arise, and potential reform suggestions. By scrutinizing these aspects, we can provide a comprehensive understanding of occupier liability, ultimately leading to a well-informed assessment of the statement's correctness.</w:t>
      </w:r>
    </w:p>
    <w:p w14:paraId="74D40ADD" w14:textId="2145D7B5" w:rsidR="005E40D8" w:rsidRPr="00215D6D" w:rsidRDefault="00215D6D" w:rsidP="00215D6D">
      <w:pPr>
        <w:rPr>
          <w:rFonts w:ascii="Arial" w:hAnsi="Arial" w:cs="Arial"/>
          <w:sz w:val="24"/>
          <w:szCs w:val="24"/>
        </w:rPr>
      </w:pPr>
      <w:r w:rsidRPr="00215D6D">
        <w:rPr>
          <w:rFonts w:ascii="Arial" w:hAnsi="Arial" w:cs="Arial"/>
          <w:sz w:val="24"/>
          <w:szCs w:val="24"/>
        </w:rPr>
        <w:t xml:space="preserve">An occupier, in the context of </w:t>
      </w:r>
      <w:r>
        <w:rPr>
          <w:rFonts w:ascii="Arial" w:hAnsi="Arial" w:cs="Arial"/>
          <w:sz w:val="24"/>
          <w:szCs w:val="24"/>
        </w:rPr>
        <w:t xml:space="preserve">the </w:t>
      </w:r>
      <w:r w:rsidRPr="00215D6D">
        <w:rPr>
          <w:rFonts w:ascii="Arial" w:hAnsi="Arial" w:cs="Arial"/>
          <w:sz w:val="24"/>
          <w:szCs w:val="24"/>
        </w:rPr>
        <w:t>law</w:t>
      </w:r>
      <w:r>
        <w:rPr>
          <w:rFonts w:ascii="Arial" w:hAnsi="Arial" w:cs="Arial"/>
          <w:sz w:val="24"/>
          <w:szCs w:val="24"/>
        </w:rPr>
        <w:t xml:space="preserve"> in England and Wales</w:t>
      </w:r>
      <w:r w:rsidRPr="00215D6D">
        <w:rPr>
          <w:rFonts w:ascii="Arial" w:hAnsi="Arial" w:cs="Arial"/>
          <w:sz w:val="24"/>
          <w:szCs w:val="24"/>
        </w:rPr>
        <w:t>, is an individual or entity that has control over a property or premises. This control can arise from various circumstances, including ownership, tenancy, or any form of authority or management over the propert</w:t>
      </w:r>
      <w:r>
        <w:rPr>
          <w:rFonts w:ascii="Arial" w:hAnsi="Arial" w:cs="Arial"/>
          <w:sz w:val="24"/>
          <w:szCs w:val="24"/>
        </w:rPr>
        <w:t>y (Cooke, 2019, p.296).</w:t>
      </w:r>
      <w:r w:rsidR="00F91689">
        <w:rPr>
          <w:rFonts w:ascii="Arial" w:hAnsi="Arial" w:cs="Arial"/>
          <w:sz w:val="24"/>
          <w:szCs w:val="24"/>
        </w:rPr>
        <w:t xml:space="preserve"> </w:t>
      </w:r>
      <w:r w:rsidR="00F91689" w:rsidRPr="00F91689">
        <w:rPr>
          <w:rFonts w:ascii="Arial" w:hAnsi="Arial" w:cs="Arial"/>
          <w:sz w:val="24"/>
          <w:szCs w:val="24"/>
        </w:rPr>
        <w:t>The concept of an occupier is essential in determining who has a duty of care toward visitors and trespassers on a property. The obligations and responsibilities of occupiers to ensure the safety of individuals on their premises are a key element of occupier liability law in England and Wales.</w:t>
      </w:r>
      <w:r w:rsidR="00F91689">
        <w:rPr>
          <w:rFonts w:ascii="Arial" w:hAnsi="Arial" w:cs="Arial"/>
          <w:sz w:val="24"/>
          <w:szCs w:val="24"/>
        </w:rPr>
        <w:t xml:space="preserve"> It’s important to note that occupation and ownership are not the same thing. </w:t>
      </w:r>
      <w:r w:rsidR="00F91689" w:rsidRPr="00F91689">
        <w:rPr>
          <w:rFonts w:ascii="Arial" w:hAnsi="Arial" w:cs="Arial"/>
          <w:sz w:val="24"/>
          <w:szCs w:val="24"/>
        </w:rPr>
        <w:t xml:space="preserve">As the judge in Mathewson v Crump said: ‘being the owner of a premises is neither a necessary requirement for occupation, nor sufficient to establish it. A person can be the owner of a property without occupying </w:t>
      </w:r>
      <w:r w:rsidR="00DB0677" w:rsidRPr="00F91689">
        <w:rPr>
          <w:rFonts w:ascii="Arial" w:hAnsi="Arial" w:cs="Arial"/>
          <w:sz w:val="24"/>
          <w:szCs w:val="24"/>
        </w:rPr>
        <w:t>it and</w:t>
      </w:r>
      <w:r w:rsidR="00F91689" w:rsidRPr="00F91689">
        <w:rPr>
          <w:rFonts w:ascii="Arial" w:hAnsi="Arial" w:cs="Arial"/>
          <w:sz w:val="24"/>
          <w:szCs w:val="24"/>
        </w:rPr>
        <w:t xml:space="preserve"> can occupy it without owning it’.</w:t>
      </w:r>
      <w:r w:rsidR="008E1077">
        <w:rPr>
          <w:rFonts w:ascii="Arial" w:hAnsi="Arial" w:cs="Arial"/>
          <w:sz w:val="24"/>
          <w:szCs w:val="24"/>
        </w:rPr>
        <w:t xml:space="preserve"> </w:t>
      </w:r>
      <w:r w:rsidR="005E40D8" w:rsidRPr="008E1077">
        <w:rPr>
          <w:rFonts w:ascii="Arial" w:hAnsi="Arial" w:cs="Arial"/>
          <w:sz w:val="24"/>
          <w:szCs w:val="24"/>
        </w:rPr>
        <w:t xml:space="preserve">The leading case on the definition of an occupier is Wheat v Lacon </w:t>
      </w:r>
      <w:r w:rsidR="005E40D8" w:rsidRPr="008E1077">
        <w:rPr>
          <w:rFonts w:ascii="Arial" w:hAnsi="Arial" w:cs="Arial"/>
          <w:sz w:val="24"/>
          <w:szCs w:val="24"/>
        </w:rPr>
        <w:t>(</w:t>
      </w:r>
      <w:r w:rsidR="005E40D8" w:rsidRPr="008E1077">
        <w:rPr>
          <w:rFonts w:ascii="Arial" w:hAnsi="Arial" w:cs="Arial"/>
          <w:sz w:val="24"/>
          <w:szCs w:val="24"/>
        </w:rPr>
        <w:t>1966</w:t>
      </w:r>
      <w:r w:rsidR="005E40D8" w:rsidRPr="008E1077">
        <w:rPr>
          <w:rFonts w:ascii="Arial" w:hAnsi="Arial" w:cs="Arial"/>
          <w:sz w:val="24"/>
          <w:szCs w:val="24"/>
        </w:rPr>
        <w:t>)</w:t>
      </w:r>
      <w:r w:rsidR="00D6273C" w:rsidRPr="008E1077">
        <w:rPr>
          <w:rFonts w:ascii="Arial" w:hAnsi="Arial" w:cs="Arial"/>
          <w:sz w:val="24"/>
          <w:szCs w:val="24"/>
        </w:rPr>
        <w:t xml:space="preserve">, where the </w:t>
      </w:r>
      <w:r w:rsidR="005E40D8" w:rsidRPr="008E1077">
        <w:rPr>
          <w:rFonts w:ascii="Arial" w:hAnsi="Arial" w:cs="Arial"/>
          <w:sz w:val="24"/>
          <w:szCs w:val="24"/>
        </w:rPr>
        <w:t>defendants were owners of a pub</w:t>
      </w:r>
      <w:r w:rsidR="00D11650" w:rsidRPr="008E1077">
        <w:rPr>
          <w:rFonts w:ascii="Arial" w:hAnsi="Arial" w:cs="Arial"/>
          <w:sz w:val="24"/>
          <w:szCs w:val="24"/>
        </w:rPr>
        <w:t xml:space="preserve"> which was managed by a third-party, </w:t>
      </w:r>
      <w:r w:rsidR="00B91739" w:rsidRPr="008E1077">
        <w:rPr>
          <w:rFonts w:ascii="Arial" w:hAnsi="Arial" w:cs="Arial"/>
          <w:sz w:val="24"/>
          <w:szCs w:val="24"/>
        </w:rPr>
        <w:t xml:space="preserve">who </w:t>
      </w:r>
      <w:r w:rsidR="005E40D8" w:rsidRPr="008E1077">
        <w:rPr>
          <w:rFonts w:ascii="Arial" w:hAnsi="Arial" w:cs="Arial"/>
          <w:sz w:val="24"/>
          <w:szCs w:val="24"/>
        </w:rPr>
        <w:t>was entitled to live in a flat above the pub</w:t>
      </w:r>
      <w:r w:rsidR="00B962F1" w:rsidRPr="008E1077">
        <w:rPr>
          <w:rFonts w:ascii="Arial" w:hAnsi="Arial" w:cs="Arial"/>
          <w:sz w:val="24"/>
          <w:szCs w:val="24"/>
        </w:rPr>
        <w:t xml:space="preserve"> </w:t>
      </w:r>
      <w:r w:rsidR="005E40D8" w:rsidRPr="008E1077">
        <w:rPr>
          <w:rFonts w:ascii="Arial" w:hAnsi="Arial" w:cs="Arial"/>
          <w:sz w:val="24"/>
          <w:szCs w:val="24"/>
        </w:rPr>
        <w:t>and</w:t>
      </w:r>
      <w:r w:rsidR="00B91739" w:rsidRPr="008E1077">
        <w:rPr>
          <w:rFonts w:ascii="Arial" w:hAnsi="Arial" w:cs="Arial"/>
          <w:sz w:val="24"/>
          <w:szCs w:val="24"/>
        </w:rPr>
        <w:t xml:space="preserve"> </w:t>
      </w:r>
      <w:r w:rsidR="005E40D8" w:rsidRPr="008E1077">
        <w:rPr>
          <w:rFonts w:ascii="Arial" w:hAnsi="Arial" w:cs="Arial"/>
          <w:sz w:val="24"/>
          <w:szCs w:val="24"/>
        </w:rPr>
        <w:t xml:space="preserve">take in paying guests. </w:t>
      </w:r>
      <w:r w:rsidR="00367B04" w:rsidRPr="008E1077">
        <w:rPr>
          <w:rFonts w:ascii="Arial" w:hAnsi="Arial" w:cs="Arial"/>
          <w:sz w:val="24"/>
          <w:szCs w:val="24"/>
        </w:rPr>
        <w:t>The claimant</w:t>
      </w:r>
      <w:r w:rsidR="005E40D8" w:rsidRPr="008E1077">
        <w:rPr>
          <w:rFonts w:ascii="Arial" w:hAnsi="Arial" w:cs="Arial"/>
          <w:sz w:val="24"/>
          <w:szCs w:val="24"/>
        </w:rPr>
        <w:t xml:space="preserve"> was fatally injured when he fell down an unlit and defective staircase in the flat</w:t>
      </w:r>
      <w:r w:rsidR="00F81DA0">
        <w:rPr>
          <w:rFonts w:ascii="Arial" w:hAnsi="Arial" w:cs="Arial"/>
          <w:sz w:val="24"/>
          <w:szCs w:val="24"/>
        </w:rPr>
        <w:t xml:space="preserve"> (Mullis</w:t>
      </w:r>
      <w:r w:rsidR="00E974F0">
        <w:rPr>
          <w:rFonts w:ascii="Arial" w:hAnsi="Arial" w:cs="Arial"/>
          <w:sz w:val="24"/>
          <w:szCs w:val="24"/>
        </w:rPr>
        <w:t xml:space="preserve"> &amp; Oliphant, 1997).</w:t>
      </w:r>
      <w:r w:rsidR="005E40D8" w:rsidRPr="008E1077">
        <w:rPr>
          <w:rFonts w:ascii="Arial" w:hAnsi="Arial" w:cs="Arial"/>
          <w:sz w:val="24"/>
          <w:szCs w:val="24"/>
        </w:rPr>
        <w:t xml:space="preserve"> </w:t>
      </w:r>
      <w:r w:rsidR="00C71E76" w:rsidRPr="008E1077">
        <w:rPr>
          <w:rFonts w:ascii="Arial" w:hAnsi="Arial" w:cs="Arial"/>
          <w:sz w:val="24"/>
          <w:szCs w:val="24"/>
        </w:rPr>
        <w:t xml:space="preserve">According to the House of Lords, the key factor in identifying the </w:t>
      </w:r>
      <w:r w:rsidR="00AC2346">
        <w:rPr>
          <w:rFonts w:ascii="Arial" w:hAnsi="Arial" w:cs="Arial"/>
          <w:sz w:val="24"/>
          <w:szCs w:val="24"/>
        </w:rPr>
        <w:t>liable</w:t>
      </w:r>
      <w:r w:rsidR="00C71E76" w:rsidRPr="008E1077">
        <w:rPr>
          <w:rFonts w:ascii="Arial" w:hAnsi="Arial" w:cs="Arial"/>
          <w:sz w:val="24"/>
          <w:szCs w:val="24"/>
        </w:rPr>
        <w:t xml:space="preserve"> occupier was whose level of control over the property was sufficient to obligate him to take reasonable care of anyone entering legally. The defendants were to be regarded as occupiers for the purposes of the Act, the court said, applying </w:t>
      </w:r>
      <w:r w:rsidR="00271EA5" w:rsidRPr="008E1077">
        <w:rPr>
          <w:rFonts w:ascii="Arial" w:hAnsi="Arial" w:cs="Arial"/>
          <w:sz w:val="24"/>
          <w:szCs w:val="24"/>
        </w:rPr>
        <w:t>these criteria</w:t>
      </w:r>
      <w:r w:rsidR="002130A3">
        <w:rPr>
          <w:rFonts w:ascii="Arial" w:hAnsi="Arial" w:cs="Arial"/>
          <w:sz w:val="24"/>
          <w:szCs w:val="24"/>
        </w:rPr>
        <w:t xml:space="preserve">. </w:t>
      </w:r>
      <w:r w:rsidR="00E5377F">
        <w:rPr>
          <w:rFonts w:ascii="Arial" w:hAnsi="Arial" w:cs="Arial"/>
          <w:sz w:val="24"/>
          <w:szCs w:val="24"/>
        </w:rPr>
        <w:t>‘Wheat v Lacon’</w:t>
      </w:r>
      <w:r w:rsidR="002130A3">
        <w:rPr>
          <w:rFonts w:ascii="Arial" w:hAnsi="Arial" w:cs="Arial"/>
          <w:sz w:val="24"/>
          <w:szCs w:val="24"/>
        </w:rPr>
        <w:t xml:space="preserve"> (</w:t>
      </w:r>
      <w:r w:rsidR="00E5377F">
        <w:rPr>
          <w:rFonts w:ascii="Arial" w:hAnsi="Arial" w:cs="Arial"/>
          <w:sz w:val="24"/>
          <w:szCs w:val="24"/>
        </w:rPr>
        <w:t xml:space="preserve">1966). </w:t>
      </w:r>
    </w:p>
    <w:p w14:paraId="1A5E6C10" w14:textId="69EF15A2" w:rsidR="00303A53" w:rsidRDefault="00365169" w:rsidP="00303A53">
      <w:pPr>
        <w:rPr>
          <w:rFonts w:ascii="Arial" w:hAnsi="Arial" w:cs="Arial"/>
          <w:sz w:val="24"/>
          <w:szCs w:val="24"/>
        </w:rPr>
      </w:pPr>
      <w:r w:rsidRPr="00365169">
        <w:rPr>
          <w:rFonts w:ascii="Arial" w:hAnsi="Arial" w:cs="Arial"/>
          <w:sz w:val="24"/>
          <w:szCs w:val="24"/>
        </w:rPr>
        <w:t>The Occupiers' Liability Act 1957 deals with the duty of care owed by an occupier to visitors on their premises. The Occupiers' Liability Act 1984, on the other hand, addresses the duty of care to trespassers.</w:t>
      </w:r>
      <w:r w:rsidR="005E1C29">
        <w:rPr>
          <w:rFonts w:ascii="Arial" w:hAnsi="Arial" w:cs="Arial"/>
          <w:sz w:val="24"/>
          <w:szCs w:val="24"/>
        </w:rPr>
        <w:t xml:space="preserve"> Under the 1957 Act, </w:t>
      </w:r>
      <w:r w:rsidR="00DC75DB">
        <w:rPr>
          <w:rFonts w:ascii="Arial" w:hAnsi="Arial" w:cs="Arial"/>
          <w:sz w:val="24"/>
          <w:szCs w:val="24"/>
        </w:rPr>
        <w:t xml:space="preserve">as defined in </w:t>
      </w:r>
      <w:r w:rsidR="00EC592B">
        <w:rPr>
          <w:rFonts w:ascii="Arial" w:hAnsi="Arial" w:cs="Arial"/>
          <w:sz w:val="24"/>
          <w:szCs w:val="24"/>
        </w:rPr>
        <w:t>section 1(1),</w:t>
      </w:r>
      <w:r w:rsidR="00DC75DB">
        <w:rPr>
          <w:rFonts w:ascii="Arial" w:hAnsi="Arial" w:cs="Arial"/>
          <w:sz w:val="24"/>
          <w:szCs w:val="24"/>
        </w:rPr>
        <w:t xml:space="preserve"> </w:t>
      </w:r>
      <w:r w:rsidR="005E1C29">
        <w:rPr>
          <w:rFonts w:ascii="Arial" w:hAnsi="Arial" w:cs="Arial"/>
          <w:sz w:val="24"/>
          <w:szCs w:val="24"/>
        </w:rPr>
        <w:t>an occupier</w:t>
      </w:r>
      <w:r w:rsidR="005E1C29" w:rsidRPr="005E1C29">
        <w:rPr>
          <w:rFonts w:ascii="Arial" w:hAnsi="Arial" w:cs="Arial"/>
          <w:sz w:val="24"/>
          <w:szCs w:val="24"/>
        </w:rPr>
        <w:t xml:space="preserve"> is required to exercise a common</w:t>
      </w:r>
      <w:r w:rsidR="00303A53">
        <w:rPr>
          <w:rFonts w:ascii="Arial" w:hAnsi="Arial" w:cs="Arial"/>
          <w:sz w:val="24"/>
          <w:szCs w:val="24"/>
        </w:rPr>
        <w:t xml:space="preserve"> </w:t>
      </w:r>
      <w:r w:rsidR="005E1C29" w:rsidRPr="005E1C29">
        <w:rPr>
          <w:rFonts w:ascii="Arial" w:hAnsi="Arial" w:cs="Arial"/>
          <w:sz w:val="24"/>
          <w:szCs w:val="24"/>
        </w:rPr>
        <w:t xml:space="preserve">duty of care to all </w:t>
      </w:r>
      <w:r w:rsidR="005E1C29">
        <w:rPr>
          <w:rFonts w:ascii="Arial" w:hAnsi="Arial" w:cs="Arial"/>
          <w:sz w:val="24"/>
          <w:szCs w:val="24"/>
        </w:rPr>
        <w:t xml:space="preserve">visitors </w:t>
      </w:r>
      <w:r w:rsidR="005E1C29" w:rsidRPr="005E1C29">
        <w:rPr>
          <w:rFonts w:ascii="Arial" w:hAnsi="Arial" w:cs="Arial"/>
          <w:sz w:val="24"/>
          <w:szCs w:val="24"/>
        </w:rPr>
        <w:t xml:space="preserve">with regard to any hazards resulting from the condition of the premises or from actions taken or not taken on them. They </w:t>
      </w:r>
      <w:r w:rsidR="00BE1343" w:rsidRPr="005E1C29">
        <w:rPr>
          <w:rFonts w:ascii="Arial" w:hAnsi="Arial" w:cs="Arial"/>
          <w:sz w:val="24"/>
          <w:szCs w:val="24"/>
        </w:rPr>
        <w:t>must</w:t>
      </w:r>
      <w:r w:rsidR="005E1C29" w:rsidRPr="005E1C29">
        <w:rPr>
          <w:rFonts w:ascii="Arial" w:hAnsi="Arial" w:cs="Arial"/>
          <w:sz w:val="24"/>
          <w:szCs w:val="24"/>
        </w:rPr>
        <w:t xml:space="preserve"> exercise as much caution as is reasonable given all the relevant circumstances</w:t>
      </w:r>
      <w:r w:rsidR="00955A4D">
        <w:rPr>
          <w:rFonts w:ascii="Arial" w:hAnsi="Arial" w:cs="Arial"/>
          <w:sz w:val="24"/>
          <w:szCs w:val="24"/>
        </w:rPr>
        <w:t>.</w:t>
      </w:r>
      <w:r w:rsidR="00303A53">
        <w:rPr>
          <w:rFonts w:ascii="Arial" w:hAnsi="Arial" w:cs="Arial"/>
          <w:sz w:val="24"/>
          <w:szCs w:val="24"/>
        </w:rPr>
        <w:t xml:space="preserve"> </w:t>
      </w:r>
      <w:r w:rsidR="00303A53" w:rsidRPr="00303A53">
        <w:rPr>
          <w:rFonts w:ascii="Arial" w:hAnsi="Arial" w:cs="Arial"/>
          <w:sz w:val="24"/>
          <w:szCs w:val="24"/>
        </w:rPr>
        <w:t xml:space="preserve">The so-called "common duty of care" is defined in </w:t>
      </w:r>
      <w:r w:rsidR="00303A53">
        <w:rPr>
          <w:rFonts w:ascii="Arial" w:hAnsi="Arial" w:cs="Arial"/>
          <w:sz w:val="24"/>
          <w:szCs w:val="24"/>
        </w:rPr>
        <w:t>section</w:t>
      </w:r>
      <w:r w:rsidR="00303A53" w:rsidRPr="00303A53">
        <w:rPr>
          <w:rFonts w:ascii="Arial" w:hAnsi="Arial" w:cs="Arial"/>
          <w:sz w:val="24"/>
          <w:szCs w:val="24"/>
        </w:rPr>
        <w:t xml:space="preserve"> 2(2) as </w:t>
      </w:r>
      <w:r w:rsidR="00AB713D" w:rsidRPr="00AB713D">
        <w:rPr>
          <w:rFonts w:ascii="Arial" w:hAnsi="Arial" w:cs="Arial"/>
          <w:sz w:val="24"/>
          <w:szCs w:val="24"/>
        </w:rPr>
        <w:t xml:space="preserve">a responsibility to exercise whatever reasonable caution is necessary under all the circumstances to ensure that the visitor will be </w:t>
      </w:r>
      <w:proofErr w:type="gramStart"/>
      <w:r w:rsidR="00AB713D" w:rsidRPr="00AB713D">
        <w:rPr>
          <w:rFonts w:ascii="Arial" w:hAnsi="Arial" w:cs="Arial"/>
          <w:sz w:val="24"/>
          <w:szCs w:val="24"/>
        </w:rPr>
        <w:t>fairly safe</w:t>
      </w:r>
      <w:proofErr w:type="gramEnd"/>
      <w:r w:rsidR="00AB713D" w:rsidRPr="00AB713D">
        <w:rPr>
          <w:rFonts w:ascii="Arial" w:hAnsi="Arial" w:cs="Arial"/>
          <w:sz w:val="24"/>
          <w:szCs w:val="24"/>
        </w:rPr>
        <w:t xml:space="preserve"> while using the property for the reasons for which he has been invited or given </w:t>
      </w:r>
      <w:r w:rsidR="00AB713D" w:rsidRPr="00AB713D">
        <w:rPr>
          <w:rFonts w:ascii="Arial" w:hAnsi="Arial" w:cs="Arial"/>
          <w:sz w:val="24"/>
          <w:szCs w:val="24"/>
        </w:rPr>
        <w:lastRenderedPageBreak/>
        <w:t>permission by the occupier to be there</w:t>
      </w:r>
      <w:r w:rsidR="00AB713D">
        <w:rPr>
          <w:rFonts w:ascii="Arial" w:hAnsi="Arial" w:cs="Arial"/>
          <w:sz w:val="24"/>
          <w:szCs w:val="24"/>
        </w:rPr>
        <w:t xml:space="preserve">. </w:t>
      </w:r>
      <w:r w:rsidR="004C004A" w:rsidRPr="004C004A">
        <w:rPr>
          <w:rFonts w:ascii="Arial" w:hAnsi="Arial" w:cs="Arial"/>
          <w:sz w:val="24"/>
          <w:szCs w:val="24"/>
        </w:rPr>
        <w:t xml:space="preserve">Several further </w:t>
      </w:r>
      <w:r w:rsidR="004C004A">
        <w:rPr>
          <w:rFonts w:ascii="Arial" w:hAnsi="Arial" w:cs="Arial"/>
          <w:sz w:val="24"/>
          <w:szCs w:val="24"/>
        </w:rPr>
        <w:t>provisions</w:t>
      </w:r>
      <w:r w:rsidR="004C004A" w:rsidRPr="004C004A">
        <w:rPr>
          <w:rFonts w:ascii="Arial" w:hAnsi="Arial" w:cs="Arial"/>
          <w:sz w:val="24"/>
          <w:szCs w:val="24"/>
        </w:rPr>
        <w:t xml:space="preserve"> in t</w:t>
      </w:r>
      <w:r w:rsidR="004C004A">
        <w:rPr>
          <w:rFonts w:ascii="Arial" w:hAnsi="Arial" w:cs="Arial"/>
          <w:sz w:val="24"/>
          <w:szCs w:val="24"/>
        </w:rPr>
        <w:t xml:space="preserve">his </w:t>
      </w:r>
      <w:r w:rsidR="004C004A" w:rsidRPr="004C004A">
        <w:rPr>
          <w:rFonts w:ascii="Arial" w:hAnsi="Arial" w:cs="Arial"/>
          <w:sz w:val="24"/>
          <w:szCs w:val="24"/>
        </w:rPr>
        <w:t>section add to this meaning.</w:t>
      </w:r>
      <w:r w:rsidR="004C004A">
        <w:rPr>
          <w:rFonts w:ascii="Arial" w:hAnsi="Arial" w:cs="Arial"/>
          <w:sz w:val="24"/>
          <w:szCs w:val="24"/>
        </w:rPr>
        <w:t xml:space="preserve"> </w:t>
      </w:r>
      <w:r w:rsidR="004C004A" w:rsidRPr="004C004A">
        <w:rPr>
          <w:rFonts w:ascii="Arial" w:hAnsi="Arial" w:cs="Arial"/>
          <w:sz w:val="24"/>
          <w:szCs w:val="24"/>
        </w:rPr>
        <w:t>One of these states that the level of care and lack of care that would typically be expected in such a guest are among the circumstances relevant for the current purpose. An occupier, for instance, needs to be ready for children to be less cautious than adults</w:t>
      </w:r>
      <w:r w:rsidR="002C4A7F">
        <w:rPr>
          <w:rFonts w:ascii="Arial" w:hAnsi="Arial" w:cs="Arial"/>
          <w:sz w:val="24"/>
          <w:szCs w:val="24"/>
        </w:rPr>
        <w:t xml:space="preserve"> (Payne, </w:t>
      </w:r>
      <w:r w:rsidR="00263648">
        <w:rPr>
          <w:rFonts w:ascii="Arial" w:hAnsi="Arial" w:cs="Arial"/>
          <w:sz w:val="24"/>
          <w:szCs w:val="24"/>
        </w:rPr>
        <w:t xml:space="preserve">1958, p.236). </w:t>
      </w:r>
    </w:p>
    <w:p w14:paraId="0581C060" w14:textId="34993A3D" w:rsidR="0043549E" w:rsidRDefault="0043549E" w:rsidP="00303A53">
      <w:pPr>
        <w:rPr>
          <w:rFonts w:ascii="Arial" w:hAnsi="Arial" w:cs="Arial"/>
          <w:sz w:val="24"/>
          <w:szCs w:val="24"/>
        </w:rPr>
      </w:pPr>
      <w:r>
        <w:rPr>
          <w:rFonts w:ascii="Arial" w:hAnsi="Arial" w:cs="Arial"/>
          <w:sz w:val="24"/>
          <w:szCs w:val="24"/>
        </w:rPr>
        <w:t xml:space="preserve">While the Occupiers’ Liability Act 1984 </w:t>
      </w:r>
      <w:r w:rsidR="00546829">
        <w:rPr>
          <w:rFonts w:ascii="Arial" w:hAnsi="Arial" w:cs="Arial"/>
          <w:sz w:val="24"/>
          <w:szCs w:val="24"/>
        </w:rPr>
        <w:t>doesn’t change the legislat</w:t>
      </w:r>
      <w:r w:rsidR="00B3742E">
        <w:rPr>
          <w:rFonts w:ascii="Arial" w:hAnsi="Arial" w:cs="Arial"/>
          <w:sz w:val="24"/>
          <w:szCs w:val="24"/>
        </w:rPr>
        <w:t xml:space="preserve">ion put forward in the 1957 </w:t>
      </w:r>
      <w:r w:rsidR="00A91500">
        <w:rPr>
          <w:rFonts w:ascii="Arial" w:hAnsi="Arial" w:cs="Arial"/>
          <w:sz w:val="24"/>
          <w:szCs w:val="24"/>
        </w:rPr>
        <w:t>A</w:t>
      </w:r>
      <w:r w:rsidR="00B3742E">
        <w:rPr>
          <w:rFonts w:ascii="Arial" w:hAnsi="Arial" w:cs="Arial"/>
          <w:sz w:val="24"/>
          <w:szCs w:val="24"/>
        </w:rPr>
        <w:t xml:space="preserve">ct, it </w:t>
      </w:r>
      <w:r w:rsidR="009C7911">
        <w:rPr>
          <w:rFonts w:ascii="Arial" w:hAnsi="Arial" w:cs="Arial"/>
          <w:sz w:val="24"/>
          <w:szCs w:val="24"/>
        </w:rPr>
        <w:t xml:space="preserve">does </w:t>
      </w:r>
      <w:r w:rsidR="0019416C" w:rsidRPr="0019416C">
        <w:rPr>
          <w:rFonts w:ascii="Arial" w:hAnsi="Arial" w:cs="Arial"/>
          <w:sz w:val="24"/>
          <w:szCs w:val="24"/>
        </w:rPr>
        <w:t>expand the scope to include the duty of care owed to</w:t>
      </w:r>
      <w:r w:rsidR="0019416C">
        <w:rPr>
          <w:rFonts w:ascii="Arial" w:hAnsi="Arial" w:cs="Arial"/>
          <w:sz w:val="24"/>
          <w:szCs w:val="24"/>
        </w:rPr>
        <w:t xml:space="preserve"> </w:t>
      </w:r>
      <w:r w:rsidR="0019416C" w:rsidRPr="0019416C">
        <w:rPr>
          <w:rFonts w:ascii="Arial" w:hAnsi="Arial" w:cs="Arial"/>
          <w:sz w:val="24"/>
          <w:szCs w:val="24"/>
        </w:rPr>
        <w:t>trespassers</w:t>
      </w:r>
      <w:r w:rsidR="00A37CB7">
        <w:rPr>
          <w:rFonts w:ascii="Arial" w:hAnsi="Arial" w:cs="Arial"/>
          <w:sz w:val="24"/>
          <w:szCs w:val="24"/>
        </w:rPr>
        <w:t xml:space="preserve"> </w:t>
      </w:r>
      <w:r w:rsidR="003C0D05" w:rsidRPr="003C0D05">
        <w:rPr>
          <w:rFonts w:ascii="Arial" w:hAnsi="Arial" w:cs="Arial"/>
          <w:sz w:val="24"/>
          <w:szCs w:val="24"/>
        </w:rPr>
        <w:t>While there is a more limited duty of care towards trespassers, occupiers still must avoid causing them harm intentionally or recklessly.</w:t>
      </w:r>
      <w:r w:rsidR="003C0D05">
        <w:rPr>
          <w:rFonts w:ascii="Arial" w:hAnsi="Arial" w:cs="Arial"/>
          <w:sz w:val="24"/>
          <w:szCs w:val="24"/>
        </w:rPr>
        <w:t xml:space="preserve"> </w:t>
      </w:r>
      <w:r w:rsidR="00526C5F">
        <w:rPr>
          <w:rFonts w:ascii="Arial" w:hAnsi="Arial" w:cs="Arial"/>
          <w:sz w:val="24"/>
          <w:szCs w:val="24"/>
        </w:rPr>
        <w:t xml:space="preserve">Section 1(5) </w:t>
      </w:r>
      <w:r w:rsidR="003C32E9" w:rsidRPr="003C32E9">
        <w:rPr>
          <w:rFonts w:ascii="Arial" w:hAnsi="Arial" w:cs="Arial"/>
          <w:sz w:val="24"/>
          <w:szCs w:val="24"/>
        </w:rPr>
        <w:t>introduces provisions related to the use of warning notices by occupiers to give notice to trespassers of risks or dangers on the property. Under certain circumstances, posting such notices can help reduce liability.</w:t>
      </w:r>
      <w:r w:rsidR="0054349B">
        <w:rPr>
          <w:rFonts w:ascii="Arial" w:hAnsi="Arial" w:cs="Arial"/>
          <w:sz w:val="24"/>
          <w:szCs w:val="24"/>
        </w:rPr>
        <w:t xml:space="preserve"> </w:t>
      </w:r>
      <w:r w:rsidR="00BE49BA">
        <w:rPr>
          <w:rFonts w:ascii="Arial" w:hAnsi="Arial" w:cs="Arial"/>
          <w:sz w:val="24"/>
          <w:szCs w:val="24"/>
        </w:rPr>
        <w:t xml:space="preserve">Before this Act was introduced, it was </w:t>
      </w:r>
      <w:r w:rsidR="003114AE">
        <w:rPr>
          <w:rFonts w:ascii="Arial" w:hAnsi="Arial" w:cs="Arial"/>
          <w:sz w:val="24"/>
          <w:szCs w:val="24"/>
        </w:rPr>
        <w:t xml:space="preserve">assumed that occupiers owed no duty of care to trespassers. In the case of </w:t>
      </w:r>
      <w:r w:rsidR="008645E1">
        <w:rPr>
          <w:rFonts w:ascii="Arial" w:hAnsi="Arial" w:cs="Arial"/>
          <w:sz w:val="24"/>
          <w:szCs w:val="24"/>
        </w:rPr>
        <w:t xml:space="preserve">Herrington v British Rail Board (1972), </w:t>
      </w:r>
      <w:r w:rsidR="00282515">
        <w:rPr>
          <w:rFonts w:ascii="Arial" w:hAnsi="Arial" w:cs="Arial"/>
          <w:sz w:val="24"/>
          <w:szCs w:val="24"/>
        </w:rPr>
        <w:t>w</w:t>
      </w:r>
      <w:r w:rsidR="00BE0B3D">
        <w:rPr>
          <w:rFonts w:ascii="Arial" w:hAnsi="Arial" w:cs="Arial"/>
          <w:sz w:val="24"/>
          <w:szCs w:val="24"/>
        </w:rPr>
        <w:t xml:space="preserve">hich was a precursor to this Act, a child was injured </w:t>
      </w:r>
      <w:r w:rsidR="00BF77C1">
        <w:rPr>
          <w:rFonts w:ascii="Arial" w:hAnsi="Arial" w:cs="Arial"/>
          <w:sz w:val="24"/>
          <w:szCs w:val="24"/>
        </w:rPr>
        <w:t>after trespassing over a faulty fence. The defendant had been</w:t>
      </w:r>
      <w:r w:rsidR="00525233">
        <w:rPr>
          <w:rFonts w:ascii="Arial" w:hAnsi="Arial" w:cs="Arial"/>
          <w:sz w:val="24"/>
          <w:szCs w:val="24"/>
        </w:rPr>
        <w:t xml:space="preserve"> notified of children being present in the vicinity of </w:t>
      </w:r>
      <w:proofErr w:type="gramStart"/>
      <w:r w:rsidR="00525233">
        <w:rPr>
          <w:rFonts w:ascii="Arial" w:hAnsi="Arial" w:cs="Arial"/>
          <w:sz w:val="24"/>
          <w:szCs w:val="24"/>
        </w:rPr>
        <w:t>danger, but</w:t>
      </w:r>
      <w:proofErr w:type="gramEnd"/>
      <w:r w:rsidR="00525233">
        <w:rPr>
          <w:rFonts w:ascii="Arial" w:hAnsi="Arial" w:cs="Arial"/>
          <w:sz w:val="24"/>
          <w:szCs w:val="24"/>
        </w:rPr>
        <w:t xml:space="preserve"> took no action to fix the fence. Therefore, it was found that the defendant owed a duty of care to </w:t>
      </w:r>
      <w:r w:rsidR="008C523F">
        <w:rPr>
          <w:rFonts w:ascii="Arial" w:hAnsi="Arial" w:cs="Arial"/>
          <w:sz w:val="24"/>
          <w:szCs w:val="24"/>
        </w:rPr>
        <w:t xml:space="preserve">a trespasser in this case </w:t>
      </w:r>
      <w:r w:rsidR="0075115A">
        <w:rPr>
          <w:rFonts w:ascii="Arial" w:hAnsi="Arial" w:cs="Arial"/>
          <w:sz w:val="24"/>
          <w:szCs w:val="24"/>
        </w:rPr>
        <w:t>‘</w:t>
      </w:r>
      <w:r w:rsidR="0075115A" w:rsidRPr="0075115A">
        <w:rPr>
          <w:rFonts w:ascii="Arial" w:hAnsi="Arial" w:cs="Arial"/>
          <w:sz w:val="24"/>
          <w:szCs w:val="24"/>
        </w:rPr>
        <w:t>British Railways Board v Herrington</w:t>
      </w:r>
      <w:r w:rsidR="0075115A">
        <w:rPr>
          <w:rFonts w:ascii="Arial" w:hAnsi="Arial" w:cs="Arial"/>
          <w:sz w:val="24"/>
          <w:szCs w:val="24"/>
        </w:rPr>
        <w:t>’ (</w:t>
      </w:r>
      <w:r w:rsidR="0053708D">
        <w:rPr>
          <w:rFonts w:ascii="Arial" w:hAnsi="Arial" w:cs="Arial"/>
          <w:sz w:val="24"/>
          <w:szCs w:val="24"/>
        </w:rPr>
        <w:t xml:space="preserve">1972). </w:t>
      </w:r>
    </w:p>
    <w:p w14:paraId="5DDAD3B2" w14:textId="5DA6FAE0" w:rsidR="005B586F" w:rsidRDefault="00365169" w:rsidP="00365169">
      <w:pPr>
        <w:rPr>
          <w:rFonts w:ascii="Arial" w:hAnsi="Arial" w:cs="Arial"/>
          <w:sz w:val="24"/>
          <w:szCs w:val="24"/>
        </w:rPr>
      </w:pPr>
      <w:r w:rsidRPr="00365169">
        <w:rPr>
          <w:rFonts w:ascii="Arial" w:hAnsi="Arial" w:cs="Arial"/>
          <w:sz w:val="24"/>
          <w:szCs w:val="24"/>
        </w:rPr>
        <w:t>An occupier may be held liable if they fail to meet their duty of care as specified by the relevant Act. The duty of care requires occupiers to take reasonable steps to ensure the safety of visitors or trespassers.</w:t>
      </w:r>
      <w:r w:rsidR="00D932A8">
        <w:rPr>
          <w:rFonts w:ascii="Arial" w:hAnsi="Arial" w:cs="Arial"/>
          <w:sz w:val="24"/>
          <w:szCs w:val="24"/>
        </w:rPr>
        <w:t xml:space="preserve"> </w:t>
      </w:r>
      <w:r w:rsidR="00341DA9" w:rsidRPr="00341DA9">
        <w:rPr>
          <w:rFonts w:ascii="Arial" w:hAnsi="Arial" w:cs="Arial"/>
          <w:sz w:val="24"/>
          <w:szCs w:val="24"/>
        </w:rPr>
        <w:t>The occupier's duty of care is context-dependent and may vary based on the specific circumstances of each case.</w:t>
      </w:r>
      <w:r w:rsidR="00341DA9">
        <w:rPr>
          <w:rFonts w:ascii="Arial" w:hAnsi="Arial" w:cs="Arial"/>
          <w:sz w:val="24"/>
          <w:szCs w:val="24"/>
        </w:rPr>
        <w:t xml:space="preserve"> </w:t>
      </w:r>
      <w:r w:rsidR="00CE7132" w:rsidRPr="00CE7132">
        <w:rPr>
          <w:rFonts w:ascii="Arial" w:hAnsi="Arial" w:cs="Arial"/>
          <w:sz w:val="24"/>
          <w:szCs w:val="24"/>
        </w:rPr>
        <w:t>A popular method of meeting the common duty of care is to alert people to any risks connected to the property</w:t>
      </w:r>
      <w:r w:rsidR="00CE7132">
        <w:rPr>
          <w:rFonts w:ascii="Arial" w:hAnsi="Arial" w:cs="Arial"/>
          <w:sz w:val="24"/>
          <w:szCs w:val="24"/>
        </w:rPr>
        <w:t xml:space="preserve"> (</w:t>
      </w:r>
      <w:r w:rsidR="0019543E">
        <w:rPr>
          <w:rFonts w:ascii="Arial" w:hAnsi="Arial" w:cs="Arial"/>
          <w:sz w:val="24"/>
          <w:szCs w:val="24"/>
        </w:rPr>
        <w:t xml:space="preserve">Lunney &amp; Oliphant, </w:t>
      </w:r>
      <w:r w:rsidR="00F63AA6">
        <w:rPr>
          <w:rFonts w:ascii="Arial" w:hAnsi="Arial" w:cs="Arial"/>
          <w:sz w:val="24"/>
          <w:szCs w:val="24"/>
        </w:rPr>
        <w:t xml:space="preserve">2013, p.556). </w:t>
      </w:r>
      <w:r w:rsidR="005B586F">
        <w:rPr>
          <w:rFonts w:ascii="Arial" w:hAnsi="Arial" w:cs="Arial"/>
          <w:sz w:val="24"/>
          <w:szCs w:val="24"/>
        </w:rPr>
        <w:t>This can be seen in the case of Tomlinson v Congleton Borough Council (200</w:t>
      </w:r>
      <w:r w:rsidR="00073316">
        <w:rPr>
          <w:rFonts w:ascii="Arial" w:hAnsi="Arial" w:cs="Arial"/>
          <w:sz w:val="24"/>
          <w:szCs w:val="24"/>
        </w:rPr>
        <w:t xml:space="preserve">4) where the claimant </w:t>
      </w:r>
      <w:r w:rsidR="007C1EFC">
        <w:rPr>
          <w:rFonts w:ascii="Arial" w:hAnsi="Arial" w:cs="Arial"/>
          <w:sz w:val="24"/>
          <w:szCs w:val="24"/>
        </w:rPr>
        <w:t xml:space="preserve">was injured after diving into a shallow lake which was on the defendant’s property. </w:t>
      </w:r>
      <w:r w:rsidR="003635CA">
        <w:rPr>
          <w:rFonts w:ascii="Arial" w:hAnsi="Arial" w:cs="Arial"/>
          <w:sz w:val="24"/>
          <w:szCs w:val="24"/>
        </w:rPr>
        <w:t xml:space="preserve">The defendant had displayed signs reading ‘Dangerous Water: </w:t>
      </w:r>
      <w:r w:rsidR="00B441DD">
        <w:rPr>
          <w:rFonts w:ascii="Arial" w:hAnsi="Arial" w:cs="Arial"/>
          <w:sz w:val="24"/>
          <w:szCs w:val="24"/>
        </w:rPr>
        <w:t>No Swimming’</w:t>
      </w:r>
      <w:r w:rsidR="000D5109">
        <w:rPr>
          <w:rFonts w:ascii="Arial" w:hAnsi="Arial" w:cs="Arial"/>
          <w:sz w:val="24"/>
          <w:szCs w:val="24"/>
        </w:rPr>
        <w:t>.</w:t>
      </w:r>
      <w:r w:rsidR="00546464">
        <w:rPr>
          <w:rFonts w:ascii="Arial" w:hAnsi="Arial" w:cs="Arial"/>
          <w:sz w:val="24"/>
          <w:szCs w:val="24"/>
        </w:rPr>
        <w:t xml:space="preserve"> </w:t>
      </w:r>
      <w:r w:rsidR="006B3B3D" w:rsidRPr="006B3B3D">
        <w:rPr>
          <w:rFonts w:ascii="Arial" w:hAnsi="Arial" w:cs="Arial"/>
          <w:sz w:val="24"/>
          <w:szCs w:val="24"/>
        </w:rPr>
        <w:t xml:space="preserve">As a result, the claimant was not liable to the defendant. </w:t>
      </w:r>
      <w:r w:rsidR="00DF5C4A">
        <w:rPr>
          <w:rFonts w:ascii="Arial" w:hAnsi="Arial" w:cs="Arial"/>
          <w:sz w:val="24"/>
          <w:szCs w:val="24"/>
        </w:rPr>
        <w:t>Under</w:t>
      </w:r>
      <w:r w:rsidR="006B3B3D" w:rsidRPr="006B3B3D">
        <w:rPr>
          <w:rFonts w:ascii="Arial" w:hAnsi="Arial" w:cs="Arial"/>
          <w:sz w:val="24"/>
          <w:szCs w:val="24"/>
        </w:rPr>
        <w:t xml:space="preserve"> s1(3) of the Occupiers Liability Act of 1984, there was no risk arising from the </w:t>
      </w:r>
      <w:r w:rsidR="00DF5C4A">
        <w:rPr>
          <w:rFonts w:ascii="Arial" w:hAnsi="Arial" w:cs="Arial"/>
          <w:sz w:val="24"/>
          <w:szCs w:val="24"/>
        </w:rPr>
        <w:t>state</w:t>
      </w:r>
      <w:r w:rsidR="006B3B3D" w:rsidRPr="006B3B3D">
        <w:rPr>
          <w:rFonts w:ascii="Arial" w:hAnsi="Arial" w:cs="Arial"/>
          <w:sz w:val="24"/>
          <w:szCs w:val="24"/>
        </w:rPr>
        <w:t xml:space="preserve"> of the premises because the risk of harm was so evident. Rather, the danger came about </w:t>
      </w:r>
      <w:proofErr w:type="gramStart"/>
      <w:r w:rsidR="006B3B3D" w:rsidRPr="006B3B3D">
        <w:rPr>
          <w:rFonts w:ascii="Arial" w:hAnsi="Arial" w:cs="Arial"/>
          <w:sz w:val="24"/>
          <w:szCs w:val="24"/>
        </w:rPr>
        <w:t>as a result of</w:t>
      </w:r>
      <w:proofErr w:type="gramEnd"/>
      <w:r w:rsidR="006B3B3D" w:rsidRPr="006B3B3D">
        <w:rPr>
          <w:rFonts w:ascii="Arial" w:hAnsi="Arial" w:cs="Arial"/>
          <w:sz w:val="24"/>
          <w:szCs w:val="24"/>
        </w:rPr>
        <w:t xml:space="preserve"> the claimant's own voluntary engagement in this risk. The respondent was a fully capable individual who willingly participated in an activity </w:t>
      </w:r>
      <w:r w:rsidR="00DF5C4A">
        <w:rPr>
          <w:rFonts w:ascii="Arial" w:hAnsi="Arial" w:cs="Arial"/>
          <w:sz w:val="24"/>
          <w:szCs w:val="24"/>
        </w:rPr>
        <w:t xml:space="preserve">that </w:t>
      </w:r>
      <w:r w:rsidR="004726F0">
        <w:rPr>
          <w:rFonts w:ascii="Arial" w:hAnsi="Arial" w:cs="Arial"/>
          <w:sz w:val="24"/>
          <w:szCs w:val="24"/>
        </w:rPr>
        <w:t xml:space="preserve">was </w:t>
      </w:r>
      <w:r w:rsidR="006B3B3D" w:rsidRPr="006B3B3D">
        <w:rPr>
          <w:rFonts w:ascii="Arial" w:hAnsi="Arial" w:cs="Arial"/>
          <w:sz w:val="24"/>
          <w:szCs w:val="24"/>
        </w:rPr>
        <w:t>inherent</w:t>
      </w:r>
      <w:r w:rsidR="00E11152">
        <w:rPr>
          <w:rFonts w:ascii="Arial" w:hAnsi="Arial" w:cs="Arial"/>
          <w:sz w:val="24"/>
          <w:szCs w:val="24"/>
        </w:rPr>
        <w:t xml:space="preserve">ly </w:t>
      </w:r>
      <w:r w:rsidR="006B3B3D" w:rsidRPr="006B3B3D">
        <w:rPr>
          <w:rFonts w:ascii="Arial" w:hAnsi="Arial" w:cs="Arial"/>
          <w:sz w:val="24"/>
          <w:szCs w:val="24"/>
        </w:rPr>
        <w:t>danger</w:t>
      </w:r>
      <w:r w:rsidR="004726F0">
        <w:rPr>
          <w:rFonts w:ascii="Arial" w:hAnsi="Arial" w:cs="Arial"/>
          <w:sz w:val="24"/>
          <w:szCs w:val="24"/>
        </w:rPr>
        <w:t xml:space="preserve">ous </w:t>
      </w:r>
      <w:r w:rsidR="00A82B6A">
        <w:rPr>
          <w:rFonts w:ascii="Arial" w:hAnsi="Arial" w:cs="Arial"/>
          <w:sz w:val="24"/>
          <w:szCs w:val="24"/>
        </w:rPr>
        <w:t xml:space="preserve">‘Tomlinson v Congleton Borough Council’ (2003). </w:t>
      </w:r>
      <w:r w:rsidR="00196EED" w:rsidRPr="00196EED">
        <w:rPr>
          <w:rFonts w:ascii="Arial" w:hAnsi="Arial" w:cs="Arial"/>
          <w:sz w:val="24"/>
          <w:szCs w:val="24"/>
        </w:rPr>
        <w:t xml:space="preserve">An occupier must be aware of the danger or have good reason to believe it exists </w:t>
      </w:r>
      <w:proofErr w:type="gramStart"/>
      <w:r w:rsidR="00196EED" w:rsidRPr="00196EED">
        <w:rPr>
          <w:rFonts w:ascii="Arial" w:hAnsi="Arial" w:cs="Arial"/>
          <w:sz w:val="24"/>
          <w:szCs w:val="24"/>
        </w:rPr>
        <w:t>in order to</w:t>
      </w:r>
      <w:proofErr w:type="gramEnd"/>
      <w:r w:rsidR="00196EED" w:rsidRPr="00196EED">
        <w:rPr>
          <w:rFonts w:ascii="Arial" w:hAnsi="Arial" w:cs="Arial"/>
          <w:sz w:val="24"/>
          <w:szCs w:val="24"/>
        </w:rPr>
        <w:t xml:space="preserve"> owe a non-visitor or trespasser a duty of care</w:t>
      </w:r>
      <w:r w:rsidR="00C67C58">
        <w:rPr>
          <w:rFonts w:ascii="Arial" w:hAnsi="Arial" w:cs="Arial"/>
          <w:sz w:val="24"/>
          <w:szCs w:val="24"/>
        </w:rPr>
        <w:t xml:space="preserve"> (</w:t>
      </w:r>
      <w:r w:rsidR="000E6920">
        <w:rPr>
          <w:rFonts w:ascii="Arial" w:hAnsi="Arial" w:cs="Arial"/>
          <w:sz w:val="24"/>
          <w:szCs w:val="24"/>
        </w:rPr>
        <w:t xml:space="preserve">Horsey &amp; Rackley 2013, p.302). In the case of </w:t>
      </w:r>
      <w:r w:rsidR="009660CA">
        <w:rPr>
          <w:rFonts w:ascii="Arial" w:hAnsi="Arial" w:cs="Arial"/>
          <w:sz w:val="24"/>
          <w:szCs w:val="24"/>
        </w:rPr>
        <w:t xml:space="preserve">Rhind v Astbury Water Park Limited (2004), the claimant had suffered injuries after </w:t>
      </w:r>
      <w:r w:rsidR="002A274A">
        <w:rPr>
          <w:rFonts w:ascii="Arial" w:hAnsi="Arial" w:cs="Arial"/>
          <w:sz w:val="24"/>
          <w:szCs w:val="24"/>
        </w:rPr>
        <w:t xml:space="preserve">diving into a body of water and hitting his head on a fibre-glass container. </w:t>
      </w:r>
      <w:proofErr w:type="gramStart"/>
      <w:r w:rsidR="00B04FAF">
        <w:rPr>
          <w:rFonts w:ascii="Arial" w:hAnsi="Arial" w:cs="Arial"/>
          <w:sz w:val="24"/>
          <w:szCs w:val="24"/>
        </w:rPr>
        <w:t>Similar to</w:t>
      </w:r>
      <w:proofErr w:type="gramEnd"/>
      <w:r w:rsidR="00B04FAF">
        <w:rPr>
          <w:rFonts w:ascii="Arial" w:hAnsi="Arial" w:cs="Arial"/>
          <w:sz w:val="24"/>
          <w:szCs w:val="24"/>
        </w:rPr>
        <w:t xml:space="preserve"> the Tomlinson v Congleton Borough Council (2004) case, the defendant had </w:t>
      </w:r>
      <w:r w:rsidR="00427FA0">
        <w:rPr>
          <w:rFonts w:ascii="Arial" w:hAnsi="Arial" w:cs="Arial"/>
          <w:sz w:val="24"/>
          <w:szCs w:val="24"/>
        </w:rPr>
        <w:t xml:space="preserve">displayed notices warning of the potential danger. It was found that as </w:t>
      </w:r>
      <w:r w:rsidR="00AB61CB">
        <w:rPr>
          <w:rFonts w:ascii="Arial" w:hAnsi="Arial" w:cs="Arial"/>
          <w:sz w:val="24"/>
          <w:szCs w:val="24"/>
        </w:rPr>
        <w:t xml:space="preserve">there were no reasonable grounds for the defendant to believe that the </w:t>
      </w:r>
      <w:r w:rsidR="00C95E79">
        <w:rPr>
          <w:rFonts w:ascii="Arial" w:hAnsi="Arial" w:cs="Arial"/>
          <w:sz w:val="24"/>
          <w:szCs w:val="24"/>
        </w:rPr>
        <w:t xml:space="preserve">container was hidden beneath the surface of the water, </w:t>
      </w:r>
      <w:r w:rsidR="00AE55A8">
        <w:rPr>
          <w:rFonts w:ascii="Arial" w:hAnsi="Arial" w:cs="Arial"/>
          <w:sz w:val="24"/>
          <w:szCs w:val="24"/>
        </w:rPr>
        <w:t xml:space="preserve">therefore </w:t>
      </w:r>
      <w:r w:rsidR="00C95E79">
        <w:rPr>
          <w:rFonts w:ascii="Arial" w:hAnsi="Arial" w:cs="Arial"/>
          <w:sz w:val="24"/>
          <w:szCs w:val="24"/>
        </w:rPr>
        <w:t>no duty of care was owed</w:t>
      </w:r>
      <w:r w:rsidR="00AA53C7">
        <w:rPr>
          <w:rFonts w:ascii="Arial" w:hAnsi="Arial" w:cs="Arial"/>
          <w:sz w:val="24"/>
          <w:szCs w:val="24"/>
        </w:rPr>
        <w:t xml:space="preserve"> </w:t>
      </w:r>
      <w:r w:rsidR="00B46ED8">
        <w:rPr>
          <w:rFonts w:ascii="Arial" w:hAnsi="Arial" w:cs="Arial"/>
          <w:sz w:val="24"/>
          <w:szCs w:val="24"/>
        </w:rPr>
        <w:t>‘Rhind v Astbury Water Park Ltd</w:t>
      </w:r>
      <w:r w:rsidR="002B421B">
        <w:rPr>
          <w:rFonts w:ascii="Arial" w:hAnsi="Arial" w:cs="Arial"/>
          <w:sz w:val="24"/>
          <w:szCs w:val="24"/>
        </w:rPr>
        <w:t xml:space="preserve">’ (2004). </w:t>
      </w:r>
    </w:p>
    <w:p w14:paraId="3EB30BD3" w14:textId="7D71E729" w:rsidR="00D76DA8" w:rsidRDefault="00C20AF4" w:rsidP="00365169">
      <w:pPr>
        <w:rPr>
          <w:rFonts w:ascii="Arial" w:hAnsi="Arial" w:cs="Arial"/>
          <w:sz w:val="24"/>
          <w:szCs w:val="24"/>
        </w:rPr>
      </w:pPr>
      <w:r>
        <w:rPr>
          <w:rFonts w:ascii="Arial" w:hAnsi="Arial" w:cs="Arial"/>
          <w:sz w:val="24"/>
          <w:szCs w:val="24"/>
        </w:rPr>
        <w:t xml:space="preserve">Special considerations apply when children are involved. </w:t>
      </w:r>
      <w:r w:rsidR="00202E82">
        <w:rPr>
          <w:rFonts w:ascii="Arial" w:hAnsi="Arial" w:cs="Arial"/>
          <w:sz w:val="24"/>
          <w:szCs w:val="24"/>
        </w:rPr>
        <w:t xml:space="preserve">In essence, occupiers must be aware that children will be less cautious </w:t>
      </w:r>
      <w:r w:rsidR="000B6803">
        <w:rPr>
          <w:rFonts w:ascii="Arial" w:hAnsi="Arial" w:cs="Arial"/>
          <w:sz w:val="24"/>
          <w:szCs w:val="24"/>
        </w:rPr>
        <w:t xml:space="preserve">than adults as seen in the case of </w:t>
      </w:r>
      <w:r w:rsidR="00566413">
        <w:rPr>
          <w:rFonts w:ascii="Arial" w:hAnsi="Arial" w:cs="Arial"/>
          <w:sz w:val="24"/>
          <w:szCs w:val="24"/>
        </w:rPr>
        <w:t xml:space="preserve">Jolley v </w:t>
      </w:r>
      <w:r w:rsidR="00353BA8">
        <w:rPr>
          <w:rFonts w:ascii="Arial" w:hAnsi="Arial" w:cs="Arial"/>
          <w:sz w:val="24"/>
          <w:szCs w:val="24"/>
        </w:rPr>
        <w:t xml:space="preserve">Sutton London Borough Council (2000), where a </w:t>
      </w:r>
      <w:r w:rsidR="00392429">
        <w:rPr>
          <w:rFonts w:ascii="Arial" w:hAnsi="Arial" w:cs="Arial"/>
          <w:sz w:val="24"/>
          <w:szCs w:val="24"/>
        </w:rPr>
        <w:t>14-year-old</w:t>
      </w:r>
      <w:r w:rsidR="00353BA8">
        <w:rPr>
          <w:rFonts w:ascii="Arial" w:hAnsi="Arial" w:cs="Arial"/>
          <w:sz w:val="24"/>
          <w:szCs w:val="24"/>
        </w:rPr>
        <w:t xml:space="preserve"> boy was </w:t>
      </w:r>
      <w:r w:rsidR="00C07681">
        <w:rPr>
          <w:rFonts w:ascii="Arial" w:hAnsi="Arial" w:cs="Arial"/>
          <w:sz w:val="24"/>
          <w:szCs w:val="24"/>
        </w:rPr>
        <w:t xml:space="preserve">left </w:t>
      </w:r>
      <w:r w:rsidR="00C07681">
        <w:rPr>
          <w:rFonts w:ascii="Arial" w:hAnsi="Arial" w:cs="Arial"/>
          <w:sz w:val="24"/>
          <w:szCs w:val="24"/>
        </w:rPr>
        <w:lastRenderedPageBreak/>
        <w:t>paralysed</w:t>
      </w:r>
      <w:r w:rsidR="00353BA8">
        <w:rPr>
          <w:rFonts w:ascii="Arial" w:hAnsi="Arial" w:cs="Arial"/>
          <w:sz w:val="24"/>
          <w:szCs w:val="24"/>
        </w:rPr>
        <w:t xml:space="preserve"> when an abandoned boat fell onto him. </w:t>
      </w:r>
      <w:r w:rsidR="00F650C0">
        <w:rPr>
          <w:rFonts w:ascii="Arial" w:hAnsi="Arial" w:cs="Arial"/>
          <w:sz w:val="24"/>
          <w:szCs w:val="24"/>
        </w:rPr>
        <w:t xml:space="preserve"> </w:t>
      </w:r>
      <w:r w:rsidR="00C07681">
        <w:rPr>
          <w:rFonts w:ascii="Arial" w:hAnsi="Arial" w:cs="Arial"/>
          <w:sz w:val="24"/>
          <w:szCs w:val="24"/>
        </w:rPr>
        <w:t xml:space="preserve">The House of Lords held the defendant liable, </w:t>
      </w:r>
      <w:r w:rsidR="00F1216D">
        <w:rPr>
          <w:rFonts w:ascii="Arial" w:hAnsi="Arial" w:cs="Arial"/>
          <w:sz w:val="24"/>
          <w:szCs w:val="24"/>
        </w:rPr>
        <w:t>particularly due to the ‘allurement’ of the boat to children</w:t>
      </w:r>
      <w:r w:rsidR="00E66DA7">
        <w:rPr>
          <w:rFonts w:ascii="Arial" w:hAnsi="Arial" w:cs="Arial"/>
          <w:sz w:val="24"/>
          <w:szCs w:val="24"/>
        </w:rPr>
        <w:t xml:space="preserve"> (</w:t>
      </w:r>
      <w:r w:rsidR="00403042">
        <w:rPr>
          <w:rFonts w:ascii="Arial" w:hAnsi="Arial" w:cs="Arial"/>
          <w:sz w:val="24"/>
          <w:szCs w:val="24"/>
        </w:rPr>
        <w:t>Horsey &amp; Rackley, 2013, p.</w:t>
      </w:r>
      <w:r w:rsidR="00A10D7D">
        <w:rPr>
          <w:rFonts w:ascii="Arial" w:hAnsi="Arial" w:cs="Arial"/>
          <w:sz w:val="24"/>
          <w:szCs w:val="24"/>
        </w:rPr>
        <w:t xml:space="preserve">290). Exceptions to this rule can apply when the </w:t>
      </w:r>
      <w:r w:rsidR="00FD273A">
        <w:rPr>
          <w:rFonts w:ascii="Arial" w:hAnsi="Arial" w:cs="Arial"/>
          <w:sz w:val="24"/>
          <w:szCs w:val="24"/>
        </w:rPr>
        <w:t xml:space="preserve">child is accompanied by a parent or guardian, such as in the case of </w:t>
      </w:r>
      <w:r w:rsidR="00D76DA8">
        <w:rPr>
          <w:rFonts w:ascii="Arial" w:hAnsi="Arial" w:cs="Arial"/>
          <w:sz w:val="24"/>
          <w:szCs w:val="24"/>
        </w:rPr>
        <w:t>Bourne Leisure Ltd v Marsden (2009)</w:t>
      </w:r>
      <w:r w:rsidR="00EB548F">
        <w:rPr>
          <w:rFonts w:ascii="Arial" w:hAnsi="Arial" w:cs="Arial"/>
          <w:sz w:val="24"/>
          <w:szCs w:val="24"/>
        </w:rPr>
        <w:t xml:space="preserve">. </w:t>
      </w:r>
      <w:r w:rsidR="00F746D1" w:rsidRPr="00F746D1">
        <w:rPr>
          <w:rFonts w:ascii="Arial" w:hAnsi="Arial" w:cs="Arial"/>
          <w:sz w:val="24"/>
          <w:szCs w:val="24"/>
        </w:rPr>
        <w:t>Since</w:t>
      </w:r>
      <w:r w:rsidR="00F746D1">
        <w:rPr>
          <w:rFonts w:ascii="Arial" w:hAnsi="Arial" w:cs="Arial"/>
          <w:sz w:val="24"/>
          <w:szCs w:val="24"/>
        </w:rPr>
        <w:t xml:space="preserve"> </w:t>
      </w:r>
      <w:r w:rsidR="0009703E">
        <w:rPr>
          <w:rFonts w:ascii="Arial" w:hAnsi="Arial" w:cs="Arial"/>
          <w:sz w:val="24"/>
          <w:szCs w:val="24"/>
        </w:rPr>
        <w:t xml:space="preserve">the danger would have been obvious to adults in this case, </w:t>
      </w:r>
      <w:r w:rsidR="002353F5">
        <w:rPr>
          <w:rFonts w:ascii="Arial" w:hAnsi="Arial" w:cs="Arial"/>
          <w:sz w:val="24"/>
          <w:szCs w:val="24"/>
        </w:rPr>
        <w:t xml:space="preserve">it would have been reasonable to expect that a child in the vicinity would be accompanied by an adult, and therefore </w:t>
      </w:r>
      <w:r w:rsidR="00E4253D">
        <w:rPr>
          <w:rFonts w:ascii="Arial" w:hAnsi="Arial" w:cs="Arial"/>
          <w:sz w:val="24"/>
          <w:szCs w:val="24"/>
        </w:rPr>
        <w:t>there was no breach of duty by the occupiers</w:t>
      </w:r>
      <w:r w:rsidR="006E3F32">
        <w:rPr>
          <w:rFonts w:ascii="Arial" w:hAnsi="Arial" w:cs="Arial"/>
          <w:sz w:val="24"/>
          <w:szCs w:val="24"/>
        </w:rPr>
        <w:t xml:space="preserve"> ‘</w:t>
      </w:r>
      <w:r w:rsidR="006E3F32" w:rsidRPr="006E3F32">
        <w:rPr>
          <w:rFonts w:ascii="Arial" w:hAnsi="Arial" w:cs="Arial"/>
          <w:sz w:val="24"/>
          <w:szCs w:val="24"/>
        </w:rPr>
        <w:t xml:space="preserve">Marsden (Representative of the estate of Marsden, </w:t>
      </w:r>
      <w:proofErr w:type="spellStart"/>
      <w:r w:rsidR="006E3F32" w:rsidRPr="006E3F32">
        <w:rPr>
          <w:rFonts w:ascii="Arial" w:hAnsi="Arial" w:cs="Arial"/>
          <w:sz w:val="24"/>
          <w:szCs w:val="24"/>
        </w:rPr>
        <w:t>decd</w:t>
      </w:r>
      <w:proofErr w:type="spellEnd"/>
      <w:r w:rsidR="006E3F32" w:rsidRPr="006E3F32">
        <w:rPr>
          <w:rFonts w:ascii="Arial" w:hAnsi="Arial" w:cs="Arial"/>
          <w:sz w:val="24"/>
          <w:szCs w:val="24"/>
        </w:rPr>
        <w:t>) v Bourne Leisure t/a British Holidays</w:t>
      </w:r>
      <w:r w:rsidR="006E3F32">
        <w:rPr>
          <w:rFonts w:ascii="Arial" w:hAnsi="Arial" w:cs="Arial"/>
          <w:sz w:val="24"/>
          <w:szCs w:val="24"/>
        </w:rPr>
        <w:t>’ (</w:t>
      </w:r>
      <w:r w:rsidR="0024294E">
        <w:rPr>
          <w:rFonts w:ascii="Arial" w:hAnsi="Arial" w:cs="Arial"/>
          <w:sz w:val="24"/>
          <w:szCs w:val="24"/>
        </w:rPr>
        <w:t xml:space="preserve">2009). </w:t>
      </w:r>
      <w:r w:rsidR="002D6CF5" w:rsidRPr="002D6CF5">
        <w:rPr>
          <w:rFonts w:ascii="Arial" w:hAnsi="Arial" w:cs="Arial"/>
          <w:sz w:val="24"/>
          <w:szCs w:val="24"/>
        </w:rPr>
        <w:t>It should have been reasonable for the occupier to assume that young children could wander into dangerous areas and evade their parents' supervision. However, this did not imply that the occupant had to take safety measures to avoid such risks</w:t>
      </w:r>
      <w:r w:rsidR="000A5D4E">
        <w:rPr>
          <w:rFonts w:ascii="Arial" w:hAnsi="Arial" w:cs="Arial"/>
          <w:sz w:val="24"/>
          <w:szCs w:val="24"/>
        </w:rPr>
        <w:t xml:space="preserve">. </w:t>
      </w:r>
    </w:p>
    <w:p w14:paraId="53991BA5" w14:textId="06F0AEA5" w:rsidR="009A3203" w:rsidRDefault="009A3203" w:rsidP="00365169">
      <w:pPr>
        <w:rPr>
          <w:rFonts w:ascii="Arial" w:hAnsi="Arial" w:cs="Arial"/>
          <w:sz w:val="24"/>
          <w:szCs w:val="24"/>
        </w:rPr>
      </w:pPr>
      <w:r w:rsidRPr="009A3203">
        <w:rPr>
          <w:rFonts w:ascii="Arial" w:hAnsi="Arial" w:cs="Arial"/>
          <w:sz w:val="24"/>
          <w:szCs w:val="24"/>
        </w:rPr>
        <w:t xml:space="preserve">There has been some </w:t>
      </w:r>
      <w:r>
        <w:rPr>
          <w:rFonts w:ascii="Arial" w:hAnsi="Arial" w:cs="Arial"/>
          <w:sz w:val="24"/>
          <w:szCs w:val="24"/>
        </w:rPr>
        <w:t>concern</w:t>
      </w:r>
      <w:r w:rsidRPr="009A3203">
        <w:rPr>
          <w:rFonts w:ascii="Arial" w:hAnsi="Arial" w:cs="Arial"/>
          <w:sz w:val="24"/>
          <w:szCs w:val="24"/>
        </w:rPr>
        <w:t xml:space="preserve"> that Wales and England are becoming </w:t>
      </w:r>
      <w:r>
        <w:rPr>
          <w:rFonts w:ascii="Arial" w:hAnsi="Arial" w:cs="Arial"/>
          <w:sz w:val="24"/>
          <w:szCs w:val="24"/>
        </w:rPr>
        <w:t xml:space="preserve">more alike the </w:t>
      </w:r>
      <w:r w:rsidRPr="009A3203">
        <w:rPr>
          <w:rFonts w:ascii="Arial" w:hAnsi="Arial" w:cs="Arial"/>
          <w:sz w:val="24"/>
          <w:szCs w:val="24"/>
        </w:rPr>
        <w:t xml:space="preserve">United States </w:t>
      </w:r>
      <w:r w:rsidR="00434D16">
        <w:rPr>
          <w:rFonts w:ascii="Arial" w:hAnsi="Arial" w:cs="Arial"/>
          <w:sz w:val="24"/>
          <w:szCs w:val="24"/>
        </w:rPr>
        <w:t>based on</w:t>
      </w:r>
      <w:r w:rsidR="00602680">
        <w:rPr>
          <w:rFonts w:ascii="Arial" w:hAnsi="Arial" w:cs="Arial"/>
          <w:sz w:val="24"/>
          <w:szCs w:val="24"/>
        </w:rPr>
        <w:t xml:space="preserve"> </w:t>
      </w:r>
      <w:r w:rsidR="00434D16">
        <w:rPr>
          <w:rFonts w:ascii="Arial" w:hAnsi="Arial" w:cs="Arial"/>
          <w:sz w:val="24"/>
          <w:szCs w:val="24"/>
        </w:rPr>
        <w:t xml:space="preserve">the </w:t>
      </w:r>
      <w:r w:rsidR="00602680">
        <w:rPr>
          <w:rFonts w:ascii="Arial" w:hAnsi="Arial" w:cs="Arial"/>
          <w:sz w:val="24"/>
          <w:szCs w:val="24"/>
        </w:rPr>
        <w:t xml:space="preserve">forming </w:t>
      </w:r>
      <w:r w:rsidR="00434D16">
        <w:rPr>
          <w:rFonts w:ascii="Arial" w:hAnsi="Arial" w:cs="Arial"/>
          <w:sz w:val="24"/>
          <w:szCs w:val="24"/>
        </w:rPr>
        <w:t>of a “</w:t>
      </w:r>
      <w:r w:rsidRPr="009A3203">
        <w:rPr>
          <w:rFonts w:ascii="Arial" w:hAnsi="Arial" w:cs="Arial"/>
          <w:sz w:val="24"/>
          <w:szCs w:val="24"/>
        </w:rPr>
        <w:t>compensation culture</w:t>
      </w:r>
      <w:r w:rsidR="00434D16">
        <w:rPr>
          <w:rFonts w:ascii="Arial" w:hAnsi="Arial" w:cs="Arial"/>
          <w:sz w:val="24"/>
          <w:szCs w:val="24"/>
        </w:rPr>
        <w:t>”</w:t>
      </w:r>
      <w:r w:rsidRPr="009A3203">
        <w:rPr>
          <w:rFonts w:ascii="Arial" w:hAnsi="Arial" w:cs="Arial"/>
          <w:sz w:val="24"/>
          <w:szCs w:val="24"/>
        </w:rPr>
        <w:t xml:space="preserve">. It is implied by a compensation culture that people file frivolous and unjustified </w:t>
      </w:r>
      <w:r w:rsidR="00602680">
        <w:rPr>
          <w:rFonts w:ascii="Arial" w:hAnsi="Arial" w:cs="Arial"/>
          <w:sz w:val="24"/>
          <w:szCs w:val="24"/>
        </w:rPr>
        <w:t>claims</w:t>
      </w:r>
      <w:r w:rsidRPr="009A3203">
        <w:rPr>
          <w:rFonts w:ascii="Arial" w:hAnsi="Arial" w:cs="Arial"/>
          <w:sz w:val="24"/>
          <w:szCs w:val="24"/>
        </w:rPr>
        <w:t xml:space="preserve"> </w:t>
      </w:r>
      <w:proofErr w:type="gramStart"/>
      <w:r w:rsidRPr="009A3203">
        <w:rPr>
          <w:rFonts w:ascii="Arial" w:hAnsi="Arial" w:cs="Arial"/>
          <w:sz w:val="24"/>
          <w:szCs w:val="24"/>
        </w:rPr>
        <w:t>in an effort to</w:t>
      </w:r>
      <w:proofErr w:type="gramEnd"/>
      <w:r w:rsidRPr="009A3203">
        <w:rPr>
          <w:rFonts w:ascii="Arial" w:hAnsi="Arial" w:cs="Arial"/>
          <w:sz w:val="24"/>
          <w:szCs w:val="24"/>
        </w:rPr>
        <w:t xml:space="preserve"> get </w:t>
      </w:r>
      <w:r w:rsidR="00602680">
        <w:rPr>
          <w:rFonts w:ascii="Arial" w:hAnsi="Arial" w:cs="Arial"/>
          <w:sz w:val="24"/>
          <w:szCs w:val="24"/>
        </w:rPr>
        <w:t>easy</w:t>
      </w:r>
      <w:r w:rsidRPr="009A3203">
        <w:rPr>
          <w:rFonts w:ascii="Arial" w:hAnsi="Arial" w:cs="Arial"/>
          <w:sz w:val="24"/>
          <w:szCs w:val="24"/>
        </w:rPr>
        <w:t xml:space="preserve"> money. People are standing up for their rights and getting better legal protection, therefore this can be considered as a good thing. Conversely, it could be interpreted as the law forcing people into untrustworthy relationships and fostering </w:t>
      </w:r>
      <w:r w:rsidR="000A74B6">
        <w:rPr>
          <w:rFonts w:ascii="Arial" w:hAnsi="Arial" w:cs="Arial"/>
          <w:sz w:val="24"/>
          <w:szCs w:val="24"/>
        </w:rPr>
        <w:t>confrontational</w:t>
      </w:r>
      <w:r w:rsidRPr="009A3203">
        <w:rPr>
          <w:rFonts w:ascii="Arial" w:hAnsi="Arial" w:cs="Arial"/>
          <w:sz w:val="24"/>
          <w:szCs w:val="24"/>
        </w:rPr>
        <w:t xml:space="preserve"> </w:t>
      </w:r>
      <w:r w:rsidR="000A74B6">
        <w:rPr>
          <w:rFonts w:ascii="Arial" w:hAnsi="Arial" w:cs="Arial"/>
          <w:sz w:val="24"/>
          <w:szCs w:val="24"/>
        </w:rPr>
        <w:t>communities</w:t>
      </w:r>
      <w:r w:rsidRPr="009A3203">
        <w:rPr>
          <w:rFonts w:ascii="Arial" w:hAnsi="Arial" w:cs="Arial"/>
          <w:sz w:val="24"/>
          <w:szCs w:val="24"/>
        </w:rPr>
        <w:t xml:space="preserve"> as a result</w:t>
      </w:r>
      <w:r w:rsidR="000A74B6">
        <w:rPr>
          <w:rFonts w:ascii="Arial" w:hAnsi="Arial" w:cs="Arial"/>
          <w:sz w:val="24"/>
          <w:szCs w:val="24"/>
        </w:rPr>
        <w:t xml:space="preserve"> (</w:t>
      </w:r>
      <w:r w:rsidR="000127E7">
        <w:rPr>
          <w:rFonts w:ascii="Arial" w:hAnsi="Arial" w:cs="Arial"/>
          <w:sz w:val="24"/>
          <w:szCs w:val="24"/>
        </w:rPr>
        <w:t xml:space="preserve">Elliott &amp; Quinn, </w:t>
      </w:r>
      <w:r w:rsidR="00AB035D">
        <w:rPr>
          <w:rFonts w:ascii="Arial" w:hAnsi="Arial" w:cs="Arial"/>
          <w:sz w:val="24"/>
          <w:szCs w:val="24"/>
        </w:rPr>
        <w:t xml:space="preserve">2014, p.561). This can in turn have an impact on society’s views on </w:t>
      </w:r>
      <w:r w:rsidR="003354A9">
        <w:rPr>
          <w:rFonts w:ascii="Arial" w:hAnsi="Arial" w:cs="Arial"/>
          <w:sz w:val="24"/>
          <w:szCs w:val="24"/>
        </w:rPr>
        <w:t xml:space="preserve">those who </w:t>
      </w:r>
      <w:r w:rsidR="00F71618">
        <w:rPr>
          <w:rFonts w:ascii="Arial" w:hAnsi="Arial" w:cs="Arial"/>
          <w:sz w:val="24"/>
          <w:szCs w:val="24"/>
        </w:rPr>
        <w:t>bring forward</w:t>
      </w:r>
      <w:r w:rsidR="003354A9">
        <w:rPr>
          <w:rFonts w:ascii="Arial" w:hAnsi="Arial" w:cs="Arial"/>
          <w:sz w:val="24"/>
          <w:szCs w:val="24"/>
        </w:rPr>
        <w:t xml:space="preserve"> claims under the Occupiers’ Liability Act</w:t>
      </w:r>
      <w:r w:rsidR="00F71618">
        <w:rPr>
          <w:rFonts w:ascii="Arial" w:hAnsi="Arial" w:cs="Arial"/>
          <w:sz w:val="24"/>
          <w:szCs w:val="24"/>
        </w:rPr>
        <w:t xml:space="preserve">s. </w:t>
      </w:r>
    </w:p>
    <w:p w14:paraId="384B5785" w14:textId="52BAEE33" w:rsidR="000A5D4E" w:rsidRDefault="00BA5F19" w:rsidP="00365169">
      <w:pPr>
        <w:rPr>
          <w:rFonts w:ascii="Arial" w:hAnsi="Arial" w:cs="Arial"/>
          <w:sz w:val="24"/>
          <w:szCs w:val="24"/>
        </w:rPr>
      </w:pPr>
      <w:r w:rsidRPr="00BA5F19">
        <w:rPr>
          <w:rFonts w:ascii="Arial" w:hAnsi="Arial" w:cs="Arial"/>
          <w:sz w:val="24"/>
          <w:szCs w:val="24"/>
        </w:rPr>
        <w:t xml:space="preserve">Reforming occupiers' liability laws in England and Wales is a multifaceted </w:t>
      </w:r>
      <w:r w:rsidR="005C7202" w:rsidRPr="00BA5F19">
        <w:rPr>
          <w:rFonts w:ascii="Arial" w:hAnsi="Arial" w:cs="Arial"/>
          <w:sz w:val="24"/>
          <w:szCs w:val="24"/>
        </w:rPr>
        <w:t>endeavour</w:t>
      </w:r>
      <w:r w:rsidRPr="00BA5F19">
        <w:rPr>
          <w:rFonts w:ascii="Arial" w:hAnsi="Arial" w:cs="Arial"/>
          <w:sz w:val="24"/>
          <w:szCs w:val="24"/>
        </w:rPr>
        <w:t xml:space="preserve"> that seeks to strike a balance between the rights and responsibilities of property owners and visitors</w:t>
      </w:r>
      <w:r w:rsidR="005C7202">
        <w:rPr>
          <w:rFonts w:ascii="Arial" w:hAnsi="Arial" w:cs="Arial"/>
          <w:sz w:val="24"/>
          <w:szCs w:val="24"/>
        </w:rPr>
        <w:t xml:space="preserve"> alike</w:t>
      </w:r>
      <w:r w:rsidRPr="00BA5F19">
        <w:rPr>
          <w:rFonts w:ascii="Arial" w:hAnsi="Arial" w:cs="Arial"/>
          <w:sz w:val="24"/>
          <w:szCs w:val="24"/>
        </w:rPr>
        <w:t>. Key reform suggestions include clarifying the duty of care with more specific guidelines for different visitor statuses</w:t>
      </w:r>
      <w:r w:rsidR="001C4FEA">
        <w:rPr>
          <w:rFonts w:ascii="Arial" w:hAnsi="Arial" w:cs="Arial"/>
          <w:sz w:val="24"/>
          <w:szCs w:val="24"/>
        </w:rPr>
        <w:t xml:space="preserve"> and enhancing public awareness and education in the matter, which would in turn provide</w:t>
      </w:r>
      <w:r w:rsidR="00356B1B">
        <w:rPr>
          <w:rFonts w:ascii="Arial" w:hAnsi="Arial" w:cs="Arial"/>
          <w:sz w:val="24"/>
          <w:szCs w:val="24"/>
        </w:rPr>
        <w:t xml:space="preserve"> both parties with more confidenc</w:t>
      </w:r>
      <w:r w:rsidR="00B53A06">
        <w:rPr>
          <w:rFonts w:ascii="Arial" w:hAnsi="Arial" w:cs="Arial"/>
          <w:sz w:val="24"/>
          <w:szCs w:val="24"/>
        </w:rPr>
        <w:t>e and assurance in the law, as well as creating</w:t>
      </w:r>
      <w:r w:rsidR="001C4FEA">
        <w:rPr>
          <w:rFonts w:ascii="Arial" w:hAnsi="Arial" w:cs="Arial"/>
          <w:sz w:val="24"/>
          <w:szCs w:val="24"/>
        </w:rPr>
        <w:t xml:space="preserve"> a safer </w:t>
      </w:r>
      <w:r w:rsidR="0075225F">
        <w:rPr>
          <w:rFonts w:ascii="Arial" w:hAnsi="Arial" w:cs="Arial"/>
          <w:sz w:val="24"/>
          <w:szCs w:val="24"/>
        </w:rPr>
        <w:t xml:space="preserve">society </w:t>
      </w:r>
      <w:r w:rsidR="00C36538">
        <w:rPr>
          <w:rFonts w:ascii="Arial" w:hAnsi="Arial" w:cs="Arial"/>
          <w:sz w:val="24"/>
          <w:szCs w:val="24"/>
        </w:rPr>
        <w:t xml:space="preserve">(Law Commission, 1976, p.7). </w:t>
      </w:r>
      <w:r w:rsidR="003B44A3">
        <w:rPr>
          <w:rFonts w:ascii="Arial" w:hAnsi="Arial" w:cs="Arial"/>
          <w:sz w:val="24"/>
          <w:szCs w:val="24"/>
        </w:rPr>
        <w:t xml:space="preserve">An </w:t>
      </w:r>
      <w:r w:rsidR="00F02973">
        <w:rPr>
          <w:rFonts w:ascii="Arial" w:hAnsi="Arial" w:cs="Arial"/>
          <w:sz w:val="24"/>
          <w:szCs w:val="24"/>
        </w:rPr>
        <w:t>additional</w:t>
      </w:r>
      <w:r w:rsidR="003B44A3">
        <w:rPr>
          <w:rFonts w:ascii="Arial" w:hAnsi="Arial" w:cs="Arial"/>
          <w:sz w:val="24"/>
          <w:szCs w:val="24"/>
        </w:rPr>
        <w:t xml:space="preserve"> suggestion would be </w:t>
      </w:r>
      <w:r w:rsidR="00F02973">
        <w:rPr>
          <w:rFonts w:ascii="Arial" w:hAnsi="Arial" w:cs="Arial"/>
          <w:sz w:val="24"/>
          <w:szCs w:val="24"/>
        </w:rPr>
        <w:t>to encourage</w:t>
      </w:r>
      <w:r w:rsidRPr="00BA5F19">
        <w:rPr>
          <w:rFonts w:ascii="Arial" w:hAnsi="Arial" w:cs="Arial"/>
          <w:sz w:val="24"/>
          <w:szCs w:val="24"/>
        </w:rPr>
        <w:t xml:space="preserve"> the use of alternative dispute resolution mechanisms</w:t>
      </w:r>
      <w:r w:rsidR="00745F81">
        <w:rPr>
          <w:rFonts w:ascii="Arial" w:hAnsi="Arial" w:cs="Arial"/>
          <w:sz w:val="24"/>
          <w:szCs w:val="24"/>
        </w:rPr>
        <w:t>, such as mediation</w:t>
      </w:r>
      <w:r w:rsidR="009240F8">
        <w:rPr>
          <w:rFonts w:ascii="Arial" w:hAnsi="Arial" w:cs="Arial"/>
          <w:sz w:val="24"/>
          <w:szCs w:val="24"/>
        </w:rPr>
        <w:t xml:space="preserve">, which can be less formal, </w:t>
      </w:r>
      <w:proofErr w:type="gramStart"/>
      <w:r w:rsidR="009240F8">
        <w:rPr>
          <w:rFonts w:ascii="Arial" w:hAnsi="Arial" w:cs="Arial"/>
          <w:sz w:val="24"/>
          <w:szCs w:val="24"/>
        </w:rPr>
        <w:t>faster</w:t>
      </w:r>
      <w:proofErr w:type="gramEnd"/>
      <w:r w:rsidR="009240F8">
        <w:rPr>
          <w:rFonts w:ascii="Arial" w:hAnsi="Arial" w:cs="Arial"/>
          <w:sz w:val="24"/>
          <w:szCs w:val="24"/>
        </w:rPr>
        <w:t xml:space="preserve"> and more collaborative than litigation</w:t>
      </w:r>
      <w:r w:rsidR="000C218D">
        <w:rPr>
          <w:rFonts w:ascii="Arial" w:hAnsi="Arial" w:cs="Arial"/>
          <w:sz w:val="24"/>
          <w:szCs w:val="24"/>
        </w:rPr>
        <w:t xml:space="preserve"> (Ministry of Justice, 2021)</w:t>
      </w:r>
      <w:r w:rsidRPr="00BA5F19">
        <w:rPr>
          <w:rFonts w:ascii="Arial" w:hAnsi="Arial" w:cs="Arial"/>
          <w:sz w:val="24"/>
          <w:szCs w:val="24"/>
        </w:rPr>
        <w:t>. These reforms aim to moderni</w:t>
      </w:r>
      <w:r w:rsidR="00E85B64">
        <w:rPr>
          <w:rFonts w:ascii="Arial" w:hAnsi="Arial" w:cs="Arial"/>
          <w:sz w:val="24"/>
          <w:szCs w:val="24"/>
        </w:rPr>
        <w:t>s</w:t>
      </w:r>
      <w:r w:rsidRPr="00BA5F19">
        <w:rPr>
          <w:rFonts w:ascii="Arial" w:hAnsi="Arial" w:cs="Arial"/>
          <w:sz w:val="24"/>
          <w:szCs w:val="24"/>
        </w:rPr>
        <w:t>e and adapt the legal framework to evolving societal needs and provide clarity, fairness, and protection for all parties involved. Regular review and adaptation of these laws should be a fundamental part of any reform effort to ensure their continued relevance and effectiveness in safeguarding the rights and well-being of occupiers and visitors</w:t>
      </w:r>
      <w:r w:rsidR="00F03AE4">
        <w:rPr>
          <w:rFonts w:ascii="Arial" w:hAnsi="Arial" w:cs="Arial"/>
          <w:sz w:val="24"/>
          <w:szCs w:val="24"/>
        </w:rPr>
        <w:t>, as well as trespassers in relevant circumstances</w:t>
      </w:r>
      <w:r w:rsidRPr="00BA5F19">
        <w:rPr>
          <w:rFonts w:ascii="Arial" w:hAnsi="Arial" w:cs="Arial"/>
          <w:sz w:val="24"/>
          <w:szCs w:val="24"/>
        </w:rPr>
        <w:t>.</w:t>
      </w:r>
    </w:p>
    <w:p w14:paraId="61ACEED5" w14:textId="72A414E7" w:rsidR="00356CD1" w:rsidRPr="00365169" w:rsidRDefault="00356CD1" w:rsidP="00365169">
      <w:pPr>
        <w:rPr>
          <w:rFonts w:ascii="Arial" w:hAnsi="Arial" w:cs="Arial"/>
          <w:sz w:val="24"/>
          <w:szCs w:val="24"/>
        </w:rPr>
      </w:pPr>
      <w:r>
        <w:rPr>
          <w:rFonts w:ascii="Arial" w:hAnsi="Arial" w:cs="Arial"/>
          <w:sz w:val="24"/>
          <w:szCs w:val="24"/>
        </w:rPr>
        <w:t>T</w:t>
      </w:r>
      <w:r w:rsidRPr="00356CD1">
        <w:rPr>
          <w:rFonts w:ascii="Arial" w:hAnsi="Arial" w:cs="Arial"/>
          <w:sz w:val="24"/>
          <w:szCs w:val="24"/>
        </w:rPr>
        <w:t>he notion that occupiers are always liable for accidents that occur on their property oversimplifies the intricacies of occupiers' liability laws in England and Wales. While occupiers do have a duty of care towards visitors</w:t>
      </w:r>
      <w:r w:rsidR="000063BB">
        <w:rPr>
          <w:rFonts w:ascii="Arial" w:hAnsi="Arial" w:cs="Arial"/>
          <w:sz w:val="24"/>
          <w:szCs w:val="24"/>
        </w:rPr>
        <w:t xml:space="preserve"> as well as trespassers</w:t>
      </w:r>
      <w:r w:rsidRPr="00356CD1">
        <w:rPr>
          <w:rFonts w:ascii="Arial" w:hAnsi="Arial" w:cs="Arial"/>
          <w:sz w:val="24"/>
          <w:szCs w:val="24"/>
        </w:rPr>
        <w:t>, the extent of that duty varies based on the visitor's status and the circumstances of the visit</w:t>
      </w:r>
      <w:r w:rsidR="000063BB">
        <w:rPr>
          <w:rFonts w:ascii="Arial" w:hAnsi="Arial" w:cs="Arial"/>
          <w:sz w:val="24"/>
          <w:szCs w:val="24"/>
        </w:rPr>
        <w:t xml:space="preserve">, and </w:t>
      </w:r>
      <w:proofErr w:type="gramStart"/>
      <w:r w:rsidR="000063BB">
        <w:rPr>
          <w:rFonts w:ascii="Arial" w:hAnsi="Arial" w:cs="Arial"/>
          <w:sz w:val="24"/>
          <w:szCs w:val="24"/>
        </w:rPr>
        <w:t>whether or not</w:t>
      </w:r>
      <w:proofErr w:type="gramEnd"/>
      <w:r w:rsidR="000063BB">
        <w:rPr>
          <w:rFonts w:ascii="Arial" w:hAnsi="Arial" w:cs="Arial"/>
          <w:sz w:val="24"/>
          <w:szCs w:val="24"/>
        </w:rPr>
        <w:t xml:space="preserve"> </w:t>
      </w:r>
      <w:r w:rsidR="00A13EFE">
        <w:rPr>
          <w:rFonts w:ascii="Arial" w:hAnsi="Arial" w:cs="Arial"/>
          <w:sz w:val="24"/>
          <w:szCs w:val="24"/>
        </w:rPr>
        <w:t>a risk is foreseeable.</w:t>
      </w:r>
      <w:r w:rsidRPr="00356CD1">
        <w:rPr>
          <w:rFonts w:ascii="Arial" w:hAnsi="Arial" w:cs="Arial"/>
          <w:sz w:val="24"/>
          <w:szCs w:val="24"/>
        </w:rPr>
        <w:t xml:space="preserve"> The key principle of foreseeability guides the application of these laws, ensuring that occupiers take steps to address foreseeable risks. However, liability is not automatic, and the visitor's own actions and the circumstances of the accident also play a significant role. Occupiers' liability laws are designed to strike a balance between the rights and responsibilities of </w:t>
      </w:r>
      <w:r w:rsidRPr="00356CD1">
        <w:rPr>
          <w:rFonts w:ascii="Arial" w:hAnsi="Arial" w:cs="Arial"/>
          <w:sz w:val="24"/>
          <w:szCs w:val="24"/>
        </w:rPr>
        <w:lastRenderedPageBreak/>
        <w:t>property owners and visitors, promoting safety while acknowledging the realities of accidents and personal responsibility. It is crucial to approach occupiers' liability cases with a nuanced understanding of the law and the specific circumstances involved to ensure fair and just outcomes.</w:t>
      </w:r>
      <w:r w:rsidR="00564970">
        <w:rPr>
          <w:rFonts w:ascii="Arial" w:hAnsi="Arial" w:cs="Arial"/>
          <w:sz w:val="24"/>
          <w:szCs w:val="24"/>
        </w:rPr>
        <w:t xml:space="preserve"> Therefore, i</w:t>
      </w:r>
      <w:r w:rsidRPr="00365169">
        <w:rPr>
          <w:rFonts w:ascii="Arial" w:hAnsi="Arial" w:cs="Arial"/>
          <w:sz w:val="24"/>
          <w:szCs w:val="24"/>
        </w:rPr>
        <w:t>n England and Wales, occupiers are not always liable for accidents on their property. Liability depends on various factors, including whether the injured party was a lawful visitor or a trespasser, the nature of the danger, the occupier's awareness of the danger, and whether the visitor willingly accepted the risk. The Occupiers' Liability Acts 1957 and 1984 provide a legal framework for determining liability, and courts consider the specific circumstances of each case. The law seeks to strike a balance between the duty of care owed by occupiers and the reasonable expectations of visitors and trespassers.</w:t>
      </w:r>
    </w:p>
    <w:p w14:paraId="3958E520" w14:textId="77777777" w:rsidR="00E73DDF" w:rsidRDefault="00E73DDF">
      <w:pPr>
        <w:rPr>
          <w:rFonts w:ascii="Arial" w:hAnsi="Arial" w:cs="Arial"/>
          <w:sz w:val="24"/>
          <w:szCs w:val="24"/>
        </w:rPr>
      </w:pPr>
    </w:p>
    <w:p w14:paraId="071212CF" w14:textId="77777777" w:rsidR="00F91689" w:rsidRDefault="00F91689">
      <w:pPr>
        <w:rPr>
          <w:rFonts w:ascii="Arial" w:hAnsi="Arial" w:cs="Arial"/>
          <w:sz w:val="24"/>
          <w:szCs w:val="24"/>
        </w:rPr>
      </w:pPr>
    </w:p>
    <w:p w14:paraId="62FB6BF3" w14:textId="77777777" w:rsidR="00B96B7A" w:rsidRDefault="00B96B7A" w:rsidP="00A04D7E">
      <w:pPr>
        <w:jc w:val="center"/>
        <w:rPr>
          <w:rFonts w:ascii="Arial" w:hAnsi="Arial" w:cs="Arial"/>
          <w:sz w:val="24"/>
          <w:szCs w:val="24"/>
        </w:rPr>
      </w:pPr>
    </w:p>
    <w:p w14:paraId="7A09FE50" w14:textId="77777777" w:rsidR="00B96B7A" w:rsidRDefault="00B96B7A" w:rsidP="00A04D7E">
      <w:pPr>
        <w:jc w:val="center"/>
        <w:rPr>
          <w:rFonts w:ascii="Arial" w:hAnsi="Arial" w:cs="Arial"/>
          <w:sz w:val="24"/>
          <w:szCs w:val="24"/>
        </w:rPr>
      </w:pPr>
    </w:p>
    <w:p w14:paraId="5B7C4BDE" w14:textId="77777777" w:rsidR="00B96B7A" w:rsidRDefault="00B96B7A" w:rsidP="00A04D7E">
      <w:pPr>
        <w:jc w:val="center"/>
        <w:rPr>
          <w:rFonts w:ascii="Arial" w:hAnsi="Arial" w:cs="Arial"/>
          <w:sz w:val="24"/>
          <w:szCs w:val="24"/>
        </w:rPr>
      </w:pPr>
    </w:p>
    <w:p w14:paraId="624FBECD" w14:textId="77777777" w:rsidR="00B96B7A" w:rsidRDefault="00B96B7A" w:rsidP="00A04D7E">
      <w:pPr>
        <w:jc w:val="center"/>
        <w:rPr>
          <w:rFonts w:ascii="Arial" w:hAnsi="Arial" w:cs="Arial"/>
          <w:sz w:val="24"/>
          <w:szCs w:val="24"/>
        </w:rPr>
      </w:pPr>
    </w:p>
    <w:p w14:paraId="473B1B8A" w14:textId="77777777" w:rsidR="00B96B7A" w:rsidRDefault="00B96B7A" w:rsidP="00A04D7E">
      <w:pPr>
        <w:jc w:val="center"/>
        <w:rPr>
          <w:rFonts w:ascii="Arial" w:hAnsi="Arial" w:cs="Arial"/>
          <w:sz w:val="24"/>
          <w:szCs w:val="24"/>
        </w:rPr>
      </w:pPr>
    </w:p>
    <w:p w14:paraId="266258E3" w14:textId="77777777" w:rsidR="00B96B7A" w:rsidRDefault="00B96B7A" w:rsidP="00A04D7E">
      <w:pPr>
        <w:jc w:val="center"/>
        <w:rPr>
          <w:rFonts w:ascii="Arial" w:hAnsi="Arial" w:cs="Arial"/>
          <w:sz w:val="24"/>
          <w:szCs w:val="24"/>
        </w:rPr>
      </w:pPr>
    </w:p>
    <w:p w14:paraId="561A01D1" w14:textId="77777777" w:rsidR="00B96B7A" w:rsidRDefault="00B96B7A" w:rsidP="00A04D7E">
      <w:pPr>
        <w:jc w:val="center"/>
        <w:rPr>
          <w:rFonts w:ascii="Arial" w:hAnsi="Arial" w:cs="Arial"/>
          <w:sz w:val="24"/>
          <w:szCs w:val="24"/>
        </w:rPr>
      </w:pPr>
    </w:p>
    <w:p w14:paraId="1793F84A" w14:textId="77777777" w:rsidR="00B96B7A" w:rsidRDefault="00B96B7A" w:rsidP="00A04D7E">
      <w:pPr>
        <w:jc w:val="center"/>
        <w:rPr>
          <w:rFonts w:ascii="Arial" w:hAnsi="Arial" w:cs="Arial"/>
          <w:sz w:val="24"/>
          <w:szCs w:val="24"/>
        </w:rPr>
      </w:pPr>
    </w:p>
    <w:p w14:paraId="4387FA87" w14:textId="77777777" w:rsidR="00B96B7A" w:rsidRDefault="00B96B7A" w:rsidP="00A04D7E">
      <w:pPr>
        <w:jc w:val="center"/>
        <w:rPr>
          <w:rFonts w:ascii="Arial" w:hAnsi="Arial" w:cs="Arial"/>
          <w:sz w:val="24"/>
          <w:szCs w:val="24"/>
        </w:rPr>
      </w:pPr>
    </w:p>
    <w:p w14:paraId="4BA05EE1" w14:textId="77777777" w:rsidR="00B96B7A" w:rsidRDefault="00B96B7A" w:rsidP="00A04D7E">
      <w:pPr>
        <w:jc w:val="center"/>
        <w:rPr>
          <w:rFonts w:ascii="Arial" w:hAnsi="Arial" w:cs="Arial"/>
          <w:sz w:val="24"/>
          <w:szCs w:val="24"/>
        </w:rPr>
      </w:pPr>
    </w:p>
    <w:p w14:paraId="4FB21A1B" w14:textId="77777777" w:rsidR="00B96B7A" w:rsidRDefault="00B96B7A" w:rsidP="00A04D7E">
      <w:pPr>
        <w:jc w:val="center"/>
        <w:rPr>
          <w:rFonts w:ascii="Arial" w:hAnsi="Arial" w:cs="Arial"/>
          <w:sz w:val="24"/>
          <w:szCs w:val="24"/>
        </w:rPr>
      </w:pPr>
    </w:p>
    <w:p w14:paraId="6912C42E" w14:textId="77777777" w:rsidR="00B96B7A" w:rsidRDefault="00B96B7A" w:rsidP="00A04D7E">
      <w:pPr>
        <w:jc w:val="center"/>
        <w:rPr>
          <w:rFonts w:ascii="Arial" w:hAnsi="Arial" w:cs="Arial"/>
          <w:sz w:val="24"/>
          <w:szCs w:val="24"/>
        </w:rPr>
      </w:pPr>
    </w:p>
    <w:p w14:paraId="79E5AF5E" w14:textId="77777777" w:rsidR="00B96B7A" w:rsidRDefault="00B96B7A" w:rsidP="00A04D7E">
      <w:pPr>
        <w:jc w:val="center"/>
        <w:rPr>
          <w:rFonts w:ascii="Arial" w:hAnsi="Arial" w:cs="Arial"/>
          <w:sz w:val="24"/>
          <w:szCs w:val="24"/>
        </w:rPr>
      </w:pPr>
    </w:p>
    <w:p w14:paraId="52C167CD" w14:textId="77777777" w:rsidR="00B96B7A" w:rsidRDefault="00B96B7A" w:rsidP="00A04D7E">
      <w:pPr>
        <w:jc w:val="center"/>
        <w:rPr>
          <w:rFonts w:ascii="Arial" w:hAnsi="Arial" w:cs="Arial"/>
          <w:sz w:val="24"/>
          <w:szCs w:val="24"/>
        </w:rPr>
      </w:pPr>
    </w:p>
    <w:p w14:paraId="01FECB13" w14:textId="77777777" w:rsidR="00D31AC4" w:rsidRDefault="00D31AC4" w:rsidP="00A04D7E">
      <w:pPr>
        <w:jc w:val="center"/>
        <w:rPr>
          <w:rFonts w:ascii="Arial" w:hAnsi="Arial" w:cs="Arial"/>
          <w:sz w:val="24"/>
          <w:szCs w:val="24"/>
        </w:rPr>
      </w:pPr>
    </w:p>
    <w:p w14:paraId="61950CFA" w14:textId="77777777" w:rsidR="00D31AC4" w:rsidRDefault="00D31AC4" w:rsidP="00A04D7E">
      <w:pPr>
        <w:jc w:val="center"/>
        <w:rPr>
          <w:rFonts w:ascii="Arial" w:hAnsi="Arial" w:cs="Arial"/>
          <w:sz w:val="24"/>
          <w:szCs w:val="24"/>
        </w:rPr>
      </w:pPr>
    </w:p>
    <w:p w14:paraId="150C4912" w14:textId="77777777" w:rsidR="00D31AC4" w:rsidRDefault="00D31AC4" w:rsidP="00A04D7E">
      <w:pPr>
        <w:jc w:val="center"/>
        <w:rPr>
          <w:rFonts w:ascii="Arial" w:hAnsi="Arial" w:cs="Arial"/>
          <w:sz w:val="24"/>
          <w:szCs w:val="24"/>
        </w:rPr>
      </w:pPr>
    </w:p>
    <w:p w14:paraId="4B0E4AB3" w14:textId="77777777" w:rsidR="00D31AC4" w:rsidRDefault="00D31AC4" w:rsidP="00A04D7E">
      <w:pPr>
        <w:jc w:val="center"/>
        <w:rPr>
          <w:rFonts w:ascii="Arial" w:hAnsi="Arial" w:cs="Arial"/>
          <w:sz w:val="24"/>
          <w:szCs w:val="24"/>
        </w:rPr>
      </w:pPr>
    </w:p>
    <w:p w14:paraId="0C5013F4" w14:textId="77777777" w:rsidR="00D31AC4" w:rsidRDefault="00D31AC4" w:rsidP="00A04D7E">
      <w:pPr>
        <w:jc w:val="center"/>
        <w:rPr>
          <w:rFonts w:ascii="Arial" w:hAnsi="Arial" w:cs="Arial"/>
          <w:sz w:val="24"/>
          <w:szCs w:val="24"/>
        </w:rPr>
      </w:pPr>
    </w:p>
    <w:p w14:paraId="61D8B6CC" w14:textId="77777777" w:rsidR="004B242E" w:rsidRDefault="004B242E" w:rsidP="004B242E">
      <w:pPr>
        <w:rPr>
          <w:rFonts w:ascii="Arial" w:hAnsi="Arial" w:cs="Arial"/>
          <w:sz w:val="24"/>
          <w:szCs w:val="24"/>
        </w:rPr>
      </w:pPr>
    </w:p>
    <w:p w14:paraId="4B2BA900" w14:textId="2B4DC704" w:rsidR="00F91689" w:rsidRDefault="00F91689" w:rsidP="004B242E">
      <w:pPr>
        <w:jc w:val="center"/>
        <w:rPr>
          <w:rFonts w:ascii="Arial" w:hAnsi="Arial" w:cs="Arial"/>
          <w:sz w:val="24"/>
          <w:szCs w:val="24"/>
        </w:rPr>
      </w:pPr>
      <w:r>
        <w:rPr>
          <w:rFonts w:ascii="Arial" w:hAnsi="Arial" w:cs="Arial"/>
          <w:sz w:val="24"/>
          <w:szCs w:val="24"/>
        </w:rPr>
        <w:lastRenderedPageBreak/>
        <w:t>References</w:t>
      </w:r>
    </w:p>
    <w:p w14:paraId="19D16240" w14:textId="77777777" w:rsidR="004B242E" w:rsidRDefault="004B242E" w:rsidP="004B242E">
      <w:pPr>
        <w:rPr>
          <w:rFonts w:ascii="Arial" w:hAnsi="Arial" w:cs="Arial"/>
          <w:sz w:val="24"/>
          <w:szCs w:val="24"/>
        </w:rPr>
      </w:pPr>
      <w:r>
        <w:rPr>
          <w:rFonts w:ascii="Arial" w:hAnsi="Arial" w:cs="Arial"/>
          <w:sz w:val="24"/>
          <w:szCs w:val="24"/>
        </w:rPr>
        <w:t>‘</w:t>
      </w:r>
      <w:r w:rsidRPr="00FA6360">
        <w:rPr>
          <w:rFonts w:ascii="Arial" w:hAnsi="Arial" w:cs="Arial"/>
          <w:sz w:val="24"/>
          <w:szCs w:val="24"/>
        </w:rPr>
        <w:t>British Railways Board v Herrington</w:t>
      </w:r>
      <w:r>
        <w:rPr>
          <w:rFonts w:ascii="Arial" w:hAnsi="Arial" w:cs="Arial"/>
          <w:sz w:val="24"/>
          <w:szCs w:val="24"/>
        </w:rPr>
        <w:t xml:space="preserve">’ (1972) </w:t>
      </w:r>
      <w:r w:rsidRPr="00FA6360">
        <w:rPr>
          <w:rFonts w:ascii="Arial" w:hAnsi="Arial" w:cs="Arial"/>
          <w:i/>
          <w:iCs/>
          <w:sz w:val="24"/>
          <w:szCs w:val="24"/>
        </w:rPr>
        <w:t>All England Law Reports</w:t>
      </w:r>
      <w:r>
        <w:rPr>
          <w:rFonts w:ascii="Arial" w:hAnsi="Arial" w:cs="Arial"/>
          <w:i/>
          <w:iCs/>
          <w:sz w:val="24"/>
          <w:szCs w:val="24"/>
        </w:rPr>
        <w:t>,</w:t>
      </w:r>
      <w:r w:rsidRPr="00182005">
        <w:rPr>
          <w:rFonts w:ascii="Arial" w:hAnsi="Arial" w:cs="Arial"/>
          <w:sz w:val="24"/>
          <w:szCs w:val="24"/>
        </w:rPr>
        <w:t xml:space="preserve"> All ER, 1, p.749. Available at:</w:t>
      </w:r>
      <w:r>
        <w:rPr>
          <w:rFonts w:ascii="Arial" w:hAnsi="Arial" w:cs="Arial"/>
          <w:sz w:val="24"/>
          <w:szCs w:val="24"/>
        </w:rPr>
        <w:t xml:space="preserve"> </w:t>
      </w:r>
      <w:hyperlink r:id="rId8" w:history="1">
        <w:r w:rsidRPr="00C14F6D">
          <w:rPr>
            <w:rStyle w:val="Hyperlink"/>
            <w:rFonts w:ascii="Arial" w:hAnsi="Arial" w:cs="Arial"/>
            <w:sz w:val="24"/>
            <w:szCs w:val="24"/>
          </w:rPr>
          <w:t>https://plus-lexis-com.ezproxy.uwtsd.ac.uk/uk/cases-uk/british-railways-board-v-herrington-1972-1?crid=45aecb09-6d37-4866-adb7-edf22996b134&amp;pdproductcontenttypeid=urn:pct:285&amp;pdiskwicview=false&amp;pdpinpoint=</w:t>
        </w:r>
      </w:hyperlink>
      <w:r>
        <w:rPr>
          <w:rFonts w:ascii="Arial" w:hAnsi="Arial" w:cs="Arial"/>
          <w:sz w:val="24"/>
          <w:szCs w:val="24"/>
        </w:rPr>
        <w:t xml:space="preserve"> (Accessed: 08 November 2023). </w:t>
      </w:r>
    </w:p>
    <w:p w14:paraId="1CF0374F" w14:textId="77777777" w:rsidR="004B242E" w:rsidRDefault="004B242E" w:rsidP="004B242E">
      <w:pPr>
        <w:rPr>
          <w:rFonts w:ascii="Arial" w:hAnsi="Arial" w:cs="Arial"/>
          <w:sz w:val="24"/>
          <w:szCs w:val="24"/>
        </w:rPr>
      </w:pPr>
      <w:r>
        <w:rPr>
          <w:rFonts w:ascii="Arial" w:hAnsi="Arial" w:cs="Arial"/>
          <w:sz w:val="24"/>
          <w:szCs w:val="24"/>
        </w:rPr>
        <w:t xml:space="preserve">Cooke, J. (2019) </w:t>
      </w:r>
      <w:r w:rsidRPr="00F91689">
        <w:rPr>
          <w:rFonts w:ascii="Arial" w:hAnsi="Arial" w:cs="Arial"/>
          <w:i/>
          <w:iCs/>
          <w:sz w:val="24"/>
          <w:szCs w:val="24"/>
        </w:rPr>
        <w:t>Law of Tort</w:t>
      </w:r>
      <w:r>
        <w:rPr>
          <w:rFonts w:ascii="Arial" w:hAnsi="Arial" w:cs="Arial"/>
          <w:sz w:val="24"/>
          <w:szCs w:val="24"/>
        </w:rPr>
        <w:t xml:space="preserve">. Harlow: Pearson Education Limited. </w:t>
      </w:r>
    </w:p>
    <w:p w14:paraId="02554893" w14:textId="77777777" w:rsidR="004B242E" w:rsidRPr="00282B81" w:rsidRDefault="004B242E" w:rsidP="004B242E">
      <w:pPr>
        <w:rPr>
          <w:rFonts w:ascii="Arial" w:hAnsi="Arial" w:cs="Arial"/>
          <w:sz w:val="24"/>
          <w:szCs w:val="24"/>
        </w:rPr>
      </w:pPr>
      <w:r>
        <w:rPr>
          <w:rFonts w:ascii="Arial" w:hAnsi="Arial" w:cs="Arial"/>
          <w:sz w:val="24"/>
          <w:szCs w:val="24"/>
        </w:rPr>
        <w:t xml:space="preserve">Elliott, C., Quinn, F. (2014) </w:t>
      </w:r>
      <w:r w:rsidRPr="00506374">
        <w:rPr>
          <w:rFonts w:ascii="Arial" w:hAnsi="Arial" w:cs="Arial"/>
          <w:i/>
          <w:iCs/>
          <w:sz w:val="24"/>
          <w:szCs w:val="24"/>
        </w:rPr>
        <w:t>English Legal System.</w:t>
      </w:r>
      <w:r>
        <w:rPr>
          <w:rFonts w:ascii="Arial" w:hAnsi="Arial" w:cs="Arial"/>
          <w:sz w:val="24"/>
          <w:szCs w:val="24"/>
        </w:rPr>
        <w:t xml:space="preserve"> 15</w:t>
      </w:r>
      <w:r w:rsidRPr="00506374">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Edinburgh: Pearson Education Limited. </w:t>
      </w:r>
    </w:p>
    <w:p w14:paraId="06A3148C" w14:textId="77777777" w:rsidR="004B242E" w:rsidRDefault="004B242E" w:rsidP="004B242E">
      <w:pPr>
        <w:rPr>
          <w:rFonts w:ascii="Arial" w:hAnsi="Arial" w:cs="Arial"/>
          <w:sz w:val="24"/>
          <w:szCs w:val="24"/>
        </w:rPr>
      </w:pPr>
      <w:r>
        <w:rPr>
          <w:rFonts w:ascii="Arial" w:hAnsi="Arial" w:cs="Arial"/>
          <w:sz w:val="24"/>
          <w:szCs w:val="24"/>
        </w:rPr>
        <w:t xml:space="preserve">Horsey, K., Rackley, E. (2013) </w:t>
      </w:r>
      <w:r w:rsidRPr="006C4ABA">
        <w:rPr>
          <w:rFonts w:ascii="Arial" w:hAnsi="Arial" w:cs="Arial"/>
          <w:i/>
          <w:iCs/>
          <w:sz w:val="24"/>
          <w:szCs w:val="24"/>
        </w:rPr>
        <w:t>Tort Law.</w:t>
      </w:r>
      <w:r>
        <w:rPr>
          <w:rFonts w:ascii="Arial" w:hAnsi="Arial" w:cs="Arial"/>
          <w:sz w:val="24"/>
          <w:szCs w:val="24"/>
        </w:rPr>
        <w:t xml:space="preserve"> 3</w:t>
      </w:r>
      <w:r w:rsidRPr="006C4ABA">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Oxford: University Press. </w:t>
      </w:r>
    </w:p>
    <w:p w14:paraId="293E6F76" w14:textId="77777777" w:rsidR="004B242E" w:rsidRDefault="004B242E" w:rsidP="004B242E">
      <w:pPr>
        <w:rPr>
          <w:rFonts w:ascii="Arial" w:hAnsi="Arial" w:cs="Arial"/>
          <w:sz w:val="24"/>
          <w:szCs w:val="24"/>
        </w:rPr>
      </w:pPr>
      <w:r>
        <w:rPr>
          <w:rFonts w:ascii="Arial" w:hAnsi="Arial" w:cs="Arial"/>
          <w:sz w:val="24"/>
          <w:szCs w:val="24"/>
        </w:rPr>
        <w:t xml:space="preserve">Law Commission (1976) </w:t>
      </w:r>
      <w:r w:rsidRPr="000857BE">
        <w:rPr>
          <w:rFonts w:ascii="Arial" w:hAnsi="Arial" w:cs="Arial"/>
          <w:i/>
          <w:iCs/>
          <w:sz w:val="24"/>
          <w:szCs w:val="24"/>
        </w:rPr>
        <w:t>Report on Liability for Damage or Injury to Trespassers and Related Questions of Occupiers’ Liability</w:t>
      </w:r>
      <w:r>
        <w:rPr>
          <w:rFonts w:ascii="Arial" w:hAnsi="Arial" w:cs="Arial"/>
          <w:sz w:val="24"/>
          <w:szCs w:val="24"/>
        </w:rPr>
        <w:t xml:space="preserve"> (Law Com No 75, </w:t>
      </w:r>
      <w:proofErr w:type="spellStart"/>
      <w:r>
        <w:rPr>
          <w:rFonts w:ascii="Arial" w:hAnsi="Arial" w:cs="Arial"/>
          <w:sz w:val="24"/>
          <w:szCs w:val="24"/>
        </w:rPr>
        <w:t>Cmnd</w:t>
      </w:r>
      <w:proofErr w:type="spellEnd"/>
      <w:r>
        <w:rPr>
          <w:rFonts w:ascii="Arial" w:hAnsi="Arial" w:cs="Arial"/>
          <w:sz w:val="24"/>
          <w:szCs w:val="24"/>
        </w:rPr>
        <w:t xml:space="preserve"> 6428). London: Her Majesty’s Stationary Office. Available at: </w:t>
      </w:r>
      <w:hyperlink r:id="rId9" w:history="1">
        <w:r w:rsidRPr="00C14F6D">
          <w:rPr>
            <w:rStyle w:val="Hyperlink"/>
            <w:rFonts w:ascii="Arial" w:hAnsi="Arial" w:cs="Arial"/>
            <w:sz w:val="24"/>
            <w:szCs w:val="24"/>
          </w:rPr>
          <w:t>https://cloud-platform-e218f50a4812967ba1215eaecede923f.s3.amazonaws.com/uploads/sites/30/2016/07/LC.-075-REPORT-ON-LIABILITY-FOR-DAMAGE-OR-INJURY-TO-TRESSPASSERS-AND-RELATED-QUESTIONS-OF-OCCUPIERS-LIABILITY.pdf</w:t>
        </w:r>
      </w:hyperlink>
      <w:r>
        <w:rPr>
          <w:rFonts w:ascii="Arial" w:hAnsi="Arial" w:cs="Arial"/>
          <w:sz w:val="24"/>
          <w:szCs w:val="24"/>
        </w:rPr>
        <w:t xml:space="preserve"> (Accessed: 08 November 2023). </w:t>
      </w:r>
    </w:p>
    <w:p w14:paraId="12B2FC8D" w14:textId="77777777" w:rsidR="004B242E" w:rsidRDefault="004B242E" w:rsidP="004B242E">
      <w:pPr>
        <w:rPr>
          <w:rFonts w:ascii="Arial" w:hAnsi="Arial" w:cs="Arial"/>
          <w:sz w:val="24"/>
          <w:szCs w:val="24"/>
        </w:rPr>
      </w:pPr>
      <w:r>
        <w:rPr>
          <w:rFonts w:ascii="Arial" w:hAnsi="Arial" w:cs="Arial"/>
          <w:sz w:val="24"/>
          <w:szCs w:val="24"/>
        </w:rPr>
        <w:t xml:space="preserve">Lunney, M., Oliphant, K. (2013) </w:t>
      </w:r>
      <w:r w:rsidRPr="00785BE0">
        <w:rPr>
          <w:rFonts w:ascii="Arial" w:hAnsi="Arial" w:cs="Arial"/>
          <w:i/>
          <w:iCs/>
          <w:sz w:val="24"/>
          <w:szCs w:val="24"/>
        </w:rPr>
        <w:t>Tort Law</w:t>
      </w:r>
      <w:r>
        <w:rPr>
          <w:rFonts w:ascii="Arial" w:hAnsi="Arial" w:cs="Arial"/>
          <w:sz w:val="24"/>
          <w:szCs w:val="24"/>
        </w:rPr>
        <w:t>. 5</w:t>
      </w:r>
      <w:r w:rsidRPr="00552CFD">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Oxford: University Press. </w:t>
      </w:r>
    </w:p>
    <w:p w14:paraId="518B42C5" w14:textId="77777777" w:rsidR="004B242E" w:rsidRDefault="004B242E" w:rsidP="004B242E">
      <w:pPr>
        <w:rPr>
          <w:rFonts w:ascii="Arial" w:hAnsi="Arial" w:cs="Arial"/>
          <w:i/>
          <w:iCs/>
          <w:sz w:val="24"/>
          <w:szCs w:val="24"/>
        </w:rPr>
      </w:pPr>
      <w:r>
        <w:rPr>
          <w:rFonts w:ascii="Arial" w:hAnsi="Arial" w:cs="Arial"/>
          <w:sz w:val="24"/>
          <w:szCs w:val="24"/>
        </w:rPr>
        <w:t>‘</w:t>
      </w:r>
      <w:r w:rsidRPr="0024294E">
        <w:rPr>
          <w:rFonts w:ascii="Arial" w:hAnsi="Arial" w:cs="Arial"/>
          <w:sz w:val="24"/>
          <w:szCs w:val="24"/>
        </w:rPr>
        <w:t xml:space="preserve">Marsden (Representative of the estate of Marsden, </w:t>
      </w:r>
      <w:proofErr w:type="spellStart"/>
      <w:r w:rsidRPr="0024294E">
        <w:rPr>
          <w:rFonts w:ascii="Arial" w:hAnsi="Arial" w:cs="Arial"/>
          <w:sz w:val="24"/>
          <w:szCs w:val="24"/>
        </w:rPr>
        <w:t>decd</w:t>
      </w:r>
      <w:proofErr w:type="spellEnd"/>
      <w:r w:rsidRPr="0024294E">
        <w:rPr>
          <w:rFonts w:ascii="Arial" w:hAnsi="Arial" w:cs="Arial"/>
          <w:sz w:val="24"/>
          <w:szCs w:val="24"/>
        </w:rPr>
        <w:t>) v Bourne Leisure t/a British Holidays</w:t>
      </w:r>
      <w:r>
        <w:rPr>
          <w:rFonts w:ascii="Arial" w:hAnsi="Arial" w:cs="Arial"/>
          <w:sz w:val="24"/>
          <w:szCs w:val="24"/>
        </w:rPr>
        <w:t xml:space="preserve">’ (2009) </w:t>
      </w:r>
      <w:r w:rsidRPr="0024294E">
        <w:rPr>
          <w:rFonts w:ascii="Arial" w:hAnsi="Arial" w:cs="Arial"/>
          <w:i/>
          <w:iCs/>
          <w:sz w:val="24"/>
          <w:szCs w:val="24"/>
        </w:rPr>
        <w:t>General Case Digest</w:t>
      </w:r>
      <w:r>
        <w:rPr>
          <w:rFonts w:ascii="Arial" w:hAnsi="Arial" w:cs="Arial"/>
          <w:i/>
          <w:iCs/>
          <w:sz w:val="24"/>
          <w:szCs w:val="24"/>
        </w:rPr>
        <w:t xml:space="preserve">, </w:t>
      </w:r>
      <w:r w:rsidRPr="00F710C2">
        <w:rPr>
          <w:rFonts w:ascii="Arial" w:hAnsi="Arial" w:cs="Arial"/>
          <w:sz w:val="24"/>
          <w:szCs w:val="24"/>
        </w:rPr>
        <w:t>All ER (D), 113, p.153. Available at:</w:t>
      </w:r>
      <w:r>
        <w:rPr>
          <w:rFonts w:ascii="Arial" w:hAnsi="Arial" w:cs="Arial"/>
          <w:i/>
          <w:iCs/>
          <w:sz w:val="24"/>
          <w:szCs w:val="24"/>
        </w:rPr>
        <w:t xml:space="preserve"> </w:t>
      </w:r>
      <w:hyperlink r:id="rId10" w:history="1">
        <w:r w:rsidRPr="00BF0A86">
          <w:rPr>
            <w:rStyle w:val="Hyperlink"/>
            <w:rFonts w:ascii="Arial" w:hAnsi="Arial" w:cs="Arial"/>
            <w:sz w:val="24"/>
            <w:szCs w:val="24"/>
          </w:rPr>
          <w:t>https://plus-lexis-com.ezproxy.uwtsd.ac.uk/uk/cases-uk/marsden-representative-of-the-estate-of-marsd_3?crid=0770469f-0706-4e3e-8fcc-e37fa7bc9cd0&amp;pdiskwicview=false</w:t>
        </w:r>
      </w:hyperlink>
      <w:r w:rsidRPr="00BF0A86">
        <w:rPr>
          <w:rFonts w:ascii="Arial" w:hAnsi="Arial" w:cs="Arial"/>
          <w:sz w:val="24"/>
          <w:szCs w:val="24"/>
        </w:rPr>
        <w:t xml:space="preserve"> (Accessed: 08 November 2023).</w:t>
      </w:r>
    </w:p>
    <w:p w14:paraId="668D71FB" w14:textId="77777777" w:rsidR="004B242E" w:rsidRDefault="004B242E" w:rsidP="004B242E">
      <w:pPr>
        <w:rPr>
          <w:rFonts w:ascii="Arial" w:hAnsi="Arial" w:cs="Arial"/>
          <w:sz w:val="24"/>
          <w:szCs w:val="24"/>
        </w:rPr>
      </w:pPr>
      <w:r>
        <w:rPr>
          <w:rFonts w:ascii="Arial" w:hAnsi="Arial" w:cs="Arial"/>
          <w:sz w:val="24"/>
          <w:szCs w:val="24"/>
        </w:rPr>
        <w:t xml:space="preserve">Ministry of Justice (2021) </w:t>
      </w:r>
      <w:r w:rsidRPr="00AD24B4">
        <w:rPr>
          <w:rFonts w:ascii="Arial" w:hAnsi="Arial" w:cs="Arial"/>
          <w:i/>
          <w:iCs/>
          <w:sz w:val="24"/>
          <w:szCs w:val="24"/>
        </w:rPr>
        <w:t>A Guide to Civil Mediation.</w:t>
      </w:r>
      <w:r>
        <w:rPr>
          <w:rFonts w:ascii="Arial" w:hAnsi="Arial" w:cs="Arial"/>
          <w:sz w:val="24"/>
          <w:szCs w:val="24"/>
        </w:rPr>
        <w:t xml:space="preserve"> Available at: </w:t>
      </w:r>
      <w:hyperlink r:id="rId11" w:history="1">
        <w:r w:rsidRPr="00C14F6D">
          <w:rPr>
            <w:rStyle w:val="Hyperlink"/>
            <w:rFonts w:ascii="Arial" w:hAnsi="Arial" w:cs="Arial"/>
            <w:sz w:val="24"/>
            <w:szCs w:val="24"/>
          </w:rPr>
          <w:t>https://www.gov.uk/guidance/a-guide-to-civil-mediation#what-is-mediation</w:t>
        </w:r>
      </w:hyperlink>
      <w:r>
        <w:rPr>
          <w:rFonts w:ascii="Arial" w:hAnsi="Arial" w:cs="Arial"/>
          <w:sz w:val="24"/>
          <w:szCs w:val="24"/>
        </w:rPr>
        <w:t xml:space="preserve"> (Accessed: 08 November 2023). </w:t>
      </w:r>
    </w:p>
    <w:p w14:paraId="3BCDE5BA" w14:textId="77777777" w:rsidR="004B242E" w:rsidRDefault="004B242E" w:rsidP="004B242E">
      <w:pPr>
        <w:rPr>
          <w:rFonts w:ascii="Arial" w:hAnsi="Arial" w:cs="Arial"/>
          <w:sz w:val="24"/>
          <w:szCs w:val="24"/>
        </w:rPr>
      </w:pPr>
      <w:r w:rsidRPr="00F86309">
        <w:rPr>
          <w:rFonts w:ascii="Arial" w:hAnsi="Arial" w:cs="Arial"/>
          <w:sz w:val="24"/>
          <w:szCs w:val="24"/>
        </w:rPr>
        <w:t>Mullis, A., Oliphant, K. (1997)</w:t>
      </w:r>
      <w:r>
        <w:rPr>
          <w:rFonts w:ascii="Arial" w:hAnsi="Arial" w:cs="Arial"/>
          <w:sz w:val="24"/>
          <w:szCs w:val="24"/>
        </w:rPr>
        <w:t xml:space="preserve"> </w:t>
      </w:r>
      <w:r w:rsidRPr="005655FC">
        <w:rPr>
          <w:rFonts w:ascii="Arial" w:hAnsi="Arial" w:cs="Arial"/>
          <w:i/>
          <w:iCs/>
          <w:sz w:val="24"/>
          <w:szCs w:val="24"/>
        </w:rPr>
        <w:t>Torts.</w:t>
      </w:r>
      <w:r>
        <w:rPr>
          <w:rFonts w:ascii="Arial" w:hAnsi="Arial" w:cs="Arial"/>
          <w:sz w:val="24"/>
          <w:szCs w:val="24"/>
        </w:rPr>
        <w:t xml:space="preserve"> 2</w:t>
      </w:r>
      <w:r w:rsidRPr="001F64EB">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London: Red Globe Press. </w:t>
      </w:r>
    </w:p>
    <w:p w14:paraId="60ADBC56" w14:textId="12D0640F" w:rsidR="00DB0677" w:rsidRDefault="00DB0677">
      <w:pPr>
        <w:rPr>
          <w:rFonts w:ascii="Arial" w:hAnsi="Arial" w:cs="Arial"/>
          <w:sz w:val="24"/>
          <w:szCs w:val="24"/>
        </w:rPr>
      </w:pPr>
      <w:r w:rsidRPr="00DB0677">
        <w:rPr>
          <w:rFonts w:ascii="Arial" w:hAnsi="Arial" w:cs="Arial"/>
          <w:i/>
          <w:iCs/>
          <w:sz w:val="24"/>
          <w:szCs w:val="24"/>
        </w:rPr>
        <w:t>Occupiers Liability Act 1957</w:t>
      </w:r>
      <w:r>
        <w:rPr>
          <w:rFonts w:ascii="Arial" w:hAnsi="Arial" w:cs="Arial"/>
          <w:i/>
          <w:iCs/>
          <w:sz w:val="24"/>
          <w:szCs w:val="24"/>
        </w:rPr>
        <w:t xml:space="preserve">, c.31. </w:t>
      </w:r>
      <w:r w:rsidRPr="00DB0677">
        <w:rPr>
          <w:rFonts w:ascii="Arial" w:hAnsi="Arial" w:cs="Arial"/>
          <w:sz w:val="24"/>
          <w:szCs w:val="24"/>
        </w:rPr>
        <w:t xml:space="preserve">Available at: </w:t>
      </w:r>
      <w:hyperlink r:id="rId12" w:history="1">
        <w:r w:rsidRPr="0023795A">
          <w:rPr>
            <w:rStyle w:val="Hyperlink"/>
            <w:rFonts w:ascii="Arial" w:hAnsi="Arial" w:cs="Arial"/>
            <w:sz w:val="24"/>
            <w:szCs w:val="24"/>
          </w:rPr>
          <w:t>https://www.legislation.gov.uk/ukpga/Eliz2/5-6/31/contents</w:t>
        </w:r>
      </w:hyperlink>
      <w:r>
        <w:rPr>
          <w:rFonts w:ascii="Arial" w:hAnsi="Arial" w:cs="Arial"/>
          <w:sz w:val="24"/>
          <w:szCs w:val="24"/>
        </w:rPr>
        <w:t xml:space="preserve"> (Accessed: 05 November 2023). </w:t>
      </w:r>
    </w:p>
    <w:p w14:paraId="62BD869D" w14:textId="2ADBD00D" w:rsidR="00DB0677" w:rsidRDefault="00F27D17">
      <w:pPr>
        <w:rPr>
          <w:rFonts w:ascii="Arial" w:hAnsi="Arial" w:cs="Arial"/>
          <w:sz w:val="24"/>
          <w:szCs w:val="24"/>
        </w:rPr>
      </w:pPr>
      <w:r w:rsidRPr="00F27D17">
        <w:rPr>
          <w:rFonts w:ascii="Arial" w:hAnsi="Arial" w:cs="Arial"/>
          <w:i/>
          <w:iCs/>
          <w:sz w:val="24"/>
          <w:szCs w:val="24"/>
        </w:rPr>
        <w:t xml:space="preserve">Occupiers Liability Act 1984, c.3. </w:t>
      </w:r>
      <w:r w:rsidRPr="00F27D17">
        <w:rPr>
          <w:rFonts w:ascii="Arial" w:hAnsi="Arial" w:cs="Arial"/>
          <w:sz w:val="24"/>
          <w:szCs w:val="24"/>
        </w:rPr>
        <w:t xml:space="preserve">Available at: </w:t>
      </w:r>
      <w:hyperlink r:id="rId13" w:history="1">
        <w:r w:rsidRPr="0023795A">
          <w:rPr>
            <w:rStyle w:val="Hyperlink"/>
            <w:rFonts w:ascii="Arial" w:hAnsi="Arial" w:cs="Arial"/>
            <w:sz w:val="24"/>
            <w:szCs w:val="24"/>
          </w:rPr>
          <w:t>https://www.legislation.gov.uk/ukpga/1984/3/contents</w:t>
        </w:r>
      </w:hyperlink>
      <w:r>
        <w:rPr>
          <w:rFonts w:ascii="Arial" w:hAnsi="Arial" w:cs="Arial"/>
          <w:sz w:val="24"/>
          <w:szCs w:val="24"/>
        </w:rPr>
        <w:t xml:space="preserve"> (Accessed: 05 November 2023). </w:t>
      </w:r>
    </w:p>
    <w:p w14:paraId="0CE9A93D" w14:textId="081C837E" w:rsidR="00263648" w:rsidRDefault="00263648">
      <w:pPr>
        <w:rPr>
          <w:rFonts w:ascii="Arial" w:hAnsi="Arial" w:cs="Arial"/>
          <w:sz w:val="24"/>
          <w:szCs w:val="24"/>
        </w:rPr>
      </w:pPr>
      <w:r>
        <w:rPr>
          <w:rFonts w:ascii="Arial" w:hAnsi="Arial" w:cs="Arial"/>
          <w:sz w:val="24"/>
          <w:szCs w:val="24"/>
        </w:rPr>
        <w:t xml:space="preserve">Payne. D. (1958) </w:t>
      </w:r>
      <w:r w:rsidR="00F823C7">
        <w:rPr>
          <w:rFonts w:ascii="Arial" w:hAnsi="Arial" w:cs="Arial"/>
          <w:sz w:val="24"/>
          <w:szCs w:val="24"/>
        </w:rPr>
        <w:t>‘</w:t>
      </w:r>
      <w:r w:rsidR="00D50685">
        <w:rPr>
          <w:rFonts w:ascii="Arial" w:hAnsi="Arial" w:cs="Arial"/>
          <w:sz w:val="24"/>
          <w:szCs w:val="24"/>
        </w:rPr>
        <w:t>The Occupiers’ Liability Act</w:t>
      </w:r>
      <w:r w:rsidR="00F823C7">
        <w:rPr>
          <w:rFonts w:ascii="Arial" w:hAnsi="Arial" w:cs="Arial"/>
          <w:sz w:val="24"/>
          <w:szCs w:val="24"/>
        </w:rPr>
        <w:t xml:space="preserve">’, </w:t>
      </w:r>
      <w:r w:rsidR="00B379C1" w:rsidRPr="00A04D7E">
        <w:rPr>
          <w:rFonts w:ascii="Arial" w:hAnsi="Arial" w:cs="Arial"/>
          <w:i/>
          <w:iCs/>
          <w:sz w:val="24"/>
          <w:szCs w:val="24"/>
        </w:rPr>
        <w:t>The Modern Law Review</w:t>
      </w:r>
      <w:r w:rsidR="00B379C1">
        <w:rPr>
          <w:rFonts w:ascii="Arial" w:hAnsi="Arial" w:cs="Arial"/>
          <w:sz w:val="24"/>
          <w:szCs w:val="24"/>
        </w:rPr>
        <w:t xml:space="preserve">, </w:t>
      </w:r>
      <w:r w:rsidR="00234343">
        <w:rPr>
          <w:rFonts w:ascii="Arial" w:hAnsi="Arial" w:cs="Arial"/>
          <w:sz w:val="24"/>
          <w:szCs w:val="24"/>
        </w:rPr>
        <w:t>21(4), pp.</w:t>
      </w:r>
      <w:r w:rsidR="00A04D7E">
        <w:rPr>
          <w:rFonts w:ascii="Arial" w:hAnsi="Arial" w:cs="Arial"/>
          <w:sz w:val="24"/>
          <w:szCs w:val="24"/>
        </w:rPr>
        <w:t xml:space="preserve"> 359-374. </w:t>
      </w:r>
      <w:r w:rsidR="00D50685">
        <w:rPr>
          <w:rFonts w:ascii="Arial" w:hAnsi="Arial" w:cs="Arial"/>
          <w:sz w:val="24"/>
          <w:szCs w:val="24"/>
        </w:rPr>
        <w:t xml:space="preserve"> </w:t>
      </w:r>
    </w:p>
    <w:p w14:paraId="61116951" w14:textId="77777777" w:rsidR="004B242E" w:rsidRDefault="004B242E" w:rsidP="004B242E">
      <w:pPr>
        <w:rPr>
          <w:rFonts w:ascii="Arial" w:hAnsi="Arial" w:cs="Arial"/>
          <w:sz w:val="24"/>
          <w:szCs w:val="24"/>
        </w:rPr>
      </w:pPr>
      <w:r>
        <w:rPr>
          <w:rFonts w:ascii="Arial" w:hAnsi="Arial" w:cs="Arial"/>
          <w:sz w:val="24"/>
          <w:szCs w:val="24"/>
        </w:rPr>
        <w:t xml:space="preserve">‘Rhind v Astbury Water Park Ltd’ (2004) </w:t>
      </w:r>
      <w:r w:rsidRPr="0024294E">
        <w:rPr>
          <w:rFonts w:ascii="Arial" w:hAnsi="Arial" w:cs="Arial"/>
          <w:i/>
          <w:iCs/>
          <w:sz w:val="24"/>
          <w:szCs w:val="24"/>
        </w:rPr>
        <w:t>General Case Digest</w:t>
      </w:r>
      <w:r>
        <w:rPr>
          <w:rFonts w:ascii="Arial" w:hAnsi="Arial" w:cs="Arial"/>
          <w:sz w:val="24"/>
          <w:szCs w:val="24"/>
        </w:rPr>
        <w:t xml:space="preserve">, ALL ER (D), p. 217. Available at: </w:t>
      </w:r>
      <w:hyperlink r:id="rId14" w:history="1">
        <w:r w:rsidRPr="00C14F6D">
          <w:rPr>
            <w:rStyle w:val="Hyperlink"/>
            <w:rFonts w:ascii="Arial" w:hAnsi="Arial" w:cs="Arial"/>
            <w:sz w:val="24"/>
            <w:szCs w:val="24"/>
          </w:rPr>
          <w:t>https://plus-lexis-com.ezproxy.uwtsd.ac.uk/uk/cases-uk/rhind-v-astbury-water-park-ltd-and-another-?crid=762f668f-fc28-4daf-9240-2e8ae27d26ad&amp;pdiskwicview=false</w:t>
        </w:r>
      </w:hyperlink>
      <w:r>
        <w:rPr>
          <w:rFonts w:ascii="Arial" w:hAnsi="Arial" w:cs="Arial"/>
          <w:sz w:val="24"/>
          <w:szCs w:val="24"/>
        </w:rPr>
        <w:t xml:space="preserve"> (Accessed: 07 November 2023). </w:t>
      </w:r>
    </w:p>
    <w:p w14:paraId="6B9F807F" w14:textId="410105D4" w:rsidR="004B242E" w:rsidRDefault="004B242E">
      <w:pPr>
        <w:rPr>
          <w:rFonts w:ascii="Arial" w:hAnsi="Arial" w:cs="Arial"/>
          <w:sz w:val="24"/>
          <w:szCs w:val="24"/>
        </w:rPr>
      </w:pPr>
      <w:r>
        <w:rPr>
          <w:rFonts w:ascii="Arial" w:hAnsi="Arial" w:cs="Arial"/>
          <w:sz w:val="24"/>
          <w:szCs w:val="24"/>
        </w:rPr>
        <w:lastRenderedPageBreak/>
        <w:t xml:space="preserve">‘Tomlinson v Congleton Borough Council’ (2003) </w:t>
      </w:r>
      <w:r w:rsidRPr="00B96B7A">
        <w:rPr>
          <w:rFonts w:ascii="Arial" w:hAnsi="Arial" w:cs="Arial"/>
          <w:i/>
          <w:iCs/>
          <w:sz w:val="24"/>
          <w:szCs w:val="24"/>
        </w:rPr>
        <w:t>Law Reports, Appeal Cases</w:t>
      </w:r>
      <w:r>
        <w:rPr>
          <w:rFonts w:ascii="Arial" w:hAnsi="Arial" w:cs="Arial"/>
          <w:sz w:val="24"/>
          <w:szCs w:val="24"/>
        </w:rPr>
        <w:t xml:space="preserve">, AC, 1, pp.46-49. Available at: </w:t>
      </w:r>
      <w:hyperlink r:id="rId15" w:history="1">
        <w:r w:rsidRPr="00C14F6D">
          <w:rPr>
            <w:rStyle w:val="Hyperlink"/>
            <w:rFonts w:ascii="Arial" w:hAnsi="Arial" w:cs="Arial"/>
            <w:sz w:val="24"/>
            <w:szCs w:val="24"/>
          </w:rPr>
          <w:t>https://plus-lexis-com.ezproxy.uwtsd.ac.uk/uk/cases-uk/tomlinson-v-congleton-borough-council-and-ano_3?crid=773e49eb-26df-477e-8e9c-3203ec758678&amp;pdiskwicview=false</w:t>
        </w:r>
      </w:hyperlink>
      <w:r>
        <w:rPr>
          <w:rFonts w:ascii="Arial" w:hAnsi="Arial" w:cs="Arial"/>
          <w:sz w:val="24"/>
          <w:szCs w:val="24"/>
        </w:rPr>
        <w:t xml:space="preserve"> (Accessed: 07 November 2023). </w:t>
      </w:r>
    </w:p>
    <w:p w14:paraId="62E6CA50" w14:textId="7708430C" w:rsidR="008941D9" w:rsidRPr="008941D9" w:rsidRDefault="008941D9" w:rsidP="008941D9">
      <w:pPr>
        <w:rPr>
          <w:rFonts w:ascii="Arial" w:hAnsi="Arial" w:cs="Arial"/>
          <w:sz w:val="24"/>
          <w:szCs w:val="24"/>
        </w:rPr>
      </w:pPr>
      <w:r w:rsidRPr="008941D9">
        <w:rPr>
          <w:rFonts w:ascii="Arial" w:hAnsi="Arial" w:cs="Arial"/>
          <w:sz w:val="24"/>
          <w:szCs w:val="24"/>
        </w:rPr>
        <w:t>‘</w:t>
      </w:r>
      <w:r>
        <w:rPr>
          <w:rFonts w:ascii="Arial" w:hAnsi="Arial" w:cs="Arial"/>
          <w:sz w:val="24"/>
          <w:szCs w:val="24"/>
        </w:rPr>
        <w:t>Wheat v Lacon</w:t>
      </w:r>
      <w:r w:rsidRPr="008941D9">
        <w:rPr>
          <w:rFonts w:ascii="Arial" w:hAnsi="Arial" w:cs="Arial"/>
          <w:sz w:val="24"/>
          <w:szCs w:val="24"/>
        </w:rPr>
        <w:t>’ (19</w:t>
      </w:r>
      <w:r>
        <w:rPr>
          <w:rFonts w:ascii="Arial" w:hAnsi="Arial" w:cs="Arial"/>
          <w:sz w:val="24"/>
          <w:szCs w:val="24"/>
        </w:rPr>
        <w:t>66</w:t>
      </w:r>
      <w:r w:rsidRPr="008941D9">
        <w:rPr>
          <w:rFonts w:ascii="Arial" w:hAnsi="Arial" w:cs="Arial"/>
          <w:sz w:val="24"/>
          <w:szCs w:val="24"/>
        </w:rPr>
        <w:t>) </w:t>
      </w:r>
      <w:r w:rsidR="00424AF4">
        <w:rPr>
          <w:rFonts w:ascii="Arial" w:hAnsi="Arial" w:cs="Arial"/>
          <w:i/>
          <w:iCs/>
          <w:sz w:val="24"/>
          <w:szCs w:val="24"/>
        </w:rPr>
        <w:t>Law Reports</w:t>
      </w:r>
      <w:r w:rsidR="006874CB" w:rsidRPr="006874CB">
        <w:rPr>
          <w:rFonts w:ascii="Arial" w:hAnsi="Arial" w:cs="Arial"/>
          <w:i/>
          <w:iCs/>
          <w:sz w:val="24"/>
          <w:szCs w:val="24"/>
        </w:rPr>
        <w:t>, Appeal Cases</w:t>
      </w:r>
      <w:r w:rsidR="006874CB">
        <w:rPr>
          <w:rFonts w:ascii="Arial" w:hAnsi="Arial" w:cs="Arial"/>
          <w:sz w:val="24"/>
          <w:szCs w:val="24"/>
        </w:rPr>
        <w:t>,</w:t>
      </w:r>
      <w:r w:rsidR="00424AF4">
        <w:rPr>
          <w:rFonts w:ascii="Arial" w:hAnsi="Arial" w:cs="Arial"/>
          <w:sz w:val="24"/>
          <w:szCs w:val="24"/>
        </w:rPr>
        <w:t xml:space="preserve"> </w:t>
      </w:r>
      <w:r w:rsidR="00B7281D">
        <w:rPr>
          <w:rFonts w:ascii="Arial" w:hAnsi="Arial" w:cs="Arial"/>
          <w:sz w:val="24"/>
          <w:szCs w:val="24"/>
        </w:rPr>
        <w:t xml:space="preserve">AC, </w:t>
      </w:r>
      <w:r w:rsidR="00F62171">
        <w:rPr>
          <w:rFonts w:ascii="Arial" w:hAnsi="Arial" w:cs="Arial"/>
          <w:sz w:val="24"/>
          <w:szCs w:val="24"/>
        </w:rPr>
        <w:t xml:space="preserve">p. </w:t>
      </w:r>
      <w:r w:rsidR="00B7281D">
        <w:rPr>
          <w:rFonts w:ascii="Arial" w:hAnsi="Arial" w:cs="Arial"/>
          <w:sz w:val="24"/>
          <w:szCs w:val="24"/>
        </w:rPr>
        <w:t>552</w:t>
      </w:r>
      <w:r w:rsidRPr="008941D9">
        <w:rPr>
          <w:rFonts w:ascii="Arial" w:hAnsi="Arial" w:cs="Arial"/>
          <w:sz w:val="24"/>
          <w:szCs w:val="24"/>
        </w:rPr>
        <w:t>.</w:t>
      </w:r>
      <w:r w:rsidR="001E6EC6">
        <w:rPr>
          <w:rFonts w:ascii="Arial" w:hAnsi="Arial" w:cs="Arial"/>
          <w:sz w:val="24"/>
          <w:szCs w:val="24"/>
        </w:rPr>
        <w:t xml:space="preserve"> Available at: </w:t>
      </w:r>
      <w:hyperlink r:id="rId16" w:history="1">
        <w:r w:rsidR="001E6EC6" w:rsidRPr="00C14F6D">
          <w:rPr>
            <w:rStyle w:val="Hyperlink"/>
            <w:rFonts w:ascii="Arial" w:hAnsi="Arial" w:cs="Arial"/>
            <w:sz w:val="24"/>
            <w:szCs w:val="24"/>
          </w:rPr>
          <w:t>https://plus-lexis-com.ezproxy.uwtsd.ac.uk/uk/cases-uk/wheat-appellant-and-e-lacon-co-ltd-respondent_2?crid=ed857cff-40f4-447b-b169-7d2137d188b9</w:t>
        </w:r>
      </w:hyperlink>
      <w:r w:rsidR="001E6EC6">
        <w:rPr>
          <w:rFonts w:ascii="Arial" w:hAnsi="Arial" w:cs="Arial"/>
          <w:sz w:val="24"/>
          <w:szCs w:val="24"/>
        </w:rPr>
        <w:t xml:space="preserve"> (Accessed: </w:t>
      </w:r>
      <w:r w:rsidR="00946071">
        <w:rPr>
          <w:rFonts w:ascii="Arial" w:hAnsi="Arial" w:cs="Arial"/>
          <w:sz w:val="24"/>
          <w:szCs w:val="24"/>
        </w:rPr>
        <w:t xml:space="preserve">07 November 2023). </w:t>
      </w:r>
    </w:p>
    <w:p w14:paraId="7D5619BA" w14:textId="77777777" w:rsidR="006D3596" w:rsidRDefault="006D3596" w:rsidP="00A04D7E">
      <w:pPr>
        <w:jc w:val="center"/>
        <w:rPr>
          <w:rFonts w:ascii="Arial" w:hAnsi="Arial" w:cs="Arial"/>
          <w:sz w:val="24"/>
          <w:szCs w:val="24"/>
        </w:rPr>
      </w:pPr>
    </w:p>
    <w:p w14:paraId="69A0FA40" w14:textId="02FEA03E" w:rsidR="00DB0677" w:rsidRDefault="00DB0677" w:rsidP="00A04D7E">
      <w:pPr>
        <w:jc w:val="center"/>
        <w:rPr>
          <w:rFonts w:ascii="Arial" w:hAnsi="Arial" w:cs="Arial"/>
          <w:sz w:val="24"/>
          <w:szCs w:val="24"/>
        </w:rPr>
      </w:pPr>
      <w:r>
        <w:rPr>
          <w:rFonts w:ascii="Arial" w:hAnsi="Arial" w:cs="Arial"/>
          <w:sz w:val="24"/>
          <w:szCs w:val="24"/>
        </w:rPr>
        <w:t>Case Law</w:t>
      </w:r>
    </w:p>
    <w:p w14:paraId="4F70793C" w14:textId="77777777" w:rsidR="004B242E" w:rsidRDefault="004B242E" w:rsidP="004B242E">
      <w:pPr>
        <w:rPr>
          <w:rFonts w:ascii="Arial" w:hAnsi="Arial" w:cs="Arial"/>
          <w:sz w:val="24"/>
          <w:szCs w:val="24"/>
        </w:rPr>
      </w:pPr>
      <w:r w:rsidRPr="00942098">
        <w:rPr>
          <w:rFonts w:ascii="Arial" w:hAnsi="Arial" w:cs="Arial"/>
          <w:sz w:val="24"/>
          <w:szCs w:val="24"/>
        </w:rPr>
        <w:t xml:space="preserve">Bourne Leisure Ltd v Marsden [2009] EWCA </w:t>
      </w:r>
      <w:proofErr w:type="spellStart"/>
      <w:r w:rsidRPr="00942098">
        <w:rPr>
          <w:rFonts w:ascii="Arial" w:hAnsi="Arial" w:cs="Arial"/>
          <w:sz w:val="24"/>
          <w:szCs w:val="24"/>
        </w:rPr>
        <w:t>Civ</w:t>
      </w:r>
      <w:proofErr w:type="spellEnd"/>
      <w:r w:rsidRPr="00942098">
        <w:rPr>
          <w:rFonts w:ascii="Arial" w:hAnsi="Arial" w:cs="Arial"/>
          <w:sz w:val="24"/>
          <w:szCs w:val="24"/>
        </w:rPr>
        <w:t xml:space="preserve"> 671</w:t>
      </w:r>
    </w:p>
    <w:p w14:paraId="2117FB5C" w14:textId="77777777" w:rsidR="004B242E" w:rsidRPr="00E66DA7" w:rsidRDefault="004B242E" w:rsidP="004B242E">
      <w:pPr>
        <w:rPr>
          <w:rFonts w:ascii="Arial" w:hAnsi="Arial" w:cs="Arial"/>
          <w:sz w:val="24"/>
          <w:szCs w:val="24"/>
        </w:rPr>
      </w:pPr>
      <w:r w:rsidRPr="0053708D">
        <w:rPr>
          <w:rFonts w:ascii="Arial" w:hAnsi="Arial" w:cs="Arial"/>
          <w:sz w:val="24"/>
          <w:szCs w:val="24"/>
        </w:rPr>
        <w:t>Herrington v British Rail Board [1972] AC 877</w:t>
      </w:r>
    </w:p>
    <w:p w14:paraId="2B657088" w14:textId="77777777" w:rsidR="004B242E" w:rsidRDefault="004B242E" w:rsidP="004B242E">
      <w:pPr>
        <w:rPr>
          <w:rFonts w:ascii="Arial" w:hAnsi="Arial" w:cs="Arial"/>
          <w:sz w:val="24"/>
          <w:szCs w:val="24"/>
        </w:rPr>
      </w:pPr>
      <w:r w:rsidRPr="00E66DA7">
        <w:rPr>
          <w:rFonts w:ascii="Arial" w:hAnsi="Arial" w:cs="Arial"/>
          <w:sz w:val="24"/>
          <w:szCs w:val="24"/>
        </w:rPr>
        <w:t>Jolley v Sutton London Borough Council [2000] 1 WLR 1082</w:t>
      </w:r>
    </w:p>
    <w:p w14:paraId="06A91A80" w14:textId="30834EB0" w:rsidR="00DB0677" w:rsidRDefault="00DB0677" w:rsidP="00DB0677">
      <w:pPr>
        <w:rPr>
          <w:rStyle w:val="Hyperlink"/>
          <w:rFonts w:ascii="Arial" w:hAnsi="Arial" w:cs="Arial"/>
          <w:color w:val="auto"/>
          <w:sz w:val="24"/>
          <w:szCs w:val="24"/>
          <w:u w:val="none"/>
        </w:rPr>
      </w:pPr>
      <w:r w:rsidRPr="00DB0677">
        <w:rPr>
          <w:rFonts w:ascii="Arial" w:hAnsi="Arial" w:cs="Arial"/>
          <w:sz w:val="24"/>
          <w:szCs w:val="24"/>
        </w:rPr>
        <w:t>Mathewson v Crump </w:t>
      </w:r>
      <w:hyperlink r:id="rId17" w:tooltip="General Case Digest" w:history="1">
        <w:r w:rsidRPr="00DB0677">
          <w:rPr>
            <w:rStyle w:val="Hyperlink"/>
            <w:rFonts w:ascii="Arial" w:hAnsi="Arial" w:cs="Arial"/>
            <w:color w:val="auto"/>
            <w:sz w:val="24"/>
            <w:szCs w:val="24"/>
            <w:u w:val="none"/>
          </w:rPr>
          <w:t>[2020] All ER (D) 114 (Nov)</w:t>
        </w:r>
      </w:hyperlink>
    </w:p>
    <w:p w14:paraId="319A9EEA" w14:textId="5B90501A" w:rsidR="004B242E" w:rsidRDefault="004B242E" w:rsidP="00DB0677">
      <w:pPr>
        <w:rPr>
          <w:rStyle w:val="Hyperlink"/>
          <w:rFonts w:ascii="Arial" w:hAnsi="Arial" w:cs="Arial"/>
          <w:color w:val="auto"/>
          <w:sz w:val="24"/>
          <w:szCs w:val="24"/>
          <w:u w:val="none"/>
        </w:rPr>
      </w:pPr>
      <w:r w:rsidRPr="00AA53C7">
        <w:rPr>
          <w:rFonts w:ascii="Arial" w:hAnsi="Arial" w:cs="Arial"/>
          <w:sz w:val="24"/>
          <w:szCs w:val="24"/>
        </w:rPr>
        <w:t>Rhind v Astbury Water Park Ltd [2003] EWHC 1029 (QB), [2003] All ER (D) 217 (May)</w:t>
      </w:r>
    </w:p>
    <w:p w14:paraId="074CAD11" w14:textId="22E63149" w:rsidR="00E11152" w:rsidRDefault="00E11152" w:rsidP="00E11152">
      <w:pPr>
        <w:rPr>
          <w:rFonts w:ascii="Arial" w:hAnsi="Arial" w:cs="Arial"/>
          <w:sz w:val="24"/>
          <w:szCs w:val="24"/>
        </w:rPr>
      </w:pPr>
      <w:hyperlink r:id="rId18" w:history="1">
        <w:r w:rsidRPr="00E11152">
          <w:rPr>
            <w:rStyle w:val="Hyperlink"/>
            <w:rFonts w:ascii="Arial" w:hAnsi="Arial" w:cs="Arial"/>
            <w:color w:val="auto"/>
            <w:sz w:val="24"/>
            <w:szCs w:val="24"/>
            <w:u w:val="none"/>
          </w:rPr>
          <w:t>Tomlinson v Congleton Borough Council [2003] UKHL 47, [2004] 1 AC 46, [2003] 3 All ER 1122, [2003] 3 WLR 705, [2003] 34 LS Gaz R 33, [2003] NLJR 1238, [2003] 32 EGCS 68, (2003) Times, 1 August, 147 Sol Jo LB 937, [2003] All ER (D) 554 (Jul)</w:t>
        </w:r>
      </w:hyperlink>
    </w:p>
    <w:p w14:paraId="155EF6DA" w14:textId="77777777" w:rsidR="004B242E" w:rsidRDefault="004B242E" w:rsidP="004B242E">
      <w:pPr>
        <w:rPr>
          <w:rFonts w:ascii="Arial" w:hAnsi="Arial" w:cs="Arial"/>
          <w:sz w:val="24"/>
          <w:szCs w:val="24"/>
        </w:rPr>
      </w:pPr>
      <w:r w:rsidRPr="008E0F2A">
        <w:rPr>
          <w:rFonts w:ascii="Arial" w:hAnsi="Arial" w:cs="Arial"/>
          <w:sz w:val="24"/>
          <w:szCs w:val="24"/>
        </w:rPr>
        <w:t>Wheat v E Lacon &amp; Co Ltd [1966] AC 552, [1966] 1 All ER 582, [1966] 2 WLR 581, [1966] RA 193, 110 Sol Jo 149, [1966] RVR 223, 197 EG 969</w:t>
      </w:r>
    </w:p>
    <w:p w14:paraId="5D154E05" w14:textId="77777777" w:rsidR="004B242E" w:rsidRDefault="004B242E" w:rsidP="00E11152">
      <w:pPr>
        <w:rPr>
          <w:rFonts w:ascii="Arial" w:hAnsi="Arial" w:cs="Arial"/>
          <w:sz w:val="24"/>
          <w:szCs w:val="24"/>
        </w:rPr>
      </w:pPr>
    </w:p>
    <w:p w14:paraId="6906B459" w14:textId="2142F75A" w:rsidR="0053708D" w:rsidRPr="00E66DA7" w:rsidRDefault="0053708D" w:rsidP="00E11152">
      <w:pPr>
        <w:rPr>
          <w:rFonts w:ascii="Arial" w:hAnsi="Arial" w:cs="Arial"/>
          <w:sz w:val="24"/>
          <w:szCs w:val="24"/>
        </w:rPr>
      </w:pPr>
    </w:p>
    <w:sectPr w:rsidR="0053708D" w:rsidRPr="00E66D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147B1B"/>
    <w:multiLevelType w:val="multilevel"/>
    <w:tmpl w:val="29A0410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7B245F0C"/>
    <w:multiLevelType w:val="multilevel"/>
    <w:tmpl w:val="54885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223309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929501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DDF"/>
    <w:rsid w:val="000063BB"/>
    <w:rsid w:val="000127E7"/>
    <w:rsid w:val="00056A12"/>
    <w:rsid w:val="000629D7"/>
    <w:rsid w:val="00073316"/>
    <w:rsid w:val="0008098E"/>
    <w:rsid w:val="000857BE"/>
    <w:rsid w:val="00085B39"/>
    <w:rsid w:val="0009703E"/>
    <w:rsid w:val="000A5D4E"/>
    <w:rsid w:val="000A74B6"/>
    <w:rsid w:val="000B6803"/>
    <w:rsid w:val="000C218D"/>
    <w:rsid w:val="000D5109"/>
    <w:rsid w:val="000E6920"/>
    <w:rsid w:val="00152DFF"/>
    <w:rsid w:val="00175DC1"/>
    <w:rsid w:val="00182005"/>
    <w:rsid w:val="0019416C"/>
    <w:rsid w:val="0019543E"/>
    <w:rsid w:val="00196EED"/>
    <w:rsid w:val="001C4FEA"/>
    <w:rsid w:val="001E6EC6"/>
    <w:rsid w:val="001F64EB"/>
    <w:rsid w:val="00202E82"/>
    <w:rsid w:val="00204FC8"/>
    <w:rsid w:val="002130A3"/>
    <w:rsid w:val="00215D6D"/>
    <w:rsid w:val="00234343"/>
    <w:rsid w:val="002353F5"/>
    <w:rsid w:val="0024294E"/>
    <w:rsid w:val="00247E9F"/>
    <w:rsid w:val="00263648"/>
    <w:rsid w:val="00271EA5"/>
    <w:rsid w:val="00282515"/>
    <w:rsid w:val="00282B81"/>
    <w:rsid w:val="002A274A"/>
    <w:rsid w:val="002A5975"/>
    <w:rsid w:val="002B421B"/>
    <w:rsid w:val="002C4A7F"/>
    <w:rsid w:val="002D6CF5"/>
    <w:rsid w:val="00303A53"/>
    <w:rsid w:val="003114AE"/>
    <w:rsid w:val="00334630"/>
    <w:rsid w:val="003354A9"/>
    <w:rsid w:val="00341DA9"/>
    <w:rsid w:val="00353BA8"/>
    <w:rsid w:val="00356B1B"/>
    <w:rsid w:val="00356CD1"/>
    <w:rsid w:val="00357C30"/>
    <w:rsid w:val="003635CA"/>
    <w:rsid w:val="00365169"/>
    <w:rsid w:val="00367B04"/>
    <w:rsid w:val="00392429"/>
    <w:rsid w:val="003B44A3"/>
    <w:rsid w:val="003C0D05"/>
    <w:rsid w:val="003C32E9"/>
    <w:rsid w:val="00403042"/>
    <w:rsid w:val="00424AF4"/>
    <w:rsid w:val="00427FA0"/>
    <w:rsid w:val="00434D16"/>
    <w:rsid w:val="0043549E"/>
    <w:rsid w:val="00463C87"/>
    <w:rsid w:val="004726F0"/>
    <w:rsid w:val="00477682"/>
    <w:rsid w:val="004B242E"/>
    <w:rsid w:val="004C004A"/>
    <w:rsid w:val="004E6D1F"/>
    <w:rsid w:val="00503670"/>
    <w:rsid w:val="00506374"/>
    <w:rsid w:val="0052098C"/>
    <w:rsid w:val="00520B01"/>
    <w:rsid w:val="00525233"/>
    <w:rsid w:val="00526C5F"/>
    <w:rsid w:val="0053708D"/>
    <w:rsid w:val="00540373"/>
    <w:rsid w:val="0054349B"/>
    <w:rsid w:val="00546464"/>
    <w:rsid w:val="00546829"/>
    <w:rsid w:val="00552CFD"/>
    <w:rsid w:val="00564970"/>
    <w:rsid w:val="005655FC"/>
    <w:rsid w:val="00566413"/>
    <w:rsid w:val="005669DB"/>
    <w:rsid w:val="00586DB8"/>
    <w:rsid w:val="005A3C8C"/>
    <w:rsid w:val="005B586F"/>
    <w:rsid w:val="005C7202"/>
    <w:rsid w:val="005E1C29"/>
    <w:rsid w:val="005E3765"/>
    <w:rsid w:val="005E40D8"/>
    <w:rsid w:val="005F1E80"/>
    <w:rsid w:val="00602680"/>
    <w:rsid w:val="00602A85"/>
    <w:rsid w:val="006874CB"/>
    <w:rsid w:val="006B3B3D"/>
    <w:rsid w:val="006B7CC6"/>
    <w:rsid w:val="006C4ABA"/>
    <w:rsid w:val="006D3596"/>
    <w:rsid w:val="006E3F32"/>
    <w:rsid w:val="006F34AD"/>
    <w:rsid w:val="00745F81"/>
    <w:rsid w:val="0075115A"/>
    <w:rsid w:val="0075225F"/>
    <w:rsid w:val="00785BE0"/>
    <w:rsid w:val="007A3282"/>
    <w:rsid w:val="007C1EFC"/>
    <w:rsid w:val="007F69C6"/>
    <w:rsid w:val="00835A3A"/>
    <w:rsid w:val="0085273D"/>
    <w:rsid w:val="00853A6C"/>
    <w:rsid w:val="008645E1"/>
    <w:rsid w:val="00881A48"/>
    <w:rsid w:val="008941D9"/>
    <w:rsid w:val="008A1DFB"/>
    <w:rsid w:val="008C523F"/>
    <w:rsid w:val="008D516D"/>
    <w:rsid w:val="008E0F2A"/>
    <w:rsid w:val="008E1077"/>
    <w:rsid w:val="008F0174"/>
    <w:rsid w:val="009240F8"/>
    <w:rsid w:val="00925B98"/>
    <w:rsid w:val="00931636"/>
    <w:rsid w:val="00936B00"/>
    <w:rsid w:val="00942098"/>
    <w:rsid w:val="00945B8C"/>
    <w:rsid w:val="00946071"/>
    <w:rsid w:val="00955A4D"/>
    <w:rsid w:val="009660CA"/>
    <w:rsid w:val="009A3203"/>
    <w:rsid w:val="009C7911"/>
    <w:rsid w:val="009D0A59"/>
    <w:rsid w:val="00A04D7E"/>
    <w:rsid w:val="00A10D7D"/>
    <w:rsid w:val="00A12B5D"/>
    <w:rsid w:val="00A13EFE"/>
    <w:rsid w:val="00A141F6"/>
    <w:rsid w:val="00A37CB7"/>
    <w:rsid w:val="00A55237"/>
    <w:rsid w:val="00A56AD4"/>
    <w:rsid w:val="00A82B6A"/>
    <w:rsid w:val="00A91500"/>
    <w:rsid w:val="00AA53C7"/>
    <w:rsid w:val="00AB035D"/>
    <w:rsid w:val="00AB2768"/>
    <w:rsid w:val="00AB61CB"/>
    <w:rsid w:val="00AB713D"/>
    <w:rsid w:val="00AC2346"/>
    <w:rsid w:val="00AC6E43"/>
    <w:rsid w:val="00AD24B4"/>
    <w:rsid w:val="00AD2A1E"/>
    <w:rsid w:val="00AE55A8"/>
    <w:rsid w:val="00AF49F8"/>
    <w:rsid w:val="00B00FDE"/>
    <w:rsid w:val="00B04FAF"/>
    <w:rsid w:val="00B17ED4"/>
    <w:rsid w:val="00B3742E"/>
    <w:rsid w:val="00B379C1"/>
    <w:rsid w:val="00B441DD"/>
    <w:rsid w:val="00B46ED8"/>
    <w:rsid w:val="00B53A06"/>
    <w:rsid w:val="00B7281D"/>
    <w:rsid w:val="00B91739"/>
    <w:rsid w:val="00B962F1"/>
    <w:rsid w:val="00B96B7A"/>
    <w:rsid w:val="00BA5F19"/>
    <w:rsid w:val="00BE0B3D"/>
    <w:rsid w:val="00BE1343"/>
    <w:rsid w:val="00BE49BA"/>
    <w:rsid w:val="00BF0A86"/>
    <w:rsid w:val="00BF42A4"/>
    <w:rsid w:val="00BF4CBB"/>
    <w:rsid w:val="00BF77C1"/>
    <w:rsid w:val="00C07681"/>
    <w:rsid w:val="00C17FDD"/>
    <w:rsid w:val="00C20AF4"/>
    <w:rsid w:val="00C36538"/>
    <w:rsid w:val="00C36B91"/>
    <w:rsid w:val="00C67C58"/>
    <w:rsid w:val="00C71E76"/>
    <w:rsid w:val="00C7277A"/>
    <w:rsid w:val="00C95E79"/>
    <w:rsid w:val="00CE7132"/>
    <w:rsid w:val="00CF297E"/>
    <w:rsid w:val="00D03172"/>
    <w:rsid w:val="00D11650"/>
    <w:rsid w:val="00D20EA1"/>
    <w:rsid w:val="00D31AC4"/>
    <w:rsid w:val="00D43C6A"/>
    <w:rsid w:val="00D50685"/>
    <w:rsid w:val="00D6273C"/>
    <w:rsid w:val="00D76DA8"/>
    <w:rsid w:val="00D932A8"/>
    <w:rsid w:val="00DA394B"/>
    <w:rsid w:val="00DB0677"/>
    <w:rsid w:val="00DC75DB"/>
    <w:rsid w:val="00DF5C4A"/>
    <w:rsid w:val="00E11152"/>
    <w:rsid w:val="00E23B54"/>
    <w:rsid w:val="00E37FA9"/>
    <w:rsid w:val="00E4253D"/>
    <w:rsid w:val="00E5377F"/>
    <w:rsid w:val="00E66DA7"/>
    <w:rsid w:val="00E73DDF"/>
    <w:rsid w:val="00E85B64"/>
    <w:rsid w:val="00E9270C"/>
    <w:rsid w:val="00E974F0"/>
    <w:rsid w:val="00EB4D7A"/>
    <w:rsid w:val="00EB548F"/>
    <w:rsid w:val="00EB6523"/>
    <w:rsid w:val="00EC3847"/>
    <w:rsid w:val="00EC592B"/>
    <w:rsid w:val="00F02973"/>
    <w:rsid w:val="00F03AE4"/>
    <w:rsid w:val="00F1216D"/>
    <w:rsid w:val="00F14160"/>
    <w:rsid w:val="00F27D17"/>
    <w:rsid w:val="00F33AC6"/>
    <w:rsid w:val="00F47B10"/>
    <w:rsid w:val="00F62171"/>
    <w:rsid w:val="00F63587"/>
    <w:rsid w:val="00F63AA6"/>
    <w:rsid w:val="00F650C0"/>
    <w:rsid w:val="00F710C2"/>
    <w:rsid w:val="00F71618"/>
    <w:rsid w:val="00F746D1"/>
    <w:rsid w:val="00F81DA0"/>
    <w:rsid w:val="00F823C7"/>
    <w:rsid w:val="00F83C99"/>
    <w:rsid w:val="00F86309"/>
    <w:rsid w:val="00F91689"/>
    <w:rsid w:val="00FA6360"/>
    <w:rsid w:val="00FD273A"/>
    <w:rsid w:val="00FE4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C651B"/>
  <w15:chartTrackingRefBased/>
  <w15:docId w15:val="{FB60D2E7-522C-48DF-904C-4B173E164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E73DDF"/>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paragraph" w:customStyle="1" w:styleId="xcontentpasted0">
    <w:name w:val="x_contentpasted0"/>
    <w:basedOn w:val="Normal"/>
    <w:rsid w:val="00E73DDF"/>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paragraph" w:styleId="NormalWeb">
    <w:name w:val="Normal (Web)"/>
    <w:basedOn w:val="Normal"/>
    <w:uiPriority w:val="99"/>
    <w:semiHidden/>
    <w:unhideWhenUsed/>
    <w:rsid w:val="003651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B0677"/>
    <w:rPr>
      <w:color w:val="0000FF"/>
      <w:u w:val="single"/>
    </w:rPr>
  </w:style>
  <w:style w:type="character" w:styleId="UnresolvedMention">
    <w:name w:val="Unresolved Mention"/>
    <w:basedOn w:val="DefaultParagraphFont"/>
    <w:uiPriority w:val="99"/>
    <w:semiHidden/>
    <w:unhideWhenUsed/>
    <w:rsid w:val="00DB0677"/>
    <w:rPr>
      <w:color w:val="605E5C"/>
      <w:shd w:val="clear" w:color="auto" w:fill="E1DFDD"/>
    </w:rPr>
  </w:style>
  <w:style w:type="character" w:styleId="Strong">
    <w:name w:val="Strong"/>
    <w:basedOn w:val="DefaultParagraphFont"/>
    <w:uiPriority w:val="22"/>
    <w:qFormat/>
    <w:rsid w:val="00463C8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955463">
      <w:bodyDiv w:val="1"/>
      <w:marLeft w:val="0"/>
      <w:marRight w:val="0"/>
      <w:marTop w:val="0"/>
      <w:marBottom w:val="0"/>
      <w:divBdr>
        <w:top w:val="none" w:sz="0" w:space="0" w:color="auto"/>
        <w:left w:val="none" w:sz="0" w:space="0" w:color="auto"/>
        <w:bottom w:val="none" w:sz="0" w:space="0" w:color="auto"/>
        <w:right w:val="none" w:sz="0" w:space="0" w:color="auto"/>
      </w:divBdr>
    </w:div>
    <w:div w:id="754321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cases-uk/british-railways-board-v-herrington-1972-1?crid=45aecb09-6d37-4866-adb7-edf22996b134&amp;pdproductcontenttypeid=urn:pct:285&amp;pdiskwicview=false&amp;pdpinpoint=" TargetMode="External"/><Relationship Id="rId13" Type="http://schemas.openxmlformats.org/officeDocument/2006/relationships/hyperlink" Target="https://www.legislation.gov.uk/ukpga/1984/3/contents" TargetMode="External"/><Relationship Id="rId18" Type="http://schemas.openxmlformats.org/officeDocument/2006/relationships/hyperlink" Target="https://plus-lexis-com.ezproxy.uwtsd.ac.uk/api/document/collection/cases-uk/id/4FXV-47T0-TWW4-213N-00000-00?cite=Tomlinson%20v%20Congleton%20Borough%20Council%2C%20%5B2003%5D%20UKHL%2047%2C%20%5B2004%5D%201%20AC%2046%2C%20%5B2003%5D%203%20All%20ER%201122%2C%20%5B2003%5D%203%20WLR%20705%2C%20%5B2003%5D%2034%20LS%20Gaz%20R%2033%2C%20%5B2003%5D%20NLJR%201238%2C%20%5B2003%5D%2032%20EGCS%2068%2C%20(2003)%20Times%2C%201%20August%2C%20147%20Sol%20Jo%20LB%20937%2C%20%5B2003%5D%20All%20ER%20(D)%20554%20(Jul)&amp;context=1001073"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Eliz2/5-6/31/contents" TargetMode="External"/><Relationship Id="rId17" Type="http://schemas.openxmlformats.org/officeDocument/2006/relationships/hyperlink" Target="https://plus-lexis-com.ezproxy.uwtsd.ac.uk/uk/practical-guidance-uk/occupiers-liability_2?crid=73ef3cd1-56e8-436f-bfb0-c67d017d8a27" TargetMode="External"/><Relationship Id="rId2" Type="http://schemas.openxmlformats.org/officeDocument/2006/relationships/customXml" Target="../customXml/item2.xml"/><Relationship Id="rId16" Type="http://schemas.openxmlformats.org/officeDocument/2006/relationships/hyperlink" Target="https://plus-lexis-com.ezproxy.uwtsd.ac.uk/uk/cases-uk/wheat-appellant-and-e-lacon-co-ltd-respondent_2?crid=ed857cff-40f4-447b-b169-7d2137d188b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uidance/a-guide-to-civil-mediation#what-is-mediation" TargetMode="External"/><Relationship Id="rId5" Type="http://schemas.openxmlformats.org/officeDocument/2006/relationships/styles" Target="styles.xml"/><Relationship Id="rId15" Type="http://schemas.openxmlformats.org/officeDocument/2006/relationships/hyperlink" Target="https://plus-lexis-com.ezproxy.uwtsd.ac.uk/uk/cases-uk/tomlinson-v-congleton-borough-council-and-ano_3?crid=773e49eb-26df-477e-8e9c-3203ec758678&amp;pdiskwicview=false" TargetMode="External"/><Relationship Id="rId10" Type="http://schemas.openxmlformats.org/officeDocument/2006/relationships/hyperlink" Target="https://plus-lexis-com.ezproxy.uwtsd.ac.uk/uk/cases-uk/marsden-representative-of-the-estate-of-marsd_3?crid=0770469f-0706-4e3e-8fcc-e37fa7bc9cd0&amp;pdiskwicview=false"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loud-platform-e218f50a4812967ba1215eaecede923f.s3.amazonaws.com/uploads/sites/30/2016/07/LC.-075-REPORT-ON-LIABILITY-FOR-DAMAGE-OR-INJURY-TO-TRESSPASSERS-AND-RELATED-QUESTIONS-OF-OCCUPIERS-LIABILITY.pdf" TargetMode="External"/><Relationship Id="rId14" Type="http://schemas.openxmlformats.org/officeDocument/2006/relationships/hyperlink" Target="https://plus-lexis-com.ezproxy.uwtsd.ac.uk/uk/cases-uk/rhind-v-astbury-water-park-ltd-and-another-?crid=762f668f-fc28-4daf-9240-2e8ae27d26ad&amp;pdiskwicview=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04bba224e801cc79edef9b5eadcd5ab1">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085440466e69737d27e99520925057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B25780-0916-4E2D-9703-EA7618F32E62}">
  <ds:schemaRefs>
    <ds:schemaRef ds:uri="http://schemas.microsoft.com/office/2006/documentManagement/types"/>
    <ds:schemaRef ds:uri="d8e79d84-78fb-44a9-92e9-d04bdd8f0359"/>
    <ds:schemaRef ds:uri="http://purl.org/dc/elements/1.1/"/>
    <ds:schemaRef ds:uri="http://purl.org/dc/terms/"/>
    <ds:schemaRef ds:uri="http://schemas.microsoft.com/office/infopath/2007/PartnerControls"/>
    <ds:schemaRef ds:uri="http://purl.org/dc/dcmitype/"/>
    <ds:schemaRef ds:uri="http://www.w3.org/XML/1998/namespace"/>
    <ds:schemaRef ds:uri="http://schemas.openxmlformats.org/package/2006/metadata/core-properties"/>
    <ds:schemaRef ds:uri="04c7059f-bde8-4ce9-bb0f-e52888740953"/>
    <ds:schemaRef ds:uri="http://schemas.microsoft.com/office/2006/metadata/properties"/>
  </ds:schemaRefs>
</ds:datastoreItem>
</file>

<file path=customXml/itemProps2.xml><?xml version="1.0" encoding="utf-8"?>
<ds:datastoreItem xmlns:ds="http://schemas.openxmlformats.org/officeDocument/2006/customXml" ds:itemID="{4901A432-401D-419E-A1F0-70C7C7CE009D}">
  <ds:schemaRefs>
    <ds:schemaRef ds:uri="http://schemas.microsoft.com/sharepoint/v3/contenttype/forms"/>
  </ds:schemaRefs>
</ds:datastoreItem>
</file>

<file path=customXml/itemProps3.xml><?xml version="1.0" encoding="utf-8"?>
<ds:datastoreItem xmlns:ds="http://schemas.openxmlformats.org/officeDocument/2006/customXml" ds:itemID="{DC7FFEA5-68CE-4742-AA15-63D346E480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2588</Words>
  <Characters>14752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Alexandra Olivia Emery (2224078)</dc:creator>
  <cp:keywords/>
  <dc:description/>
  <cp:lastModifiedBy>Phoebe Alexandra Olivia Emery (2224078)</cp:lastModifiedBy>
  <cp:revision>2</cp:revision>
  <dcterms:created xsi:type="dcterms:W3CDTF">2023-11-08T21:24:00Z</dcterms:created>
  <dcterms:modified xsi:type="dcterms:W3CDTF">2023-11-08T21:24:00Z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