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b w:val="1"/>
          <w:u w:val="single"/>
          <w:rtl w:val="0"/>
        </w:rPr>
        <w:t xml:space="preserve">How useful is the Bayeux Tapestry as a source for the events surrounding the Norman invasion of England? </w:t>
      </w:r>
      <w:r w:rsidDel="00000000" w:rsidR="00000000" w:rsidRPr="00000000">
        <w:rPr>
          <w:rtl w:val="0"/>
        </w:rPr>
        <w:t xml:space="preserve">(2500 words)</w:t>
      </w:r>
    </w:p>
    <w:p w:rsidR="00000000" w:rsidDel="00000000" w:rsidP="00000000" w:rsidRDefault="00000000" w:rsidRPr="00000000" w14:paraId="00000002">
      <w:pPr>
        <w:rPr/>
      </w:pPr>
      <w:r w:rsidDel="00000000" w:rsidR="00000000" w:rsidRPr="00000000">
        <w:rPr>
          <w:rtl w:val="0"/>
        </w:rPr>
        <w:t xml:space="preserve">The Bayeux tapestry is a remarkable embroidered cloth commissioned around 1077</w:t>
      </w:r>
      <w:r w:rsidDel="00000000" w:rsidR="00000000" w:rsidRPr="00000000">
        <w:rPr>
          <w:vertAlign w:val="superscript"/>
        </w:rPr>
        <w:footnoteReference w:customMarkFollows="0" w:id="0"/>
      </w:r>
      <w:r w:rsidDel="00000000" w:rsidR="00000000" w:rsidRPr="00000000">
        <w:rPr>
          <w:rtl w:val="0"/>
        </w:rPr>
        <w:t xml:space="preserve">, depicting the events surrounding and the Norman’s success at the battle of Hastings in 1066 where at its end the English forces fled, though missing its end after the English fled</w:t>
      </w:r>
      <w:r w:rsidDel="00000000" w:rsidR="00000000" w:rsidRPr="00000000">
        <w:rPr>
          <w:vertAlign w:val="superscript"/>
        </w:rPr>
        <w:footnoteReference w:customMarkFollows="0" w:id="1"/>
      </w:r>
      <w:r w:rsidDel="00000000" w:rsidR="00000000" w:rsidRPr="00000000">
        <w:rPr>
          <w:rtl w:val="0"/>
        </w:rPr>
        <w:t xml:space="preserve">. It is especially notable for being an unprecedented look into 11th century, providing details on architecture, arms and armaments, etc. However, its usefulness as a source for the events surrounding the Norman invasion of England is in doubt.</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spacing w:line="259" w:lineRule="auto"/>
        <w:rPr/>
      </w:pPr>
      <w:r w:rsidDel="00000000" w:rsidR="00000000" w:rsidRPr="00000000">
        <w:rPr>
          <w:rtl w:val="0"/>
        </w:rPr>
        <w:t xml:space="preserve">The Norman conquest of England took place in 1066; however, it was preceded by events that led to it much earlier than that. The reign of the last Anglo-Saxon king Edward the Confessor</w:t>
      </w:r>
      <w:r w:rsidDel="00000000" w:rsidR="00000000" w:rsidRPr="00000000">
        <w:rPr>
          <w:vertAlign w:val="superscript"/>
        </w:rPr>
        <w:footnoteReference w:customMarkFollows="0" w:id="2"/>
      </w:r>
      <w:r w:rsidDel="00000000" w:rsidR="00000000" w:rsidRPr="00000000">
        <w:rPr>
          <w:rtl w:val="0"/>
        </w:rPr>
        <w:t xml:space="preserve"> was marked by a childless marriage which put succession into question, a question Edward utilised by promising the throne to a number of different people</w:t>
      </w:r>
      <w:r w:rsidDel="00000000" w:rsidR="00000000" w:rsidRPr="00000000">
        <w:rPr>
          <w:vertAlign w:val="superscript"/>
        </w:rPr>
        <w:footnoteReference w:customMarkFollows="0" w:id="3"/>
      </w:r>
      <w:r w:rsidDel="00000000" w:rsidR="00000000" w:rsidRPr="00000000">
        <w:rPr>
          <w:rtl w:val="0"/>
        </w:rPr>
        <w:t xml:space="preserve"> such as Harold Goodwinson, the earl of Wessex, who later became Harold II, as well as William of Normandy who Edward was likely to have named his successor sometime around 1051</w:t>
      </w:r>
      <w:r w:rsidDel="00000000" w:rsidR="00000000" w:rsidRPr="00000000">
        <w:rPr>
          <w:vertAlign w:val="superscript"/>
        </w:rPr>
        <w:footnoteReference w:customMarkFollows="0" w:id="4"/>
      </w:r>
      <w:r w:rsidDel="00000000" w:rsidR="00000000" w:rsidRPr="00000000">
        <w:rPr>
          <w:rtl w:val="0"/>
        </w:rPr>
        <w:t xml:space="preserve">. In 1066, on his deathbed, Edward the Confessor named Harold his heir, who was crowned the next day</w:t>
      </w:r>
      <w:r w:rsidDel="00000000" w:rsidR="00000000" w:rsidRPr="00000000">
        <w:rPr>
          <w:vertAlign w:val="superscript"/>
        </w:rPr>
        <w:footnoteReference w:customMarkFollows="0" w:id="5"/>
      </w:r>
      <w:r w:rsidDel="00000000" w:rsidR="00000000" w:rsidRPr="00000000">
        <w:rPr>
          <w:rtl w:val="0"/>
        </w:rPr>
        <w:t xml:space="preserve">.</w:t>
      </w:r>
    </w:p>
    <w:p w:rsidR="00000000" w:rsidDel="00000000" w:rsidP="00000000" w:rsidRDefault="00000000" w:rsidRPr="00000000" w14:paraId="00000005">
      <w:pPr>
        <w:spacing w:line="259" w:lineRule="auto"/>
        <w:rPr/>
      </w:pPr>
      <w:r w:rsidDel="00000000" w:rsidR="00000000" w:rsidRPr="00000000">
        <w:rPr>
          <w:rtl w:val="0"/>
        </w:rPr>
      </w:r>
    </w:p>
    <w:p w:rsidR="00000000" w:rsidDel="00000000" w:rsidP="00000000" w:rsidRDefault="00000000" w:rsidRPr="00000000" w14:paraId="00000006">
      <w:pPr>
        <w:spacing w:line="259" w:lineRule="auto"/>
        <w:rPr/>
      </w:pPr>
      <w:r w:rsidDel="00000000" w:rsidR="00000000" w:rsidRPr="00000000">
        <w:rPr>
          <w:rtl w:val="0"/>
        </w:rPr>
        <w:t xml:space="preserve">His position was a delicate one, however; his brother Tostig, in exile, raided England’s southern and eastern coasts</w:t>
      </w:r>
      <w:r w:rsidDel="00000000" w:rsidR="00000000" w:rsidRPr="00000000">
        <w:rPr>
          <w:vertAlign w:val="superscript"/>
        </w:rPr>
        <w:footnoteReference w:customMarkFollows="0" w:id="6"/>
      </w:r>
      <w:r w:rsidDel="00000000" w:rsidR="00000000" w:rsidRPr="00000000">
        <w:rPr>
          <w:rtl w:val="0"/>
        </w:rPr>
        <w:t xml:space="preserve">, and later joined forces with Harold III</w:t>
      </w:r>
      <w:r w:rsidDel="00000000" w:rsidR="00000000" w:rsidRPr="00000000">
        <w:rPr>
          <w:vertAlign w:val="superscript"/>
        </w:rPr>
        <w:footnoteReference w:customMarkFollows="0" w:id="7"/>
      </w:r>
      <w:r w:rsidDel="00000000" w:rsidR="00000000" w:rsidRPr="00000000">
        <w:rPr>
          <w:rtl w:val="0"/>
        </w:rPr>
        <w:t xml:space="preserve">, which required Harold II to keep his militia on guard until September, when his men were required in the fields for the harvest, and the loss of supplies</w:t>
      </w:r>
      <w:r w:rsidDel="00000000" w:rsidR="00000000" w:rsidRPr="00000000">
        <w:rPr>
          <w:vertAlign w:val="superscript"/>
        </w:rPr>
        <w:footnoteReference w:customMarkFollows="0" w:id="8"/>
      </w:r>
      <w:r w:rsidDel="00000000" w:rsidR="00000000" w:rsidRPr="00000000">
        <w:rPr>
          <w:rtl w:val="0"/>
        </w:rPr>
        <w:t xml:space="preserve">, which left England Vulnerable. Harold had also allegedly sworn an oath to defend William’s claim to the throne in 1064</w:t>
      </w:r>
      <w:r w:rsidDel="00000000" w:rsidR="00000000" w:rsidRPr="00000000">
        <w:rPr>
          <w:vertAlign w:val="superscript"/>
        </w:rPr>
        <w:footnoteReference w:customMarkFollows="0" w:id="9"/>
      </w:r>
      <w:r w:rsidDel="00000000" w:rsidR="00000000" w:rsidRPr="00000000">
        <w:rPr>
          <w:rtl w:val="0"/>
        </w:rPr>
        <w:t xml:space="preserve">.</w:t>
      </w:r>
    </w:p>
    <w:p w:rsidR="00000000" w:rsidDel="00000000" w:rsidP="00000000" w:rsidRDefault="00000000" w:rsidRPr="00000000" w14:paraId="00000007">
      <w:pPr>
        <w:spacing w:line="259" w:lineRule="auto"/>
        <w:rPr/>
      </w:pPr>
      <w:r w:rsidDel="00000000" w:rsidR="00000000" w:rsidRPr="00000000">
        <w:rPr>
          <w:rtl w:val="0"/>
        </w:rPr>
      </w:r>
    </w:p>
    <w:p w:rsidR="00000000" w:rsidDel="00000000" w:rsidP="00000000" w:rsidRDefault="00000000" w:rsidRPr="00000000" w14:paraId="00000008">
      <w:pPr>
        <w:spacing w:line="259" w:lineRule="auto"/>
        <w:rPr/>
      </w:pPr>
      <w:r w:rsidDel="00000000" w:rsidR="00000000" w:rsidRPr="00000000">
        <w:rPr>
          <w:rtl w:val="0"/>
        </w:rPr>
        <w:t xml:space="preserve">Prior to William’s conquest Tostig and Harold III attempted and were killed during their attempt at an invasion in the north, both losing their lives at Stamford bridge where Harold II emerged victorious</w:t>
      </w:r>
      <w:r w:rsidDel="00000000" w:rsidR="00000000" w:rsidRPr="00000000">
        <w:rPr>
          <w:vertAlign w:val="superscript"/>
        </w:rPr>
        <w:footnoteReference w:customMarkFollows="0" w:id="10"/>
      </w:r>
      <w:r w:rsidDel="00000000" w:rsidR="00000000" w:rsidRPr="00000000">
        <w:rPr>
          <w:rtl w:val="0"/>
        </w:rPr>
        <w:t xml:space="preserve">. Throughout this William secured support from both the papacy and the Norman aristocracy, and had amassed a force of around 4000 to 7000 men, consisting of both knights and foot soldiers</w:t>
      </w:r>
      <w:r w:rsidDel="00000000" w:rsidR="00000000" w:rsidRPr="00000000">
        <w:rPr>
          <w:vertAlign w:val="superscript"/>
        </w:rPr>
        <w:footnoteReference w:customMarkFollows="0" w:id="11"/>
      </w:r>
      <w:r w:rsidDel="00000000" w:rsidR="00000000" w:rsidRPr="00000000">
        <w:rPr>
          <w:rtl w:val="0"/>
        </w:rPr>
        <w:t xml:space="preserve">. While his invasion initally had to be delayed due to poor sailing weather, favourable winds allowed he and his forces to set sail and they landed in Pevensey as soon as was possible</w:t>
      </w:r>
      <w:r w:rsidDel="00000000" w:rsidR="00000000" w:rsidRPr="00000000">
        <w:rPr>
          <w:vertAlign w:val="superscript"/>
        </w:rPr>
        <w:footnoteReference w:customMarkFollows="0" w:id="12"/>
      </w:r>
      <w:r w:rsidDel="00000000" w:rsidR="00000000" w:rsidRPr="00000000">
        <w:rPr>
          <w:rtl w:val="0"/>
        </w:rPr>
        <w:t xml:space="preserve">, immediately marching onwards to Hastings - there Harold met him with a force of over 7000 men</w:t>
      </w:r>
      <w:r w:rsidDel="00000000" w:rsidR="00000000" w:rsidRPr="00000000">
        <w:rPr>
          <w:vertAlign w:val="superscript"/>
        </w:rPr>
        <w:footnoteReference w:customMarkFollows="0" w:id="13"/>
      </w:r>
      <w:r w:rsidDel="00000000" w:rsidR="00000000" w:rsidRPr="00000000">
        <w:rPr>
          <w:rtl w:val="0"/>
        </w:rPr>
        <w:t xml:space="preserve">, the two meeting in battle the morning of the next day.</w:t>
      </w:r>
    </w:p>
    <w:p w:rsidR="00000000" w:rsidDel="00000000" w:rsidP="00000000" w:rsidRDefault="00000000" w:rsidRPr="00000000" w14:paraId="00000009">
      <w:pPr>
        <w:spacing w:line="259" w:lineRule="auto"/>
        <w:rPr/>
      </w:pPr>
      <w:r w:rsidDel="00000000" w:rsidR="00000000" w:rsidRPr="00000000">
        <w:rPr>
          <w:rtl w:val="0"/>
        </w:rPr>
      </w:r>
    </w:p>
    <w:p w:rsidR="00000000" w:rsidDel="00000000" w:rsidP="00000000" w:rsidRDefault="00000000" w:rsidRPr="00000000" w14:paraId="0000000A">
      <w:pPr>
        <w:spacing w:line="259" w:lineRule="auto"/>
        <w:rPr/>
      </w:pPr>
      <w:r w:rsidDel="00000000" w:rsidR="00000000" w:rsidRPr="00000000">
        <w:rPr>
          <w:rtl w:val="0"/>
        </w:rPr>
        <w:t xml:space="preserve">Harold’s infantry initially holding under the Norman assault, Harold’s forces were worn down until in the afternoon when Harold was killed, supposedly by an arrow to the eye</w:t>
      </w:r>
      <w:r w:rsidDel="00000000" w:rsidR="00000000" w:rsidRPr="00000000">
        <w:rPr>
          <w:vertAlign w:val="superscript"/>
        </w:rPr>
        <w:footnoteReference w:customMarkFollows="0" w:id="14"/>
      </w:r>
      <w:r w:rsidDel="00000000" w:rsidR="00000000" w:rsidRPr="00000000">
        <w:rPr>
          <w:rtl w:val="0"/>
        </w:rPr>
        <w:t xml:space="preserve">. By nightfall the Harold’s remaining English forces scattered, which allowed William to continue on to London</w:t>
      </w:r>
      <w:r w:rsidDel="00000000" w:rsidR="00000000" w:rsidRPr="00000000">
        <w:rPr>
          <w:vertAlign w:val="superscript"/>
        </w:rPr>
        <w:footnoteReference w:customMarkFollows="0" w:id="15"/>
      </w:r>
      <w:r w:rsidDel="00000000" w:rsidR="00000000" w:rsidRPr="00000000">
        <w:rPr>
          <w:rtl w:val="0"/>
        </w:rPr>
        <w:t xml:space="preserve">. At Berkhamstead the major English leaders, the high ranking nobles and clergy, submitted to him, William then being crowned in Westminster Abbey</w:t>
      </w:r>
      <w:r w:rsidDel="00000000" w:rsidR="00000000" w:rsidRPr="00000000">
        <w:rPr>
          <w:vertAlign w:val="superscript"/>
        </w:rPr>
        <w:footnoteReference w:customMarkFollows="0" w:id="16"/>
      </w:r>
      <w:r w:rsidDel="00000000" w:rsidR="00000000" w:rsidRPr="00000000">
        <w:rPr>
          <w:rtl w:val="0"/>
        </w:rPr>
        <w:t xml:space="preserve">.</w:t>
      </w:r>
    </w:p>
    <w:p w:rsidR="00000000" w:rsidDel="00000000" w:rsidP="00000000" w:rsidRDefault="00000000" w:rsidRPr="00000000" w14:paraId="0000000B">
      <w:pPr>
        <w:spacing w:line="259" w:lineRule="auto"/>
        <w:rPr/>
      </w:pPr>
      <w:r w:rsidDel="00000000" w:rsidR="00000000" w:rsidRPr="00000000">
        <w:rPr>
          <w:rtl w:val="0"/>
        </w:rPr>
      </w:r>
    </w:p>
    <w:p w:rsidR="00000000" w:rsidDel="00000000" w:rsidP="00000000" w:rsidRDefault="00000000" w:rsidRPr="00000000" w14:paraId="0000000C">
      <w:pPr>
        <w:spacing w:line="259" w:lineRule="auto"/>
        <w:rPr/>
      </w:pPr>
      <w:r w:rsidDel="00000000" w:rsidR="00000000" w:rsidRPr="00000000">
        <w:rPr>
          <w:rtl w:val="0"/>
        </w:rPr>
        <w:t xml:space="preserve">Described as “a masterpiece of 11th century Romanesque art”</w:t>
      </w:r>
      <w:r w:rsidDel="00000000" w:rsidR="00000000" w:rsidRPr="00000000">
        <w:rPr>
          <w:vertAlign w:val="superscript"/>
        </w:rPr>
        <w:footnoteReference w:customMarkFollows="0" w:id="17"/>
      </w:r>
      <w:r w:rsidDel="00000000" w:rsidR="00000000" w:rsidRPr="00000000">
        <w:rPr>
          <w:rtl w:val="0"/>
        </w:rPr>
        <w:t xml:space="preserve"> the Bayeux Tapestry is an embroidered sheet of cloth depicting the events surrounding and the battle of the Norman conquest of England</w:t>
      </w:r>
      <w:r w:rsidDel="00000000" w:rsidR="00000000" w:rsidRPr="00000000">
        <w:rPr>
          <w:vertAlign w:val="superscript"/>
        </w:rPr>
        <w:footnoteReference w:customMarkFollows="0" w:id="18"/>
      </w:r>
      <w:r w:rsidDel="00000000" w:rsidR="00000000" w:rsidRPr="00000000">
        <w:rPr>
          <w:rtl w:val="0"/>
        </w:rPr>
        <w:t xml:space="preserve">. Although the Norman conquerors generally disdained the Anglo-Saxons and their language and culture, demolishing the English churches, they made an exception for English embroidery which at this time was well-renowned</w:t>
      </w:r>
      <w:r w:rsidDel="00000000" w:rsidR="00000000" w:rsidRPr="00000000">
        <w:rPr>
          <w:vertAlign w:val="superscript"/>
        </w:rPr>
        <w:footnoteReference w:customMarkFollows="0" w:id="19"/>
      </w:r>
      <w:r w:rsidDel="00000000" w:rsidR="00000000" w:rsidRPr="00000000">
        <w:rPr>
          <w:rtl w:val="0"/>
        </w:rPr>
        <w:t xml:space="preserve">, with William of Poitiers noting English women for their use of gold thread and a number of written sources attesting to the use of English embroideries utilising jewels and gold thread, though those sorts of fine materials are missing in the Bayeux Tapestry</w:t>
      </w:r>
      <w:r w:rsidDel="00000000" w:rsidR="00000000" w:rsidRPr="00000000">
        <w:rPr>
          <w:vertAlign w:val="superscript"/>
        </w:rPr>
        <w:footnoteReference w:customMarkFollows="0" w:id="20"/>
      </w:r>
      <w:r w:rsidDel="00000000" w:rsidR="00000000" w:rsidRPr="00000000">
        <w:rPr>
          <w:rtl w:val="0"/>
        </w:rPr>
        <w:t xml:space="preserve">. While there was embroidery evident among the Norman and French, there is a great deal more accumulated evidence for the quality and quantity of English work, which makes it likely that the Bayeux Tapestry was created by English women</w:t>
      </w:r>
      <w:r w:rsidDel="00000000" w:rsidR="00000000" w:rsidRPr="00000000">
        <w:rPr>
          <w:vertAlign w:val="superscript"/>
        </w:rPr>
        <w:footnoteReference w:customMarkFollows="0" w:id="21"/>
      </w:r>
      <w:r w:rsidDel="00000000" w:rsidR="00000000" w:rsidRPr="00000000">
        <w:rPr>
          <w:rtl w:val="0"/>
        </w:rPr>
        <w:t xml:space="preserve">.</w:t>
      </w:r>
    </w:p>
    <w:p w:rsidR="00000000" w:rsidDel="00000000" w:rsidP="00000000" w:rsidRDefault="00000000" w:rsidRPr="00000000" w14:paraId="0000000D">
      <w:pPr>
        <w:spacing w:line="259" w:lineRule="auto"/>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Spending roughly seven centuries in the Treasury of Bayeux cathedral before being relocated to a number of different areas</w:t>
      </w:r>
      <w:r w:rsidDel="00000000" w:rsidR="00000000" w:rsidRPr="00000000">
        <w:rPr>
          <w:vertAlign w:val="superscript"/>
        </w:rPr>
        <w:footnoteReference w:customMarkFollows="0" w:id="22"/>
      </w:r>
      <w:r w:rsidDel="00000000" w:rsidR="00000000" w:rsidRPr="00000000">
        <w:rPr>
          <w:rtl w:val="0"/>
        </w:rPr>
        <w:t xml:space="preserve">, often at risk and on some occasions becoming damaged</w:t>
      </w:r>
      <w:r w:rsidDel="00000000" w:rsidR="00000000" w:rsidRPr="00000000">
        <w:rPr>
          <w:vertAlign w:val="superscript"/>
        </w:rPr>
        <w:footnoteReference w:customMarkFollows="0" w:id="23"/>
      </w:r>
      <w:r w:rsidDel="00000000" w:rsidR="00000000" w:rsidRPr="00000000">
        <w:rPr>
          <w:rtl w:val="0"/>
        </w:rPr>
        <w:t xml:space="preserve">, the Bayeux Tapestry came to rest in 1983 at the former Seminary of Bayeux, where it remains on display</w:t>
      </w:r>
      <w:r w:rsidDel="00000000" w:rsidR="00000000" w:rsidRPr="00000000">
        <w:rPr>
          <w:vertAlign w:val="superscript"/>
        </w:rPr>
        <w:footnoteReference w:customMarkFollows="0" w:id="24"/>
      </w:r>
      <w:r w:rsidDel="00000000" w:rsidR="00000000" w:rsidRPr="00000000">
        <w:rPr>
          <w:rtl w:val="0"/>
        </w:rPr>
        <w:t xml:space="preserve">. Likely commissioned in 1077 by William the Conqueror’s half-brother Bishop Odo in order to decorate his cathedral at Bayeux</w:t>
      </w:r>
      <w:r w:rsidDel="00000000" w:rsidR="00000000" w:rsidRPr="00000000">
        <w:rPr>
          <w:vertAlign w:val="superscript"/>
        </w:rPr>
        <w:footnoteReference w:customMarkFollows="0" w:id="25"/>
      </w:r>
      <w:r w:rsidDel="00000000" w:rsidR="00000000" w:rsidRPr="00000000">
        <w:rPr>
          <w:rtl w:val="0"/>
        </w:rPr>
        <w:t xml:space="preserve">, it depicts the story of Edward the Confessor instructing Harold Goodwinson to travel to and offer William the English throne on Edward’s death, Harold instead crowning himself, and the battle at Hastings where the tapestry, though missing its end, ending the story with the English fleeing at the end of battle</w:t>
      </w:r>
      <w:r w:rsidDel="00000000" w:rsidR="00000000" w:rsidRPr="00000000">
        <w:rPr>
          <w:vertAlign w:val="superscript"/>
        </w:rPr>
        <w:footnoteReference w:customMarkFollows="0" w:id="26"/>
      </w:r>
      <w:r w:rsidDel="00000000" w:rsidR="00000000" w:rsidRPr="00000000">
        <w:rPr>
          <w:rtl w:val="0"/>
        </w:rPr>
        <w:t xml:space="preserve">.</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[The Bayeux Tapestry is an account of the medieval period in Normandy and England like no other. It provides information about civil and military architecture such as castle mounds, armour consisting of a nasal helmet, hauberk and oblong shield and seafaring in the Viking tradition. Through the great number of items depicted, it also gives precious details of everyday life in the 11</w:t>
      </w:r>
      <w:r w:rsidDel="00000000" w:rsidR="00000000" w:rsidRPr="00000000">
        <w:rPr>
          <w:vertAlign w:val="superscript"/>
          <w:rtl w:val="0"/>
        </w:rPr>
        <w:t xml:space="preserve">th</w:t>
      </w:r>
      <w:r w:rsidDel="00000000" w:rsidR="00000000" w:rsidRPr="00000000">
        <w:rPr>
          <w:rtl w:val="0"/>
        </w:rPr>
        <w:t xml:space="preserve"> century.</w:t>
      </w:r>
      <w:r w:rsidDel="00000000" w:rsidR="00000000" w:rsidRPr="00000000">
        <w:rPr>
          <w:vertAlign w:val="superscript"/>
        </w:rPr>
        <w:footnoteReference w:customMarkFollows="0" w:id="27"/>
      </w:r>
      <w:r w:rsidDel="00000000" w:rsidR="00000000" w:rsidRPr="00000000">
        <w:rPr>
          <w:rtl w:val="0"/>
        </w:rPr>
        <w:t xml:space="preserve">]</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Analysis - </w:t>
      </w:r>
      <w:hyperlink r:id="rId7">
        <w:r w:rsidDel="00000000" w:rsidR="00000000" w:rsidRPr="00000000">
          <w:rPr>
            <w:color w:val="1155cc"/>
            <w:u w:val="single"/>
            <w:rtl w:val="0"/>
          </w:rPr>
          <w:t xml:space="preserve">https://en.wikipedia.org/wiki/Bayeux_Tapestry#Reliability</w:t>
        </w:r>
      </w:hyperlink>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Conclusion - not reliable as an event-by-event historical record, but is an unprecedented visual representation of the arms and armaments and clothing.</w:t>
      </w:r>
    </w:p>
    <w:p w:rsidR="00000000" w:rsidDel="00000000" w:rsidP="00000000" w:rsidRDefault="00000000" w:rsidRPr="00000000" w14:paraId="00000015">
      <w:pPr>
        <w:rPr/>
      </w:pPr>
      <w:r w:rsidDel="00000000" w:rsidR="00000000" w:rsidRPr="00000000">
        <w:br w:type="page"/>
      </w:r>
      <w:r w:rsidDel="00000000" w:rsidR="00000000" w:rsidRPr="00000000">
        <w:rPr>
          <w:rtl w:val="0"/>
        </w:rPr>
      </w:r>
    </w:p>
    <w:p w:rsidR="00000000" w:rsidDel="00000000" w:rsidP="00000000" w:rsidRDefault="00000000" w:rsidRPr="00000000" w14:paraId="00000016">
      <w:pPr>
        <w:rPr/>
      </w:pPr>
      <w:r w:rsidDel="00000000" w:rsidR="00000000" w:rsidRPr="00000000">
        <w:rPr>
          <w:b w:val="1"/>
          <w:rtl w:val="0"/>
        </w:rPr>
        <w:t xml:space="preserve">Bibliography</w:t>
      </w:r>
      <w:r w:rsidDel="00000000" w:rsidR="00000000" w:rsidRPr="00000000">
        <w:rPr>
          <w:rtl w:val="0"/>
        </w:rPr>
      </w:r>
    </w:p>
    <w:p w:rsidR="00000000" w:rsidDel="00000000" w:rsidP="00000000" w:rsidRDefault="00000000" w:rsidRPr="00000000" w14:paraId="00000017">
      <w:pPr>
        <w:numPr>
          <w:ilvl w:val="0"/>
          <w:numId w:val="1"/>
        </w:numPr>
        <w:spacing w:line="259" w:lineRule="auto"/>
        <w:ind w:left="720" w:hanging="360"/>
      </w:pPr>
      <w:r w:rsidDel="00000000" w:rsidR="00000000" w:rsidRPr="00000000">
        <w:rPr>
          <w:rtl w:val="0"/>
        </w:rPr>
        <w:t xml:space="preserve">Britannica(2019), </w:t>
      </w:r>
      <w:r w:rsidDel="00000000" w:rsidR="00000000" w:rsidRPr="00000000">
        <w:rPr>
          <w:i w:val="1"/>
          <w:rtl w:val="0"/>
        </w:rPr>
        <w:t xml:space="preserve">Norman Conquest</w:t>
      </w:r>
      <w:r w:rsidDel="00000000" w:rsidR="00000000" w:rsidRPr="00000000">
        <w:rPr>
          <w:rtl w:val="0"/>
        </w:rPr>
        <w:t xml:space="preserve">, Encyclopedia Britannica, Accessed: 26/4/21, Available at: </w:t>
      </w:r>
      <w:hyperlink r:id="rId8">
        <w:r w:rsidDel="00000000" w:rsidR="00000000" w:rsidRPr="00000000">
          <w:rPr>
            <w:color w:val="1155cc"/>
            <w:u w:val="single"/>
            <w:rtl w:val="0"/>
          </w:rPr>
          <w:t xml:space="preserve">https://www.britannica.com/event/Norman-Conquest</w:t>
        </w:r>
      </w:hyperlink>
      <w:r w:rsidDel="00000000" w:rsidR="00000000" w:rsidRPr="00000000">
        <w:rPr>
          <w:rtl w:val="0"/>
        </w:rPr>
      </w:r>
    </w:p>
    <w:p w:rsidR="00000000" w:rsidDel="00000000" w:rsidP="00000000" w:rsidRDefault="00000000" w:rsidRPr="00000000" w14:paraId="00000018">
      <w:pPr>
        <w:numPr>
          <w:ilvl w:val="0"/>
          <w:numId w:val="1"/>
        </w:numPr>
        <w:spacing w:line="259" w:lineRule="auto"/>
        <w:ind w:left="720" w:hanging="360"/>
      </w:pPr>
      <w:r w:rsidDel="00000000" w:rsidR="00000000" w:rsidRPr="00000000">
        <w:rPr>
          <w:rtl w:val="0"/>
        </w:rPr>
        <w:t xml:space="preserve">Brain, J (n.d), </w:t>
      </w:r>
      <w:r w:rsidDel="00000000" w:rsidR="00000000" w:rsidRPr="00000000">
        <w:rPr>
          <w:i w:val="1"/>
          <w:rtl w:val="0"/>
        </w:rPr>
        <w:t xml:space="preserve">Rochester Castle</w:t>
      </w:r>
      <w:r w:rsidDel="00000000" w:rsidR="00000000" w:rsidRPr="00000000">
        <w:rPr>
          <w:rtl w:val="0"/>
        </w:rPr>
        <w:t xml:space="preserve">, Accessed: 28/4/21, Available at: </w:t>
      </w:r>
      <w:hyperlink r:id="rId9">
        <w:r w:rsidDel="00000000" w:rsidR="00000000" w:rsidRPr="00000000">
          <w:rPr>
            <w:color w:val="1155cc"/>
            <w:u w:val="single"/>
            <w:rtl w:val="0"/>
          </w:rPr>
          <w:t xml:space="preserve">https://www.historic-uk.com/HistoryMagazine/DestinationsUK/Rochester-Castle/</w:t>
        </w:r>
      </w:hyperlink>
      <w:r w:rsidDel="00000000" w:rsidR="00000000" w:rsidRPr="00000000">
        <w:rPr>
          <w:rtl w:val="0"/>
        </w:rPr>
      </w:r>
    </w:p>
    <w:p w:rsidR="00000000" w:rsidDel="00000000" w:rsidP="00000000" w:rsidRDefault="00000000" w:rsidRPr="00000000" w14:paraId="00000019">
      <w:pPr>
        <w:numPr>
          <w:ilvl w:val="0"/>
          <w:numId w:val="1"/>
        </w:numPr>
        <w:ind w:left="720" w:hanging="360"/>
        <w:rPr>
          <w:u w:val="none"/>
        </w:rPr>
      </w:pPr>
      <w:r w:rsidDel="00000000" w:rsidR="00000000" w:rsidRPr="00000000">
        <w:rPr>
          <w:rtl w:val="0"/>
        </w:rPr>
        <w:t xml:space="preserve">Bayeux Museum (n.d a), </w:t>
      </w:r>
      <w:r w:rsidDel="00000000" w:rsidR="00000000" w:rsidRPr="00000000">
        <w:rPr>
          <w:i w:val="1"/>
          <w:rtl w:val="0"/>
        </w:rPr>
        <w:t xml:space="preserve">What Is The Bayeux Tapestry About?</w:t>
      </w:r>
      <w:r w:rsidDel="00000000" w:rsidR="00000000" w:rsidRPr="00000000">
        <w:rPr>
          <w:rtl w:val="0"/>
        </w:rPr>
        <w:t xml:space="preserve">, Accessed: 29/4/21, Available at: </w:t>
      </w:r>
      <w:hyperlink r:id="rId10">
        <w:r w:rsidDel="00000000" w:rsidR="00000000" w:rsidRPr="00000000">
          <w:rPr>
            <w:color w:val="1155cc"/>
            <w:u w:val="single"/>
            <w:rtl w:val="0"/>
          </w:rPr>
          <w:t xml:space="preserve">https://www.bayeuxmuseum.com/en/the-bayeux-tapestry/discover-the-bayeux-tapestry/what-is-the-bayeux-tapestry-about/</w:t>
        </w:r>
      </w:hyperlink>
      <w:r w:rsidDel="00000000" w:rsidR="00000000" w:rsidRPr="00000000">
        <w:rPr>
          <w:rtl w:val="0"/>
        </w:rPr>
      </w:r>
    </w:p>
    <w:p w:rsidR="00000000" w:rsidDel="00000000" w:rsidP="00000000" w:rsidRDefault="00000000" w:rsidRPr="00000000" w14:paraId="0000001A">
      <w:pPr>
        <w:numPr>
          <w:ilvl w:val="0"/>
          <w:numId w:val="1"/>
        </w:numPr>
        <w:ind w:left="720" w:hanging="360"/>
        <w:rPr>
          <w:u w:val="none"/>
        </w:rPr>
      </w:pPr>
      <w:r w:rsidDel="00000000" w:rsidR="00000000" w:rsidRPr="00000000">
        <w:rPr>
          <w:rtl w:val="0"/>
        </w:rPr>
        <w:t xml:space="preserve">Bayeux Museum (n.d b), </w:t>
      </w:r>
      <w:r w:rsidDel="00000000" w:rsidR="00000000" w:rsidRPr="00000000">
        <w:rPr>
          <w:i w:val="1"/>
          <w:rtl w:val="0"/>
        </w:rPr>
        <w:t xml:space="preserve">The Bayeux Tapestry Over The Centuries</w:t>
      </w:r>
      <w:r w:rsidDel="00000000" w:rsidR="00000000" w:rsidRPr="00000000">
        <w:rPr>
          <w:rtl w:val="0"/>
        </w:rPr>
        <w:t xml:space="preserve">, Accessed: 29/4/21, Available at: </w:t>
      </w:r>
      <w:hyperlink r:id="rId11">
        <w:r w:rsidDel="00000000" w:rsidR="00000000" w:rsidRPr="00000000">
          <w:rPr>
            <w:color w:val="1155cc"/>
            <w:u w:val="single"/>
            <w:rtl w:val="0"/>
          </w:rPr>
          <w:t xml:space="preserve">https://www.bayeuxmuseum.com/en/the-bayeux-tapestry/over-the-centuries/</w:t>
        </w:r>
      </w:hyperlink>
      <w:r w:rsidDel="00000000" w:rsidR="00000000" w:rsidRPr="00000000">
        <w:rPr>
          <w:rtl w:val="0"/>
        </w:rPr>
      </w:r>
    </w:p>
    <w:p w:rsidR="00000000" w:rsidDel="00000000" w:rsidP="00000000" w:rsidRDefault="00000000" w:rsidRPr="00000000" w14:paraId="0000001B">
      <w:pPr>
        <w:numPr>
          <w:ilvl w:val="0"/>
          <w:numId w:val="1"/>
        </w:numPr>
        <w:ind w:left="720" w:hanging="360"/>
        <w:rPr>
          <w:u w:val="none"/>
        </w:rPr>
      </w:pPr>
      <w:r w:rsidDel="00000000" w:rsidR="00000000" w:rsidRPr="00000000">
        <w:rPr>
          <w:rtl w:val="0"/>
        </w:rPr>
        <w:t xml:space="preserve">Beidgeford, A (2006), </w:t>
      </w:r>
      <w:r w:rsidDel="00000000" w:rsidR="00000000" w:rsidRPr="00000000">
        <w:rPr>
          <w:i w:val="1"/>
          <w:rtl w:val="0"/>
        </w:rPr>
        <w:t xml:space="preserve">1066: The Hidden History of the Bayeux Tapestry</w:t>
      </w:r>
      <w:r w:rsidDel="00000000" w:rsidR="00000000" w:rsidRPr="00000000">
        <w:rPr>
          <w:rtl w:val="0"/>
        </w:rPr>
        <w:t xml:space="preserve">, Walker</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1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5">
    <w:p w:rsidR="00000000" w:rsidDel="00000000" w:rsidP="00000000" w:rsidRDefault="00000000" w:rsidRPr="00000000" w14:paraId="0000001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9">
    <w:p w:rsidR="00000000" w:rsidDel="00000000" w:rsidP="00000000" w:rsidRDefault="00000000" w:rsidRPr="00000000" w14:paraId="0000001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1">
    <w:p w:rsidR="00000000" w:rsidDel="00000000" w:rsidP="00000000" w:rsidRDefault="00000000" w:rsidRPr="00000000" w14:paraId="0000001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2">
    <w:p w:rsidR="00000000" w:rsidDel="00000000" w:rsidP="00000000" w:rsidRDefault="00000000" w:rsidRPr="00000000" w14:paraId="0000002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3">
    <w:p w:rsidR="00000000" w:rsidDel="00000000" w:rsidP="00000000" w:rsidRDefault="00000000" w:rsidRPr="00000000" w14:paraId="0000002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4">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6">
    <w:p w:rsidR="00000000" w:rsidDel="00000000" w:rsidP="00000000" w:rsidRDefault="00000000" w:rsidRPr="00000000" w14:paraId="000000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3">
    <w:p w:rsidR="00000000" w:rsidDel="00000000" w:rsidP="00000000" w:rsidRDefault="00000000" w:rsidRPr="00000000" w14:paraId="000000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4">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6">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7">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8">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0">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5">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7">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a)</w:t>
      </w:r>
    </w:p>
  </w:footnote>
  <w:footnote w:id="18">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a)</w:t>
      </w:r>
    </w:p>
  </w:footnote>
  <w:footnote w:id="19">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118</w:t>
      </w:r>
    </w:p>
  </w:footnote>
  <w:footnote w:id="20">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118</w:t>
      </w:r>
    </w:p>
  </w:footnote>
  <w:footnote w:id="21">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119</w:t>
      </w:r>
    </w:p>
  </w:footnote>
  <w:footnote w:id="22">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b)</w:t>
      </w:r>
    </w:p>
  </w:footnote>
  <w:footnote w:id="23">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b)</w:t>
      </w:r>
    </w:p>
  </w:footnote>
  <w:footnote w:id="24">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b)</w:t>
      </w:r>
    </w:p>
  </w:footnote>
  <w:footnote w:id="25">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a)</w:t>
      </w:r>
    </w:p>
  </w:footnote>
  <w:footnote w:id="26">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a)</w:t>
      </w:r>
    </w:p>
  </w:footnote>
  <w:footnote w:id="1">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a)</w:t>
      </w:r>
    </w:p>
  </w:footnote>
  <w:footnote w:id="0">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a)</w:t>
      </w:r>
    </w:p>
  </w:footnote>
  <w:footnote w:id="27">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a)</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sz w:val="36"/>
      <w:szCs w:val="36"/>
    </w:rPr>
  </w:style>
  <w:style w:type="paragraph" w:styleId="Heading2">
    <w:name w:val="heading 2"/>
    <w:basedOn w:val="Normal"/>
    <w:next w:val="Normal"/>
    <w:pPr>
      <w:keepNext w:val="1"/>
      <w:keepLines w:val="1"/>
    </w:pPr>
    <w:rPr>
      <w:sz w:val="28"/>
      <w:szCs w:val="28"/>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jc w:val="center"/>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https://www.bayeuxmuseum.com/en/the-bayeux-tapestry/over-the-centuries/" TargetMode="External"/><Relationship Id="rId10" Type="http://schemas.openxmlformats.org/officeDocument/2006/relationships/hyperlink" Target="https://www.bayeuxmuseum.com/en/the-bayeux-tapestry/discover-the-bayeux-tapestry/what-is-the-bayeux-tapestry-about/" TargetMode="External"/><Relationship Id="rId9" Type="http://schemas.openxmlformats.org/officeDocument/2006/relationships/hyperlink" Target="https://www.historic-uk.com/HistoryMagazine/DestinationsUK/Rochester-Castle/"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en.wikipedia.org/wiki/Bayeux_Tapestry#Reliability" TargetMode="External"/><Relationship Id="rId8" Type="http://schemas.openxmlformats.org/officeDocument/2006/relationships/hyperlink" Target="https://www.britannica.com/event/Norman-Conqu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