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02AD8" w14:textId="77777777" w:rsidR="005E42AC" w:rsidRPr="008371BA" w:rsidRDefault="005E42AC"/>
    <w:p w14:paraId="6F1B9B1A" w14:textId="77777777" w:rsidR="006408A3" w:rsidRPr="008371BA" w:rsidRDefault="006408A3"/>
    <w:p w14:paraId="166DC5AF" w14:textId="47D26FE6" w:rsidR="005E42AC" w:rsidRPr="008371BA" w:rsidRDefault="00CF5533">
      <w:r w:rsidRPr="008371BA">
        <w:rPr>
          <w:noProof/>
        </w:rPr>
        <w:drawing>
          <wp:inline distT="0" distB="0" distL="0" distR="0" wp14:anchorId="113A8EA4" wp14:editId="06882F9F">
            <wp:extent cx="5731510" cy="2044700"/>
            <wp:effectExtent l="0" t="0" r="2540" b="0"/>
            <wp:docPr id="576365995"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rotWithShape="1">
                    <a:blip r:embed="rId7">
                      <a:extLst>
                        <a:ext uri="{28A0092B-C50C-407E-A947-70E740481C1C}">
                          <a14:useLocalDpi xmlns:a14="http://schemas.microsoft.com/office/drawing/2010/main" val="0"/>
                        </a:ext>
                      </a:extLst>
                    </a:blip>
                    <a:srcRect t="16554" b="19226"/>
                    <a:stretch>
                      <a:fillRect/>
                    </a:stretch>
                  </pic:blipFill>
                  <pic:spPr bwMode="auto">
                    <a:xfrm>
                      <a:off x="0" y="0"/>
                      <a:ext cx="5731510" cy="2044700"/>
                    </a:xfrm>
                    <a:prstGeom prst="rect">
                      <a:avLst/>
                    </a:prstGeom>
                    <a:noFill/>
                    <a:ln>
                      <a:noFill/>
                    </a:ln>
                    <a:extLst>
                      <a:ext uri="{53640926-AAD7-44D8-BBD7-CCE9431645EC}">
                        <a14:shadowObscured xmlns:a14="http://schemas.microsoft.com/office/drawing/2010/main"/>
                      </a:ext>
                    </a:extLst>
                  </pic:spPr>
                </pic:pic>
              </a:graphicData>
            </a:graphic>
          </wp:inline>
        </w:drawing>
      </w:r>
    </w:p>
    <w:p w14:paraId="1EB05AAD" w14:textId="77777777" w:rsidR="00211C31" w:rsidRPr="008371BA" w:rsidRDefault="00211C31"/>
    <w:p w14:paraId="62F893C3" w14:textId="19FF28FC" w:rsidR="005E42AC" w:rsidRPr="008371BA" w:rsidRDefault="007B6313" w:rsidP="00211C31">
      <w:pPr>
        <w:jc w:val="center"/>
        <w:rPr>
          <w:b/>
          <w:bCs/>
          <w:sz w:val="40"/>
          <w:szCs w:val="40"/>
        </w:rPr>
      </w:pPr>
      <w:r w:rsidRPr="008371BA">
        <w:rPr>
          <w:b/>
          <w:bCs/>
          <w:sz w:val="40"/>
          <w:szCs w:val="40"/>
        </w:rPr>
        <w:t>Master of Business Administration</w:t>
      </w:r>
    </w:p>
    <w:p w14:paraId="24C72BF5" w14:textId="77777777" w:rsidR="00211C31" w:rsidRPr="008371BA" w:rsidRDefault="00211C31" w:rsidP="00211C31">
      <w:pPr>
        <w:jc w:val="center"/>
        <w:rPr>
          <w:b/>
          <w:bCs/>
          <w:sz w:val="32"/>
          <w:szCs w:val="32"/>
        </w:rPr>
      </w:pPr>
    </w:p>
    <w:p w14:paraId="54143EB4" w14:textId="3D711703" w:rsidR="007B6313" w:rsidRPr="008371BA" w:rsidRDefault="007B6313" w:rsidP="00211C31">
      <w:pPr>
        <w:jc w:val="center"/>
        <w:rPr>
          <w:b/>
          <w:bCs/>
          <w:sz w:val="32"/>
          <w:szCs w:val="32"/>
        </w:rPr>
      </w:pPr>
      <w:r w:rsidRPr="008371BA">
        <w:rPr>
          <w:b/>
          <w:bCs/>
          <w:sz w:val="32"/>
          <w:szCs w:val="32"/>
        </w:rPr>
        <w:t>Module Code:</w:t>
      </w:r>
      <w:r w:rsidR="00211C31" w:rsidRPr="008371BA">
        <w:rPr>
          <w:b/>
          <w:bCs/>
          <w:sz w:val="32"/>
          <w:szCs w:val="32"/>
        </w:rPr>
        <w:t xml:space="preserve"> LCMB7023</w:t>
      </w:r>
    </w:p>
    <w:p w14:paraId="3CFE7B21" w14:textId="38D08455" w:rsidR="007B6313" w:rsidRDefault="007B6313" w:rsidP="00211C31">
      <w:pPr>
        <w:jc w:val="center"/>
        <w:rPr>
          <w:b/>
          <w:bCs/>
          <w:sz w:val="32"/>
          <w:szCs w:val="32"/>
        </w:rPr>
      </w:pPr>
      <w:r w:rsidRPr="008371BA">
        <w:rPr>
          <w:b/>
          <w:bCs/>
          <w:sz w:val="32"/>
          <w:szCs w:val="32"/>
        </w:rPr>
        <w:t xml:space="preserve">Module Name: </w:t>
      </w:r>
      <w:r w:rsidR="00211C31" w:rsidRPr="008371BA">
        <w:rPr>
          <w:b/>
          <w:bCs/>
          <w:sz w:val="32"/>
          <w:szCs w:val="32"/>
        </w:rPr>
        <w:t>Human Capital Management</w:t>
      </w:r>
    </w:p>
    <w:p w14:paraId="1703AF49" w14:textId="77777777" w:rsidR="00C95E49" w:rsidRPr="008371BA" w:rsidRDefault="00C95E49" w:rsidP="00211C31">
      <w:pPr>
        <w:jc w:val="center"/>
        <w:rPr>
          <w:b/>
          <w:bCs/>
          <w:sz w:val="32"/>
          <w:szCs w:val="32"/>
        </w:rPr>
      </w:pPr>
    </w:p>
    <w:p w14:paraId="527E3EE3" w14:textId="7F9CDEE1" w:rsidR="00211C31" w:rsidRPr="008371BA" w:rsidRDefault="00C95E49" w:rsidP="00C95E49">
      <w:pPr>
        <w:jc w:val="center"/>
        <w:rPr>
          <w:b/>
          <w:bCs/>
        </w:rPr>
      </w:pPr>
      <w:r>
        <w:rPr>
          <w:b/>
          <w:bCs/>
        </w:rPr>
        <w:t>“</w:t>
      </w:r>
      <w:r w:rsidRPr="00C95E49">
        <w:rPr>
          <w:b/>
          <w:bCs/>
        </w:rPr>
        <w:t>Integrated Human Capital Blueprint</w:t>
      </w:r>
      <w:r>
        <w:rPr>
          <w:b/>
          <w:bCs/>
        </w:rPr>
        <w:t xml:space="preserve"> for </w:t>
      </w:r>
      <w:r w:rsidRPr="00C95E49">
        <w:rPr>
          <w:b/>
          <w:bCs/>
        </w:rPr>
        <w:t>Aether Innovations</w:t>
      </w:r>
      <w:r>
        <w:rPr>
          <w:b/>
          <w:bCs/>
        </w:rPr>
        <w:t>”</w:t>
      </w:r>
    </w:p>
    <w:p w14:paraId="2E842D24" w14:textId="77777777" w:rsidR="00211C31" w:rsidRPr="008371BA" w:rsidRDefault="00211C31" w:rsidP="00211C31"/>
    <w:p w14:paraId="59771E74" w14:textId="77777777" w:rsidR="006408A3" w:rsidRPr="008371BA" w:rsidRDefault="006408A3" w:rsidP="00211C31"/>
    <w:p w14:paraId="1E692CDC" w14:textId="3D960666" w:rsidR="006408A3" w:rsidRPr="008371BA" w:rsidRDefault="006408A3" w:rsidP="00211C31"/>
    <w:p w14:paraId="54442132" w14:textId="7BCE0300" w:rsidR="00211C31" w:rsidRPr="008371BA" w:rsidRDefault="00211C31" w:rsidP="00211C31">
      <w:r w:rsidRPr="008371BA">
        <w:t>Lecturer Name</w:t>
      </w:r>
      <w:r w:rsidR="00915661" w:rsidRPr="008371BA">
        <w:t>: Gladius Kulothungan</w:t>
      </w:r>
    </w:p>
    <w:p w14:paraId="4F235590" w14:textId="56D32E7E" w:rsidR="00211C31" w:rsidRPr="002D3199" w:rsidRDefault="00211C31" w:rsidP="00211C31">
      <w:r w:rsidRPr="002D3199">
        <w:t>Student Name</w:t>
      </w:r>
      <w:r w:rsidR="00915661" w:rsidRPr="002D3199">
        <w:t>:</w:t>
      </w:r>
      <w:r w:rsidR="00071593" w:rsidRPr="002D3199">
        <w:t xml:space="preserve"> Riddham Mangukiya</w:t>
      </w:r>
    </w:p>
    <w:p w14:paraId="4F7CC2E0" w14:textId="235C5811" w:rsidR="00211C31" w:rsidRPr="008371BA" w:rsidRDefault="00211C31" w:rsidP="00211C31">
      <w:r w:rsidRPr="002D3199">
        <w:t>Student</w:t>
      </w:r>
      <w:r w:rsidR="00915661" w:rsidRPr="002D3199">
        <w:t xml:space="preserve"> Number:</w:t>
      </w:r>
      <w:r w:rsidR="002D3199">
        <w:t xml:space="preserve"> </w:t>
      </w:r>
      <w:r w:rsidR="001913ED">
        <w:t>2520876</w:t>
      </w:r>
    </w:p>
    <w:p w14:paraId="43A93EB5" w14:textId="00E340F6" w:rsidR="00183828" w:rsidRPr="008371BA" w:rsidRDefault="00183828" w:rsidP="00211C31">
      <w:r>
        <w:t xml:space="preserve">Word Count: </w:t>
      </w:r>
      <w:r w:rsidR="001913ED">
        <w:t>A</w:t>
      </w:r>
      <w:r w:rsidR="00C85C7D">
        <w:t xml:space="preserve">ppx. </w:t>
      </w:r>
      <w:r w:rsidR="00ED3B4E">
        <w:t>2499</w:t>
      </w:r>
    </w:p>
    <w:p w14:paraId="23E4E809" w14:textId="77777777" w:rsidR="006408A3" w:rsidRPr="008371BA" w:rsidRDefault="006408A3">
      <w:r w:rsidRPr="008371BA">
        <w:br w:type="page"/>
      </w:r>
    </w:p>
    <w:sdt>
      <w:sdtPr>
        <w:rPr>
          <w:rFonts w:ascii="Arial" w:eastAsiaTheme="minorHAnsi" w:hAnsi="Arial" w:cstheme="minorBidi"/>
          <w:color w:val="000000" w:themeColor="text1"/>
          <w:kern w:val="2"/>
          <w:sz w:val="24"/>
          <w:szCs w:val="24"/>
          <w:lang w:val="en-GB"/>
          <w14:ligatures w14:val="standardContextual"/>
        </w:rPr>
        <w:id w:val="-249426265"/>
        <w:docPartObj>
          <w:docPartGallery w:val="Table of Contents"/>
          <w:docPartUnique/>
        </w:docPartObj>
      </w:sdtPr>
      <w:sdtEndPr>
        <w:rPr>
          <w:b/>
          <w:bCs/>
          <w:noProof/>
        </w:rPr>
      </w:sdtEndPr>
      <w:sdtContent>
        <w:p w14:paraId="487ECD57" w14:textId="671A573D" w:rsidR="005B5507" w:rsidRPr="00F63A5D" w:rsidRDefault="005B5507" w:rsidP="00F63A5D">
          <w:pPr>
            <w:pStyle w:val="TOCHeading"/>
            <w:spacing w:before="120" w:after="120" w:line="360" w:lineRule="auto"/>
            <w:rPr>
              <w:rFonts w:ascii="Arial" w:hAnsi="Arial"/>
              <w:b/>
              <w:bCs/>
              <w:color w:val="000000" w:themeColor="text1"/>
              <w:sz w:val="24"/>
            </w:rPr>
          </w:pPr>
          <w:r w:rsidRPr="00F63A5D">
            <w:rPr>
              <w:rFonts w:ascii="Arial" w:hAnsi="Arial"/>
              <w:b/>
              <w:bCs/>
              <w:color w:val="000000" w:themeColor="text1"/>
              <w:sz w:val="24"/>
            </w:rPr>
            <w:t>Table of Contents</w:t>
          </w:r>
        </w:p>
        <w:p w14:paraId="59B51C77" w14:textId="076A4581" w:rsidR="005B5507" w:rsidRPr="00F63A5D" w:rsidRDefault="005B5507" w:rsidP="00F63A5D">
          <w:pPr>
            <w:pStyle w:val="TOC1"/>
            <w:tabs>
              <w:tab w:val="right" w:leader="dot" w:pos="9016"/>
            </w:tabs>
            <w:spacing w:after="120"/>
            <w:rPr>
              <w:noProof/>
            </w:rPr>
          </w:pPr>
          <w:r w:rsidRPr="00F63A5D">
            <w:fldChar w:fldCharType="begin"/>
          </w:r>
          <w:r w:rsidRPr="00F63A5D">
            <w:instrText xml:space="preserve"> TOC \o "1-3" \h \z \u </w:instrText>
          </w:r>
          <w:r w:rsidRPr="00F63A5D">
            <w:fldChar w:fldCharType="separate"/>
          </w:r>
          <w:hyperlink w:anchor="_Toc224391679" w:history="1">
            <w:r w:rsidRPr="00F63A5D">
              <w:rPr>
                <w:rStyle w:val="Hyperlink"/>
                <w:noProof/>
                <w:color w:val="000000" w:themeColor="text1"/>
              </w:rPr>
              <w:t>Part 1: Building a Culture of Innovation and Future Work Practices</w:t>
            </w:r>
            <w:r w:rsidRPr="00F63A5D">
              <w:rPr>
                <w:noProof/>
                <w:webHidden/>
              </w:rPr>
              <w:tab/>
            </w:r>
            <w:r w:rsidRPr="00F63A5D">
              <w:rPr>
                <w:noProof/>
                <w:webHidden/>
              </w:rPr>
              <w:fldChar w:fldCharType="begin"/>
            </w:r>
            <w:r w:rsidRPr="00F63A5D">
              <w:rPr>
                <w:noProof/>
                <w:webHidden/>
              </w:rPr>
              <w:instrText xml:space="preserve"> PAGEREF _Toc224391679 \h </w:instrText>
            </w:r>
            <w:r w:rsidRPr="00F63A5D">
              <w:rPr>
                <w:noProof/>
                <w:webHidden/>
              </w:rPr>
            </w:r>
            <w:r w:rsidRPr="00F63A5D">
              <w:rPr>
                <w:noProof/>
                <w:webHidden/>
              </w:rPr>
              <w:fldChar w:fldCharType="separate"/>
            </w:r>
            <w:r w:rsidRPr="00F63A5D">
              <w:rPr>
                <w:noProof/>
                <w:webHidden/>
              </w:rPr>
              <w:t>3</w:t>
            </w:r>
            <w:r w:rsidRPr="00F63A5D">
              <w:rPr>
                <w:noProof/>
                <w:webHidden/>
              </w:rPr>
              <w:fldChar w:fldCharType="end"/>
            </w:r>
          </w:hyperlink>
        </w:p>
        <w:p w14:paraId="1411D407" w14:textId="7AC39F76" w:rsidR="005B5507" w:rsidRPr="00F63A5D" w:rsidRDefault="005B5507" w:rsidP="00F63A5D">
          <w:pPr>
            <w:pStyle w:val="TOC2"/>
            <w:tabs>
              <w:tab w:val="right" w:leader="dot" w:pos="9016"/>
            </w:tabs>
            <w:spacing w:after="120"/>
            <w:rPr>
              <w:noProof/>
            </w:rPr>
          </w:pPr>
          <w:hyperlink w:anchor="_Toc224391680" w:history="1">
            <w:r w:rsidRPr="00F63A5D">
              <w:rPr>
                <w:rStyle w:val="Hyperlink"/>
                <w:noProof/>
                <w:color w:val="000000" w:themeColor="text1"/>
              </w:rPr>
              <w:t>1.1 Introduction to Aether Innovations and the problem</w:t>
            </w:r>
            <w:r w:rsidRPr="00F63A5D">
              <w:rPr>
                <w:noProof/>
                <w:webHidden/>
              </w:rPr>
              <w:tab/>
            </w:r>
            <w:r w:rsidRPr="00F63A5D">
              <w:rPr>
                <w:noProof/>
                <w:webHidden/>
              </w:rPr>
              <w:fldChar w:fldCharType="begin"/>
            </w:r>
            <w:r w:rsidRPr="00F63A5D">
              <w:rPr>
                <w:noProof/>
                <w:webHidden/>
              </w:rPr>
              <w:instrText xml:space="preserve"> PAGEREF _Toc224391680 \h </w:instrText>
            </w:r>
            <w:r w:rsidRPr="00F63A5D">
              <w:rPr>
                <w:noProof/>
                <w:webHidden/>
              </w:rPr>
            </w:r>
            <w:r w:rsidRPr="00F63A5D">
              <w:rPr>
                <w:noProof/>
                <w:webHidden/>
              </w:rPr>
              <w:fldChar w:fldCharType="separate"/>
            </w:r>
            <w:r w:rsidRPr="00F63A5D">
              <w:rPr>
                <w:noProof/>
                <w:webHidden/>
              </w:rPr>
              <w:t>3</w:t>
            </w:r>
            <w:r w:rsidRPr="00F63A5D">
              <w:rPr>
                <w:noProof/>
                <w:webHidden/>
              </w:rPr>
              <w:fldChar w:fldCharType="end"/>
            </w:r>
          </w:hyperlink>
        </w:p>
        <w:p w14:paraId="0AFFDF5F" w14:textId="744C6CBB" w:rsidR="005B5507" w:rsidRPr="00F63A5D" w:rsidRDefault="005B5507" w:rsidP="00F63A5D">
          <w:pPr>
            <w:pStyle w:val="TOC2"/>
            <w:tabs>
              <w:tab w:val="right" w:leader="dot" w:pos="9016"/>
            </w:tabs>
            <w:spacing w:after="120"/>
            <w:rPr>
              <w:noProof/>
            </w:rPr>
          </w:pPr>
          <w:hyperlink w:anchor="_Toc224391681" w:history="1">
            <w:r w:rsidRPr="00F63A5D">
              <w:rPr>
                <w:rStyle w:val="Hyperlink"/>
                <w:noProof/>
                <w:color w:val="000000" w:themeColor="text1"/>
              </w:rPr>
              <w:t>1.2 Current culture and work practices in tech companies</w:t>
            </w:r>
            <w:r w:rsidRPr="00F63A5D">
              <w:rPr>
                <w:noProof/>
                <w:webHidden/>
              </w:rPr>
              <w:tab/>
            </w:r>
            <w:r w:rsidRPr="00F63A5D">
              <w:rPr>
                <w:noProof/>
                <w:webHidden/>
              </w:rPr>
              <w:fldChar w:fldCharType="begin"/>
            </w:r>
            <w:r w:rsidRPr="00F63A5D">
              <w:rPr>
                <w:noProof/>
                <w:webHidden/>
              </w:rPr>
              <w:instrText xml:space="preserve"> PAGEREF _Toc224391681 \h </w:instrText>
            </w:r>
            <w:r w:rsidRPr="00F63A5D">
              <w:rPr>
                <w:noProof/>
                <w:webHidden/>
              </w:rPr>
            </w:r>
            <w:r w:rsidRPr="00F63A5D">
              <w:rPr>
                <w:noProof/>
                <w:webHidden/>
              </w:rPr>
              <w:fldChar w:fldCharType="separate"/>
            </w:r>
            <w:r w:rsidRPr="00F63A5D">
              <w:rPr>
                <w:noProof/>
                <w:webHidden/>
              </w:rPr>
              <w:t>3</w:t>
            </w:r>
            <w:r w:rsidRPr="00F63A5D">
              <w:rPr>
                <w:noProof/>
                <w:webHidden/>
              </w:rPr>
              <w:fldChar w:fldCharType="end"/>
            </w:r>
          </w:hyperlink>
        </w:p>
        <w:p w14:paraId="1528F64A" w14:textId="5EEAB26D" w:rsidR="005B5507" w:rsidRPr="00F63A5D" w:rsidRDefault="005B5507" w:rsidP="00F63A5D">
          <w:pPr>
            <w:pStyle w:val="TOC2"/>
            <w:tabs>
              <w:tab w:val="right" w:leader="dot" w:pos="9016"/>
            </w:tabs>
            <w:spacing w:after="120"/>
            <w:rPr>
              <w:noProof/>
            </w:rPr>
          </w:pPr>
          <w:hyperlink w:anchor="_Toc224391682" w:history="1">
            <w:r w:rsidRPr="00F63A5D">
              <w:rPr>
                <w:rStyle w:val="Hyperlink"/>
                <w:noProof/>
                <w:color w:val="000000" w:themeColor="text1"/>
              </w:rPr>
              <w:t>1.3 Cultural and Structural initiatives to integrate innovation</w:t>
            </w:r>
            <w:r w:rsidRPr="00F63A5D">
              <w:rPr>
                <w:noProof/>
                <w:webHidden/>
              </w:rPr>
              <w:tab/>
            </w:r>
            <w:r w:rsidRPr="00F63A5D">
              <w:rPr>
                <w:noProof/>
                <w:webHidden/>
              </w:rPr>
              <w:fldChar w:fldCharType="begin"/>
            </w:r>
            <w:r w:rsidRPr="00F63A5D">
              <w:rPr>
                <w:noProof/>
                <w:webHidden/>
              </w:rPr>
              <w:instrText xml:space="preserve"> PAGEREF _Toc224391682 \h </w:instrText>
            </w:r>
            <w:r w:rsidRPr="00F63A5D">
              <w:rPr>
                <w:noProof/>
                <w:webHidden/>
              </w:rPr>
            </w:r>
            <w:r w:rsidRPr="00F63A5D">
              <w:rPr>
                <w:noProof/>
                <w:webHidden/>
              </w:rPr>
              <w:fldChar w:fldCharType="separate"/>
            </w:r>
            <w:r w:rsidRPr="00F63A5D">
              <w:rPr>
                <w:noProof/>
                <w:webHidden/>
              </w:rPr>
              <w:t>4</w:t>
            </w:r>
            <w:r w:rsidRPr="00F63A5D">
              <w:rPr>
                <w:noProof/>
                <w:webHidden/>
              </w:rPr>
              <w:fldChar w:fldCharType="end"/>
            </w:r>
          </w:hyperlink>
        </w:p>
        <w:p w14:paraId="5F7D1FE4" w14:textId="62D495B2" w:rsidR="005B5507" w:rsidRPr="00F63A5D" w:rsidRDefault="005B5507" w:rsidP="00F63A5D">
          <w:pPr>
            <w:pStyle w:val="TOC2"/>
            <w:tabs>
              <w:tab w:val="right" w:leader="dot" w:pos="9016"/>
            </w:tabs>
            <w:spacing w:after="120"/>
            <w:rPr>
              <w:noProof/>
            </w:rPr>
          </w:pPr>
          <w:hyperlink w:anchor="_Toc224391683" w:history="1">
            <w:r w:rsidRPr="00F63A5D">
              <w:rPr>
                <w:rStyle w:val="Hyperlink"/>
                <w:noProof/>
                <w:color w:val="000000" w:themeColor="text1"/>
              </w:rPr>
              <w:t>1.4 Future of Work model for Aether Innovations and how it improves motivation and performance</w:t>
            </w:r>
            <w:r w:rsidRPr="00F63A5D">
              <w:rPr>
                <w:noProof/>
                <w:webHidden/>
              </w:rPr>
              <w:tab/>
            </w:r>
            <w:r w:rsidRPr="00F63A5D">
              <w:rPr>
                <w:noProof/>
                <w:webHidden/>
              </w:rPr>
              <w:fldChar w:fldCharType="begin"/>
            </w:r>
            <w:r w:rsidRPr="00F63A5D">
              <w:rPr>
                <w:noProof/>
                <w:webHidden/>
              </w:rPr>
              <w:instrText xml:space="preserve"> PAGEREF _Toc224391683 \h </w:instrText>
            </w:r>
            <w:r w:rsidRPr="00F63A5D">
              <w:rPr>
                <w:noProof/>
                <w:webHidden/>
              </w:rPr>
            </w:r>
            <w:r w:rsidRPr="00F63A5D">
              <w:rPr>
                <w:noProof/>
                <w:webHidden/>
              </w:rPr>
              <w:fldChar w:fldCharType="separate"/>
            </w:r>
            <w:r w:rsidRPr="00F63A5D">
              <w:rPr>
                <w:noProof/>
                <w:webHidden/>
              </w:rPr>
              <w:t>5</w:t>
            </w:r>
            <w:r w:rsidRPr="00F63A5D">
              <w:rPr>
                <w:noProof/>
                <w:webHidden/>
              </w:rPr>
              <w:fldChar w:fldCharType="end"/>
            </w:r>
          </w:hyperlink>
        </w:p>
        <w:p w14:paraId="5E3D51B5" w14:textId="0DBF80BA" w:rsidR="005B5507" w:rsidRPr="00F63A5D" w:rsidRDefault="005B5507" w:rsidP="00F63A5D">
          <w:pPr>
            <w:pStyle w:val="TOC2"/>
            <w:tabs>
              <w:tab w:val="right" w:leader="dot" w:pos="9016"/>
            </w:tabs>
            <w:spacing w:after="120"/>
            <w:rPr>
              <w:noProof/>
            </w:rPr>
          </w:pPr>
          <w:hyperlink w:anchor="_Toc224391684" w:history="1">
            <w:r w:rsidRPr="00F63A5D">
              <w:rPr>
                <w:rStyle w:val="Hyperlink"/>
                <w:noProof/>
                <w:color w:val="000000" w:themeColor="text1"/>
              </w:rPr>
              <w:t>1.5 Conclusion</w:t>
            </w:r>
            <w:r w:rsidRPr="00F63A5D">
              <w:rPr>
                <w:noProof/>
                <w:webHidden/>
              </w:rPr>
              <w:tab/>
            </w:r>
            <w:r w:rsidRPr="00F63A5D">
              <w:rPr>
                <w:noProof/>
                <w:webHidden/>
              </w:rPr>
              <w:fldChar w:fldCharType="begin"/>
            </w:r>
            <w:r w:rsidRPr="00F63A5D">
              <w:rPr>
                <w:noProof/>
                <w:webHidden/>
              </w:rPr>
              <w:instrText xml:space="preserve"> PAGEREF _Toc224391684 \h </w:instrText>
            </w:r>
            <w:r w:rsidRPr="00F63A5D">
              <w:rPr>
                <w:noProof/>
                <w:webHidden/>
              </w:rPr>
            </w:r>
            <w:r w:rsidRPr="00F63A5D">
              <w:rPr>
                <w:noProof/>
                <w:webHidden/>
              </w:rPr>
              <w:fldChar w:fldCharType="separate"/>
            </w:r>
            <w:r w:rsidRPr="00F63A5D">
              <w:rPr>
                <w:noProof/>
                <w:webHidden/>
              </w:rPr>
              <w:t>6</w:t>
            </w:r>
            <w:r w:rsidRPr="00F63A5D">
              <w:rPr>
                <w:noProof/>
                <w:webHidden/>
              </w:rPr>
              <w:fldChar w:fldCharType="end"/>
            </w:r>
          </w:hyperlink>
        </w:p>
        <w:p w14:paraId="71746B76" w14:textId="2B9C037B" w:rsidR="005B5507" w:rsidRPr="00F63A5D" w:rsidRDefault="005B5507" w:rsidP="00F63A5D">
          <w:pPr>
            <w:pStyle w:val="TOC1"/>
            <w:tabs>
              <w:tab w:val="right" w:leader="dot" w:pos="9016"/>
            </w:tabs>
            <w:spacing w:after="120"/>
            <w:rPr>
              <w:noProof/>
            </w:rPr>
          </w:pPr>
          <w:hyperlink w:anchor="_Toc224391685" w:history="1">
            <w:r w:rsidRPr="00F63A5D">
              <w:rPr>
                <w:rStyle w:val="Hyperlink"/>
                <w:noProof/>
                <w:color w:val="000000" w:themeColor="text1"/>
              </w:rPr>
              <w:t>Part 2 Reflection</w:t>
            </w:r>
            <w:r w:rsidRPr="00F63A5D">
              <w:rPr>
                <w:noProof/>
                <w:webHidden/>
              </w:rPr>
              <w:tab/>
            </w:r>
            <w:r w:rsidRPr="00F63A5D">
              <w:rPr>
                <w:noProof/>
                <w:webHidden/>
              </w:rPr>
              <w:fldChar w:fldCharType="begin"/>
            </w:r>
            <w:r w:rsidRPr="00F63A5D">
              <w:rPr>
                <w:noProof/>
                <w:webHidden/>
              </w:rPr>
              <w:instrText xml:space="preserve"> PAGEREF _Toc224391685 \h </w:instrText>
            </w:r>
            <w:r w:rsidRPr="00F63A5D">
              <w:rPr>
                <w:noProof/>
                <w:webHidden/>
              </w:rPr>
            </w:r>
            <w:r w:rsidRPr="00F63A5D">
              <w:rPr>
                <w:noProof/>
                <w:webHidden/>
              </w:rPr>
              <w:fldChar w:fldCharType="separate"/>
            </w:r>
            <w:r w:rsidRPr="00F63A5D">
              <w:rPr>
                <w:noProof/>
                <w:webHidden/>
              </w:rPr>
              <w:t>8</w:t>
            </w:r>
            <w:r w:rsidRPr="00F63A5D">
              <w:rPr>
                <w:noProof/>
                <w:webHidden/>
              </w:rPr>
              <w:fldChar w:fldCharType="end"/>
            </w:r>
          </w:hyperlink>
        </w:p>
        <w:p w14:paraId="1A4B7E7D" w14:textId="4128BD45" w:rsidR="005B5507" w:rsidRPr="00F63A5D" w:rsidRDefault="005B5507" w:rsidP="00F63A5D">
          <w:pPr>
            <w:pStyle w:val="TOC2"/>
            <w:tabs>
              <w:tab w:val="right" w:leader="dot" w:pos="9016"/>
            </w:tabs>
            <w:spacing w:after="120"/>
            <w:rPr>
              <w:noProof/>
            </w:rPr>
          </w:pPr>
          <w:hyperlink w:anchor="_Toc224391686" w:history="1">
            <w:r w:rsidRPr="00F63A5D">
              <w:rPr>
                <w:rStyle w:val="Hyperlink"/>
                <w:noProof/>
                <w:color w:val="000000" w:themeColor="text1"/>
              </w:rPr>
              <w:t>2.1 Reflective Statement</w:t>
            </w:r>
            <w:r w:rsidRPr="00F63A5D">
              <w:rPr>
                <w:noProof/>
                <w:webHidden/>
              </w:rPr>
              <w:tab/>
            </w:r>
            <w:r w:rsidRPr="00F63A5D">
              <w:rPr>
                <w:noProof/>
                <w:webHidden/>
              </w:rPr>
              <w:fldChar w:fldCharType="begin"/>
            </w:r>
            <w:r w:rsidRPr="00F63A5D">
              <w:rPr>
                <w:noProof/>
                <w:webHidden/>
              </w:rPr>
              <w:instrText xml:space="preserve"> PAGEREF _Toc224391686 \h </w:instrText>
            </w:r>
            <w:r w:rsidRPr="00F63A5D">
              <w:rPr>
                <w:noProof/>
                <w:webHidden/>
              </w:rPr>
            </w:r>
            <w:r w:rsidRPr="00F63A5D">
              <w:rPr>
                <w:noProof/>
                <w:webHidden/>
              </w:rPr>
              <w:fldChar w:fldCharType="separate"/>
            </w:r>
            <w:r w:rsidRPr="00F63A5D">
              <w:rPr>
                <w:noProof/>
                <w:webHidden/>
              </w:rPr>
              <w:t>8</w:t>
            </w:r>
            <w:r w:rsidRPr="00F63A5D">
              <w:rPr>
                <w:noProof/>
                <w:webHidden/>
              </w:rPr>
              <w:fldChar w:fldCharType="end"/>
            </w:r>
          </w:hyperlink>
        </w:p>
        <w:p w14:paraId="5D40352F" w14:textId="208F89FE" w:rsidR="005B5507" w:rsidRPr="00F63A5D" w:rsidRDefault="005B5507" w:rsidP="00F63A5D">
          <w:pPr>
            <w:pStyle w:val="TOC2"/>
            <w:tabs>
              <w:tab w:val="right" w:leader="dot" w:pos="9016"/>
            </w:tabs>
            <w:spacing w:after="120"/>
            <w:rPr>
              <w:noProof/>
            </w:rPr>
          </w:pPr>
          <w:hyperlink w:anchor="_Toc224391687" w:history="1">
            <w:r w:rsidRPr="00F63A5D">
              <w:rPr>
                <w:rStyle w:val="Hyperlink"/>
                <w:noProof/>
                <w:color w:val="000000" w:themeColor="text1"/>
              </w:rPr>
              <w:t>2.2 Using AI without being replaced by it</w:t>
            </w:r>
            <w:r w:rsidRPr="00F63A5D">
              <w:rPr>
                <w:noProof/>
                <w:webHidden/>
              </w:rPr>
              <w:tab/>
            </w:r>
            <w:r w:rsidRPr="00F63A5D">
              <w:rPr>
                <w:noProof/>
                <w:webHidden/>
              </w:rPr>
              <w:fldChar w:fldCharType="begin"/>
            </w:r>
            <w:r w:rsidRPr="00F63A5D">
              <w:rPr>
                <w:noProof/>
                <w:webHidden/>
              </w:rPr>
              <w:instrText xml:space="preserve"> PAGEREF _Toc224391687 \h </w:instrText>
            </w:r>
            <w:r w:rsidRPr="00F63A5D">
              <w:rPr>
                <w:noProof/>
                <w:webHidden/>
              </w:rPr>
            </w:r>
            <w:r w:rsidRPr="00F63A5D">
              <w:rPr>
                <w:noProof/>
                <w:webHidden/>
              </w:rPr>
              <w:fldChar w:fldCharType="separate"/>
            </w:r>
            <w:r w:rsidRPr="00F63A5D">
              <w:rPr>
                <w:noProof/>
                <w:webHidden/>
              </w:rPr>
              <w:t>10</w:t>
            </w:r>
            <w:r w:rsidRPr="00F63A5D">
              <w:rPr>
                <w:noProof/>
                <w:webHidden/>
              </w:rPr>
              <w:fldChar w:fldCharType="end"/>
            </w:r>
          </w:hyperlink>
        </w:p>
        <w:p w14:paraId="034539A0" w14:textId="49D08C78" w:rsidR="005B5507" w:rsidRPr="00F63A5D" w:rsidRDefault="005B5507" w:rsidP="00F63A5D">
          <w:pPr>
            <w:pStyle w:val="TOC1"/>
            <w:tabs>
              <w:tab w:val="right" w:leader="dot" w:pos="9016"/>
            </w:tabs>
            <w:spacing w:after="120"/>
            <w:rPr>
              <w:noProof/>
            </w:rPr>
          </w:pPr>
          <w:hyperlink w:anchor="_Toc224391688" w:history="1">
            <w:r w:rsidRPr="00F63A5D">
              <w:rPr>
                <w:rStyle w:val="Hyperlink"/>
                <w:noProof/>
                <w:color w:val="000000" w:themeColor="text1"/>
              </w:rPr>
              <w:t>References</w:t>
            </w:r>
            <w:r w:rsidRPr="00F63A5D">
              <w:rPr>
                <w:noProof/>
                <w:webHidden/>
              </w:rPr>
              <w:tab/>
            </w:r>
            <w:r w:rsidRPr="00F63A5D">
              <w:rPr>
                <w:noProof/>
                <w:webHidden/>
              </w:rPr>
              <w:fldChar w:fldCharType="begin"/>
            </w:r>
            <w:r w:rsidRPr="00F63A5D">
              <w:rPr>
                <w:noProof/>
                <w:webHidden/>
              </w:rPr>
              <w:instrText xml:space="preserve"> PAGEREF _Toc224391688 \h </w:instrText>
            </w:r>
            <w:r w:rsidRPr="00F63A5D">
              <w:rPr>
                <w:noProof/>
                <w:webHidden/>
              </w:rPr>
            </w:r>
            <w:r w:rsidRPr="00F63A5D">
              <w:rPr>
                <w:noProof/>
                <w:webHidden/>
              </w:rPr>
              <w:fldChar w:fldCharType="separate"/>
            </w:r>
            <w:r w:rsidRPr="00F63A5D">
              <w:rPr>
                <w:noProof/>
                <w:webHidden/>
              </w:rPr>
              <w:t>12</w:t>
            </w:r>
            <w:r w:rsidRPr="00F63A5D">
              <w:rPr>
                <w:noProof/>
                <w:webHidden/>
              </w:rPr>
              <w:fldChar w:fldCharType="end"/>
            </w:r>
          </w:hyperlink>
        </w:p>
        <w:p w14:paraId="43985999" w14:textId="60A9A48B" w:rsidR="005B5507" w:rsidRPr="00F63A5D" w:rsidRDefault="005B5507" w:rsidP="00F63A5D">
          <w:r w:rsidRPr="00F63A5D">
            <w:rPr>
              <w:b/>
              <w:bCs/>
              <w:noProof/>
            </w:rPr>
            <w:fldChar w:fldCharType="end"/>
          </w:r>
        </w:p>
      </w:sdtContent>
    </w:sdt>
    <w:p w14:paraId="71FDE081" w14:textId="77777777" w:rsidR="005B5507" w:rsidRPr="00F63A5D" w:rsidRDefault="005B5507" w:rsidP="00F63A5D">
      <w:pPr>
        <w:rPr>
          <w:rFonts w:eastAsiaTheme="majorEastAsia" w:cstheme="majorBidi"/>
          <w:b/>
          <w:szCs w:val="40"/>
        </w:rPr>
      </w:pPr>
      <w:r w:rsidRPr="00F63A5D">
        <w:br w:type="page"/>
      </w:r>
    </w:p>
    <w:p w14:paraId="21A789DE" w14:textId="7FA82E1C" w:rsidR="00915661" w:rsidRPr="008371BA" w:rsidRDefault="006408A3" w:rsidP="00B81C07">
      <w:pPr>
        <w:pStyle w:val="Heading1"/>
      </w:pPr>
      <w:bookmarkStart w:id="0" w:name="_Toc224391679"/>
      <w:r w:rsidRPr="008371BA">
        <w:lastRenderedPageBreak/>
        <w:t xml:space="preserve">Part 1: </w:t>
      </w:r>
      <w:r w:rsidR="00B81C07" w:rsidRPr="008371BA">
        <w:t>Building a Culture of Innovation and Future Work Practices</w:t>
      </w:r>
      <w:bookmarkEnd w:id="0"/>
    </w:p>
    <w:p w14:paraId="29BAE630" w14:textId="5237B1DD" w:rsidR="00AA7C52" w:rsidRPr="008371BA" w:rsidRDefault="00AA7C52" w:rsidP="00277A9F">
      <w:pPr>
        <w:pStyle w:val="Heading2"/>
      </w:pPr>
      <w:bookmarkStart w:id="1" w:name="_Toc224391680"/>
      <w:r w:rsidRPr="008371BA">
        <w:t>1.1 Introduction to Aether Innovations and the problem</w:t>
      </w:r>
      <w:bookmarkEnd w:id="1"/>
      <w:r w:rsidR="005D69A7" w:rsidRPr="008371BA">
        <w:t xml:space="preserve"> </w:t>
      </w:r>
    </w:p>
    <w:p w14:paraId="47AA8F93" w14:textId="4854CC4D" w:rsidR="005D69A7" w:rsidRPr="008371BA" w:rsidRDefault="005D69A7" w:rsidP="005D69A7">
      <w:r w:rsidRPr="008371BA">
        <w:t xml:space="preserve">Aether Innovations is a </w:t>
      </w:r>
      <w:r w:rsidR="009032A7" w:rsidRPr="008371BA">
        <w:t>fast-growing</w:t>
      </w:r>
      <w:r w:rsidRPr="008371BA">
        <w:t xml:space="preserve"> technology firm that exists in a highly competitive and dynamic digital environment. Innovation, collaboration and adaptive work practices have become significant in supporting sustained organisational performance by technology companies in their effort to remain competitive</w:t>
      </w:r>
      <w:r w:rsidR="009E6EF3" w:rsidRPr="008371BA">
        <w:t xml:space="preserve"> (</w:t>
      </w:r>
      <w:r w:rsidR="00A01CAD" w:rsidRPr="00A01CAD">
        <w:t>Tobari,</w:t>
      </w:r>
      <w:r w:rsidR="00A01CAD">
        <w:t xml:space="preserve"> et al., 2024</w:t>
      </w:r>
      <w:r w:rsidR="009E6EF3" w:rsidRPr="008371BA">
        <w:t>)</w:t>
      </w:r>
      <w:r w:rsidRPr="008371BA">
        <w:t xml:space="preserve">. </w:t>
      </w:r>
      <w:r w:rsidR="00CC0CB6">
        <w:t xml:space="preserve"> </w:t>
      </w:r>
      <w:r w:rsidR="009E6EF3" w:rsidRPr="008371BA">
        <w:t>However</w:t>
      </w:r>
      <w:r w:rsidRPr="008371BA">
        <w:t xml:space="preserve">, with </w:t>
      </w:r>
      <w:r w:rsidR="009032A7" w:rsidRPr="008371BA">
        <w:t xml:space="preserve">the </w:t>
      </w:r>
      <w:r w:rsidRPr="008371BA">
        <w:t xml:space="preserve">growing size of organisations and a more </w:t>
      </w:r>
      <w:r w:rsidR="009E6EF3" w:rsidRPr="008371BA">
        <w:t>complicated</w:t>
      </w:r>
      <w:r w:rsidRPr="008371BA">
        <w:t xml:space="preserve"> workforce structure</w:t>
      </w:r>
      <w:r w:rsidR="009032A7" w:rsidRPr="008371BA">
        <w:t>,</w:t>
      </w:r>
      <w:r w:rsidRPr="008371BA">
        <w:t xml:space="preserve"> it becomes more difficult to supply an innovative culture and efficient work practices. Firms that do not modernise their organisational culture and work models tend to have low employee engagement levels, slow innovation processes and unskilled talent retention</w:t>
      </w:r>
      <w:r w:rsidR="00166ED6" w:rsidRPr="008371BA">
        <w:t xml:space="preserve"> (</w:t>
      </w:r>
      <w:r w:rsidR="00B244FB" w:rsidRPr="00830DC3">
        <w:t xml:space="preserve">Kossyva, </w:t>
      </w:r>
      <w:r w:rsidR="00B244FB">
        <w:t>et al., 2024</w:t>
      </w:r>
      <w:r w:rsidR="00166ED6" w:rsidRPr="008371BA">
        <w:t>)</w:t>
      </w:r>
      <w:r w:rsidRPr="008371BA">
        <w:t xml:space="preserve">. The modern technology market is </w:t>
      </w:r>
      <w:r w:rsidR="009032A7" w:rsidRPr="008371BA">
        <w:t>characterised</w:t>
      </w:r>
      <w:r w:rsidRPr="008371BA">
        <w:t xml:space="preserve"> by fast technological change, digitalisation and high demand </w:t>
      </w:r>
      <w:r w:rsidR="009032A7" w:rsidRPr="008371BA">
        <w:t>for</w:t>
      </w:r>
      <w:r w:rsidRPr="008371BA">
        <w:t xml:space="preserve"> highly professional individuals. The workers in this industry demand flexible work structures, the possibility to creatively solve problems, and </w:t>
      </w:r>
      <w:r w:rsidR="009032A7" w:rsidRPr="008371BA">
        <w:t xml:space="preserve">an </w:t>
      </w:r>
      <w:r w:rsidRPr="008371BA">
        <w:t xml:space="preserve">organisational culture that allows experiments and teamwork. </w:t>
      </w:r>
      <w:r w:rsidR="00B244FB" w:rsidRPr="008371BA">
        <w:t>Complex</w:t>
      </w:r>
      <w:r w:rsidRPr="008371BA">
        <w:t xml:space="preserve"> hierarchy and strict working habits </w:t>
      </w:r>
      <w:r w:rsidR="00166ED6" w:rsidRPr="008371BA">
        <w:t>can</w:t>
      </w:r>
      <w:r w:rsidRPr="008371BA">
        <w:t xml:space="preserve"> inhibit creativity and </w:t>
      </w:r>
      <w:r w:rsidR="003E1A2F" w:rsidRPr="008371BA">
        <w:t>the</w:t>
      </w:r>
      <w:r w:rsidRPr="008371BA">
        <w:t xml:space="preserve"> sharing of knowledge</w:t>
      </w:r>
      <w:r w:rsidR="003E1A2F" w:rsidRPr="008371BA">
        <w:t>,</w:t>
      </w:r>
      <w:r w:rsidRPr="008371BA">
        <w:t xml:space="preserve"> which ultimately influences the performance of innovation</w:t>
      </w:r>
      <w:r w:rsidR="00AF36FE" w:rsidRPr="008371BA">
        <w:t xml:space="preserve"> (</w:t>
      </w:r>
      <w:r w:rsidR="00AC0EA4" w:rsidRPr="00830DC3">
        <w:t>Sorgner, 2019</w:t>
      </w:r>
      <w:r w:rsidR="00AF36FE" w:rsidRPr="008371BA">
        <w:t>)</w:t>
      </w:r>
      <w:r w:rsidRPr="008371BA">
        <w:t xml:space="preserve">. </w:t>
      </w:r>
    </w:p>
    <w:p w14:paraId="3190CDFF" w14:textId="2D6CC0EE" w:rsidR="005D69A7" w:rsidRPr="008371BA" w:rsidRDefault="005D69A7" w:rsidP="005D69A7">
      <w:r w:rsidRPr="008371BA">
        <w:t>As such, tech companies need to create organisational cultures and work systems that endorse cooperation, freedom of choice, and lifelong learning</w:t>
      </w:r>
      <w:r w:rsidR="0065664E" w:rsidRPr="008371BA">
        <w:t xml:space="preserve"> (</w:t>
      </w:r>
      <w:r w:rsidR="00454A05" w:rsidRPr="00830DC3">
        <w:t>Ahsan, 2025</w:t>
      </w:r>
      <w:r w:rsidR="0065664E" w:rsidRPr="008371BA">
        <w:t>)</w:t>
      </w:r>
      <w:r w:rsidRPr="008371BA">
        <w:t xml:space="preserve">. In the case of Aether innovations, the challenge lies in the need to integrate innovation into the organisational culture and, at the same time, follow the future-oriented work practices that facilitate employee motivation and productivity. This report takes an assessment of existing cultural and working </w:t>
      </w:r>
      <w:r w:rsidR="003E1A2F" w:rsidRPr="008371BA">
        <w:t>practices</w:t>
      </w:r>
      <w:r w:rsidRPr="008371BA">
        <w:t xml:space="preserve"> in technology organisations and also suggests cultural and structural initiatives that can be used in Aether Innovations to promote innovativeness. It further suggests a future-of-work model to increase collaboration, creativity, motivation of employees, and general organisational performance.</w:t>
      </w:r>
    </w:p>
    <w:p w14:paraId="4D4C9833" w14:textId="77777777" w:rsidR="003E1A2F" w:rsidRPr="008371BA" w:rsidRDefault="00AA7C52" w:rsidP="003E1A2F">
      <w:pPr>
        <w:pStyle w:val="Heading2"/>
      </w:pPr>
      <w:bookmarkStart w:id="2" w:name="_Toc224391681"/>
      <w:r w:rsidRPr="008371BA">
        <w:t>1.2 Current culture and work practices in tech companies</w:t>
      </w:r>
      <w:bookmarkEnd w:id="2"/>
      <w:r w:rsidRPr="008371BA">
        <w:t xml:space="preserve"> </w:t>
      </w:r>
    </w:p>
    <w:p w14:paraId="64736685" w14:textId="44990E88" w:rsidR="00ED6224" w:rsidRPr="008371BA" w:rsidRDefault="00ED6224" w:rsidP="003E1A2F">
      <w:r w:rsidRPr="008371BA">
        <w:t xml:space="preserve">The technological companies are well known to promote </w:t>
      </w:r>
      <w:r w:rsidR="003E1A2F" w:rsidRPr="008371BA">
        <w:t xml:space="preserve">an </w:t>
      </w:r>
      <w:r w:rsidRPr="008371BA">
        <w:t>innovative organisational culture which promotes experimentation, teamwork and constant learning. Contrary to traditional organisations</w:t>
      </w:r>
      <w:r w:rsidR="00DA2355" w:rsidRPr="008371BA">
        <w:t>,</w:t>
      </w:r>
      <w:r w:rsidRPr="008371BA">
        <w:t xml:space="preserve"> which at times operate under strict hierarchical frameworks, most technology companies operate under flatter organisational structures</w:t>
      </w:r>
      <w:r w:rsidR="00E22AAD" w:rsidRPr="008371BA">
        <w:t xml:space="preserve">. In such </w:t>
      </w:r>
      <w:r w:rsidR="00CC3B30" w:rsidRPr="008371BA">
        <w:t xml:space="preserve">a </w:t>
      </w:r>
      <w:r w:rsidR="00CC3B30" w:rsidRPr="008371BA">
        <w:lastRenderedPageBreak/>
        <w:t xml:space="preserve">structure, </w:t>
      </w:r>
      <w:r w:rsidRPr="008371BA">
        <w:t xml:space="preserve">employees have the responsibility of giving ideas and getting involved in the </w:t>
      </w:r>
      <w:r w:rsidR="00DA2355" w:rsidRPr="008371BA">
        <w:t>decision-making</w:t>
      </w:r>
      <w:r w:rsidRPr="008371BA">
        <w:t xml:space="preserve"> process. These environments enhance creativity and </w:t>
      </w:r>
      <w:r w:rsidR="00DA2355" w:rsidRPr="008371BA">
        <w:t xml:space="preserve">the </w:t>
      </w:r>
      <w:r w:rsidRPr="008371BA">
        <w:t>sharing of knowledge, which are critical towards innovation</w:t>
      </w:r>
      <w:r w:rsidR="00CC3B30" w:rsidRPr="008371BA">
        <w:t xml:space="preserve"> (</w:t>
      </w:r>
      <w:r w:rsidR="00893F2B" w:rsidRPr="00893F2B">
        <w:t>Leal-Rodríguez</w:t>
      </w:r>
      <w:r w:rsidR="00893F2B">
        <w:t>, et al., 2023</w:t>
      </w:r>
      <w:r w:rsidR="00CC3B30" w:rsidRPr="008371BA">
        <w:t>)</w:t>
      </w:r>
      <w:r w:rsidRPr="008371BA">
        <w:t xml:space="preserve">. One of the main characteristics of the culture of technology companies is the focus on the importance of psychological safety, in which employees </w:t>
      </w:r>
      <w:r w:rsidR="001C12F6" w:rsidRPr="008371BA">
        <w:t xml:space="preserve">have freedom for innovative ideas </w:t>
      </w:r>
      <w:r w:rsidRPr="008371BA">
        <w:t xml:space="preserve">without the risk of reproach and possible failure. </w:t>
      </w:r>
      <w:r w:rsidR="001C12F6" w:rsidRPr="008371BA">
        <w:t>The</w:t>
      </w:r>
      <w:r w:rsidRPr="008371BA">
        <w:t xml:space="preserve"> innovative organisations promote calculated risk-taking and failure as a learning experience instead of an unpleasant event. The strategy assists organisations to perpetually upgrade products, services and processes</w:t>
      </w:r>
      <w:r w:rsidR="001C12F6" w:rsidRPr="008371BA">
        <w:t xml:space="preserve"> (</w:t>
      </w:r>
      <w:r w:rsidR="00FB127E" w:rsidRPr="00830DC3">
        <w:t>Yaqoob,</w:t>
      </w:r>
      <w:r w:rsidR="00FB127E">
        <w:t xml:space="preserve"> et al., 2024</w:t>
      </w:r>
      <w:r w:rsidR="001C12F6" w:rsidRPr="008371BA">
        <w:t>)</w:t>
      </w:r>
      <w:r w:rsidRPr="008371BA">
        <w:t>.</w:t>
      </w:r>
    </w:p>
    <w:p w14:paraId="4C259DCD" w14:textId="5F7C8F1F" w:rsidR="00ED6224" w:rsidRPr="008371BA" w:rsidRDefault="001C12F6" w:rsidP="00ED6224">
      <w:r w:rsidRPr="008371BA">
        <w:t xml:space="preserve">Furthermore, another important practice </w:t>
      </w:r>
      <w:r w:rsidR="00C00B70">
        <w:t>in</w:t>
      </w:r>
      <w:r w:rsidR="00ED6224" w:rsidRPr="008371BA">
        <w:t xml:space="preserve"> new technological workplaces is the introduction of flexible work, such as remote work, </w:t>
      </w:r>
      <w:r w:rsidR="00186F1E" w:rsidRPr="008371BA">
        <w:t xml:space="preserve">a </w:t>
      </w:r>
      <w:r w:rsidR="00ED6224" w:rsidRPr="008371BA">
        <w:t xml:space="preserve">hybrid working format, and adaptable working hours. Digital collaboration tools, cloud platforms and agile project management systems are some of the technologies used by many technology firms to support teamwork in various locations. The practices allow organisations not only to </w:t>
      </w:r>
      <w:r w:rsidRPr="008371BA">
        <w:t>explore</w:t>
      </w:r>
      <w:r w:rsidR="00ED6224" w:rsidRPr="008371BA">
        <w:t xml:space="preserve"> global talent pools but also </w:t>
      </w:r>
      <w:r w:rsidR="00186F1E" w:rsidRPr="008371BA">
        <w:t xml:space="preserve">to </w:t>
      </w:r>
      <w:r w:rsidR="00ED6224" w:rsidRPr="008371BA">
        <w:t xml:space="preserve">enhance </w:t>
      </w:r>
      <w:r w:rsidR="00186F1E" w:rsidRPr="008371BA">
        <w:t xml:space="preserve">the </w:t>
      </w:r>
      <w:r w:rsidR="00ED6224" w:rsidRPr="008371BA">
        <w:t>work-life balance of employees</w:t>
      </w:r>
      <w:r w:rsidRPr="008371BA">
        <w:t xml:space="preserve"> (</w:t>
      </w:r>
      <w:r w:rsidR="00373E1A" w:rsidRPr="00830DC3">
        <w:t>Somanathan and Sureshkumar, 2023</w:t>
      </w:r>
      <w:r w:rsidRPr="008371BA">
        <w:t>)</w:t>
      </w:r>
      <w:r w:rsidR="00ED6224" w:rsidRPr="008371BA">
        <w:t>. Also, all tech organisations tend to use cross-functional teams and agility. Agile work practices enable the team to react fast to evolving customer demands and technological advancements. The cross-functional teams bring together workers who are working in various departments</w:t>
      </w:r>
      <w:r w:rsidR="00FA23CA" w:rsidRPr="008371BA">
        <w:t xml:space="preserve"> such as </w:t>
      </w:r>
      <w:r w:rsidR="00ED6224" w:rsidRPr="008371BA">
        <w:t>engineering, design, and marketing</w:t>
      </w:r>
      <w:r w:rsidR="00FA23CA" w:rsidRPr="008371BA">
        <w:t>.</w:t>
      </w:r>
      <w:r w:rsidR="00ED6224" w:rsidRPr="008371BA">
        <w:t xml:space="preserve"> </w:t>
      </w:r>
      <w:r w:rsidR="00FA23CA" w:rsidRPr="008371BA">
        <w:t>T</w:t>
      </w:r>
      <w:r w:rsidR="00ED6224" w:rsidRPr="008371BA">
        <w:t>his promotes the thinking of different perspectives and creativity in problem-solving</w:t>
      </w:r>
      <w:r w:rsidR="00FA23CA" w:rsidRPr="008371BA">
        <w:t xml:space="preserve"> (</w:t>
      </w:r>
      <w:r w:rsidR="00371BBE" w:rsidRPr="00830DC3">
        <w:t>Amajuoyi,</w:t>
      </w:r>
      <w:r w:rsidR="00371BBE">
        <w:t xml:space="preserve"> et al., 2024</w:t>
      </w:r>
      <w:r w:rsidR="00FA23CA" w:rsidRPr="008371BA">
        <w:t>)</w:t>
      </w:r>
      <w:r w:rsidR="00ED6224" w:rsidRPr="008371BA">
        <w:t>.</w:t>
      </w:r>
    </w:p>
    <w:p w14:paraId="0773EB61" w14:textId="16A7FBD7" w:rsidR="005D69A7" w:rsidRPr="00881EA0" w:rsidRDefault="00FA23CA" w:rsidP="00ED6224">
      <w:pPr>
        <w:rPr>
          <w:b/>
          <w:bCs/>
          <w:lang w:val="en-IN"/>
        </w:rPr>
      </w:pPr>
      <w:r w:rsidRPr="008371BA">
        <w:t xml:space="preserve">However, despite </w:t>
      </w:r>
      <w:r w:rsidR="00ED6224" w:rsidRPr="008371BA">
        <w:t xml:space="preserve">these </w:t>
      </w:r>
      <w:r w:rsidRPr="008371BA">
        <w:t>practices</w:t>
      </w:r>
      <w:r w:rsidR="00ED6224" w:rsidRPr="008371BA">
        <w:t xml:space="preserve">, there are also difficulties </w:t>
      </w:r>
      <w:r w:rsidR="00503E9F" w:rsidRPr="008371BA">
        <w:t>for</w:t>
      </w:r>
      <w:r w:rsidR="00ED6224" w:rsidRPr="008371BA">
        <w:t xml:space="preserve"> technology companies. High-growth rate </w:t>
      </w:r>
      <w:r w:rsidRPr="008371BA">
        <w:t>can</w:t>
      </w:r>
      <w:r w:rsidR="00ED6224" w:rsidRPr="008371BA">
        <w:t xml:space="preserve"> result in communication </w:t>
      </w:r>
      <w:r w:rsidR="00503E9F" w:rsidRPr="008371BA">
        <w:t>barriers</w:t>
      </w:r>
      <w:r w:rsidR="00ED6224" w:rsidRPr="008371BA">
        <w:t xml:space="preserve">, departmentalisation, and </w:t>
      </w:r>
      <w:r w:rsidR="00503E9F" w:rsidRPr="008371BA">
        <w:t xml:space="preserve">a </w:t>
      </w:r>
      <w:r w:rsidR="00ED6224" w:rsidRPr="008371BA">
        <w:t>lack of consistency in managerial practices</w:t>
      </w:r>
      <w:r w:rsidRPr="008371BA">
        <w:t xml:space="preserve"> (</w:t>
      </w:r>
      <w:r w:rsidR="00881EA0" w:rsidRPr="00881EA0">
        <w:rPr>
          <w:lang w:val="en-IN"/>
        </w:rPr>
        <w:t>Bahrain, et al., 2023</w:t>
      </w:r>
      <w:r w:rsidRPr="008371BA">
        <w:t>)</w:t>
      </w:r>
      <w:r w:rsidR="00ED6224" w:rsidRPr="008371BA">
        <w:t xml:space="preserve">. Innovation efforts can be </w:t>
      </w:r>
      <w:r w:rsidRPr="008371BA">
        <w:t>disrupted</w:t>
      </w:r>
      <w:r w:rsidR="00ED6224" w:rsidRPr="008371BA">
        <w:t xml:space="preserve"> without </w:t>
      </w:r>
      <w:r w:rsidR="00503E9F" w:rsidRPr="008371BA">
        <w:t>well-defined</w:t>
      </w:r>
      <w:r w:rsidR="00ED6224" w:rsidRPr="008371BA">
        <w:t xml:space="preserve"> organisational structures and appropriate leadership support. </w:t>
      </w:r>
      <w:r w:rsidR="00A01CAD">
        <w:t>The</w:t>
      </w:r>
      <w:r w:rsidR="00ED6224" w:rsidRPr="008371BA">
        <w:t xml:space="preserve"> organisations are forced to strategically design cultures and structures that are conducive to innovation without losing coordination and strategic focus.</w:t>
      </w:r>
    </w:p>
    <w:p w14:paraId="423B053C" w14:textId="7B723FC8" w:rsidR="00AA7C52" w:rsidRPr="008371BA" w:rsidRDefault="00AA7C52" w:rsidP="00277A9F">
      <w:pPr>
        <w:pStyle w:val="Heading2"/>
      </w:pPr>
      <w:bookmarkStart w:id="3" w:name="_Toc224391682"/>
      <w:r w:rsidRPr="008371BA">
        <w:t>1.3 Cultural and Structural initiatives to integrate innovation</w:t>
      </w:r>
      <w:bookmarkEnd w:id="3"/>
      <w:r w:rsidRPr="008371BA">
        <w:t xml:space="preserve"> </w:t>
      </w:r>
    </w:p>
    <w:p w14:paraId="32B1C5F5" w14:textId="0F1607E4" w:rsidR="00B159DA" w:rsidRPr="008371BA" w:rsidRDefault="00842953" w:rsidP="00B159DA">
      <w:r w:rsidRPr="008371BA">
        <w:t>To</w:t>
      </w:r>
      <w:r w:rsidR="00B159DA" w:rsidRPr="008371BA">
        <w:t xml:space="preserve"> effectively </w:t>
      </w:r>
      <w:r w:rsidRPr="008371BA">
        <w:t>integrate</w:t>
      </w:r>
      <w:r w:rsidR="00B159DA" w:rsidRPr="008371BA">
        <w:t xml:space="preserve"> innovation into Aether Innovations</w:t>
      </w:r>
      <w:r w:rsidR="00503E9F" w:rsidRPr="008371BA">
        <w:t>,</w:t>
      </w:r>
      <w:r w:rsidR="00B159DA" w:rsidRPr="008371BA">
        <w:t xml:space="preserve"> the organisation </w:t>
      </w:r>
      <w:r w:rsidRPr="008371BA">
        <w:t xml:space="preserve">can </w:t>
      </w:r>
      <w:r w:rsidR="00B159DA" w:rsidRPr="008371BA">
        <w:t xml:space="preserve">adopt cultural and structural programs that foster creativity, teamwork, and constant enhancement. Culturally, the organisation </w:t>
      </w:r>
      <w:r w:rsidRPr="008371BA">
        <w:t>can</w:t>
      </w:r>
      <w:r w:rsidR="00B159DA" w:rsidRPr="008371BA">
        <w:t xml:space="preserve"> focus on innovation and psychological safety leadership. Leaders are important in the process of developing organisational </w:t>
      </w:r>
      <w:r w:rsidR="00B159DA" w:rsidRPr="008371BA">
        <w:lastRenderedPageBreak/>
        <w:t xml:space="preserve">culture through promoting open communication, promoting experimentation, and rewarding new input. Managers are expected to be proactive in motivating the employees to exchange and contribute towards </w:t>
      </w:r>
      <w:r w:rsidR="00503E9F" w:rsidRPr="008371BA">
        <w:t>problem-solving</w:t>
      </w:r>
      <w:r w:rsidR="00B159DA" w:rsidRPr="008371BA">
        <w:t xml:space="preserve"> initiatives</w:t>
      </w:r>
      <w:r w:rsidR="000F5BF6" w:rsidRPr="008371BA">
        <w:t xml:space="preserve"> (</w:t>
      </w:r>
      <w:r w:rsidR="008B07F9" w:rsidRPr="00830DC3">
        <w:t xml:space="preserve">Zhao, </w:t>
      </w:r>
      <w:r w:rsidR="008B07F9">
        <w:t>et al., 2023</w:t>
      </w:r>
      <w:r w:rsidR="000F5BF6" w:rsidRPr="008371BA">
        <w:t>)</w:t>
      </w:r>
      <w:r w:rsidR="00B159DA" w:rsidRPr="008371BA">
        <w:t xml:space="preserve">. The other cultural </w:t>
      </w:r>
      <w:r w:rsidR="000F5BF6" w:rsidRPr="008371BA">
        <w:t>practice</w:t>
      </w:r>
      <w:r w:rsidR="00B159DA" w:rsidRPr="008371BA">
        <w:t xml:space="preserve"> is to create a </w:t>
      </w:r>
      <w:r w:rsidR="000F5BF6" w:rsidRPr="008371BA">
        <w:t>learning-oriented</w:t>
      </w:r>
      <w:r w:rsidR="00B159DA" w:rsidRPr="008371BA">
        <w:t xml:space="preserve"> environment. Employees </w:t>
      </w:r>
      <w:r w:rsidR="000F5BF6" w:rsidRPr="008371BA">
        <w:t xml:space="preserve">can </w:t>
      </w:r>
      <w:r w:rsidR="00B159DA" w:rsidRPr="008371BA">
        <w:t xml:space="preserve">be helped to think creatively and have technological capabilities through </w:t>
      </w:r>
      <w:r w:rsidR="00503E9F" w:rsidRPr="008371BA">
        <w:t xml:space="preserve">a </w:t>
      </w:r>
      <w:r w:rsidR="00B159DA" w:rsidRPr="008371BA">
        <w:t xml:space="preserve">continuous learning programme, innovation workshops, and skill development initiatives. </w:t>
      </w:r>
      <w:r w:rsidR="00503E9F" w:rsidRPr="008371BA">
        <w:t>Promoting</w:t>
      </w:r>
      <w:r w:rsidR="00B159DA" w:rsidRPr="008371BA">
        <w:t xml:space="preserve"> employees to take part in professional development processes enhances the overall capability of the organisation </w:t>
      </w:r>
      <w:r w:rsidR="008225A0" w:rsidRPr="008371BA">
        <w:t>regarding</w:t>
      </w:r>
      <w:r w:rsidR="00B159DA" w:rsidRPr="008371BA">
        <w:t xml:space="preserve"> innovation</w:t>
      </w:r>
      <w:r w:rsidR="000F5BF6" w:rsidRPr="008371BA">
        <w:t xml:space="preserve"> (</w:t>
      </w:r>
      <w:r w:rsidR="008A7A1E" w:rsidRPr="00534866">
        <w:t>Khemraj,</w:t>
      </w:r>
      <w:r w:rsidR="008A7A1E">
        <w:t xml:space="preserve"> </w:t>
      </w:r>
      <w:r w:rsidR="008A7A1E" w:rsidRPr="00534866">
        <w:t>2023</w:t>
      </w:r>
      <w:r w:rsidR="000F5BF6" w:rsidRPr="008371BA">
        <w:t>)</w:t>
      </w:r>
      <w:r w:rsidR="00B159DA" w:rsidRPr="008371BA">
        <w:t>.</w:t>
      </w:r>
    </w:p>
    <w:p w14:paraId="04A246FC" w14:textId="7538C206" w:rsidR="00B159DA" w:rsidRPr="008371BA" w:rsidRDefault="00B159DA" w:rsidP="00B159DA">
      <w:r w:rsidRPr="008371BA">
        <w:t xml:space="preserve">In terms of structure, Aether Innovations needs to embrace cross-functional teams that comprise employees of various departments to work together </w:t>
      </w:r>
      <w:r w:rsidR="00503E9F" w:rsidRPr="008371BA">
        <w:t>on</w:t>
      </w:r>
      <w:r w:rsidRPr="008371BA">
        <w:t xml:space="preserve"> projects. Such teams facilitate </w:t>
      </w:r>
      <w:r w:rsidR="008225A0" w:rsidRPr="008371BA">
        <w:t xml:space="preserve">the </w:t>
      </w:r>
      <w:r w:rsidRPr="008371BA">
        <w:t xml:space="preserve">sharing of knowledge and facilitate </w:t>
      </w:r>
      <w:r w:rsidR="008225A0" w:rsidRPr="008371BA">
        <w:t xml:space="preserve">the </w:t>
      </w:r>
      <w:r w:rsidRPr="008371BA">
        <w:t>development of varying views</w:t>
      </w:r>
      <w:r w:rsidR="008225A0" w:rsidRPr="008371BA">
        <w:t>,</w:t>
      </w:r>
      <w:r w:rsidRPr="008371BA">
        <w:t xml:space="preserve"> and in most cases</w:t>
      </w:r>
      <w:r w:rsidR="008225A0" w:rsidRPr="008371BA">
        <w:t>,</w:t>
      </w:r>
      <w:r w:rsidRPr="008371BA">
        <w:t xml:space="preserve"> there would be more innovative solutions</w:t>
      </w:r>
      <w:r w:rsidR="008371BA" w:rsidRPr="008371BA">
        <w:t xml:space="preserve"> (</w:t>
      </w:r>
      <w:r w:rsidR="00684971" w:rsidRPr="00534866">
        <w:t xml:space="preserve">Bouschery, </w:t>
      </w:r>
      <w:r w:rsidR="00684971">
        <w:t>et al., 2023</w:t>
      </w:r>
      <w:r w:rsidR="008371BA" w:rsidRPr="008371BA">
        <w:t>)</w:t>
      </w:r>
      <w:r w:rsidRPr="008371BA">
        <w:t xml:space="preserve">. Also, the organisation </w:t>
      </w:r>
      <w:r w:rsidR="008371BA" w:rsidRPr="008371BA">
        <w:t xml:space="preserve">can </w:t>
      </w:r>
      <w:r w:rsidRPr="008371BA">
        <w:t xml:space="preserve">introduce innovation labs or internal incubator programmes where the employees </w:t>
      </w:r>
      <w:r w:rsidR="008371BA" w:rsidRPr="008371BA">
        <w:t>can</w:t>
      </w:r>
      <w:r w:rsidRPr="008371BA">
        <w:t xml:space="preserve"> test new ideas, technologies and product concepts. These areas enable employees to experiment with prototypes and create solutions without having the constraints of the traditional way of operation</w:t>
      </w:r>
      <w:r w:rsidR="008371BA" w:rsidRPr="008371BA">
        <w:t xml:space="preserve"> (</w:t>
      </w:r>
      <w:r w:rsidR="00FA7D1F" w:rsidRPr="00534866">
        <w:t>Memon,</w:t>
      </w:r>
      <w:r w:rsidR="00FA7D1F">
        <w:t xml:space="preserve"> et al., 2022</w:t>
      </w:r>
      <w:r w:rsidR="008371BA" w:rsidRPr="008371BA">
        <w:t>)</w:t>
      </w:r>
      <w:r w:rsidRPr="008371BA">
        <w:t xml:space="preserve">. The other </w:t>
      </w:r>
      <w:r w:rsidR="008225A0" w:rsidRPr="008371BA">
        <w:t>organisational</w:t>
      </w:r>
      <w:r w:rsidRPr="008371BA">
        <w:t xml:space="preserve"> </w:t>
      </w:r>
      <w:r w:rsidR="008371BA" w:rsidRPr="008371BA">
        <w:t>initiatives</w:t>
      </w:r>
      <w:r w:rsidRPr="008371BA">
        <w:t xml:space="preserve"> </w:t>
      </w:r>
      <w:r w:rsidR="008371BA" w:rsidRPr="008371BA">
        <w:t>are</w:t>
      </w:r>
      <w:r w:rsidRPr="008371BA">
        <w:t xml:space="preserve"> idea management systems, where workers </w:t>
      </w:r>
      <w:r w:rsidR="008371BA" w:rsidRPr="008371BA">
        <w:t>can</w:t>
      </w:r>
      <w:r w:rsidRPr="008371BA">
        <w:t xml:space="preserve"> make and present innovative ideas. This is because such platforms facilitate participation of the employees within the organi</w:t>
      </w:r>
      <w:r w:rsidR="00C00B70">
        <w:t>s</w:t>
      </w:r>
      <w:r w:rsidRPr="008371BA">
        <w:t>ation and valuable ideas are captured and developed</w:t>
      </w:r>
      <w:r w:rsidR="008371BA">
        <w:t xml:space="preserve"> (</w:t>
      </w:r>
      <w:r w:rsidR="0065787F" w:rsidRPr="00534866">
        <w:t xml:space="preserve">Alqarni, </w:t>
      </w:r>
      <w:r w:rsidR="0065787F">
        <w:t>et al., 2023</w:t>
      </w:r>
      <w:r w:rsidR="008371BA">
        <w:t>)</w:t>
      </w:r>
      <w:r w:rsidRPr="008371BA">
        <w:t>.</w:t>
      </w:r>
    </w:p>
    <w:p w14:paraId="6D44B141" w14:textId="6A32778A" w:rsidR="00AA7C52" w:rsidRDefault="00AA7C52" w:rsidP="00277A9F">
      <w:pPr>
        <w:pStyle w:val="Heading2"/>
      </w:pPr>
      <w:bookmarkStart w:id="4" w:name="_Toc224391683"/>
      <w:r w:rsidRPr="008371BA">
        <w:t>1.4 Future of Work model for Aether Innovations and how it improves motivation and performance</w:t>
      </w:r>
      <w:bookmarkEnd w:id="4"/>
      <w:r w:rsidRPr="008371BA">
        <w:t xml:space="preserve"> </w:t>
      </w:r>
    </w:p>
    <w:p w14:paraId="472E4A1F" w14:textId="21B4E70A" w:rsidR="00BB080D" w:rsidRDefault="00BB080D" w:rsidP="00BB080D">
      <w:r>
        <w:t>The future of work is dynamic with organisations facing technological changes, digital transformation and shifts in workforce expectations</w:t>
      </w:r>
      <w:r w:rsidR="000418A5">
        <w:t xml:space="preserve"> (</w:t>
      </w:r>
      <w:r w:rsidR="00B46652" w:rsidRPr="00534866">
        <w:t>Lim, 2023</w:t>
      </w:r>
      <w:r w:rsidR="000418A5">
        <w:t>)</w:t>
      </w:r>
      <w:r>
        <w:t>. In the case of Aether Innovations, a hybrid work model is one of the effective methods of ensuring flexibility, collaboration, and productivity.</w:t>
      </w:r>
      <w:r w:rsidR="002D2DD4">
        <w:t xml:space="preserve"> </w:t>
      </w:r>
      <w:r>
        <w:t xml:space="preserve">A hybrid work model is a combination of remote work and in-office cooperation, which gives employees a chance to spend their time on both </w:t>
      </w:r>
      <w:r w:rsidR="002D2DD4">
        <w:t>homework</w:t>
      </w:r>
      <w:r>
        <w:t xml:space="preserve"> and office work. This method has </w:t>
      </w:r>
      <w:r w:rsidR="000418A5">
        <w:t>several</w:t>
      </w:r>
      <w:r>
        <w:t xml:space="preserve"> benefits to technology organisations which focus on high rates of digital communication and work and </w:t>
      </w:r>
      <w:r w:rsidR="0075722D">
        <w:t>project-based</w:t>
      </w:r>
      <w:r w:rsidR="006A7AD9">
        <w:t xml:space="preserve"> </w:t>
      </w:r>
      <w:r w:rsidR="006F6111">
        <w:t xml:space="preserve">work </w:t>
      </w:r>
      <w:r w:rsidR="006A7AD9">
        <w:t>(</w:t>
      </w:r>
      <w:r w:rsidR="00164F2E" w:rsidRPr="00B15449">
        <w:t>Gibbs,</w:t>
      </w:r>
      <w:r w:rsidR="00164F2E">
        <w:t xml:space="preserve"> et al., 2024</w:t>
      </w:r>
      <w:r w:rsidR="006A7AD9">
        <w:t>)</w:t>
      </w:r>
      <w:r>
        <w:t>.</w:t>
      </w:r>
    </w:p>
    <w:p w14:paraId="05F75D33" w14:textId="63811F47" w:rsidR="002D2DD4" w:rsidRDefault="00BB080D" w:rsidP="00BB080D">
      <w:r>
        <w:lastRenderedPageBreak/>
        <w:t xml:space="preserve">Higher employee autonomy and flexibility </w:t>
      </w:r>
      <w:r w:rsidR="0075722D">
        <w:t>are</w:t>
      </w:r>
      <w:r>
        <w:t xml:space="preserve"> one of the greatest advantages of hybrid work. The work environment is flexible</w:t>
      </w:r>
      <w:r w:rsidR="0075722D">
        <w:t>,</w:t>
      </w:r>
      <w:r>
        <w:t xml:space="preserve"> and employees </w:t>
      </w:r>
      <w:r w:rsidR="006A7AD9">
        <w:t>can</w:t>
      </w:r>
      <w:r>
        <w:t xml:space="preserve"> work within environments that are most conducive to their productivity</w:t>
      </w:r>
      <w:r w:rsidR="0075722D">
        <w:t>,</w:t>
      </w:r>
      <w:r>
        <w:t xml:space="preserve"> leading to increased job satisfaction and interest</w:t>
      </w:r>
      <w:r w:rsidR="006A7AD9">
        <w:t xml:space="preserve"> (</w:t>
      </w:r>
      <w:r w:rsidR="005C5E46" w:rsidRPr="00B15449">
        <w:t>Syahrir,</w:t>
      </w:r>
      <w:r w:rsidR="005C5E46">
        <w:t xml:space="preserve"> et al., 2024</w:t>
      </w:r>
      <w:r w:rsidR="006A7AD9">
        <w:t>)</w:t>
      </w:r>
      <w:r>
        <w:t xml:space="preserve">. </w:t>
      </w:r>
      <w:r w:rsidR="006A7AD9">
        <w:t>The</w:t>
      </w:r>
      <w:r>
        <w:t xml:space="preserve"> flexible working schedules enhance the motivation of employees since they believe that they are trusted and have the </w:t>
      </w:r>
      <w:r w:rsidR="0075722D">
        <w:t>power</w:t>
      </w:r>
      <w:r>
        <w:t xml:space="preserve"> to work at their own times.</w:t>
      </w:r>
      <w:r w:rsidR="002D2DD4">
        <w:t xml:space="preserve"> </w:t>
      </w:r>
      <w:r>
        <w:t>The availability of a wider talent pool is also possible with the help of hybrid work models</w:t>
      </w:r>
      <w:r w:rsidR="006A7AD9">
        <w:t xml:space="preserve"> (</w:t>
      </w:r>
      <w:r w:rsidR="00CE1BDC" w:rsidRPr="00B15449">
        <w:t>Yunus and Mostafa, 2022</w:t>
      </w:r>
      <w:r w:rsidR="006A7AD9">
        <w:t>)</w:t>
      </w:r>
      <w:r>
        <w:t xml:space="preserve">. Aether Innovations </w:t>
      </w:r>
      <w:r w:rsidR="006A7AD9">
        <w:t>can</w:t>
      </w:r>
      <w:r>
        <w:t xml:space="preserve"> hire competent workers in other geographical areas without them having to move</w:t>
      </w:r>
      <w:r w:rsidR="0075722D">
        <w:t>,</w:t>
      </w:r>
      <w:r>
        <w:t xml:space="preserve"> since they can work at home, </w:t>
      </w:r>
      <w:r w:rsidR="006A7AD9">
        <w:t>thus</w:t>
      </w:r>
      <w:r>
        <w:t xml:space="preserve"> accessing skilled workers. This enhances the diversity of the workforce and improves the capacity of the organisation to come up with innovative ideas.</w:t>
      </w:r>
    </w:p>
    <w:p w14:paraId="171F7B27" w14:textId="2DFC8812" w:rsidR="00BB080D" w:rsidRDefault="00BB080D" w:rsidP="00BB080D">
      <w:r>
        <w:t>Simultaneously, innovation requires the preservation of the possibility of face-to-face cooperation. Offices are a place to do brainstorms, creative meetings, and even informal communication</w:t>
      </w:r>
      <w:r w:rsidR="00840A15">
        <w:t>,</w:t>
      </w:r>
      <w:r>
        <w:t xml:space="preserve"> which in most cases </w:t>
      </w:r>
      <w:r w:rsidR="000C4457">
        <w:t>results in</w:t>
      </w:r>
      <w:r>
        <w:t xml:space="preserve"> </w:t>
      </w:r>
      <w:r w:rsidR="00840A15">
        <w:t>revolutionary</w:t>
      </w:r>
      <w:r>
        <w:t xml:space="preserve"> ideas</w:t>
      </w:r>
      <w:r w:rsidR="00932280">
        <w:t xml:space="preserve"> (</w:t>
      </w:r>
      <w:r w:rsidR="00D70C20" w:rsidRPr="00B15449">
        <w:t>Redlbacher and Hattke, 2024</w:t>
      </w:r>
      <w:r w:rsidR="00932280">
        <w:t>)</w:t>
      </w:r>
      <w:r>
        <w:t>. A hybrid model enables organisations to maintain these advantages and</w:t>
      </w:r>
      <w:r w:rsidR="00840A15">
        <w:t>,</w:t>
      </w:r>
      <w:r>
        <w:t xml:space="preserve"> at the same time</w:t>
      </w:r>
      <w:r w:rsidR="00840A15">
        <w:t>,</w:t>
      </w:r>
      <w:r>
        <w:t xml:space="preserve"> provide flexibility.</w:t>
      </w:r>
      <w:r w:rsidR="002D2DD4">
        <w:t xml:space="preserve"> </w:t>
      </w:r>
      <w:r>
        <w:t>The key aspect of hybrid work practices is technology to support. Communication technologies</w:t>
      </w:r>
      <w:r w:rsidR="00840A15">
        <w:t>,</w:t>
      </w:r>
      <w:r>
        <w:t xml:space="preserve"> including video conferencing programs, digital whiteboards and project management systems</w:t>
      </w:r>
      <w:r w:rsidR="00840A15">
        <w:t>,</w:t>
      </w:r>
      <w:r>
        <w:t xml:space="preserve"> help teams to collaborate regardless of location. These applications are used to make sure that the communication process is maintained and the employees are linked with each other despite the geographical locations</w:t>
      </w:r>
      <w:r w:rsidR="00932280">
        <w:t xml:space="preserve"> (</w:t>
      </w:r>
      <w:r w:rsidR="00014E95" w:rsidRPr="00B15449">
        <w:t xml:space="preserve">Krajčík, </w:t>
      </w:r>
      <w:r w:rsidR="00014E95">
        <w:t>et al., 2023</w:t>
      </w:r>
      <w:r w:rsidR="00932280">
        <w:t>)</w:t>
      </w:r>
      <w:r>
        <w:t>.</w:t>
      </w:r>
    </w:p>
    <w:p w14:paraId="4D4C785B" w14:textId="6DC104CB" w:rsidR="00BB080D" w:rsidRPr="002E3514" w:rsidRDefault="00BB080D" w:rsidP="00BB080D">
      <w:pPr>
        <w:rPr>
          <w:lang w:val="en-IN"/>
        </w:rPr>
      </w:pPr>
      <w:r>
        <w:t xml:space="preserve">In terms of motivation, the hybrid work promotes the concept of work-life balance, which is also another crucial element </w:t>
      </w:r>
      <w:r w:rsidR="006B184A">
        <w:t>for</w:t>
      </w:r>
      <w:r>
        <w:t xml:space="preserve"> contemporary employees. Employees who have a reduced amount of stress and are given more personal flexibility </w:t>
      </w:r>
      <w:r w:rsidR="006B184A">
        <w:t xml:space="preserve">can </w:t>
      </w:r>
      <w:r>
        <w:t xml:space="preserve">portray increased amounts of output and </w:t>
      </w:r>
      <w:r w:rsidR="006B184A">
        <w:t>organisational</w:t>
      </w:r>
      <w:r>
        <w:t xml:space="preserve"> intent</w:t>
      </w:r>
      <w:r w:rsidR="006B184A">
        <w:t xml:space="preserve"> </w:t>
      </w:r>
      <w:r w:rsidR="006B184A" w:rsidRPr="00A438CC">
        <w:t>(</w:t>
      </w:r>
      <w:r w:rsidR="002E3514" w:rsidRPr="00A438CC">
        <w:rPr>
          <w:lang w:val="en-IN"/>
        </w:rPr>
        <w:t>Lauring</w:t>
      </w:r>
      <w:r w:rsidR="002E3514">
        <w:rPr>
          <w:lang w:val="en-IN"/>
        </w:rPr>
        <w:t xml:space="preserve"> and </w:t>
      </w:r>
      <w:r w:rsidR="00A438CC" w:rsidRPr="00A438CC">
        <w:t>Jonasson</w:t>
      </w:r>
      <w:r w:rsidR="00A438CC">
        <w:t>, 2025</w:t>
      </w:r>
      <w:r w:rsidR="006B184A">
        <w:t>)</w:t>
      </w:r>
      <w:r>
        <w:t>.</w:t>
      </w:r>
      <w:r w:rsidR="002D2DD4">
        <w:t xml:space="preserve"> </w:t>
      </w:r>
      <w:r w:rsidR="006B184A">
        <w:t>However</w:t>
      </w:r>
      <w:r>
        <w:t xml:space="preserve">, organisations are also required to have explicit policies that </w:t>
      </w:r>
      <w:r w:rsidR="006B184A">
        <w:t xml:space="preserve">can </w:t>
      </w:r>
      <w:r>
        <w:t>make hybrid work arrangements effective. To avoid misunderstanding and hold accountability, guidelines on how to communicate, measure performance, and coordinate teamwork are supposed to be established</w:t>
      </w:r>
      <w:r w:rsidR="006E3189">
        <w:t xml:space="preserve"> (</w:t>
      </w:r>
      <w:r w:rsidR="00F44C26" w:rsidRPr="00B15449">
        <w:t xml:space="preserve">Ma, </w:t>
      </w:r>
      <w:r w:rsidR="00F44C26">
        <w:t>et al., 2022</w:t>
      </w:r>
      <w:r w:rsidR="006E3189">
        <w:t>)</w:t>
      </w:r>
      <w:r>
        <w:t>.</w:t>
      </w:r>
      <w:r w:rsidR="002D2DD4">
        <w:t xml:space="preserve"> </w:t>
      </w:r>
      <w:r w:rsidR="006E3189">
        <w:t>Therefore</w:t>
      </w:r>
      <w:r>
        <w:t xml:space="preserve">, the implementation of a hybrid future-of-work model </w:t>
      </w:r>
      <w:r w:rsidR="006E3189">
        <w:t xml:space="preserve">can </w:t>
      </w:r>
      <w:r>
        <w:t>enable Aether Innovations to become stronger in motivating its employees, establishing better collaboration, and increasing the overall organisational performance and stay in the rapidly changing technological market.</w:t>
      </w:r>
    </w:p>
    <w:p w14:paraId="0F90B077" w14:textId="202F922B" w:rsidR="00BB080D" w:rsidRDefault="002D2DD4" w:rsidP="002D2DD4">
      <w:pPr>
        <w:pStyle w:val="Heading2"/>
      </w:pPr>
      <w:bookmarkStart w:id="5" w:name="_Toc224391684"/>
      <w:r>
        <w:lastRenderedPageBreak/>
        <w:t>1.</w:t>
      </w:r>
      <w:r w:rsidR="00BB080D">
        <w:t>5 Conclusion</w:t>
      </w:r>
      <w:bookmarkEnd w:id="5"/>
      <w:r w:rsidR="00BB080D">
        <w:t xml:space="preserve"> </w:t>
      </w:r>
    </w:p>
    <w:p w14:paraId="4E8C2DB0" w14:textId="555B7A0A" w:rsidR="00AA7C52" w:rsidRPr="008371BA" w:rsidRDefault="00BB080D" w:rsidP="002D2DD4">
      <w:r>
        <w:t xml:space="preserve">Technology organisations need to be innovative and adaptive in their work practices </w:t>
      </w:r>
      <w:r w:rsidR="006F6111">
        <w:t>to</w:t>
      </w:r>
      <w:r>
        <w:t xml:space="preserve"> be successful in the long run. Since Aether Innovations is expanding, it needs to be deliberate in the creation of organisational cultures and structures that foster creativity, collaboration, and continuous improvement. This report </w:t>
      </w:r>
      <w:r w:rsidR="00431468">
        <w:t>highlights</w:t>
      </w:r>
      <w:r>
        <w:t xml:space="preserve"> the significance of psychological safety, cross-functional team-work and learning-focused cultures in the sustenance of innovation. Moreover, a hybrid future-of-work model can be of great help in increasing the motivation, flexibility, and productivity of employees. Aether innovations can build a sustainable environment by incorporating cultural initiatives as well as enabling organisational structures and current work practices, which </w:t>
      </w:r>
      <w:r w:rsidR="00431468">
        <w:t>can</w:t>
      </w:r>
      <w:r>
        <w:t xml:space="preserve"> result in innovation prevailing and employee engagement and motivation.</w:t>
      </w:r>
      <w:r w:rsidR="00AA7C52" w:rsidRPr="008371BA">
        <w:br w:type="page"/>
      </w:r>
    </w:p>
    <w:p w14:paraId="597425BE" w14:textId="77777777" w:rsidR="00277A9F" w:rsidRPr="008371BA" w:rsidRDefault="00AA7C52" w:rsidP="00AA7C52">
      <w:pPr>
        <w:pStyle w:val="Heading1"/>
      </w:pPr>
      <w:bookmarkStart w:id="6" w:name="_Toc224391685"/>
      <w:r w:rsidRPr="008371BA">
        <w:lastRenderedPageBreak/>
        <w:t>Part 2 Reflection</w:t>
      </w:r>
      <w:bookmarkEnd w:id="6"/>
      <w:r w:rsidRPr="008371BA">
        <w:t xml:space="preserve"> </w:t>
      </w:r>
    </w:p>
    <w:p w14:paraId="5EEE5593" w14:textId="6219AA81" w:rsidR="00AA7C52" w:rsidRDefault="00277A9F" w:rsidP="00277A9F">
      <w:pPr>
        <w:pStyle w:val="Heading2"/>
      </w:pPr>
      <w:bookmarkStart w:id="7" w:name="_Toc224391686"/>
      <w:r w:rsidRPr="008371BA">
        <w:t>2.1 Reflective Statement</w:t>
      </w:r>
      <w:bookmarkEnd w:id="7"/>
      <w:r w:rsidR="00AA7C52" w:rsidRPr="008371BA">
        <w:t xml:space="preserve"> </w:t>
      </w:r>
    </w:p>
    <w:p w14:paraId="426B1343" w14:textId="5FE0C380" w:rsidR="007B7BF5" w:rsidRDefault="007B7BF5" w:rsidP="007B7BF5">
      <w:r>
        <w:t xml:space="preserve">The Reflective Cycle is a systematised method of analysing experiences and outcomes of learning. This reflection assesses the experience </w:t>
      </w:r>
      <w:r w:rsidR="00CD5188">
        <w:t>of</w:t>
      </w:r>
      <w:r>
        <w:t xml:space="preserve"> the process of developing the culture of innovation and the future work practices at Aether Innovations. </w:t>
      </w:r>
    </w:p>
    <w:p w14:paraId="39E50368" w14:textId="77777777" w:rsidR="007B7BF5" w:rsidRPr="002417A5" w:rsidRDefault="007B7BF5" w:rsidP="007B7BF5">
      <w:pPr>
        <w:rPr>
          <w:u w:val="single"/>
        </w:rPr>
      </w:pPr>
      <w:r w:rsidRPr="002417A5">
        <w:rPr>
          <w:u w:val="single"/>
        </w:rPr>
        <w:t>Description</w:t>
      </w:r>
    </w:p>
    <w:p w14:paraId="30CE2ABD" w14:textId="7C14F350" w:rsidR="007B7BF5" w:rsidRDefault="007B7BF5" w:rsidP="007B7BF5">
      <w:r>
        <w:t xml:space="preserve">The </w:t>
      </w:r>
      <w:r w:rsidR="002B2A6F">
        <w:t>module</w:t>
      </w:r>
      <w:r>
        <w:t xml:space="preserve"> involved an examination of the way in which organisations can establish an </w:t>
      </w:r>
      <w:r w:rsidR="00692785">
        <w:t>innovation-guided</w:t>
      </w:r>
      <w:r>
        <w:t xml:space="preserve"> culture and adopt future work practices which </w:t>
      </w:r>
      <w:r w:rsidR="003D40D8">
        <w:t>can</w:t>
      </w:r>
      <w:r>
        <w:t xml:space="preserve"> result in improved motivation of employees and better organisational performance. </w:t>
      </w:r>
      <w:r w:rsidR="00692785">
        <w:t>It aimed</w:t>
      </w:r>
      <w:r>
        <w:t xml:space="preserve"> to assess existing culture in the technology organisations, determine the initiatives that can integrate innovation in the organisation, and propose a model of the future of work that facilitates collaboration, productivity, and participation of employees.</w:t>
      </w:r>
      <w:r w:rsidR="002417A5">
        <w:t xml:space="preserve"> </w:t>
      </w:r>
      <w:r w:rsidR="003D40D8">
        <w:t>Multiple</w:t>
      </w:r>
      <w:r>
        <w:t xml:space="preserve"> academic resources and industry models were </w:t>
      </w:r>
      <w:r w:rsidR="003D40D8">
        <w:t>used</w:t>
      </w:r>
      <w:r>
        <w:t xml:space="preserve"> to </w:t>
      </w:r>
      <w:r w:rsidR="003D40D8">
        <w:t>understand</w:t>
      </w:r>
      <w:r>
        <w:t xml:space="preserve"> how innovative organisations arrange their culture and work mechanisms. Specific focus was on leadership behaviour, organisational structures, cross-functional collaboration and hybrid work models. </w:t>
      </w:r>
    </w:p>
    <w:p w14:paraId="6EA9D946" w14:textId="77777777" w:rsidR="007B7BF5" w:rsidRPr="002417A5" w:rsidRDefault="007B7BF5" w:rsidP="007B7BF5">
      <w:pPr>
        <w:rPr>
          <w:u w:val="single"/>
        </w:rPr>
      </w:pPr>
      <w:r w:rsidRPr="002417A5">
        <w:rPr>
          <w:u w:val="single"/>
        </w:rPr>
        <w:t>Feelings</w:t>
      </w:r>
    </w:p>
    <w:p w14:paraId="075BD296" w14:textId="17788843" w:rsidR="007B7BF5" w:rsidRDefault="007B7BF5" w:rsidP="007B7BF5">
      <w:r>
        <w:t xml:space="preserve">Initially, the topic of the assignment </w:t>
      </w:r>
      <w:r w:rsidR="002312DA">
        <w:t>was</w:t>
      </w:r>
      <w:r>
        <w:t xml:space="preserve"> complicated</w:t>
      </w:r>
      <w:r w:rsidR="002312DA">
        <w:t xml:space="preserve"> to me</w:t>
      </w:r>
      <w:r>
        <w:t xml:space="preserve"> as it incorporated </w:t>
      </w:r>
      <w:r w:rsidR="002312DA">
        <w:t>several</w:t>
      </w:r>
      <w:r>
        <w:t xml:space="preserve"> human resource management concepts, including leadership, culture of an organisation, innovation management, and future work practices. </w:t>
      </w:r>
      <w:r w:rsidR="002312DA">
        <w:t>T</w:t>
      </w:r>
      <w:r>
        <w:t>here</w:t>
      </w:r>
      <w:r w:rsidR="002312DA">
        <w:t xml:space="preserve"> </w:t>
      </w:r>
      <w:r>
        <w:t xml:space="preserve">was a bit of confusion as to how the theoretical backgrounds should be related to the practical organisational strategies. </w:t>
      </w:r>
      <w:r w:rsidR="006419E3">
        <w:t>However</w:t>
      </w:r>
      <w:r>
        <w:t xml:space="preserve">, the subject matter became interesting and significant later </w:t>
      </w:r>
      <w:r w:rsidR="00692785">
        <w:t>in</w:t>
      </w:r>
      <w:r>
        <w:t xml:space="preserve"> the research.</w:t>
      </w:r>
      <w:r w:rsidR="002417A5">
        <w:t xml:space="preserve"> </w:t>
      </w:r>
      <w:r>
        <w:t xml:space="preserve">The readings on the topic of how organisations become innovative helped </w:t>
      </w:r>
      <w:r w:rsidR="006419E3">
        <w:t>me to</w:t>
      </w:r>
      <w:r w:rsidR="00692785">
        <w:t xml:space="preserve"> understand</w:t>
      </w:r>
      <w:r>
        <w:t xml:space="preserve"> how organisational culture </w:t>
      </w:r>
      <w:r w:rsidR="005B0DFE">
        <w:t xml:space="preserve">can </w:t>
      </w:r>
      <w:r>
        <w:t>directly impact employee behaviour as well as organisational performance. Another outcome of the process was the creation of interest in understanding how the technological companies handle creativity and teamwork in diverse and geographically dispersed teams.</w:t>
      </w:r>
    </w:p>
    <w:p w14:paraId="6CC98DC8" w14:textId="77777777" w:rsidR="007B7BF5" w:rsidRPr="002417A5" w:rsidRDefault="007B7BF5" w:rsidP="007B7BF5">
      <w:pPr>
        <w:rPr>
          <w:u w:val="single"/>
        </w:rPr>
      </w:pPr>
      <w:r w:rsidRPr="002417A5">
        <w:rPr>
          <w:u w:val="single"/>
        </w:rPr>
        <w:t>Evaluation</w:t>
      </w:r>
    </w:p>
    <w:p w14:paraId="0D030A25" w14:textId="162A52A1" w:rsidR="007B7BF5" w:rsidRDefault="00FE398E" w:rsidP="007B7BF5">
      <w:r>
        <w:lastRenderedPageBreak/>
        <w:t>T</w:t>
      </w:r>
      <w:r w:rsidR="007B7BF5">
        <w:t>his</w:t>
      </w:r>
      <w:r>
        <w:t xml:space="preserve"> </w:t>
      </w:r>
      <w:r w:rsidR="007B7BF5">
        <w:t>report allowed me to critically examine how organisational culture is related to innovation. As noted in the research, innovation does not necessarily come as a consequence of technological development</w:t>
      </w:r>
      <w:r w:rsidR="00692785">
        <w:t>,</w:t>
      </w:r>
      <w:r w:rsidR="007B7BF5">
        <w:t xml:space="preserve"> but it is the product of conducive organisational climates, where employees are encouraged to experiment and express their ideas</w:t>
      </w:r>
      <w:r>
        <w:t xml:space="preserve"> (</w:t>
      </w:r>
      <w:r w:rsidR="0066674C" w:rsidRPr="00B15449">
        <w:t>Ozsoy,</w:t>
      </w:r>
      <w:r w:rsidR="0066674C">
        <w:t xml:space="preserve"> </w:t>
      </w:r>
      <w:r w:rsidR="0066674C" w:rsidRPr="00B15449">
        <w:t>2022</w:t>
      </w:r>
      <w:r>
        <w:t>)</w:t>
      </w:r>
      <w:r w:rsidR="007B7BF5">
        <w:t>.</w:t>
      </w:r>
      <w:r w:rsidR="002417A5">
        <w:t xml:space="preserve"> </w:t>
      </w:r>
      <w:r w:rsidR="007B7BF5">
        <w:t xml:space="preserve">The other strength of the process was the chance to examine new work practices </w:t>
      </w:r>
      <w:r>
        <w:t>such as</w:t>
      </w:r>
      <w:r w:rsidR="007B7BF5">
        <w:t xml:space="preserve"> hybrid working models. The discussion of the advantages and difficulties of flexible work arrangements aided the illustration of the way in which organisations can balance </w:t>
      </w:r>
      <w:r w:rsidR="00692785">
        <w:t xml:space="preserve">the </w:t>
      </w:r>
      <w:r w:rsidR="007B7BF5">
        <w:t>autonomy of employees and organisational coordination.</w:t>
      </w:r>
    </w:p>
    <w:p w14:paraId="270AB163" w14:textId="29EFD82C" w:rsidR="007B7BF5" w:rsidRPr="002417A5" w:rsidRDefault="007B7BF5" w:rsidP="007B7BF5">
      <w:pPr>
        <w:rPr>
          <w:u w:val="single"/>
        </w:rPr>
      </w:pPr>
      <w:r w:rsidRPr="002417A5">
        <w:rPr>
          <w:u w:val="single"/>
        </w:rPr>
        <w:t>Analysis</w:t>
      </w:r>
    </w:p>
    <w:p w14:paraId="606FBEEB" w14:textId="0FFD284E" w:rsidR="007B7BF5" w:rsidRDefault="007B7BF5" w:rsidP="007B7BF5">
      <w:r>
        <w:t xml:space="preserve">The research process revealed that organisational culture is a key factor that facilitates the creation of innovation. Companies that create a culture of safety, cooperation, and ongoing learning </w:t>
      </w:r>
      <w:r w:rsidR="0067784E">
        <w:t>can</w:t>
      </w:r>
      <w:r>
        <w:t xml:space="preserve"> be more successful in generating new ideas and solutions</w:t>
      </w:r>
      <w:r w:rsidR="0067784E">
        <w:t xml:space="preserve"> (</w:t>
      </w:r>
      <w:r w:rsidR="009D3854" w:rsidRPr="00B15449">
        <w:t>Dumitrescu and Stanescu, 2024</w:t>
      </w:r>
      <w:r w:rsidR="0067784E">
        <w:t>)</w:t>
      </w:r>
      <w:r>
        <w:t>. Employees are more ready to engage in problem-solving</w:t>
      </w:r>
      <w:r w:rsidR="00692785">
        <w:t xml:space="preserve"> and</w:t>
      </w:r>
      <w:r>
        <w:t xml:space="preserve"> creative activities when they are sure that the ideas will be appreciated and not criticised.</w:t>
      </w:r>
      <w:r w:rsidR="002417A5">
        <w:t xml:space="preserve"> </w:t>
      </w:r>
      <w:r>
        <w:t xml:space="preserve">Another </w:t>
      </w:r>
      <w:r w:rsidR="00D0416F">
        <w:t xml:space="preserve">thing that I learned </w:t>
      </w:r>
      <w:r>
        <w:t xml:space="preserve">is the relevance of organisational structures in innovation support. Technology companies often use cross-functional </w:t>
      </w:r>
      <w:r w:rsidR="00692785">
        <w:t>groups</w:t>
      </w:r>
      <w:r>
        <w:t>, decentralised decision-making, and innovation labs as strategies to stimulate knowledge sharing and experimentation. These organisational mechanisms enable organisations to test new ideas and</w:t>
      </w:r>
      <w:r w:rsidR="00692785">
        <w:t>,</w:t>
      </w:r>
      <w:r>
        <w:t xml:space="preserve"> in the process</w:t>
      </w:r>
      <w:r w:rsidR="00692785">
        <w:t>,</w:t>
      </w:r>
      <w:r>
        <w:t xml:space="preserve"> ensure that their operations remain efficient</w:t>
      </w:r>
      <w:r w:rsidR="00D0416F">
        <w:t xml:space="preserve"> (</w:t>
      </w:r>
      <w:r w:rsidR="0092135C" w:rsidRPr="00787412">
        <w:t xml:space="preserve">Attah, </w:t>
      </w:r>
      <w:r w:rsidR="0092135C">
        <w:t>et al., 2024</w:t>
      </w:r>
      <w:r w:rsidR="00D0416F">
        <w:t>)</w:t>
      </w:r>
      <w:r>
        <w:t>.</w:t>
      </w:r>
    </w:p>
    <w:p w14:paraId="5CD84D61" w14:textId="77777777" w:rsidR="002417A5" w:rsidRDefault="007B7BF5" w:rsidP="007B7BF5">
      <w:pPr>
        <w:rPr>
          <w:u w:val="single"/>
        </w:rPr>
      </w:pPr>
      <w:r w:rsidRPr="002417A5">
        <w:rPr>
          <w:u w:val="single"/>
        </w:rPr>
        <w:t>Conclusion</w:t>
      </w:r>
    </w:p>
    <w:p w14:paraId="0C12B288" w14:textId="1A1172A4" w:rsidR="007B7BF5" w:rsidRDefault="007B7BF5" w:rsidP="007B7BF5">
      <w:r>
        <w:t xml:space="preserve">The assessment of the assignment shows that innovation does not necessarily rely upon advanced technologies, </w:t>
      </w:r>
      <w:r w:rsidR="005F5C01">
        <w:t>but</w:t>
      </w:r>
      <w:r>
        <w:t xml:space="preserve"> is directly determined by the organisational culture, leadership practices, and structural design. By formulating favourable cultures and conducive work systems by choice, organisations are in a better place to accommodate technological change and be competitive</w:t>
      </w:r>
      <w:r w:rsidR="00E84784">
        <w:t xml:space="preserve"> (</w:t>
      </w:r>
      <w:r w:rsidR="00994083" w:rsidRPr="00787412">
        <w:t>Manda</w:t>
      </w:r>
      <w:r w:rsidR="00994083">
        <w:t xml:space="preserve"> </w:t>
      </w:r>
      <w:r w:rsidR="00994083" w:rsidRPr="00787412">
        <w:t>and Abidin, 2023</w:t>
      </w:r>
      <w:r w:rsidR="00E84784">
        <w:t>)</w:t>
      </w:r>
      <w:r>
        <w:t>.</w:t>
      </w:r>
      <w:r w:rsidR="00E84784">
        <w:t xml:space="preserve"> </w:t>
      </w:r>
      <w:r>
        <w:t xml:space="preserve">The assignment also helped to strengthen the value of combining theoretical knowledge with practical strategies of organisations. The analysis of the functioning of academic notions of psychological safety, employee empowerment, and hybrid principles of working in </w:t>
      </w:r>
      <w:r w:rsidR="00692785">
        <w:t xml:space="preserve">a </w:t>
      </w:r>
      <w:r>
        <w:t>real organisational environment enhances analytical and strategic thinking skills.</w:t>
      </w:r>
    </w:p>
    <w:p w14:paraId="7CE2A5D1" w14:textId="63415F29" w:rsidR="002417A5" w:rsidRDefault="002417A5" w:rsidP="007B7BF5">
      <w:pPr>
        <w:rPr>
          <w:u w:val="single"/>
        </w:rPr>
      </w:pPr>
      <w:r w:rsidRPr="002417A5">
        <w:rPr>
          <w:u w:val="single"/>
        </w:rPr>
        <w:lastRenderedPageBreak/>
        <w:t>Action Plan</w:t>
      </w:r>
    </w:p>
    <w:p w14:paraId="6A1BDD0F" w14:textId="5DD47BDD" w:rsidR="0065099E" w:rsidRPr="0065099E" w:rsidRDefault="0065099E" w:rsidP="0065099E">
      <w:r>
        <w:t>In the subsequent academic and professional practice, I will continue to learn about organisational behaviour, leadership style, and digital transformation of the workplace. The research and critical evaluation will also be improved, which will contribute to the ability to analyse organisational issues and create practical solutions.  Also, it will be essential to learn more about emerging technologies and digital collaboration tools to adapt to the future of work. Through further development of these skills, I will be in a better position to bring value to organisational innovation and strategic decision-making in the workplace.</w:t>
      </w:r>
    </w:p>
    <w:p w14:paraId="46B332C5" w14:textId="521E25AD" w:rsidR="00B81C07" w:rsidRPr="008371BA" w:rsidRDefault="00277A9F" w:rsidP="00277A9F">
      <w:pPr>
        <w:pStyle w:val="Heading2"/>
      </w:pPr>
      <w:bookmarkStart w:id="8" w:name="_Toc224391687"/>
      <w:r w:rsidRPr="008371BA">
        <w:t xml:space="preserve">2.2 </w:t>
      </w:r>
      <w:r w:rsidR="00AA7C52" w:rsidRPr="008371BA">
        <w:t xml:space="preserve">Using AI without being replaced by </w:t>
      </w:r>
      <w:r w:rsidRPr="008371BA">
        <w:t>i</w:t>
      </w:r>
      <w:r w:rsidR="00042D76">
        <w:t>t</w:t>
      </w:r>
      <w:bookmarkEnd w:id="8"/>
      <w:r w:rsidRPr="008371BA">
        <w:t xml:space="preserve"> </w:t>
      </w:r>
    </w:p>
    <w:p w14:paraId="7DEA161C" w14:textId="115259D9" w:rsidR="002417A5" w:rsidRDefault="002417A5" w:rsidP="002417A5">
      <w:r>
        <w:t xml:space="preserve">Artificial intelligence is gaining influence in workplaces since it </w:t>
      </w:r>
      <w:r w:rsidR="00692785">
        <w:t>has become</w:t>
      </w:r>
      <w:r>
        <w:t xml:space="preserve"> an integral part of the automation of routine functions</w:t>
      </w:r>
      <w:r w:rsidR="00692785">
        <w:t>,</w:t>
      </w:r>
      <w:r>
        <w:t xml:space="preserve"> enhances the data analysis process</w:t>
      </w:r>
      <w:r w:rsidR="00692785">
        <w:t>,</w:t>
      </w:r>
      <w:r>
        <w:t xml:space="preserve"> and aids organisational decision-making. Although AI technologies can greatly contribute to a higher level of efficiency and productivity, they have provoked certain concerns about job displacement and the role of human employees in the future</w:t>
      </w:r>
      <w:r w:rsidR="00A54D5D">
        <w:t xml:space="preserve"> (</w:t>
      </w:r>
      <w:r w:rsidR="00201575" w:rsidRPr="00787412">
        <w:t>Rawashdeh, 2025</w:t>
      </w:r>
      <w:r w:rsidR="00A54D5D">
        <w:t>)</w:t>
      </w:r>
      <w:r>
        <w:t xml:space="preserve">. </w:t>
      </w:r>
      <w:r w:rsidR="00A54D5D">
        <w:t>However</w:t>
      </w:r>
      <w:r>
        <w:t>, instead of fully replacing human employees, AI tend to transform the nature of jobs and give people a chance to work with the technological systems productively</w:t>
      </w:r>
      <w:r w:rsidR="00A54D5D">
        <w:t xml:space="preserve"> (</w:t>
      </w:r>
      <w:r w:rsidR="00161320" w:rsidRPr="00787412">
        <w:t xml:space="preserve">Khan, </w:t>
      </w:r>
      <w:r w:rsidR="00161320">
        <w:t>et al., 2024</w:t>
      </w:r>
      <w:r w:rsidR="00A54D5D">
        <w:t>)</w:t>
      </w:r>
      <w:r>
        <w:t>.</w:t>
      </w:r>
    </w:p>
    <w:p w14:paraId="14B61CBC" w14:textId="4AC2D96C" w:rsidR="002417A5" w:rsidRDefault="002417A5" w:rsidP="002417A5">
      <w:r>
        <w:t xml:space="preserve">Among the most productive approaches to staying relevant in an AI-driven world, the development of human-centred skills that machines </w:t>
      </w:r>
      <w:r w:rsidR="005D736F">
        <w:t>cannot</w:t>
      </w:r>
      <w:r>
        <w:t xml:space="preserve"> duplicate </w:t>
      </w:r>
      <w:r w:rsidR="005D736F">
        <w:t>can</w:t>
      </w:r>
      <w:r>
        <w:t xml:space="preserve"> be identified. Creativity, emotional intelligence, complex problem-solving, and critical thinking are the critical skills that facilitate the employees to interpret information, make strategic choices and act in managing interpersonal relationships. These skills are always necessary in organisational situations where delicate judgement and </w:t>
      </w:r>
      <w:r w:rsidR="00692785">
        <w:t>interpersonal</w:t>
      </w:r>
      <w:r>
        <w:t xml:space="preserve"> interaction are needed</w:t>
      </w:r>
      <w:r w:rsidR="005D736F">
        <w:t xml:space="preserve"> (</w:t>
      </w:r>
      <w:r w:rsidR="00D5126C" w:rsidRPr="0009750D">
        <w:t xml:space="preserve">Singh, </w:t>
      </w:r>
      <w:r w:rsidR="00D5126C">
        <w:t>et al., 2024</w:t>
      </w:r>
      <w:r w:rsidR="005D736F">
        <w:t>)</w:t>
      </w:r>
      <w:r>
        <w:t>.</w:t>
      </w:r>
    </w:p>
    <w:p w14:paraId="338F5E60" w14:textId="78793CCE" w:rsidR="0033039D" w:rsidRDefault="002417A5" w:rsidP="00943346">
      <w:r>
        <w:t xml:space="preserve">The other strategy is </w:t>
      </w:r>
      <w:r w:rsidR="00692785">
        <w:t>lifelong</w:t>
      </w:r>
      <w:r>
        <w:t xml:space="preserve"> learning and digital upskilling. With the changing technological abilities, employees </w:t>
      </w:r>
      <w:r w:rsidR="00A552A7">
        <w:t>can</w:t>
      </w:r>
      <w:r>
        <w:t xml:space="preserve"> take the initiative </w:t>
      </w:r>
      <w:r w:rsidR="00A552A7">
        <w:t>to acquire</w:t>
      </w:r>
      <w:r>
        <w:t xml:space="preserve"> the knowledge of digital tools and AI technologies. Those who know how to </w:t>
      </w:r>
      <w:r w:rsidR="00692785">
        <w:t>use AI</w:t>
      </w:r>
      <w:r>
        <w:t xml:space="preserve"> tools to assist in their activity have better chances to enhance productivity and make the process of decision-making better. Instead of being threatened by AI, employees can consider it as an instrument that helps them to improve their abilities</w:t>
      </w:r>
      <w:r w:rsidR="00A552A7">
        <w:t xml:space="preserve"> (</w:t>
      </w:r>
      <w:r w:rsidR="00943346" w:rsidRPr="00943346">
        <w:t>Akinnagbe</w:t>
      </w:r>
      <w:r w:rsidR="00943346">
        <w:t>, 2024</w:t>
      </w:r>
      <w:r w:rsidR="00A552A7">
        <w:t>)</w:t>
      </w:r>
      <w:r>
        <w:t>.</w:t>
      </w:r>
      <w:r w:rsidR="00692785">
        <w:t xml:space="preserve"> </w:t>
      </w:r>
      <w:r>
        <w:t xml:space="preserve">Moreover, workers </w:t>
      </w:r>
      <w:r w:rsidR="00A552A7">
        <w:t>can</w:t>
      </w:r>
      <w:r>
        <w:t xml:space="preserve"> learn how to cooperate successfully with AI systems. This involves the </w:t>
      </w:r>
      <w:r>
        <w:lastRenderedPageBreak/>
        <w:t>assessment of the products of AI, the presence of possible biases or errors</w:t>
      </w:r>
      <w:r w:rsidR="00A552A7">
        <w:t xml:space="preserve"> and </w:t>
      </w:r>
      <w:r>
        <w:t xml:space="preserve">the implementation of the contextual knowledge that is not always available </w:t>
      </w:r>
      <w:r w:rsidR="00692785">
        <w:t>to</w:t>
      </w:r>
      <w:r>
        <w:t xml:space="preserve"> machines. </w:t>
      </w:r>
      <w:r w:rsidR="00692785">
        <w:t>Human</w:t>
      </w:r>
      <w:r>
        <w:t xml:space="preserve"> control is also important in making sure that automated systems are running </w:t>
      </w:r>
      <w:r w:rsidR="00A552A7">
        <w:t>ethically and effectively</w:t>
      </w:r>
      <w:r>
        <w:t>.</w:t>
      </w:r>
    </w:p>
    <w:p w14:paraId="47B64D96" w14:textId="77777777" w:rsidR="0033039D" w:rsidRDefault="0033039D">
      <w:r>
        <w:br w:type="page"/>
      </w:r>
    </w:p>
    <w:p w14:paraId="03E61AB8" w14:textId="0B2FBF34" w:rsidR="002417A5" w:rsidRPr="00E930AE" w:rsidRDefault="0033039D" w:rsidP="00E930AE">
      <w:pPr>
        <w:pStyle w:val="Heading1"/>
        <w:spacing w:before="120" w:after="120"/>
      </w:pPr>
      <w:bookmarkStart w:id="9" w:name="_Toc224391688"/>
      <w:r w:rsidRPr="00E930AE">
        <w:lastRenderedPageBreak/>
        <w:t>References</w:t>
      </w:r>
      <w:bookmarkEnd w:id="9"/>
      <w:r w:rsidRPr="00E930AE">
        <w:t xml:space="preserve"> </w:t>
      </w:r>
    </w:p>
    <w:p w14:paraId="0BAF3FD9" w14:textId="3ABBDA61" w:rsidR="00ED3B4E" w:rsidRPr="00E930AE" w:rsidRDefault="00ED3B4E" w:rsidP="00E930AE">
      <w:r w:rsidRPr="00E930AE">
        <w:t>Ahsan, M.J. (2025) Cultivating a culture of learning: the role of leadership in fostering lifelong development. </w:t>
      </w:r>
      <w:r w:rsidRPr="00E930AE">
        <w:rPr>
          <w:i/>
          <w:iCs/>
        </w:rPr>
        <w:t>The learning organization</w:t>
      </w:r>
      <w:r w:rsidRPr="00E930AE">
        <w:t>, </w:t>
      </w:r>
      <w:r w:rsidRPr="00E930AE">
        <w:rPr>
          <w:i/>
          <w:iCs/>
        </w:rPr>
        <w:t>32</w:t>
      </w:r>
      <w:r w:rsidRPr="00E930AE">
        <w:t>(2), pp.282-306.</w:t>
      </w:r>
    </w:p>
    <w:p w14:paraId="5D3127E5" w14:textId="5CB2C731" w:rsidR="00ED3B4E" w:rsidRPr="00E930AE" w:rsidRDefault="00ED3B4E" w:rsidP="00E930AE">
      <w:r w:rsidRPr="00E930AE">
        <w:t>Akinnagbe, O.B. (2024) Human-AI collaboration: Enhancing productivity and decision-making. </w:t>
      </w:r>
      <w:r w:rsidRPr="00E930AE">
        <w:rPr>
          <w:i/>
          <w:iCs/>
        </w:rPr>
        <w:t>International Journal of Education, Management, and Technology</w:t>
      </w:r>
      <w:r w:rsidRPr="00E930AE">
        <w:t>, </w:t>
      </w:r>
      <w:r w:rsidRPr="00E930AE">
        <w:rPr>
          <w:i/>
          <w:iCs/>
        </w:rPr>
        <w:t>2</w:t>
      </w:r>
      <w:r w:rsidRPr="00E930AE">
        <w:t>(3), pp.387-417.</w:t>
      </w:r>
    </w:p>
    <w:p w14:paraId="41D461A5" w14:textId="696413D1" w:rsidR="00ED3B4E" w:rsidRPr="00E930AE" w:rsidRDefault="00ED3B4E" w:rsidP="00E930AE">
      <w:r w:rsidRPr="00E930AE">
        <w:t>Alqarni, K., Agina, M.F., Khairy, H.A., Al-Romeedy, B.S., Farrag, D.A. and Abdallah, R.M. (2023) The effect of electronic human resource management systems on sustainable competitive advantages: The roles of sustainable innovation and organizational agility. </w:t>
      </w:r>
      <w:r w:rsidRPr="00E930AE">
        <w:rPr>
          <w:i/>
          <w:iCs/>
        </w:rPr>
        <w:t>Sustainability</w:t>
      </w:r>
      <w:r w:rsidRPr="00E930AE">
        <w:t>, </w:t>
      </w:r>
      <w:r w:rsidRPr="00E930AE">
        <w:rPr>
          <w:i/>
          <w:iCs/>
        </w:rPr>
        <w:t>15</w:t>
      </w:r>
      <w:r w:rsidRPr="00E930AE">
        <w:t>(23), p.16382.</w:t>
      </w:r>
    </w:p>
    <w:p w14:paraId="0BB2CE89" w14:textId="39C4671A" w:rsidR="00ED3B4E" w:rsidRPr="00E930AE" w:rsidRDefault="00ED3B4E" w:rsidP="00E930AE">
      <w:r w:rsidRPr="00E930AE">
        <w:t>Amajuoyi, P., Benjamin, L.B. and Adeusi, K.B. (2024) Agile methodologies: Adapting product management to rapidly changing market conditions. </w:t>
      </w:r>
      <w:r w:rsidRPr="00E930AE">
        <w:rPr>
          <w:i/>
          <w:iCs/>
        </w:rPr>
        <w:t>GSC Advanced Research and Reviews</w:t>
      </w:r>
      <w:r w:rsidRPr="00E930AE">
        <w:t>, </w:t>
      </w:r>
      <w:r w:rsidRPr="00E930AE">
        <w:rPr>
          <w:i/>
          <w:iCs/>
        </w:rPr>
        <w:t>19</w:t>
      </w:r>
      <w:r w:rsidRPr="00E930AE">
        <w:t>(2), pp.249-267.</w:t>
      </w:r>
    </w:p>
    <w:p w14:paraId="65AA1E35" w14:textId="655923C7" w:rsidR="00ED3B4E" w:rsidRPr="00E930AE" w:rsidRDefault="00ED3B4E" w:rsidP="00E930AE">
      <w:r w:rsidRPr="00E930AE">
        <w:t>Attah, R.U., Garba, B.M.P., Gil-Ozoudeh, I. and Iwuanyanwu, O. (2024) Cross-functional team dynamics in technology management: a comprehensive review of efficiency and innovation enhancement. </w:t>
      </w:r>
      <w:r w:rsidRPr="00E930AE">
        <w:rPr>
          <w:i/>
          <w:iCs/>
        </w:rPr>
        <w:t>Eng Sci Technol J</w:t>
      </w:r>
      <w:r w:rsidRPr="00E930AE">
        <w:t>, </w:t>
      </w:r>
      <w:r w:rsidRPr="00E930AE">
        <w:rPr>
          <w:i/>
          <w:iCs/>
        </w:rPr>
        <w:t>5</w:t>
      </w:r>
      <w:r w:rsidRPr="00E930AE">
        <w:t>(12), pp.3248-65.</w:t>
      </w:r>
    </w:p>
    <w:p w14:paraId="4A55B92F" w14:textId="2EAB822C" w:rsidR="00ED3B4E" w:rsidRPr="00E930AE" w:rsidRDefault="00ED3B4E" w:rsidP="00E930AE">
      <w:r w:rsidRPr="00E930AE">
        <w:t>Bahrain, N.K., Sakrani, S.R. and Maidin, A. (2023) Communication barriers in work environment: understanding impact and challenges. </w:t>
      </w:r>
      <w:r w:rsidRPr="00E930AE">
        <w:rPr>
          <w:i/>
          <w:iCs/>
        </w:rPr>
        <w:t>International Journal of Academic Research in Business and Social Sciences</w:t>
      </w:r>
      <w:r w:rsidRPr="00E930AE">
        <w:t>, </w:t>
      </w:r>
      <w:r w:rsidRPr="00E930AE">
        <w:rPr>
          <w:i/>
          <w:iCs/>
        </w:rPr>
        <w:t>13</w:t>
      </w:r>
      <w:r w:rsidRPr="00E930AE">
        <w:t>(11), pp.1489-1503.</w:t>
      </w:r>
    </w:p>
    <w:p w14:paraId="55AE296C" w14:textId="40755305" w:rsidR="00ED3B4E" w:rsidRPr="00E930AE" w:rsidRDefault="00ED3B4E" w:rsidP="00E930AE">
      <w:r w:rsidRPr="00E930AE">
        <w:t>Bouschery, S.G., Blazevic, V. and Piller, F.T. (2023) Augmenting human innovation teams with artificial intelligence: Exploring transformer</w:t>
      </w:r>
      <w:r w:rsidRPr="00E930AE">
        <w:rPr>
          <w:rFonts w:ascii="Cambria Math" w:hAnsi="Cambria Math" w:cs="Cambria Math"/>
        </w:rPr>
        <w:t>‐</w:t>
      </w:r>
      <w:r w:rsidRPr="00E930AE">
        <w:t>based language models.</w:t>
      </w:r>
      <w:r w:rsidRPr="00E930AE">
        <w:rPr>
          <w:rFonts w:cs="Arial"/>
        </w:rPr>
        <w:t> </w:t>
      </w:r>
      <w:r w:rsidRPr="00E930AE">
        <w:rPr>
          <w:i/>
          <w:iCs/>
        </w:rPr>
        <w:t>Journal of product innovation management</w:t>
      </w:r>
      <w:r w:rsidRPr="00E930AE">
        <w:t>, </w:t>
      </w:r>
      <w:r w:rsidRPr="00E930AE">
        <w:rPr>
          <w:i/>
          <w:iCs/>
        </w:rPr>
        <w:t>40</w:t>
      </w:r>
      <w:r w:rsidRPr="00E930AE">
        <w:t>(2), pp.139-153.</w:t>
      </w:r>
    </w:p>
    <w:p w14:paraId="1577FCEA" w14:textId="2166B613" w:rsidR="00ED3B4E" w:rsidRPr="00E930AE" w:rsidRDefault="00ED3B4E" w:rsidP="00E930AE">
      <w:r w:rsidRPr="00E930AE">
        <w:t>Dumitrescu, M. and Stanescu, I. (2024) The role of leadership in developing: Innovation and Quality Culture. </w:t>
      </w:r>
      <w:r w:rsidRPr="00E930AE">
        <w:rPr>
          <w:i/>
          <w:iCs/>
        </w:rPr>
        <w:t>National Journal of Quality, Innovation, and Business Excellence</w:t>
      </w:r>
      <w:r w:rsidRPr="00E930AE">
        <w:t>, </w:t>
      </w:r>
      <w:r w:rsidRPr="00E930AE">
        <w:rPr>
          <w:i/>
          <w:iCs/>
        </w:rPr>
        <w:t>1</w:t>
      </w:r>
      <w:r w:rsidRPr="00E930AE">
        <w:t>(1), pp.37-46.</w:t>
      </w:r>
    </w:p>
    <w:p w14:paraId="372E46F8" w14:textId="2AB9C481" w:rsidR="00ED3B4E" w:rsidRPr="00E930AE" w:rsidRDefault="00ED3B4E" w:rsidP="00E930AE">
      <w:r w:rsidRPr="00E930AE">
        <w:t>Gibbs, M., Mengel, F. and Siemroth, C. (2024) Employee innovation during office work, work from home and hybrid work. </w:t>
      </w:r>
      <w:r w:rsidRPr="00E930AE">
        <w:rPr>
          <w:i/>
          <w:iCs/>
        </w:rPr>
        <w:t>Scientific Reports</w:t>
      </w:r>
      <w:r w:rsidRPr="00E930AE">
        <w:t>, </w:t>
      </w:r>
      <w:r w:rsidRPr="00E930AE">
        <w:rPr>
          <w:i/>
          <w:iCs/>
        </w:rPr>
        <w:t>14</w:t>
      </w:r>
      <w:r w:rsidRPr="00E930AE">
        <w:t>(1), p.17117.</w:t>
      </w:r>
    </w:p>
    <w:p w14:paraId="05656726" w14:textId="71D3922A" w:rsidR="00ED3B4E" w:rsidRPr="00E930AE" w:rsidRDefault="00ED3B4E" w:rsidP="00E930AE">
      <w:r w:rsidRPr="00E930AE">
        <w:t>Khan, A., Shad, F., Sethi, S. and Bibi, M. (2024) The impact of artificial intelligence (AI) on job displacement and the future work. </w:t>
      </w:r>
      <w:r w:rsidRPr="00E930AE">
        <w:rPr>
          <w:i/>
          <w:iCs/>
        </w:rPr>
        <w:t>Social Science Review Archives</w:t>
      </w:r>
      <w:r w:rsidRPr="00E930AE">
        <w:t>, </w:t>
      </w:r>
      <w:r w:rsidRPr="00E930AE">
        <w:rPr>
          <w:i/>
          <w:iCs/>
        </w:rPr>
        <w:t>2</w:t>
      </w:r>
      <w:r w:rsidRPr="00E930AE">
        <w:t>(2), pp.2296-2306.</w:t>
      </w:r>
    </w:p>
    <w:p w14:paraId="1E32C21F" w14:textId="240332DC" w:rsidR="00ED3B4E" w:rsidRPr="00E930AE" w:rsidRDefault="00ED3B4E" w:rsidP="00E930AE">
      <w:r w:rsidRPr="00E930AE">
        <w:lastRenderedPageBreak/>
        <w:t>Khemraj, S. (2023) Enhancing Competitive Advantage through Learning Capabilities and Innovative Human Resource Management. </w:t>
      </w:r>
      <w:r w:rsidRPr="00E930AE">
        <w:rPr>
          <w:i/>
          <w:iCs/>
        </w:rPr>
        <w:t>Intersecta Minds Journal</w:t>
      </w:r>
      <w:r w:rsidRPr="00E930AE">
        <w:t>, </w:t>
      </w:r>
      <w:r w:rsidRPr="00E930AE">
        <w:rPr>
          <w:i/>
          <w:iCs/>
        </w:rPr>
        <w:t>2</w:t>
      </w:r>
      <w:r w:rsidRPr="00E930AE">
        <w:t>(1), pp.26-41.</w:t>
      </w:r>
    </w:p>
    <w:p w14:paraId="1C4DE446" w14:textId="336745C7" w:rsidR="00ED3B4E" w:rsidRPr="00E930AE" w:rsidRDefault="00ED3B4E" w:rsidP="00E930AE">
      <w:r w:rsidRPr="00E930AE">
        <w:t>Kossyva, D., Theriou, G., Aggelidis, V. and Sarigiannidis, L. (2024) Retaining talent in knowledge-intensive services: enhancing employee engagement through human resource, knowledge and change management. </w:t>
      </w:r>
      <w:r w:rsidRPr="00E930AE">
        <w:rPr>
          <w:i/>
          <w:iCs/>
        </w:rPr>
        <w:t>Journal of Knowledge Management</w:t>
      </w:r>
      <w:r w:rsidRPr="00E930AE">
        <w:t>, </w:t>
      </w:r>
      <w:r w:rsidRPr="00E930AE">
        <w:rPr>
          <w:i/>
          <w:iCs/>
        </w:rPr>
        <w:t>28</w:t>
      </w:r>
      <w:r w:rsidRPr="00E930AE">
        <w:t>(2), pp.409-439.</w:t>
      </w:r>
    </w:p>
    <w:p w14:paraId="733B1011" w14:textId="546CCEAB" w:rsidR="00ED3B4E" w:rsidRPr="00E930AE" w:rsidRDefault="00ED3B4E" w:rsidP="00E930AE">
      <w:r w:rsidRPr="00E930AE">
        <w:t>Krajčík, M., Schmidt, D.A. and Baráth, M. (2023) Hybrid work model: An approach to work–life flexibility in a changing environment. </w:t>
      </w:r>
      <w:r w:rsidRPr="00E930AE">
        <w:rPr>
          <w:i/>
          <w:iCs/>
        </w:rPr>
        <w:t>Administrative Sciences</w:t>
      </w:r>
      <w:r w:rsidRPr="00E930AE">
        <w:t>, </w:t>
      </w:r>
      <w:r w:rsidRPr="00E930AE">
        <w:rPr>
          <w:i/>
          <w:iCs/>
        </w:rPr>
        <w:t>13</w:t>
      </w:r>
      <w:r w:rsidRPr="00E930AE">
        <w:t>(6), p.150.</w:t>
      </w:r>
    </w:p>
    <w:p w14:paraId="3BE456AF" w14:textId="0C651579" w:rsidR="00ED3B4E" w:rsidRPr="00E930AE" w:rsidRDefault="00ED3B4E" w:rsidP="00E930AE">
      <w:r w:rsidRPr="00E930AE">
        <w:t>Lauring, J. and Jonasson, C. (2025) What is hybrid work? Towards greater conceptual clarity of a common term and understanding its consequences. </w:t>
      </w:r>
      <w:r w:rsidRPr="00E930AE">
        <w:rPr>
          <w:i/>
          <w:iCs/>
        </w:rPr>
        <w:t>Human Resource Management Review</w:t>
      </w:r>
      <w:r w:rsidRPr="00E930AE">
        <w:t>, </w:t>
      </w:r>
      <w:r w:rsidRPr="00E930AE">
        <w:rPr>
          <w:i/>
          <w:iCs/>
        </w:rPr>
        <w:t>35</w:t>
      </w:r>
      <w:r w:rsidRPr="00E930AE">
        <w:t>(1), p.101044.</w:t>
      </w:r>
    </w:p>
    <w:p w14:paraId="41DE50D0" w14:textId="6E485458" w:rsidR="00ED3B4E" w:rsidRPr="00E930AE" w:rsidRDefault="00ED3B4E" w:rsidP="00E930AE">
      <w:r w:rsidRPr="00E930AE">
        <w:t>Leal-Rodríguez, A.L., Sanchís-Pedregosa, C., Moreno-Moreno, A.M. and Leal-Millán, A.G. (2023) Digitalization beyond technology: Proposing an explanatory and predictive model for digital culture in organizations. </w:t>
      </w:r>
      <w:r w:rsidRPr="00E930AE">
        <w:rPr>
          <w:i/>
          <w:iCs/>
        </w:rPr>
        <w:t>Journal of Innovation &amp; Knowledge</w:t>
      </w:r>
      <w:r w:rsidRPr="00E930AE">
        <w:t>, </w:t>
      </w:r>
      <w:r w:rsidRPr="00E930AE">
        <w:rPr>
          <w:i/>
          <w:iCs/>
        </w:rPr>
        <w:t>8</w:t>
      </w:r>
      <w:r w:rsidRPr="00E930AE">
        <w:t>(3), p.100409.</w:t>
      </w:r>
    </w:p>
    <w:p w14:paraId="08CF2238" w14:textId="3A39E8B8" w:rsidR="00ED3B4E" w:rsidRPr="00E930AE" w:rsidRDefault="00ED3B4E" w:rsidP="00E930AE">
      <w:r w:rsidRPr="00E930AE">
        <w:t>Lim, W.M. (2023) The workforce revolution: Reimagining work, workers, and workplaces for the future. </w:t>
      </w:r>
      <w:r w:rsidRPr="00E930AE">
        <w:rPr>
          <w:i/>
          <w:iCs/>
        </w:rPr>
        <w:t>Global Business and Organizational Excellence</w:t>
      </w:r>
      <w:r w:rsidRPr="00E930AE">
        <w:t>, </w:t>
      </w:r>
      <w:r w:rsidRPr="00E930AE">
        <w:rPr>
          <w:i/>
          <w:iCs/>
        </w:rPr>
        <w:t>42</w:t>
      </w:r>
      <w:r w:rsidRPr="00E930AE">
        <w:t>(4), pp.5-10.</w:t>
      </w:r>
    </w:p>
    <w:p w14:paraId="0D606BFA" w14:textId="6D9BDE94" w:rsidR="00ED3B4E" w:rsidRPr="00E930AE" w:rsidRDefault="00ED3B4E" w:rsidP="00E930AE">
      <w:r w:rsidRPr="00E930AE">
        <w:t>Ma, L.M., Ijtsma, M., Feigh, K.M. and Pritchett, A.R. (2022) Metrics for human-robot team design: A teamwork perspective on evaluation of human-robot teams. </w:t>
      </w:r>
      <w:r w:rsidRPr="00E930AE">
        <w:rPr>
          <w:i/>
          <w:iCs/>
        </w:rPr>
        <w:t>ACM Transactions on Human-Robot Interaction (THRI)</w:t>
      </w:r>
      <w:r w:rsidRPr="00E930AE">
        <w:t>, </w:t>
      </w:r>
      <w:r w:rsidRPr="00E930AE">
        <w:rPr>
          <w:i/>
          <w:iCs/>
        </w:rPr>
        <w:t>11</w:t>
      </w:r>
      <w:r w:rsidRPr="00E930AE">
        <w:t>(3), pp.1-36.</w:t>
      </w:r>
    </w:p>
    <w:p w14:paraId="471B210C" w14:textId="1E432984" w:rsidR="00ED3B4E" w:rsidRPr="00E930AE" w:rsidRDefault="00ED3B4E" w:rsidP="00E930AE">
      <w:r w:rsidRPr="00E930AE">
        <w:t>Manda, H.M. and Abidin, A.Z. (2023) The role of leadership in managing information technology change and its impact on organisational human resources. </w:t>
      </w:r>
      <w:r w:rsidRPr="00E930AE">
        <w:rPr>
          <w:i/>
          <w:iCs/>
        </w:rPr>
        <w:t>Technology and Society Perspectives (TACIT)</w:t>
      </w:r>
      <w:r w:rsidRPr="00E930AE">
        <w:t>, </w:t>
      </w:r>
      <w:r w:rsidRPr="00E930AE">
        <w:rPr>
          <w:i/>
          <w:iCs/>
        </w:rPr>
        <w:t>1</w:t>
      </w:r>
      <w:r w:rsidRPr="00E930AE">
        <w:t>(3), pp.112-121.</w:t>
      </w:r>
    </w:p>
    <w:p w14:paraId="76CFB148" w14:textId="7E48EB41" w:rsidR="00ED3B4E" w:rsidRPr="00E930AE" w:rsidRDefault="00ED3B4E" w:rsidP="00E930AE">
      <w:r w:rsidRPr="00E930AE">
        <w:t>Memon, A.B., Meyer, K. and Tunio, M.N. (2022) Toward collaborative networking among innovation laboratories: a conceptual framework. </w:t>
      </w:r>
      <w:r w:rsidRPr="00E930AE">
        <w:rPr>
          <w:i/>
          <w:iCs/>
        </w:rPr>
        <w:t>International Journal of Innovation Science</w:t>
      </w:r>
      <w:r w:rsidRPr="00E930AE">
        <w:t>, </w:t>
      </w:r>
      <w:r w:rsidRPr="00E930AE">
        <w:rPr>
          <w:i/>
          <w:iCs/>
        </w:rPr>
        <w:t>14</w:t>
      </w:r>
      <w:r w:rsidRPr="00E930AE">
        <w:t>(2), pp.282-301.</w:t>
      </w:r>
    </w:p>
    <w:p w14:paraId="18D114E3" w14:textId="53B8D36A" w:rsidR="00ED3B4E" w:rsidRPr="00E930AE" w:rsidRDefault="00ED3B4E" w:rsidP="00E930AE">
      <w:r w:rsidRPr="00E930AE">
        <w:t>Ozsoy, T. (2022) The effect of innovative organizational climate on employee job satisfaction. </w:t>
      </w:r>
      <w:r w:rsidRPr="00E930AE">
        <w:rPr>
          <w:i/>
          <w:iCs/>
        </w:rPr>
        <w:t>Marketing i menedžment innovacij</w:t>
      </w:r>
      <w:r w:rsidRPr="00E930AE">
        <w:t>, (2), pp.9-16.</w:t>
      </w:r>
    </w:p>
    <w:p w14:paraId="281B1A83" w14:textId="7A40E789" w:rsidR="00ED3B4E" w:rsidRPr="00E930AE" w:rsidRDefault="00ED3B4E" w:rsidP="00E930AE">
      <w:r w:rsidRPr="00E930AE">
        <w:lastRenderedPageBreak/>
        <w:t>Rawashdeh, A. (2025) The consequences of artificial intelligence: an investigation into the impact of AI on job displacement in accounting. Journal of Science and Technology Policy Management, 16(3), pp.506-535.</w:t>
      </w:r>
    </w:p>
    <w:p w14:paraId="32D4E975" w14:textId="3890A78B" w:rsidR="00ED3B4E" w:rsidRPr="00E930AE" w:rsidRDefault="00ED3B4E" w:rsidP="00E930AE">
      <w:r w:rsidRPr="00E930AE">
        <w:t>Redlbacher, F. and Hattke, F. (2024) How virtual meetings stimulate process innovations in organisations: mixed-methods evidence from emergency response providers. </w:t>
      </w:r>
      <w:r w:rsidRPr="00E930AE">
        <w:rPr>
          <w:i/>
          <w:iCs/>
        </w:rPr>
        <w:t>Innovation</w:t>
      </w:r>
      <w:r w:rsidRPr="00E930AE">
        <w:t>, </w:t>
      </w:r>
      <w:r w:rsidRPr="00E930AE">
        <w:rPr>
          <w:i/>
          <w:iCs/>
        </w:rPr>
        <w:t>26</w:t>
      </w:r>
      <w:r w:rsidRPr="00E930AE">
        <w:t>(1), pp.1-22.</w:t>
      </w:r>
    </w:p>
    <w:p w14:paraId="2D0D0D7D" w14:textId="09188101" w:rsidR="00ED3B4E" w:rsidRPr="00E930AE" w:rsidRDefault="00ED3B4E" w:rsidP="00E930AE">
      <w:r w:rsidRPr="00E930AE">
        <w:t>Singh, K., Prakash, R., Rajpoot, H.S., Satapathy, P., Ambavale, R. and Parida, S.S. (2024) The Role of Emotional Intelligence in Effective Leadership and Decision-Making. </w:t>
      </w:r>
      <w:r w:rsidRPr="00E930AE">
        <w:rPr>
          <w:i/>
          <w:iCs/>
        </w:rPr>
        <w:t>Library of Progress-Library Science, Information Technology &amp; Computer</w:t>
      </w:r>
      <w:r w:rsidRPr="00E930AE">
        <w:t>, </w:t>
      </w:r>
      <w:r w:rsidRPr="00E930AE">
        <w:rPr>
          <w:i/>
          <w:iCs/>
        </w:rPr>
        <w:t>44</w:t>
      </w:r>
      <w:r w:rsidRPr="00E930AE">
        <w:t>(3).</w:t>
      </w:r>
    </w:p>
    <w:p w14:paraId="68CB4209" w14:textId="1551625B" w:rsidR="00ED3B4E" w:rsidRPr="00E930AE" w:rsidRDefault="00ED3B4E" w:rsidP="00E930AE">
      <w:r w:rsidRPr="00E930AE">
        <w:t>Somanathan, S. and Sureshkumar, S. (2023) Optimizing agile project management for virtual teams: Strategies for collaboration, communication, and productivity in remote settings. </w:t>
      </w:r>
      <w:r w:rsidRPr="00E930AE">
        <w:rPr>
          <w:i/>
          <w:iCs/>
        </w:rPr>
        <w:t>International Journal of Applied Engineering &amp; Technology</w:t>
      </w:r>
      <w:r w:rsidRPr="00E930AE">
        <w:t>, </w:t>
      </w:r>
      <w:r w:rsidRPr="00E930AE">
        <w:rPr>
          <w:i/>
          <w:iCs/>
        </w:rPr>
        <w:t>5</w:t>
      </w:r>
      <w:r w:rsidRPr="00E930AE">
        <w:t>(S2), pp.161-170.</w:t>
      </w:r>
    </w:p>
    <w:p w14:paraId="58B13400" w14:textId="4DD5A301" w:rsidR="00ED3B4E" w:rsidRPr="00E930AE" w:rsidRDefault="00ED3B4E" w:rsidP="00E930AE">
      <w:r w:rsidRPr="00E930AE">
        <w:t>Sorgner, A. (2019) Technological development, changes on labor markets, and demand for skills. </w:t>
      </w:r>
      <w:r w:rsidRPr="00E930AE">
        <w:rPr>
          <w:i/>
          <w:iCs/>
        </w:rPr>
        <w:t>Форсайт</w:t>
      </w:r>
      <w:r w:rsidRPr="00E930AE">
        <w:t>, </w:t>
      </w:r>
      <w:r w:rsidRPr="00E930AE">
        <w:rPr>
          <w:i/>
          <w:iCs/>
        </w:rPr>
        <w:t>13</w:t>
      </w:r>
      <w:r w:rsidRPr="00E930AE">
        <w:t>(2 (eng)), pp.6-8.</w:t>
      </w:r>
    </w:p>
    <w:p w14:paraId="2124D0F3" w14:textId="5AAD910F" w:rsidR="00ED3B4E" w:rsidRPr="00E930AE" w:rsidRDefault="00ED3B4E" w:rsidP="00E930AE">
      <w:r w:rsidRPr="00E930AE">
        <w:t>Syahrir, D.R., Zakaria, Z. and Labo, I.A. (2024) The role of job satisfaction as a mediating variable between work environment and employee productivity. </w:t>
      </w:r>
      <w:r w:rsidRPr="00E930AE">
        <w:rPr>
          <w:i/>
          <w:iCs/>
        </w:rPr>
        <w:t>Advances in Human Resource Management Research</w:t>
      </w:r>
      <w:r w:rsidRPr="00E930AE">
        <w:t>, </w:t>
      </w:r>
      <w:r w:rsidRPr="00E930AE">
        <w:rPr>
          <w:i/>
          <w:iCs/>
        </w:rPr>
        <w:t>2</w:t>
      </w:r>
      <w:r w:rsidRPr="00E930AE">
        <w:t>(3), pp.127-139.</w:t>
      </w:r>
    </w:p>
    <w:p w14:paraId="1C70B1CD" w14:textId="2F53BC7A" w:rsidR="00ED3B4E" w:rsidRPr="00E930AE" w:rsidRDefault="00ED3B4E" w:rsidP="00E930AE">
      <w:r w:rsidRPr="00E930AE">
        <w:t>Tobari, T., Dewi, M., Naim, S. and Azizah, S.N. (2024) Strategic convergence: How knowledge sharing, cross-functional collaboration, and adaptive leadership drive innovation success. </w:t>
      </w:r>
      <w:r w:rsidRPr="00E930AE">
        <w:rPr>
          <w:i/>
          <w:iCs/>
        </w:rPr>
        <w:t>International Journal of Business, Law, and Education</w:t>
      </w:r>
      <w:r w:rsidRPr="00E930AE">
        <w:t>, </w:t>
      </w:r>
      <w:r w:rsidRPr="00E930AE">
        <w:rPr>
          <w:i/>
          <w:iCs/>
        </w:rPr>
        <w:t>5</w:t>
      </w:r>
      <w:r w:rsidRPr="00E930AE">
        <w:t>(2), pp.2483-2494.</w:t>
      </w:r>
    </w:p>
    <w:p w14:paraId="2A61CFCE" w14:textId="4C249EB7" w:rsidR="00ED3B4E" w:rsidRPr="00E930AE" w:rsidRDefault="00ED3B4E" w:rsidP="00E930AE">
      <w:r w:rsidRPr="00E930AE">
        <w:t>Yaqoob, S., Sheraz, S., Mukhtar, M.A. and Nazir, S.</w:t>
      </w:r>
      <w:r w:rsidR="00E930AE" w:rsidRPr="00E930AE">
        <w:t xml:space="preserve"> (</w:t>
      </w:r>
      <w:r w:rsidRPr="00E930AE">
        <w:t>2024</w:t>
      </w:r>
      <w:r w:rsidR="00E930AE" w:rsidRPr="00E930AE">
        <w:t>)</w:t>
      </w:r>
      <w:r w:rsidRPr="00E930AE">
        <w:t xml:space="preserve"> The role of psychological safety in fostering creativity and innovation in the workplace. </w:t>
      </w:r>
      <w:r w:rsidRPr="00E930AE">
        <w:rPr>
          <w:i/>
          <w:iCs/>
        </w:rPr>
        <w:t>Review of Education, Administration &amp; Law</w:t>
      </w:r>
      <w:r w:rsidRPr="00E930AE">
        <w:t>, </w:t>
      </w:r>
      <w:r w:rsidRPr="00E930AE">
        <w:rPr>
          <w:i/>
          <w:iCs/>
        </w:rPr>
        <w:t>7</w:t>
      </w:r>
      <w:r w:rsidRPr="00E930AE">
        <w:t>(4), pp.443-456.</w:t>
      </w:r>
    </w:p>
    <w:p w14:paraId="056DCC82" w14:textId="00CBB510" w:rsidR="00ED3B4E" w:rsidRPr="00E930AE" w:rsidRDefault="00ED3B4E" w:rsidP="00E930AE">
      <w:r w:rsidRPr="00E930AE">
        <w:t>Yunus, S. and Mostafa, A.M.S.</w:t>
      </w:r>
      <w:r w:rsidR="00E930AE" w:rsidRPr="00E930AE">
        <w:t xml:space="preserve"> (</w:t>
      </w:r>
      <w:r w:rsidRPr="00E930AE">
        <w:t>2022</w:t>
      </w:r>
      <w:r w:rsidR="00E930AE" w:rsidRPr="00E930AE">
        <w:t xml:space="preserve">) </w:t>
      </w:r>
      <w:r w:rsidRPr="00E930AE">
        <w:t>Flexible working practices and job-related anxiety: Examining the roles of trust in management and job autonomy. </w:t>
      </w:r>
      <w:r w:rsidRPr="00E930AE">
        <w:rPr>
          <w:i/>
          <w:iCs/>
        </w:rPr>
        <w:t>Economic and Industrial Democracy</w:t>
      </w:r>
      <w:r w:rsidRPr="00E930AE">
        <w:t>, </w:t>
      </w:r>
      <w:r w:rsidRPr="00E930AE">
        <w:rPr>
          <w:i/>
          <w:iCs/>
        </w:rPr>
        <w:t>43</w:t>
      </w:r>
      <w:r w:rsidRPr="00E930AE">
        <w:t>(3), pp.1340-1368.</w:t>
      </w:r>
    </w:p>
    <w:p w14:paraId="604B5351" w14:textId="4BE5499F" w:rsidR="00ED3B4E" w:rsidRPr="00E930AE" w:rsidRDefault="00ED3B4E" w:rsidP="00E930AE">
      <w:r w:rsidRPr="00E930AE">
        <w:t>Zhao, F., Hu, W., Ahmed, F. and Huang, H.</w:t>
      </w:r>
      <w:r w:rsidR="00E930AE" w:rsidRPr="00E930AE">
        <w:t xml:space="preserve"> (</w:t>
      </w:r>
      <w:r w:rsidRPr="00E930AE">
        <w:t>2023</w:t>
      </w:r>
      <w:r w:rsidR="00E930AE" w:rsidRPr="00E930AE">
        <w:t xml:space="preserve">) </w:t>
      </w:r>
      <w:r w:rsidRPr="00E930AE">
        <w:t xml:space="preserve">Impact of ambidextrous human resource practices on employee innovation performance: the roles of inclusive </w:t>
      </w:r>
      <w:r w:rsidRPr="00E930AE">
        <w:lastRenderedPageBreak/>
        <w:t>leadership and psychological safety. </w:t>
      </w:r>
      <w:r w:rsidRPr="00E930AE">
        <w:rPr>
          <w:i/>
          <w:iCs/>
        </w:rPr>
        <w:t>European Journal of Innovation Management</w:t>
      </w:r>
      <w:r w:rsidRPr="00E930AE">
        <w:t>, </w:t>
      </w:r>
      <w:r w:rsidRPr="00E930AE">
        <w:rPr>
          <w:i/>
          <w:iCs/>
        </w:rPr>
        <w:t>26</w:t>
      </w:r>
      <w:r w:rsidRPr="00E930AE">
        <w:t>(5), pp.1444-1470.</w:t>
      </w:r>
    </w:p>
    <w:sectPr w:rsidR="00ED3B4E" w:rsidRPr="00E930AE" w:rsidSect="005E42AC">
      <w:footerReference w:type="default" r:id="rId8"/>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1E9DA" w14:textId="77777777" w:rsidR="00F013D4" w:rsidRPr="008371BA" w:rsidRDefault="00F013D4" w:rsidP="005E42AC">
      <w:pPr>
        <w:spacing w:before="0" w:after="0" w:line="240" w:lineRule="auto"/>
      </w:pPr>
      <w:r w:rsidRPr="008371BA">
        <w:separator/>
      </w:r>
    </w:p>
  </w:endnote>
  <w:endnote w:type="continuationSeparator" w:id="0">
    <w:p w14:paraId="315C796A" w14:textId="77777777" w:rsidR="00F013D4" w:rsidRPr="008371BA" w:rsidRDefault="00F013D4" w:rsidP="005E42AC">
      <w:pPr>
        <w:spacing w:before="0" w:after="0" w:line="240" w:lineRule="auto"/>
      </w:pPr>
      <w:r w:rsidRPr="008371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51455"/>
      <w:docPartObj>
        <w:docPartGallery w:val="Page Numbers (Bottom of Page)"/>
        <w:docPartUnique/>
      </w:docPartObj>
    </w:sdtPr>
    <w:sdtContent>
      <w:p w14:paraId="6BF11162" w14:textId="7797AD22" w:rsidR="005E42AC" w:rsidRPr="008371BA" w:rsidRDefault="005E42AC">
        <w:pPr>
          <w:pStyle w:val="Footer"/>
          <w:jc w:val="right"/>
        </w:pPr>
        <w:r w:rsidRPr="008371BA">
          <w:fldChar w:fldCharType="begin"/>
        </w:r>
        <w:r w:rsidRPr="008371BA">
          <w:instrText xml:space="preserve"> PAGE   \* MERGEFORMAT </w:instrText>
        </w:r>
        <w:r w:rsidRPr="008371BA">
          <w:fldChar w:fldCharType="separate"/>
        </w:r>
        <w:r w:rsidRPr="008371BA">
          <w:t>2</w:t>
        </w:r>
        <w:r w:rsidRPr="008371BA">
          <w:fldChar w:fldCharType="end"/>
        </w:r>
      </w:p>
    </w:sdtContent>
  </w:sdt>
  <w:p w14:paraId="581B8846" w14:textId="77777777" w:rsidR="005E42AC" w:rsidRPr="008371BA" w:rsidRDefault="005E4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136BF" w14:textId="77777777" w:rsidR="00F013D4" w:rsidRPr="008371BA" w:rsidRDefault="00F013D4" w:rsidP="005E42AC">
      <w:pPr>
        <w:spacing w:before="0" w:after="0" w:line="240" w:lineRule="auto"/>
      </w:pPr>
      <w:r w:rsidRPr="008371BA">
        <w:separator/>
      </w:r>
    </w:p>
  </w:footnote>
  <w:footnote w:type="continuationSeparator" w:id="0">
    <w:p w14:paraId="085A817F" w14:textId="77777777" w:rsidR="00F013D4" w:rsidRPr="008371BA" w:rsidRDefault="00F013D4" w:rsidP="005E42AC">
      <w:pPr>
        <w:spacing w:before="0" w:after="0" w:line="240" w:lineRule="auto"/>
      </w:pPr>
      <w:r w:rsidRPr="008371B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533"/>
    <w:rsid w:val="000067E3"/>
    <w:rsid w:val="00014E95"/>
    <w:rsid w:val="000418A5"/>
    <w:rsid w:val="00042D76"/>
    <w:rsid w:val="00071593"/>
    <w:rsid w:val="000A71C1"/>
    <w:rsid w:val="000C4457"/>
    <w:rsid w:val="000F5BF6"/>
    <w:rsid w:val="00120D3A"/>
    <w:rsid w:val="00161320"/>
    <w:rsid w:val="00164F2E"/>
    <w:rsid w:val="00166ED6"/>
    <w:rsid w:val="00183828"/>
    <w:rsid w:val="00186F1E"/>
    <w:rsid w:val="001913ED"/>
    <w:rsid w:val="001C12F6"/>
    <w:rsid w:val="001E4C82"/>
    <w:rsid w:val="00201575"/>
    <w:rsid w:val="00211C31"/>
    <w:rsid w:val="002312DA"/>
    <w:rsid w:val="002417A5"/>
    <w:rsid w:val="00277A9F"/>
    <w:rsid w:val="002B2A6F"/>
    <w:rsid w:val="002D2DD4"/>
    <w:rsid w:val="002D3199"/>
    <w:rsid w:val="002D79E6"/>
    <w:rsid w:val="002E3514"/>
    <w:rsid w:val="0033039D"/>
    <w:rsid w:val="00371BBE"/>
    <w:rsid w:val="00373E1A"/>
    <w:rsid w:val="003D40D8"/>
    <w:rsid w:val="003E1A2F"/>
    <w:rsid w:val="00431468"/>
    <w:rsid w:val="00454A05"/>
    <w:rsid w:val="00503E9F"/>
    <w:rsid w:val="0052653B"/>
    <w:rsid w:val="0055068A"/>
    <w:rsid w:val="005B0DFE"/>
    <w:rsid w:val="005B5507"/>
    <w:rsid w:val="005C5E46"/>
    <w:rsid w:val="005D69A7"/>
    <w:rsid w:val="005D736F"/>
    <w:rsid w:val="005E42AC"/>
    <w:rsid w:val="005F2589"/>
    <w:rsid w:val="005F5C01"/>
    <w:rsid w:val="006408A3"/>
    <w:rsid w:val="006419E3"/>
    <w:rsid w:val="0065099E"/>
    <w:rsid w:val="0065664E"/>
    <w:rsid w:val="0065787F"/>
    <w:rsid w:val="0066674C"/>
    <w:rsid w:val="0067035E"/>
    <w:rsid w:val="0067784E"/>
    <w:rsid w:val="00684971"/>
    <w:rsid w:val="00692785"/>
    <w:rsid w:val="006A7AD9"/>
    <w:rsid w:val="006B184A"/>
    <w:rsid w:val="006D201F"/>
    <w:rsid w:val="006E3189"/>
    <w:rsid w:val="006F6111"/>
    <w:rsid w:val="00705EA5"/>
    <w:rsid w:val="0075722D"/>
    <w:rsid w:val="0076681D"/>
    <w:rsid w:val="00781A64"/>
    <w:rsid w:val="007B2FDA"/>
    <w:rsid w:val="007B6313"/>
    <w:rsid w:val="007B7BF5"/>
    <w:rsid w:val="008225A0"/>
    <w:rsid w:val="00836360"/>
    <w:rsid w:val="008371BA"/>
    <w:rsid w:val="00840A15"/>
    <w:rsid w:val="00842953"/>
    <w:rsid w:val="00881EA0"/>
    <w:rsid w:val="00893F2B"/>
    <w:rsid w:val="008A7A1E"/>
    <w:rsid w:val="008B07F9"/>
    <w:rsid w:val="009032A7"/>
    <w:rsid w:val="00915661"/>
    <w:rsid w:val="009209B7"/>
    <w:rsid w:val="0092135C"/>
    <w:rsid w:val="00927EE9"/>
    <w:rsid w:val="00932280"/>
    <w:rsid w:val="00943346"/>
    <w:rsid w:val="00994083"/>
    <w:rsid w:val="009D3854"/>
    <w:rsid w:val="009E6EF3"/>
    <w:rsid w:val="00A01CAD"/>
    <w:rsid w:val="00A438CC"/>
    <w:rsid w:val="00A54D5D"/>
    <w:rsid w:val="00A552A7"/>
    <w:rsid w:val="00AA7C52"/>
    <w:rsid w:val="00AC0EA4"/>
    <w:rsid w:val="00AF36FE"/>
    <w:rsid w:val="00B14035"/>
    <w:rsid w:val="00B159DA"/>
    <w:rsid w:val="00B244FB"/>
    <w:rsid w:val="00B46652"/>
    <w:rsid w:val="00B81C07"/>
    <w:rsid w:val="00BB080D"/>
    <w:rsid w:val="00BD508A"/>
    <w:rsid w:val="00C00B70"/>
    <w:rsid w:val="00C85C7D"/>
    <w:rsid w:val="00C95E49"/>
    <w:rsid w:val="00CC0CB6"/>
    <w:rsid w:val="00CC3B30"/>
    <w:rsid w:val="00CD5188"/>
    <w:rsid w:val="00CE1BDC"/>
    <w:rsid w:val="00CE3785"/>
    <w:rsid w:val="00CF5533"/>
    <w:rsid w:val="00D0416F"/>
    <w:rsid w:val="00D5126C"/>
    <w:rsid w:val="00D70C20"/>
    <w:rsid w:val="00DA2355"/>
    <w:rsid w:val="00E22AAD"/>
    <w:rsid w:val="00E566DC"/>
    <w:rsid w:val="00E64E83"/>
    <w:rsid w:val="00E84784"/>
    <w:rsid w:val="00E930AE"/>
    <w:rsid w:val="00ED3B4E"/>
    <w:rsid w:val="00ED6224"/>
    <w:rsid w:val="00EF17D6"/>
    <w:rsid w:val="00F013D4"/>
    <w:rsid w:val="00F44C26"/>
    <w:rsid w:val="00F63A5D"/>
    <w:rsid w:val="00FA23CA"/>
    <w:rsid w:val="00FA7D1F"/>
    <w:rsid w:val="00FB127E"/>
    <w:rsid w:val="00FB7EBF"/>
    <w:rsid w:val="00FE398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BB2C9"/>
  <w15:chartTrackingRefBased/>
  <w15:docId w15:val="{BE3B7746-F95C-4270-989A-CB67E0FB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507"/>
    <w:rPr>
      <w:rFonts w:ascii="Arial" w:hAnsi="Arial"/>
      <w:color w:val="000000" w:themeColor="text1"/>
      <w:lang w:val="en-GB"/>
    </w:rPr>
  </w:style>
  <w:style w:type="paragraph" w:styleId="Heading1">
    <w:name w:val="heading 1"/>
    <w:basedOn w:val="Normal"/>
    <w:next w:val="Normal"/>
    <w:link w:val="Heading1Char"/>
    <w:uiPriority w:val="9"/>
    <w:qFormat/>
    <w:rsid w:val="00B81C07"/>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277A9F"/>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CF553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553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F553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F553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F553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F553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F553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C07"/>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277A9F"/>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CF55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55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55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55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5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5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533"/>
    <w:rPr>
      <w:rFonts w:eastAsiaTheme="majorEastAsia" w:cstheme="majorBidi"/>
      <w:color w:val="272727" w:themeColor="text1" w:themeTint="D8"/>
    </w:rPr>
  </w:style>
  <w:style w:type="paragraph" w:styleId="Title">
    <w:name w:val="Title"/>
    <w:basedOn w:val="Normal"/>
    <w:next w:val="Normal"/>
    <w:link w:val="TitleChar"/>
    <w:uiPriority w:val="10"/>
    <w:qFormat/>
    <w:rsid w:val="00CF5533"/>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F55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53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5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533"/>
    <w:pPr>
      <w:spacing w:before="160"/>
      <w:jc w:val="center"/>
    </w:pPr>
    <w:rPr>
      <w:i/>
      <w:iCs/>
      <w:color w:val="404040" w:themeColor="text1" w:themeTint="BF"/>
    </w:rPr>
  </w:style>
  <w:style w:type="character" w:customStyle="1" w:styleId="QuoteChar">
    <w:name w:val="Quote Char"/>
    <w:basedOn w:val="DefaultParagraphFont"/>
    <w:link w:val="Quote"/>
    <w:uiPriority w:val="29"/>
    <w:rsid w:val="00CF5533"/>
    <w:rPr>
      <w:rFonts w:ascii="Times New Roman" w:hAnsi="Times New Roman"/>
      <w:i/>
      <w:iCs/>
      <w:color w:val="404040" w:themeColor="text1" w:themeTint="BF"/>
    </w:rPr>
  </w:style>
  <w:style w:type="paragraph" w:styleId="ListParagraph">
    <w:name w:val="List Paragraph"/>
    <w:basedOn w:val="Normal"/>
    <w:uiPriority w:val="34"/>
    <w:qFormat/>
    <w:rsid w:val="00CF5533"/>
    <w:pPr>
      <w:ind w:left="720"/>
      <w:contextualSpacing/>
    </w:pPr>
  </w:style>
  <w:style w:type="character" w:styleId="IntenseEmphasis">
    <w:name w:val="Intense Emphasis"/>
    <w:basedOn w:val="DefaultParagraphFont"/>
    <w:uiPriority w:val="21"/>
    <w:qFormat/>
    <w:rsid w:val="00CF5533"/>
    <w:rPr>
      <w:i/>
      <w:iCs/>
      <w:color w:val="2F5496" w:themeColor="accent1" w:themeShade="BF"/>
    </w:rPr>
  </w:style>
  <w:style w:type="paragraph" w:styleId="IntenseQuote">
    <w:name w:val="Intense Quote"/>
    <w:basedOn w:val="Normal"/>
    <w:next w:val="Normal"/>
    <w:link w:val="IntenseQuoteChar"/>
    <w:uiPriority w:val="30"/>
    <w:qFormat/>
    <w:rsid w:val="00CF55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5533"/>
    <w:rPr>
      <w:rFonts w:ascii="Times New Roman" w:hAnsi="Times New Roman"/>
      <w:i/>
      <w:iCs/>
      <w:color w:val="2F5496" w:themeColor="accent1" w:themeShade="BF"/>
    </w:rPr>
  </w:style>
  <w:style w:type="character" w:styleId="IntenseReference">
    <w:name w:val="Intense Reference"/>
    <w:basedOn w:val="DefaultParagraphFont"/>
    <w:uiPriority w:val="32"/>
    <w:qFormat/>
    <w:rsid w:val="00CF5533"/>
    <w:rPr>
      <w:b/>
      <w:bCs/>
      <w:smallCaps/>
      <w:color w:val="2F5496" w:themeColor="accent1" w:themeShade="BF"/>
      <w:spacing w:val="5"/>
    </w:rPr>
  </w:style>
  <w:style w:type="paragraph" w:styleId="Header">
    <w:name w:val="header"/>
    <w:basedOn w:val="Normal"/>
    <w:link w:val="HeaderChar"/>
    <w:uiPriority w:val="99"/>
    <w:unhideWhenUsed/>
    <w:rsid w:val="005E4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2AC"/>
    <w:rPr>
      <w:rFonts w:ascii="Times New Roman" w:hAnsi="Times New Roman"/>
      <w:color w:val="000000" w:themeColor="text1"/>
    </w:rPr>
  </w:style>
  <w:style w:type="paragraph" w:styleId="Footer">
    <w:name w:val="footer"/>
    <w:basedOn w:val="Normal"/>
    <w:link w:val="FooterChar"/>
    <w:uiPriority w:val="99"/>
    <w:unhideWhenUsed/>
    <w:rsid w:val="005E4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2AC"/>
    <w:rPr>
      <w:rFonts w:ascii="Times New Roman" w:hAnsi="Times New Roman"/>
      <w:color w:val="000000" w:themeColor="text1"/>
    </w:rPr>
  </w:style>
  <w:style w:type="paragraph" w:styleId="TOCHeading">
    <w:name w:val="TOC Heading"/>
    <w:basedOn w:val="Heading1"/>
    <w:next w:val="Normal"/>
    <w:uiPriority w:val="39"/>
    <w:unhideWhenUsed/>
    <w:qFormat/>
    <w:rsid w:val="005B5507"/>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B5507"/>
    <w:pPr>
      <w:spacing w:after="100"/>
    </w:pPr>
  </w:style>
  <w:style w:type="paragraph" w:styleId="TOC2">
    <w:name w:val="toc 2"/>
    <w:basedOn w:val="Normal"/>
    <w:next w:val="Normal"/>
    <w:autoRedefine/>
    <w:uiPriority w:val="39"/>
    <w:unhideWhenUsed/>
    <w:rsid w:val="005B5507"/>
    <w:pPr>
      <w:spacing w:after="100"/>
      <w:ind w:left="240"/>
    </w:pPr>
  </w:style>
  <w:style w:type="character" w:styleId="Hyperlink">
    <w:name w:val="Hyperlink"/>
    <w:basedOn w:val="DefaultParagraphFont"/>
    <w:uiPriority w:val="99"/>
    <w:unhideWhenUsed/>
    <w:rsid w:val="005B5507"/>
    <w:rPr>
      <w:color w:val="0563C1" w:themeColor="hyperlink"/>
      <w:u w:val="single"/>
    </w:rPr>
  </w:style>
  <w:style w:type="character" w:styleId="UnresolvedMention">
    <w:name w:val="Unresolved Mention"/>
    <w:basedOn w:val="DefaultParagraphFont"/>
    <w:uiPriority w:val="99"/>
    <w:semiHidden/>
    <w:unhideWhenUsed/>
    <w:rsid w:val="00881E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D5267-181F-45AF-A4E9-6ACF4DCF0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15</Pages>
  <Words>3811</Words>
  <Characters>21727</Characters>
  <Application>Microsoft Office Word</Application>
  <DocSecurity>0</DocSecurity>
  <Lines>181</Lines>
  <Paragraphs>50</Paragraphs>
  <ScaleCrop>false</ScaleCrop>
  <Company/>
  <LinksUpToDate>false</LinksUpToDate>
  <CharactersWithSpaces>25488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Vivek Talaviya</cp:lastModifiedBy>
  <cp:revision>120</cp:revision>
  <dcterms:created xsi:type="dcterms:W3CDTF">2026-03-14T05:42:00Z</dcterms:created>
  <dcterms:modified xsi:type="dcterms:W3CDTF">2026-03-19T14:45:00Z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90bf40db-8cb0-42e3-a3f1-8f8c9137d4a4</vt:lpwstr>
  </property>
</Properties>
</file>