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B5823CD" w14:paraId="5E5787A5" wp14:textId="599D96AA">
      <w:pPr>
        <w:spacing w:line="360" w:lineRule="auto"/>
        <w:rPr>
          <w:rFonts w:ascii="Calibri" w:hAnsi="Calibri" w:eastAsia="Calibri" w:cs="Calibri" w:asciiTheme="minorAscii" w:hAnsiTheme="minorAscii" w:eastAsiaTheme="minorAscii" w:cstheme="minorAscii"/>
          <w:sz w:val="22"/>
          <w:szCs w:val="22"/>
        </w:rPr>
      </w:pPr>
      <w:bookmarkStart w:name="_GoBack" w:id="0"/>
      <w:bookmarkEnd w:id="0"/>
      <w:r w:rsidRPr="1B5823CD" w:rsidR="1B5823CD">
        <w:rPr>
          <w:rFonts w:ascii="Calibri" w:hAnsi="Calibri" w:eastAsia="Calibri" w:cs="Calibri" w:asciiTheme="minorAscii" w:hAnsiTheme="minorAscii" w:eastAsiaTheme="minorAscii" w:cstheme="minorAscii"/>
          <w:sz w:val="22"/>
          <w:szCs w:val="22"/>
        </w:rPr>
        <w:t>Cerys Worsfold</w:t>
      </w:r>
    </w:p>
    <w:p w:rsidR="33A41F55" w:rsidP="1B5823CD" w:rsidRDefault="33A41F55" w14:paraId="1F211408" w14:textId="27F2547C">
      <w:pPr>
        <w:pStyle w:val="Normal"/>
        <w:spacing w:line="360" w:lineRule="auto"/>
        <w:rPr>
          <w:rFonts w:ascii="Calibri" w:hAnsi="Calibri" w:eastAsia="Calibri" w:cs="Calibri" w:asciiTheme="minorAscii" w:hAnsiTheme="minorAscii" w:eastAsiaTheme="minorAscii" w:cstheme="minorAscii"/>
          <w:sz w:val="22"/>
          <w:szCs w:val="22"/>
        </w:rPr>
      </w:pPr>
      <w:r w:rsidRPr="1B5823CD" w:rsidR="1B5823CD">
        <w:rPr>
          <w:rFonts w:ascii="Calibri" w:hAnsi="Calibri" w:eastAsia="Calibri" w:cs="Calibri" w:asciiTheme="minorAscii" w:hAnsiTheme="minorAscii" w:eastAsiaTheme="minorAscii" w:cstheme="minorAscii"/>
          <w:sz w:val="22"/>
          <w:szCs w:val="22"/>
        </w:rPr>
        <w:t>1702362</w:t>
      </w:r>
    </w:p>
    <w:p w:rsidR="33A41F55" w:rsidP="1B5823CD" w:rsidRDefault="33A41F55" w14:paraId="511AC861" w14:textId="1A51592A">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00090E"/>
          <w:sz w:val="22"/>
          <w:szCs w:val="22"/>
          <w:lang w:val="en-GB"/>
        </w:rPr>
      </w:pPr>
      <w:r w:rsidRPr="1B5823CD" w:rsidR="1B5823CD">
        <w:rPr>
          <w:rFonts w:ascii="Calibri" w:hAnsi="Calibri" w:eastAsia="Calibri" w:cs="Calibri" w:asciiTheme="minorAscii" w:hAnsiTheme="minorAscii" w:eastAsiaTheme="minorAscii" w:cstheme="minorAscii"/>
          <w:sz w:val="22"/>
          <w:szCs w:val="22"/>
        </w:rPr>
        <w:t>Inclusive Dance Practise (</w:t>
      </w:r>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lang w:val="en-GB"/>
        </w:rPr>
        <w:t>HPDA5004)</w:t>
      </w:r>
    </w:p>
    <w:p w:rsidR="33A41F55" w:rsidP="1B5823CD" w:rsidRDefault="33A41F55" w14:paraId="0E8A8A43" w14:textId="400173BE">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00090E"/>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lang w:val="en-GB"/>
        </w:rPr>
        <w:t xml:space="preserve">University </w:t>
      </w:r>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lang w:val="en-GB"/>
        </w:rPr>
        <w:t>of</w:t>
      </w:r>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lang w:val="en-GB"/>
        </w:rPr>
        <w:t xml:space="preserve"> Wales Trinity St David</w:t>
      </w:r>
    </w:p>
    <w:p w:rsidR="1B5823CD" w:rsidP="1B5823CD" w:rsidRDefault="1B5823CD" w14:paraId="1C6F87E3" w14:textId="4F814453">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00090E"/>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lang w:val="en-GB"/>
        </w:rPr>
        <w:t>Word count: 4,540</w:t>
      </w:r>
    </w:p>
    <w:p w:rsidR="33A41F55" w:rsidP="1B5823CD" w:rsidRDefault="33A41F55" w14:paraId="51414002" w14:textId="46D9C0C5">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00090E"/>
          <w:sz w:val="22"/>
          <w:szCs w:val="22"/>
          <w:u w:val="single"/>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single"/>
          <w:lang w:val="en-GB"/>
        </w:rPr>
        <w:t>Moving Memory: A study of how dementia patients progress in participatory dance sessions</w:t>
      </w:r>
    </w:p>
    <w:p w:rsidR="33A41F55" w:rsidP="1B5823CD" w:rsidRDefault="33A41F55" w14:paraId="56D96821" w14:textId="6CEF5DA9">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00090E"/>
          <w:sz w:val="22"/>
          <w:szCs w:val="22"/>
          <w:u w:val="single"/>
          <w:lang w:val="en-GB"/>
        </w:rPr>
      </w:pPr>
    </w:p>
    <w:p w:rsidR="33A41F55" w:rsidP="1B5823CD" w:rsidRDefault="33A41F55" w14:paraId="69A0F491" w14:textId="7BBBC0F3">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For people living with dementia, dancing can provide more than exercise. They get to socialize, engage in working with their brain and memory, and it can also better their overall wellbeing, both mentally and physically. “Participation in leisure activities is associated with a reduced risk of dementia” (The New England Journal of Medicine, 2003). In this essay I will be researching Dementia, regarding the signs, how a person feels, the mood changes and the possible loss of freedom and dignity that they may have when going into a care home or when being cared by others. And the effects the disease has on the family. I will then speak about dance and dementia, and the benefits of exercising and how helpful it is for a person’s wellbeing. Next, I will mention the importance of a leader running these sessions in settings like these, and how beneficial it is for the participants, and how rewarding seeing the progression of the participants is for the leader. I will also be speaking about how to lead in these setting and how to deal with certain situations that may occur during the time given with the care homes. </w:t>
      </w: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I will then go onto speaking about the care homes, and mention the progression of the group's overall, and how far they have come over the given weeks that we had to spend with them. create case studies on two chosen individuals, on how they have progressed through the weeks of being with them and the reasoning behind their progression. At the end of this essay, I will speak about my own experiences and how the whole experience made me feel.</w:t>
      </w:r>
    </w:p>
    <w:p w:rsidR="33A41F55" w:rsidP="1B5823CD" w:rsidRDefault="33A41F55" w14:paraId="5E651CB4" w14:textId="030EF222">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We use our brains to think, remember, to carry out what our bodies do and what we say. And dementia is an illness that can limit us or stop us from being able to do these everyday things that make us who we are. In scientific terms, according to Dementia UK, 2019 dementia happens when the nerve cells in the brain are damaged so the messages can’t be sent adequately to and from the brain. Which is the reason why dementia affects a person's everyday tasks. When an individual has this illness, they develop problems that makes it harder to remember things, speak, and think. This illness can be hard for any families who have a member of the family suffering this illness. Dementia can affect an induvial memory, from forgetting a recent event, to forgetting someone’s name. They also find it a struggle to use the right words or find it hard to understand others whilst engaging in a conversation. ‘They might say or do things that seem strange to others’ (Alzheimer’s Research UK, 2018). In some cases, they can forget where they are or where they live, which for family members or care home staff can be hard to explain to the patient as they can get confused and frustrated in themselves easily. Dementia usually occurs during old age; they might then need to be moved into a care home if the family of the individual struggle to care for them, or if their needs increase and the individual may need 24-hour care. In some cases, dementia doesn’t only affect older people ‘People over 65 are more likely to get dementia, but it can affect younger people too’ (Alzheimer’s Research UK, 2018). This is called early onset dementia. It affects a person’s ability to walk, balance and everyday co-ordination. Having early onset dementia is different to dementia, as the individual could be physically fitter, and that may be the only illness that they are suffering from, unlike an elderly individual with dementia who may have another illness, such as arthritis or any heart diseases.</w:t>
      </w:r>
    </w:p>
    <w:p w:rsidR="1B5823CD" w:rsidP="1B5823CD" w:rsidRDefault="1B5823CD" w14:paraId="17F6432B" w14:textId="4FA05F5F">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 xml:space="preserve">Dementia has a massive and worrying effect on the families who are going through dementia with loved ones.  As well as it being hard on the person who has dementia, it is also incredibly hard for the families and friends. The disease is progressive, so the family members may have to look after and care for the individual in their own homes, but then the individual may become a lot worse, and it can come impossible for the family member to look after them on their own. So then having the decision of when to bring in extra care and attention like sending their loved one to a care home that specialises in dementia care can be tough on them. This move can be hard on the individual, as they could be moving out of a home where they have stayed in all their lives and leaving the memories that they have made in the house. This may then make the individual distressed and refusing to leave their home. Which can be an upsetting experience to go through for the members of the family.  According to Alzheimer’s society Canada, 2019, The family members may also feel guilty when making this decision. And the family members may regret putting them in care too early, and not keeping them at home for longer. It can also become upsetting when the individual who is suffering from dementia starts forgetting where they are, who they are and who their family members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are.</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 xml:space="preserve"> This can become a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heart breaking</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 xml:space="preserve"> experience for the members of the family.  Making sure that the family find any help is a key aspect of helping someone with dementia. Even if it’s a family member that can help take turns in visiting and doing tasks around the patient's house for example. And then when seeking a bit more help, making sure that the family members are involved in the given situation. This could be looking for the best care home that the individual will feel at home in and comfortable. Taking things personal can also be an effect of a family member, especially when the individual gets angry and says things like ‘This isn’t my home’ or even forgets who the family members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are.</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 xml:space="preserve">  it is also important for the family members or friends to try and not show how they are feeling, whether it is upset or scared. As the person who has dementia can pick up on that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and also</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 xml:space="preserve"> get distressed themselves. </w:t>
      </w:r>
    </w:p>
    <w:p w:rsidR="7D50BB84" w:rsidP="1B5823CD" w:rsidRDefault="7D50BB84" w14:paraId="0D03AF20" w14:textId="1973E241">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00090E"/>
          <w:sz w:val="22"/>
          <w:szCs w:val="22"/>
          <w:u w:val="none"/>
          <w:lang w:val="en-GB"/>
        </w:rPr>
        <w:t xml:space="preserve">Dance is associated with contributing to someone's health and wellbeing. Dance sessions can benefit a dementia patient in many ways. It can make them feel freedom, energised and engaged by simply having a short session of movement. </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According to the World Health Organization, the number of people who will be affected by</w:t>
      </w: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hyperlink r:id="Rcfb6539e33a3454c">
        <w:r w:rsidRPr="1B5823CD" w:rsidR="1B5823CD">
          <w:rPr>
            <w:rStyle w:val="Hyperlink"/>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neurological disorders is expected to increase in the upcoming decades</w:t>
        </w:r>
      </w:hyperlink>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In which case finding ways to help your memory, such as dance can be a great activity to take up in order to help with dementia. As stated by Alanna Orpen, 2016 dancing combines physical and cognitive stimulation. These are elements that affect an individual who suffers with dementia. For example, if a dementia patient were to go to a session regularly, their movement memory may get better. Dance can strengthen and improve one’s memory and can enhance neurological connections. “</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The complex mental coordination that dance requires activates several brain regions: the cerebellum, the somatosensory cortex and the basal ganglia, triggering kinaesthetic, rational, musical, and emotional responses.” (Alanna Orpen, 2016) </w:t>
      </w:r>
    </w:p>
    <w:p w:rsidR="75C5E9E0" w:rsidP="1B5823CD" w:rsidRDefault="75C5E9E0" w14:paraId="6565C9CA" w14:textId="302E4728">
      <w:pPr>
        <w:pStyle w:val="Normal"/>
        <w:spacing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29303B"/>
          <w:sz w:val="22"/>
          <w:szCs w:val="22"/>
          <w:lang w:val="en-GB"/>
        </w:rPr>
        <w:t xml:space="preserve">As a leader in this setting, treating every individual fairly and getting to know their personalities and characteristics can strongly help with leading in a more diverse and inclusive way. Getting to know the participants and building relationships with participants can make leaders look a lot more approachable, in which case if a or participant has a problem, want help or just someone to talk to if they are going through something, the sense of trust between the leader and participants can benefit the participants. During my experiences, whilst working with the individuals in the care home, individuals can get agitated easily, so being aware is a big part of leading in a setting with needs like these. </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Leaders need to be aware of how they speak to the groups and being sensitive to their needs. During a workshop with Eleanor Shaw, who works in the community setting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and also</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 works closely with dementia patients. She mentioned that certain things like music, or memory games can make them jog their memory to something that had happened in their past, and in worst cases can make them upset. Eleanor chooses the music carefully to avoid participants getting upset and becoming restless. When working with Dementia patients, Shaw 2019 states that “Whilst doing a task, let the participants be free and avoid correcting them”. The time that the participants have is important to them, letting the session flow freely is the correct skill to have whilst leading a group that have specific needs.</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 </w:t>
      </w:r>
      <w:r w:rsidRPr="1B5823CD" w:rsidR="1B5823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One of the main needs of a leader </w:t>
      </w:r>
      <w:r w:rsidRPr="1B5823CD" w:rsidR="1B5823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in this setting </w:t>
      </w:r>
      <w:r w:rsidRPr="1B5823CD" w:rsidR="1B5823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is that they need to be confident in what they are doing, and how they are teaching. According to Juneja, 2018, ‘having confidence in yourself is important to earn the confidence of the subordinates. Leaders need the will power to motivate their participants, appraisal and positive reinforcement can help with the drive of students.</w:t>
      </w:r>
      <w:r w:rsidRPr="1B5823CD" w:rsidR="1B5823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During a workshop with Chrissie Harrington on leadership, she states </w:t>
      </w:r>
      <w:r w:rsidRPr="1B5823CD" w:rsidR="1B5823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that ‘people learn through positive reinforcement’. </w:t>
      </w:r>
      <w:r>
        <w:br/>
      </w:r>
      <w:r>
        <w:br/>
      </w:r>
    </w:p>
    <w:p w:rsidR="4FD89B9F" w:rsidP="1B5823CD" w:rsidRDefault="4FD89B9F" w14:paraId="65F4F4EC" w14:textId="22CCD552">
      <w:pPr>
        <w:pStyle w:val="Normal"/>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During our scheduled time at the care home, we got the chance to work with two care homes. The sessions started off as a duration of 30 minutes, as the sessions went on, the participants were getting more and more relaxed. This suggests that we could take longer sessions with the care homes. The activities planned for the care homes had to change slightly, as the facilities were different, and one care home had less room than the other. Whilst going into these sessions, lesson plans must be thorough, but also open to change. As you may come across more problems and distractions than you would in a youth dance class. </w:t>
      </w:r>
    </w:p>
    <w:p w:rsidR="4FD89B9F" w:rsidP="1B5823CD" w:rsidRDefault="4FD89B9F" w14:paraId="3E21F746" w14:textId="1CA604B7">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The first session, the activities given to the participants were trialled. The session consisted of using the imagination. These tasks included using scarfs to dance and improvise with and imagining a ball by using the movements within the hands. These tasks were hard for the participants to grasp during the first session. The imagination of the participants was weak, and some did not participate as they found it hard to create movement by themselves. In the course of the next few sessions, we started to change the lesson plan by adding some activities in that they could follow, as we found that this was a strong element of the session beforehand during the warm ups and cool downs, where they could follow, and enjoyed following. As well as keeping the scarf activity, to help with building their imagination and their freedom in the session. Which links back to Eleanor's quote of </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“Whilst doing a task, let the participants be free and avoid correcting them” (Eleanor Shaw,2019). If a participant isn’t engaging, encouraging him/her by using the correct language is a sign of a good leader. By encouraging them to move with you and to find new ways that they can move with the scarfs whilst praising them and giving them positive reinforcement can then make them feel included in the session. This may then engage them and make them feel even more confident throughout the session and the following sessions too.  Positive reinforcement is a powerful tool to use.  Being positive to an individual can go a long a way. As said by Donna Newton, 2016 when individuals feel that their efforts are being recognised, this can lead to the individual feeling self-worth. This I what the individuals need and will help them build their confidence in further sessions and activities that they undertake. </w:t>
      </w:r>
    </w:p>
    <w:p w:rsidR="1B5823CD" w:rsidP="1B5823CD" w:rsidRDefault="1B5823CD" w14:paraId="4E7D032F" w14:textId="61C1E56A">
      <w:pPr>
        <w:pStyle w:val="Normal"/>
        <w:spacing w:line="480" w:lineRule="exact"/>
        <w:jc w:val="left"/>
        <w:rPr>
          <w:rFonts w:ascii="Calibri" w:hAnsi="Calibri" w:eastAsia="Calibri" w:cs="Calibri" w:asciiTheme="minorAscii" w:hAnsiTheme="minorAscii" w:eastAsiaTheme="minorAscii" w:cstheme="minorAscii"/>
          <w:b w:val="0"/>
          <w:bCs w:val="0"/>
          <w:i w:val="0"/>
          <w:iCs w:val="0"/>
          <w:color w:val="484848"/>
          <w:sz w:val="22"/>
          <w:szCs w:val="22"/>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Exercise is also an important aspect of dementia. Dementia patients that are living in care homes tend to be sat down most of the day, unless they are doing activities. Elderly people are also less mobile, so exercising, such as dance can mobilise the joints and give the participants a chance to move and be free. “Exercise improves your strength, flexibility and posture, which in turn will help with balance, coordination, and reducing the risk of falls. Strength training also helps alleviate the symptoms of chronic conditions such as arthritis.” (Help Guide, 2019). This quote suggests that exercising is important for any senior, with or without dementia as it gets them moving as well as lifting their mood. Exercising releases endorphins, which make people feel good about themselves and uplifts their mood. According to Help Guide, 2019 exercising also improves one’s mental health, by improving sleep patterns, and making you feel more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tired</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 to eventually make you fall asleep easier and have a deeper sleep. It also can improve brain functions as distinct as multitasking and creativity and can help prevent memory loss, cognitive decline, and dementia. This suggests that becoming more active in your elder years can slow down the progression of dementia. So, by having regular dance or movement sessions can benefit a person’s well-being and help with their memory and slow down their progression of the disease. </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w:t>
      </w:r>
      <w:r w:rsidRPr="1B5823CD" w:rsidR="1B5823CD">
        <w:rPr>
          <w:rFonts w:ascii="Calibri" w:hAnsi="Calibri" w:eastAsia="Calibri" w:cs="Calibri" w:asciiTheme="minorAscii" w:hAnsiTheme="minorAscii" w:eastAsiaTheme="minorAscii" w:cstheme="minorAscii"/>
          <w:b w:val="0"/>
          <w:bCs w:val="0"/>
          <w:i w:val="0"/>
          <w:iCs w:val="0"/>
          <w:color w:val="484848"/>
          <w:sz w:val="22"/>
          <w:szCs w:val="22"/>
        </w:rPr>
        <w:t xml:space="preserve">The health benefits of dancing for seniors range from improving your physical health to creating strong social connections that increase your sense of well-being.” (Katharine </w:t>
      </w:r>
      <w:proofErr w:type="spellStart"/>
      <w:r w:rsidRPr="1B5823CD" w:rsidR="1B5823CD">
        <w:rPr>
          <w:rFonts w:ascii="Calibri" w:hAnsi="Calibri" w:eastAsia="Calibri" w:cs="Calibri" w:asciiTheme="minorAscii" w:hAnsiTheme="minorAscii" w:eastAsiaTheme="minorAscii" w:cstheme="minorAscii"/>
          <w:b w:val="0"/>
          <w:bCs w:val="0"/>
          <w:i w:val="0"/>
          <w:iCs w:val="0"/>
          <w:color w:val="484848"/>
          <w:sz w:val="22"/>
          <w:szCs w:val="22"/>
        </w:rPr>
        <w:t>Palijug</w:t>
      </w:r>
      <w:proofErr w:type="spellEnd"/>
      <w:r w:rsidRPr="1B5823CD" w:rsidR="1B5823CD">
        <w:rPr>
          <w:rFonts w:ascii="Calibri" w:hAnsi="Calibri" w:eastAsia="Calibri" w:cs="Calibri" w:asciiTheme="minorAscii" w:hAnsiTheme="minorAscii" w:eastAsiaTheme="minorAscii" w:cstheme="minorAscii"/>
          <w:b w:val="0"/>
          <w:bCs w:val="0"/>
          <w:i w:val="0"/>
          <w:iCs w:val="0"/>
          <w:color w:val="484848"/>
          <w:sz w:val="22"/>
          <w:szCs w:val="22"/>
        </w:rPr>
        <w:t>, 2017)</w:t>
      </w:r>
    </w:p>
    <w:p w:rsidR="1B5823CD" w:rsidP="1B5823CD" w:rsidRDefault="1B5823CD" w14:paraId="4A7A497B" w14:textId="582AE088">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p>
    <w:p w:rsidR="4FD89B9F" w:rsidP="1B5823CD" w:rsidRDefault="4FD89B9F" w14:paraId="3ECE20D8" w14:textId="09676068">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202A30"/>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Music was an important element to these sessions.</w:t>
      </w:r>
      <w:r w:rsidRPr="1B5823CD" w:rsidR="1B5823CD">
        <w:rPr>
          <w:rFonts w:ascii="Calibri" w:hAnsi="Calibri" w:eastAsia="Calibri" w:cs="Calibri" w:asciiTheme="minorAscii" w:hAnsiTheme="minorAscii" w:eastAsiaTheme="minorAscii" w:cstheme="minorAscii"/>
          <w:b w:val="0"/>
          <w:bCs w:val="0"/>
          <w:i w:val="0"/>
          <w:iCs w:val="0"/>
          <w:noProof w:val="0"/>
          <w:color w:val="202A30"/>
          <w:sz w:val="22"/>
          <w:szCs w:val="22"/>
          <w:lang w:val="en-GB"/>
        </w:rPr>
        <w:t xml:space="preserve"> “</w:t>
      </w:r>
      <w:r w:rsidRPr="1B5823CD" w:rsidR="1B5823CD">
        <w:rPr>
          <w:rFonts w:ascii="Calibri" w:hAnsi="Calibri" w:eastAsia="Calibri" w:cs="Calibri" w:asciiTheme="minorAscii" w:hAnsiTheme="minorAscii" w:eastAsiaTheme="minorAscii" w:cstheme="minorAscii"/>
          <w:b w:val="0"/>
          <w:bCs w:val="0"/>
          <w:i w:val="0"/>
          <w:iCs w:val="0"/>
          <w:noProof w:val="0"/>
          <w:color w:val="202A30"/>
          <w:sz w:val="22"/>
          <w:szCs w:val="22"/>
          <w:lang w:val="en-GB"/>
        </w:rPr>
        <w:t>Music can have many benefits in the setting of dementia. It can help reduce anxiety and depression, help maintain speech and language” (Alistair Burns, 2018)  After our session, the participants would have a singing session, so at the end of our session the participants would sing the songs that they sing during their session with a singer. We then asked the participants what songs they would like to dance to. And they gave us a few options that we then used in later sessions. This made a massive change in the energy of the participants when dancing to the songs that they had suggested and known.</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 “</w:t>
      </w:r>
      <w:r w:rsidRPr="1B5823CD" w:rsidR="1B5823CD">
        <w:rPr>
          <w:rFonts w:ascii="Calibri" w:hAnsi="Calibri" w:eastAsia="Calibri" w:cs="Calibri" w:asciiTheme="minorAscii" w:hAnsiTheme="minorAscii" w:eastAsiaTheme="minorAscii" w:cstheme="minorAscii"/>
          <w:b w:val="0"/>
          <w:bCs w:val="0"/>
          <w:i w:val="0"/>
          <w:iCs w:val="0"/>
          <w:noProof w:val="0"/>
          <w:color w:val="202A30"/>
          <w:sz w:val="22"/>
          <w:szCs w:val="22"/>
          <w:lang w:val="en-GB"/>
        </w:rPr>
        <w:t xml:space="preserve">Music lights up emotional memories – everyone remembers songs from their past – the first kiss, the song at a wedding” (Alistair Burns, 2018). Music can jog happy memories, but also trigger memories that can make individuals upset and anxious. During a session with one of the care homes, the music that we played for the cool down made an individual upset, so this song may have triggered the individual's memory. On the other hand, seeing the positivity from individuals when they hear music from their era is rewarding. Especially when they start getting up from their chairs, or simply just sitting down and having a dance whilst singing. Choosing the correct music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202A30"/>
          <w:sz w:val="22"/>
          <w:szCs w:val="22"/>
          <w:lang w:val="en-GB"/>
        </w:rPr>
        <w:t>definitely contributes</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202A30"/>
          <w:sz w:val="22"/>
          <w:szCs w:val="22"/>
          <w:lang w:val="en-GB"/>
        </w:rPr>
        <w:t xml:space="preserve"> to the progression of the participants that are involved in the session. And it also makes the room feel positive and full of energy. </w:t>
      </w:r>
    </w:p>
    <w:p w:rsidR="4FD89B9F" w:rsidP="1B5823CD" w:rsidRDefault="4FD89B9F" w14:paraId="1C3EE5FA" w14:textId="67BFC2C6">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Noticing the progression is important and rewarding to watch. And seeing the individuals laugh and enjoy the session is also a bonus for a leader to watch and to take in. During these sessions 2 participants progression and enjoyment stood out to me. These were A and V. These two individuals were involved in most of the sessions. </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A</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 was involved in the first session, and V joined a couple of sessions later. </w:t>
      </w:r>
    </w:p>
    <w:p w:rsidR="4FD89B9F" w:rsidP="1B5823CD" w:rsidRDefault="4FD89B9F" w14:paraId="58C47C42" w14:textId="2A2D68E8">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At the time of the first session, ‘A’ was shy, and didn’t get involved in the session, during the session A had got taken out as she didn’t want to participate in the session. Dementia sufferers can often feel frustrated and confused. The reasoning behind this is unknown, and the person who has the disease may not know why they are feeling a certain emotion either. “</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They may become angry or upset with other people very easily. They might not be able to say why. They may not know why.” (Alzheimer's Research UK, 2018). ‘A’ took a few sessions to settle in, this may be because it’s something new to them.  ‘A’ loved signing, and she would participate in singing the songs more than the movements that we were showing, which is also fine as the individual was enjoying watching everyone else dance whilst she was signing along to the song. At this point ‘A’ was becoming more aware of the session, instead of keeping their head down and not participating at all. Noticing the small signs of progression was motivating for us to keep pushing ‘A’ and to become more aware of them in the sessions. For example, simply engaging in a conversation with them would be beneficial and partnering up with them during activities that required a pair. ‘A’ would often speak about family and the emotions felt whilst speaking about a memory during the session. Memory loss in one of the main downfalls of dementia. Emotion is linked to a person’s memory. According to Alzheimer</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s Society, 2019, When an individual speaks about a memory, they may not recall where they went on holiday, but they can remember and tell you the emotions that they felt whilst on this holiday. This happens when an individual’s dementia isn’t severe, people’s emotional memory is affected much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later on</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 in dementia. </w:t>
      </w:r>
    </w:p>
    <w:p w:rsidR="4FD89B9F" w:rsidP="1B5823CD" w:rsidRDefault="4FD89B9F" w14:paraId="3AA7ED01" w14:textId="62184B5E">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A few sessions in, ‘A’ started to get more involved, especially in the movement side of things, instead of only singing along to the songs. It took a long time for this to happen, and to settle in and have trust in us as leaders. Having trust in people that you haven’t met before for people with dementia can be hard. And they may refuse help. This may be because:</w:t>
      </w:r>
    </w:p>
    <w:p w:rsidR="4FD89B9F" w:rsidP="1B5823CD" w:rsidRDefault="4FD89B9F" w14:paraId="55A68044" w14:textId="3751830A">
      <w:pPr>
        <w:pStyle w:val="ListParagraph"/>
        <w:numPr>
          <w:ilvl w:val="0"/>
          <w:numId w:val="1"/>
        </w:numPr>
        <w:bidi w:val="0"/>
        <w:spacing w:before="0" w:beforeAutospacing="off" w:after="160" w:afterAutospacing="off" w:line="360" w:lineRule="auto"/>
        <w:ind/>
        <w:jc w:val="left"/>
        <w:rPr>
          <w:b w:val="0"/>
          <w:bCs w:val="0"/>
          <w:i w:val="0"/>
          <w:iCs w:val="0"/>
          <w:color w:val="303030"/>
          <w:sz w:val="22"/>
          <w:szCs w:val="22"/>
        </w:rPr>
      </w:pPr>
      <w:r w:rsidRPr="1B5823CD" w:rsidR="1B5823CD">
        <w:rPr>
          <w:rFonts w:ascii="Calibri" w:hAnsi="Calibri" w:eastAsia="Calibri" w:cs="Calibri" w:asciiTheme="minorAscii" w:hAnsiTheme="minorAscii" w:eastAsiaTheme="minorAscii" w:cstheme="minorAscii"/>
          <w:b w:val="0"/>
          <w:bCs w:val="0"/>
          <w:i w:val="0"/>
          <w:iCs w:val="0"/>
          <w:noProof w:val="0"/>
          <w:color w:val="303030"/>
          <w:sz w:val="22"/>
          <w:szCs w:val="22"/>
          <w:lang w:val="en-GB"/>
        </w:rPr>
        <w:t xml:space="preserve">The person does not understand what they are being asked to do. </w:t>
      </w:r>
    </w:p>
    <w:p w:rsidR="4FD89B9F" w:rsidP="1B5823CD" w:rsidRDefault="4FD89B9F" w14:paraId="040D715D" w14:textId="4AF91712">
      <w:pPr>
        <w:pStyle w:val="ListParagraph"/>
        <w:numPr>
          <w:ilvl w:val="0"/>
          <w:numId w:val="1"/>
        </w:numPr>
        <w:bidi w:val="0"/>
        <w:spacing w:before="0" w:beforeAutospacing="off" w:after="160" w:afterAutospacing="off" w:line="360" w:lineRule="auto"/>
        <w:ind/>
        <w:jc w:val="left"/>
        <w:rPr>
          <w:b w:val="0"/>
          <w:bCs w:val="0"/>
          <w:i w:val="0"/>
          <w:iCs w:val="0"/>
          <w:color w:val="303030"/>
          <w:sz w:val="22"/>
          <w:szCs w:val="22"/>
        </w:rPr>
      </w:pPr>
      <w:r w:rsidRPr="1B5823CD" w:rsidR="1B5823CD">
        <w:rPr>
          <w:rFonts w:ascii="Calibri" w:hAnsi="Calibri" w:eastAsia="Calibri" w:cs="Calibri" w:asciiTheme="minorAscii" w:hAnsiTheme="minorAscii" w:eastAsiaTheme="minorAscii" w:cstheme="minorAscii"/>
          <w:b w:val="0"/>
          <w:bCs w:val="0"/>
          <w:i w:val="0"/>
          <w:iCs w:val="0"/>
          <w:noProof w:val="0"/>
          <w:color w:val="303030"/>
          <w:sz w:val="22"/>
          <w:szCs w:val="22"/>
          <w:lang w:val="en-GB"/>
        </w:rPr>
        <w:t xml:space="preserve">The request we are making does not fit with the person’s standards and preferences – for example, we are asking them to eat something they don’t like or to go to bed when they want to stay up. </w:t>
      </w:r>
    </w:p>
    <w:p w:rsidR="4FD89B9F" w:rsidP="1B5823CD" w:rsidRDefault="4FD89B9F" w14:paraId="4DDA677E" w14:textId="4E97FFFC">
      <w:pPr>
        <w:pStyle w:val="ListParagraph"/>
        <w:numPr>
          <w:ilvl w:val="0"/>
          <w:numId w:val="1"/>
        </w:numPr>
        <w:bidi w:val="0"/>
        <w:spacing w:before="0" w:beforeAutospacing="off" w:after="160" w:afterAutospacing="off" w:line="360" w:lineRule="auto"/>
        <w:ind/>
        <w:jc w:val="left"/>
        <w:rPr>
          <w:b w:val="0"/>
          <w:bCs w:val="0"/>
          <w:i w:val="0"/>
          <w:iCs w:val="0"/>
          <w:color w:val="303030"/>
          <w:sz w:val="22"/>
          <w:szCs w:val="22"/>
        </w:rPr>
      </w:pPr>
      <w:r w:rsidRPr="1B5823CD" w:rsidR="1B5823CD">
        <w:rPr>
          <w:rFonts w:ascii="Calibri" w:hAnsi="Calibri" w:eastAsia="Calibri" w:cs="Calibri" w:asciiTheme="minorAscii" w:hAnsiTheme="minorAscii" w:eastAsiaTheme="minorAscii" w:cstheme="minorAscii"/>
          <w:b w:val="0"/>
          <w:bCs w:val="0"/>
          <w:i w:val="0"/>
          <w:iCs w:val="0"/>
          <w:noProof w:val="0"/>
          <w:color w:val="303030"/>
          <w:sz w:val="22"/>
          <w:szCs w:val="22"/>
          <w:lang w:val="en-GB"/>
        </w:rPr>
        <w:t xml:space="preserve">The person feels they are being talked down to or bossed about and is refusing in order to keep a sense of control. </w:t>
      </w:r>
    </w:p>
    <w:p w:rsidR="4FD89B9F" w:rsidP="1B5823CD" w:rsidRDefault="4FD89B9F" w14:paraId="2390EE43" w14:textId="04D4E71D">
      <w:pPr>
        <w:pStyle w:val="ListParagraph"/>
        <w:numPr>
          <w:ilvl w:val="0"/>
          <w:numId w:val="1"/>
        </w:numPr>
        <w:bidi w:val="0"/>
        <w:spacing w:before="0" w:beforeAutospacing="off" w:after="160" w:afterAutospacing="off" w:line="360" w:lineRule="auto"/>
        <w:ind/>
        <w:jc w:val="left"/>
        <w:rPr>
          <w:b w:val="0"/>
          <w:bCs w:val="0"/>
          <w:i w:val="0"/>
          <w:iCs w:val="0"/>
          <w:color w:val="303030"/>
          <w:sz w:val="22"/>
          <w:szCs w:val="22"/>
        </w:rPr>
      </w:pPr>
      <w:r w:rsidRPr="1B5823CD" w:rsidR="1B5823CD">
        <w:rPr>
          <w:rFonts w:ascii="Calibri" w:hAnsi="Calibri" w:eastAsia="Calibri" w:cs="Calibri" w:asciiTheme="minorAscii" w:hAnsiTheme="minorAscii" w:eastAsiaTheme="minorAscii" w:cstheme="minorAscii"/>
          <w:b w:val="0"/>
          <w:bCs w:val="0"/>
          <w:i w:val="0"/>
          <w:iCs w:val="0"/>
          <w:noProof w:val="0"/>
          <w:color w:val="303030"/>
          <w:sz w:val="22"/>
          <w:szCs w:val="22"/>
          <w:lang w:val="en-GB"/>
        </w:rPr>
        <w:t xml:space="preserve">The person is misinterpreting the situation or environment, for example, the person may perceive a shiny floor as being wet and refuse to walk on it. </w:t>
      </w:r>
    </w:p>
    <w:p w:rsidR="4FD89B9F" w:rsidP="1B5823CD" w:rsidRDefault="4FD89B9F" w14:paraId="508E8A51" w14:textId="7A2E6795">
      <w:pPr>
        <w:pStyle w:val="ListParagraph"/>
        <w:numPr>
          <w:ilvl w:val="0"/>
          <w:numId w:val="1"/>
        </w:numPr>
        <w:bidi w:val="0"/>
        <w:spacing w:before="0" w:beforeAutospacing="off" w:after="160" w:afterAutospacing="off" w:line="360" w:lineRule="auto"/>
        <w:ind/>
        <w:jc w:val="left"/>
        <w:rPr>
          <w:b w:val="0"/>
          <w:bCs w:val="0"/>
          <w:i w:val="0"/>
          <w:iCs w:val="0"/>
          <w:noProof w:val="0"/>
          <w:color w:val="303030"/>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03030"/>
          <w:sz w:val="22"/>
          <w:szCs w:val="22"/>
          <w:lang w:val="en-GB"/>
        </w:rPr>
        <w:t>The person doesn’t trust us. (Social Care Institute of Excellence, 2015)</w:t>
      </w:r>
      <w:r>
        <w:br/>
      </w:r>
    </w:p>
    <w:p w:rsidR="75C5E9E0" w:rsidP="1B5823CD" w:rsidRDefault="75C5E9E0" w14:paraId="2DDF7CE5" w14:textId="20158558">
      <w:pPr>
        <w:pStyle w:val="Normal"/>
        <w:bidi w:val="0"/>
        <w:spacing w:line="360" w:lineRule="auto"/>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‘A’ has learnt to trust us as leaders, and to also let go of any insecurities they may have.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And also</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 realising that the session is there to help them, and for them not to feel forced into doing it.  ‘A’ has shown their personality and is always smiling and laughing through the sessions. Which is a big jump from the first session where they wouldn’t lift their head up and not participate at all to the point where the carer had taken them out of the session. ‘A’ is now participating in every activity and movement that is given to them and is fulfilling these activities to her highest potential which for us as leaders worthwhile and valuable to see and embrace. ‘A’ is a very caring person, and always thanks us for being so patient and helpful with them. ‘A’ also remembers our faces as we walk into the session which again can be hard for people with dementia, as they tend to forget names and faces frequently. </w:t>
      </w:r>
    </w:p>
    <w:p w:rsidR="1B5823CD" w:rsidP="1B5823CD" w:rsidRDefault="1B5823CD" w14:paraId="15C77F51" w14:textId="668C0407">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‘V’ has also gained an incredible amount of progression during the short time that we had with them. ‘V’ had joined our sessions towards the middle of the sessions. During this first session that ‘V’ had participated in, the individual was very quiet and shy. Like ‘A’, they wouldn't join in or participate in any of the sessions. This may be because it was something new and that they needed time to gain trust and be willing to let themselves go and enjoy. This can take time like I mentioned above. ‘V’ also brought a bag in a bag during the first couple of sessions, this bag must have meant some sort of value to her as she would not let it go. This was seen in both care homes; individuals would keep their belongings safe and close to them. Trying to encourage the individuals to let go of their belongings can aggravate them and make them angry.</w:t>
      </w: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“R</w:t>
      </w: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apid and seemingly unprovoked mood swings are another sign of dementia--going from calm to tearful to angry for no apparent reason</w:t>
      </w: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(CBS News, 2019). So, making sure that letting the individual carry on with what they're doing and to not bother them. </w:t>
      </w:r>
    </w:p>
    <w:p w:rsidR="1B5823CD" w:rsidP="1B5823CD" w:rsidRDefault="1B5823CD" w14:paraId="05B85A27" w14:textId="1D201E8D">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After settling in to a few sessions, ‘V’ started to get involved a lot more. </w:t>
      </w: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‘V’ ‘enjoyed the more creative tasks. So, the tasks that involved a scarf, and the cool down. During the cool down ‘V’ totally let them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self go</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created some beautiful movement with her arms and hands. This had then been made aware of by saying ‘beautiful movements ‘V’, let’s all follow ‘V’’. Always making sure that you shower the participants with positive reinforcement, this will then make the individual feel self-worth, and motivated. During every session following this, ‘V’ would go into her own world, close their eyes and perform a beautiful cool down to music every week, this may be because us as leaders had noticed this the week prior, so remembering that she had done well that week may have triggered her to do the same the next week. The music used may have also triggered a memory, which is why ‘V’ had danced with so much passion and meaning. </w:t>
      </w:r>
    </w:p>
    <w:p w:rsidR="1B5823CD" w:rsidP="1B5823CD" w:rsidRDefault="1B5823CD" w14:paraId="06AD932B" w14:textId="022C884F">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Towards the end of the few weeks that were scheduled with the 2 care homes, the progression shown by the individuals was great to see, and the room was always filled with happiness and positive energy each week. The first session’s activities included the ball of imagination, which I mentioned previously that it hadn’t worked as well as expected, but towards the end of the last few sessions, we decided to include and try the same activity again to see if there were any changes in their abilities. The second time was a lot better, and a lot more people participated and found it a lot easier than the first time. This proves that taking time to settle in and have a chance to try new activities and keep doing the same activitie</w:t>
      </w: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 also has a big effect on the group's overall confidence and freedom. Freedom is an important factor during this session. The individuals may have lost all freedom whilst having carers to look after them and to help them to day to day tasks that they could once </w:t>
      </w: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do and</w:t>
      </w: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do for others such as their children or partners. And this can be distressing and influences one of the main factors to why they get angry and upset. Once being able to do something yourself and then having to rely on someone else to do this can be hard to go through. So, by the session offering freedom to the participants by having the improvising tasks let them have the sense of being free and independent. </w:t>
      </w:r>
    </w:p>
    <w:p w:rsidR="1B5823CD" w:rsidP="1B5823CD" w:rsidRDefault="1B5823CD" w14:paraId="34A12A67" w14:textId="0C9ED818">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4FD89B9F" w:rsidP="1B5823CD" w:rsidRDefault="4FD89B9F" w14:paraId="16636E42" w14:textId="374A94C3">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To conclude, the progression of the individuals that was seen throughout this whole experience is astonishing. From the very first session where every individual was quiet and quite observed, the individuals have shown their personalities and their growing confidence in the duration of the sessions. Although the progression of the individuals has varied, for example an individual will be chirpy and engaged one session, then the next week a bit more confined and less committed. But this varied with every individual. Going to both care homes was a good experience and having the difference of room size and layout was an eye opener, as this suggests that a leader in this setting must be open to change and aware of any problems that may occur and solve these problems quickly and confidently. The lesson plans must be flexible when working with dementia patients and being fixed on a lesson plan is a sign of a bad leader. If I was to lead in this setting again, I would always be aware of the patients, as some may be struggling and not picking up the movements. I would also ensure that when leading and activity or phrase, that I take time showing each movement, and not moving on until most people are engaged and joining in. This is where I found the individuals would progress more, and where they would pick the movement up easier.</w:t>
      </w:r>
    </w:p>
    <w:p w:rsidR="4FD89B9F" w:rsidP="1B5823CD" w:rsidRDefault="4FD89B9F" w14:paraId="5FECEBE2" w14:textId="74950A7C">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This was my first experience working with individuals who are suffering with dementia. So, going into the first session, I was unaware of what to expect. I knew that my language would have to change and ensure that I was always reassuring the individuals and always treating them with respect and showering them with positive feedback throughout the session and during every activity. The preparation lectures that we had prior to the sessions, for me was beneficial and helped me to be prepared for anything that we would come across and how to react and stay calm during the problems that may occur. My overall experience has been rewarding and knowing that the individuals have enjoyed each session is bonus. Seeing the progression of each person and seeing that they remember us coming each week and remembering that we use the scarves is a sign that the sessions are helping them and improving their physical and cognitive stimulation. Doing these sessions have broaden my opportunities and is something that I would consider doing in the future. </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 Having the correct qualities to be a leader in this setting is again important and knowing how to react and control a situation is a key aspect in leading.  With the given opportunities and experiences of leading certain activities and the practised leadership qualities have been helpful and have also given me the confidence to be able to lead sessions like this on my own. </w:t>
      </w:r>
      <w:proofErr w:type="gramStart"/>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And also</w:t>
      </w:r>
      <w:proofErr w:type="gramEnd"/>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 given me the skills to lead in other settings too. </w:t>
      </w:r>
    </w:p>
    <w:p w:rsidR="33A41F55" w:rsidP="1B5823CD" w:rsidRDefault="33A41F55" w14:paraId="6C209A46" w14:textId="2C24C99D">
      <w:pPr>
        <w:pStyle w:val="Normal"/>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t>Bibliography</w:t>
      </w:r>
    </w:p>
    <w:p w:rsidR="33A41F55" w:rsidP="1B5823CD" w:rsidRDefault="33A41F55" w14:paraId="05484239" w14:textId="791BDE3D">
      <w:pPr>
        <w:pStyle w:val="Normal"/>
        <w:rPr>
          <w:rFonts w:ascii="Calibri" w:hAnsi="Calibri" w:eastAsia="Calibri" w:cs="Calibri" w:asciiTheme="minorAscii" w:hAnsiTheme="minorAscii" w:eastAsiaTheme="minorAscii" w:cstheme="minorAscii"/>
          <w:noProof w:val="0"/>
          <w:sz w:val="22"/>
          <w:szCs w:val="22"/>
          <w:lang w:val="en-GB"/>
        </w:rPr>
      </w:pPr>
      <w:r w:rsidRPr="1B5823CD" w:rsidR="1B5823CD">
        <w:rPr>
          <w:rFonts w:ascii="Calibri" w:hAnsi="Calibri" w:eastAsia="Calibri" w:cs="Calibri" w:asciiTheme="minorAscii" w:hAnsiTheme="minorAscii" w:eastAsiaTheme="minorAscii" w:cstheme="minorAscii"/>
          <w:noProof w:val="0"/>
          <w:sz w:val="22"/>
          <w:szCs w:val="22"/>
          <w:lang w:val="en-GB"/>
        </w:rPr>
        <w:t xml:space="preserve">Alzheimer’s Research </w:t>
      </w:r>
      <w:proofErr w:type="spellStart"/>
      <w:r w:rsidRPr="1B5823CD" w:rsidR="1B5823CD">
        <w:rPr>
          <w:rFonts w:ascii="Calibri" w:hAnsi="Calibri" w:eastAsia="Calibri" w:cs="Calibri" w:asciiTheme="minorAscii" w:hAnsiTheme="minorAscii" w:eastAsiaTheme="minorAscii" w:cstheme="minorAscii"/>
          <w:noProof w:val="0"/>
          <w:sz w:val="22"/>
          <w:szCs w:val="22"/>
          <w:lang w:val="en-GB"/>
        </w:rPr>
        <w:t>Uk</w:t>
      </w:r>
      <w:proofErr w:type="spellEnd"/>
      <w:r w:rsidRPr="1B5823CD" w:rsidR="1B5823CD">
        <w:rPr>
          <w:rFonts w:ascii="Calibri" w:hAnsi="Calibri" w:eastAsia="Calibri" w:cs="Calibri" w:asciiTheme="minorAscii" w:hAnsiTheme="minorAscii" w:eastAsiaTheme="minorAscii" w:cstheme="minorAscii"/>
          <w:noProof w:val="0"/>
          <w:sz w:val="22"/>
          <w:szCs w:val="22"/>
          <w:lang w:val="en-GB"/>
        </w:rPr>
        <w:t xml:space="preserve"> (2019) Available at: </w:t>
      </w:r>
      <w:hyperlink r:id="Rd5b1079fb7304940">
        <w:r w:rsidRPr="1B5823CD" w:rsidR="1B5823CD">
          <w:rPr>
            <w:rStyle w:val="Hyperlink"/>
            <w:rFonts w:ascii="Calibri" w:hAnsi="Calibri" w:eastAsia="Calibri" w:cs="Calibri" w:asciiTheme="minorAscii" w:hAnsiTheme="minorAscii" w:eastAsiaTheme="minorAscii" w:cstheme="minorAscii"/>
            <w:noProof w:val="0"/>
            <w:sz w:val="22"/>
            <w:szCs w:val="22"/>
            <w:lang w:val="en-GB"/>
          </w:rPr>
          <w:t>https://www.alzheimersresearchuk.org/about-dementia/quick-guide-dementia-translations/quick-guide-dementia/</w:t>
        </w:r>
      </w:hyperlink>
      <w:r w:rsidRPr="1B5823CD" w:rsidR="1B5823CD">
        <w:rPr>
          <w:rFonts w:ascii="Calibri" w:hAnsi="Calibri" w:eastAsia="Calibri" w:cs="Calibri" w:asciiTheme="minorAscii" w:hAnsiTheme="minorAscii" w:eastAsiaTheme="minorAscii" w:cstheme="minorAscii"/>
          <w:noProof w:val="0"/>
          <w:sz w:val="22"/>
          <w:szCs w:val="22"/>
          <w:lang w:val="en-GB"/>
        </w:rPr>
        <w:t xml:space="preserve"> (Accessed: 13</w:t>
      </w:r>
      <w:r w:rsidRPr="1B5823CD" w:rsidR="1B5823CD">
        <w:rPr>
          <w:rFonts w:ascii="Calibri" w:hAnsi="Calibri" w:eastAsia="Calibri" w:cs="Calibri" w:asciiTheme="minorAscii" w:hAnsiTheme="minorAscii" w:eastAsiaTheme="minorAscii" w:cstheme="minorAscii"/>
          <w:noProof w:val="0"/>
          <w:sz w:val="22"/>
          <w:szCs w:val="22"/>
          <w:vertAlign w:val="superscript"/>
          <w:lang w:val="en-GB"/>
        </w:rPr>
        <w:t>th</w:t>
      </w:r>
      <w:r w:rsidRPr="1B5823CD" w:rsidR="1B5823CD">
        <w:rPr>
          <w:rFonts w:ascii="Calibri" w:hAnsi="Calibri" w:eastAsia="Calibri" w:cs="Calibri" w:asciiTheme="minorAscii" w:hAnsiTheme="minorAscii" w:eastAsiaTheme="minorAscii" w:cstheme="minorAscii"/>
          <w:noProof w:val="0"/>
          <w:sz w:val="22"/>
          <w:szCs w:val="22"/>
          <w:lang w:val="en-GB"/>
        </w:rPr>
        <w:t xml:space="preserve"> May 2019)</w:t>
      </w:r>
    </w:p>
    <w:p w:rsidR="70F6C3A4" w:rsidP="1B5823CD" w:rsidRDefault="70F6C3A4" w14:paraId="6D592579" w14:textId="58B26DF5">
      <w:pPr>
        <w:pStyle w:val="Normal"/>
        <w:rPr>
          <w:rFonts w:ascii="Calibri" w:hAnsi="Calibri" w:eastAsia="Calibri" w:cs="Calibri" w:asciiTheme="minorAscii" w:hAnsiTheme="minorAscii" w:eastAsiaTheme="minorAscii" w:cstheme="minorAscii"/>
          <w:noProof w:val="0"/>
          <w:sz w:val="22"/>
          <w:szCs w:val="22"/>
          <w:lang w:val="en-GB"/>
        </w:rPr>
      </w:pPr>
      <w:r w:rsidRPr="1B5823CD" w:rsidR="1B5823CD">
        <w:rPr>
          <w:rFonts w:ascii="Calibri" w:hAnsi="Calibri" w:eastAsia="Calibri" w:cs="Calibri" w:asciiTheme="minorAscii" w:hAnsiTheme="minorAscii" w:eastAsiaTheme="minorAscii" w:cstheme="minorAscii"/>
          <w:noProof w:val="0"/>
          <w:sz w:val="22"/>
          <w:szCs w:val="22"/>
          <w:lang w:val="en-GB"/>
        </w:rPr>
        <w:t xml:space="preserve">Dementia UK (2019) </w:t>
      </w:r>
      <w:r w:rsidRPr="1B5823CD" w:rsidR="1B5823CD">
        <w:rPr>
          <w:rFonts w:ascii="Calibri" w:hAnsi="Calibri" w:eastAsia="Calibri" w:cs="Calibri" w:asciiTheme="minorAscii" w:hAnsiTheme="minorAscii" w:eastAsiaTheme="minorAscii" w:cstheme="minorAscii"/>
          <w:i w:val="1"/>
          <w:iCs w:val="1"/>
          <w:noProof w:val="0"/>
          <w:sz w:val="22"/>
          <w:szCs w:val="22"/>
          <w:lang w:val="en-GB"/>
        </w:rPr>
        <w:t>Understanding dementia.</w:t>
      </w:r>
      <w:r w:rsidRPr="1B5823CD" w:rsidR="1B5823CD">
        <w:rPr>
          <w:rFonts w:ascii="Calibri" w:hAnsi="Calibri" w:eastAsia="Calibri" w:cs="Calibri" w:asciiTheme="minorAscii" w:hAnsiTheme="minorAscii" w:eastAsiaTheme="minorAscii" w:cstheme="minorAscii"/>
          <w:noProof w:val="0"/>
          <w:sz w:val="22"/>
          <w:szCs w:val="22"/>
          <w:lang w:val="en-GB"/>
        </w:rPr>
        <w:t xml:space="preserve"> Available at: </w:t>
      </w:r>
      <w:hyperlink r:id="R753b8e38b70447da">
        <w:r w:rsidRPr="1B5823CD" w:rsidR="1B5823CD">
          <w:rPr>
            <w:rStyle w:val="Hyperlink"/>
            <w:rFonts w:ascii="Calibri" w:hAnsi="Calibri" w:eastAsia="Calibri" w:cs="Calibri" w:asciiTheme="minorAscii" w:hAnsiTheme="minorAscii" w:eastAsiaTheme="minorAscii" w:cstheme="minorAscii"/>
            <w:noProof w:val="0"/>
            <w:sz w:val="22"/>
            <w:szCs w:val="22"/>
            <w:lang w:val="en-GB"/>
          </w:rPr>
          <w:t>https://www.dementiauk.org/understanding-dementia/advice-and-information/dementia-first-steps/what-is-dementia/</w:t>
        </w:r>
      </w:hyperlink>
      <w:r w:rsidRPr="1B5823CD" w:rsidR="1B5823CD">
        <w:rPr>
          <w:rFonts w:ascii="Calibri" w:hAnsi="Calibri" w:eastAsia="Calibri" w:cs="Calibri" w:asciiTheme="minorAscii" w:hAnsiTheme="minorAscii" w:eastAsiaTheme="minorAscii" w:cstheme="minorAscii"/>
          <w:noProof w:val="0"/>
          <w:sz w:val="22"/>
          <w:szCs w:val="22"/>
          <w:lang w:val="en-GB"/>
        </w:rPr>
        <w:t xml:space="preserve"> (Accessed: 13</w:t>
      </w:r>
      <w:r w:rsidRPr="1B5823CD" w:rsidR="1B5823CD">
        <w:rPr>
          <w:rFonts w:ascii="Calibri" w:hAnsi="Calibri" w:eastAsia="Calibri" w:cs="Calibri" w:asciiTheme="minorAscii" w:hAnsiTheme="minorAscii" w:eastAsiaTheme="minorAscii" w:cstheme="minorAscii"/>
          <w:noProof w:val="0"/>
          <w:sz w:val="22"/>
          <w:szCs w:val="22"/>
          <w:vertAlign w:val="superscript"/>
          <w:lang w:val="en-GB"/>
        </w:rPr>
        <w:t>th</w:t>
      </w:r>
      <w:r w:rsidRPr="1B5823CD" w:rsidR="1B5823CD">
        <w:rPr>
          <w:rFonts w:ascii="Calibri" w:hAnsi="Calibri" w:eastAsia="Calibri" w:cs="Calibri" w:asciiTheme="minorAscii" w:hAnsiTheme="minorAscii" w:eastAsiaTheme="minorAscii" w:cstheme="minorAscii"/>
          <w:noProof w:val="0"/>
          <w:sz w:val="22"/>
          <w:szCs w:val="22"/>
          <w:lang w:val="en-GB"/>
        </w:rPr>
        <w:t xml:space="preserve"> May 2019)</w:t>
      </w:r>
    </w:p>
    <w:p w:rsidR="1B5823CD" w:rsidP="1B5823CD" w:rsidRDefault="1B5823CD" w14:paraId="17BFB6C1" w14:textId="2ABF4816">
      <w:pPr>
        <w:pStyle w:val="Normal"/>
        <w:rPr>
          <w:rFonts w:ascii="Calibri" w:hAnsi="Calibri" w:eastAsia="Calibri" w:cs="Calibri" w:asciiTheme="minorAscii" w:hAnsiTheme="minorAscii" w:eastAsiaTheme="minorAscii" w:cstheme="minorAscii"/>
          <w:noProof w:val="0"/>
          <w:sz w:val="22"/>
          <w:szCs w:val="22"/>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1"/>
          <w:szCs w:val="21"/>
          <w:lang w:val="en-GB"/>
        </w:rPr>
        <w:t xml:space="preserve">Alzheimer’s Society (2019) </w:t>
      </w:r>
      <w:r w:rsidRPr="1B5823CD" w:rsidR="1B5823C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1"/>
          <w:szCs w:val="21"/>
          <w:lang w:val="en-GB"/>
        </w:rPr>
        <w:t xml:space="preserve">Young On-set Dementia </w:t>
      </w:r>
      <w:r w:rsidRPr="1B5823CD" w:rsidR="1B5823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1"/>
          <w:szCs w:val="21"/>
          <w:lang w:val="en-GB"/>
        </w:rPr>
        <w:t>Available at:</w:t>
      </w:r>
      <w:r w:rsidRPr="1B5823CD" w:rsidR="1B5823C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1"/>
          <w:szCs w:val="21"/>
          <w:lang w:val="en-GB"/>
        </w:rPr>
        <w:t xml:space="preserve"> </w:t>
      </w:r>
      <w:hyperlink r:id="R64a04791281f4a17">
        <w:r w:rsidRPr="1B5823CD" w:rsidR="1B5823CD">
          <w:rPr>
            <w:rStyle w:val="Hyperlink"/>
            <w:rFonts w:ascii="Calibri" w:hAnsi="Calibri" w:eastAsia="Calibri" w:cs="Calibri" w:asciiTheme="minorAscii" w:hAnsiTheme="minorAscii" w:eastAsiaTheme="minorAscii" w:cstheme="minorAscii"/>
            <w:noProof w:val="0"/>
            <w:sz w:val="22"/>
            <w:szCs w:val="22"/>
            <w:lang w:val="en-GB"/>
          </w:rPr>
          <w:t>https://www.alzheimers.org.uk/about-dementia/types-dementia/younger-people-with-dementia?gclid=Cj0KCQjwnpXmBRDUARIsAEo71tQvasP2W2VX0vs9zx_uFwVTllypZ_hSmMbPg_KFNpW8bbQuhvbjFtcaAmZnEALw_wcB</w:t>
        </w:r>
      </w:hyperlink>
      <w:r w:rsidRPr="1B5823CD" w:rsidR="1B5823CD">
        <w:rPr>
          <w:rFonts w:ascii="Calibri" w:hAnsi="Calibri" w:eastAsia="Calibri" w:cs="Calibri" w:asciiTheme="minorAscii" w:hAnsiTheme="minorAscii" w:eastAsiaTheme="minorAscii" w:cstheme="minorAscii"/>
          <w:noProof w:val="0"/>
          <w:sz w:val="22"/>
          <w:szCs w:val="22"/>
          <w:lang w:val="en-GB"/>
        </w:rPr>
        <w:t xml:space="preserve"> (</w:t>
      </w:r>
      <w:r w:rsidRPr="1B5823CD" w:rsidR="1B5823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1"/>
          <w:szCs w:val="21"/>
          <w:lang w:val="en-GB"/>
        </w:rPr>
        <w:t>Accessed: 13</w:t>
      </w:r>
      <w:r w:rsidRPr="1B5823CD" w:rsidR="1B5823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1"/>
          <w:szCs w:val="21"/>
          <w:vertAlign w:val="superscript"/>
          <w:lang w:val="en-GB"/>
        </w:rPr>
        <w:t>th</w:t>
      </w:r>
      <w:r w:rsidRPr="1B5823CD" w:rsidR="1B5823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1"/>
          <w:szCs w:val="21"/>
          <w:lang w:val="en-GB"/>
        </w:rPr>
        <w:t xml:space="preserve"> May 2019) </w:t>
      </w:r>
      <w:r w:rsidRPr="1B5823CD" w:rsidR="1B5823CD">
        <w:rPr>
          <w:rStyle w:val="Hyperlink"/>
          <w:rFonts w:ascii="Calibri" w:hAnsi="Calibri" w:eastAsia="Calibri" w:cs="Calibri" w:asciiTheme="minorAscii" w:hAnsiTheme="minorAscii" w:eastAsiaTheme="minorAscii" w:cstheme="minorAscii"/>
          <w:noProof w:val="0"/>
          <w:sz w:val="22"/>
          <w:szCs w:val="22"/>
          <w:lang w:val="en-GB"/>
        </w:rPr>
        <w:t xml:space="preserve"> </w:t>
      </w:r>
    </w:p>
    <w:p w:rsidR="41319126" w:rsidP="1B5823CD" w:rsidRDefault="41319126" w14:paraId="2D9AA163" w14:textId="12616310">
      <w:pPr>
        <w:pStyle w:val="Normal"/>
        <w:rPr>
          <w:rFonts w:ascii="Calibri" w:hAnsi="Calibri" w:eastAsia="Calibri" w:cs="Calibri" w:asciiTheme="minorAscii" w:hAnsiTheme="minorAscii" w:eastAsiaTheme="minorAscii" w:cstheme="minorAscii"/>
          <w:b w:val="0"/>
          <w:bCs w:val="0"/>
          <w:i w:val="0"/>
          <w:iCs w:val="0"/>
          <w:noProof w:val="0"/>
          <w:color w:val="1155CC"/>
          <w:sz w:val="24"/>
          <w:szCs w:val="24"/>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Juneja, P (2018) </w:t>
      </w:r>
      <w:r w:rsidRPr="1B5823CD" w:rsidR="1B5823CD">
        <w:rPr>
          <w:rFonts w:ascii="Calibri" w:hAnsi="Calibri" w:eastAsia="Calibri" w:cs="Calibri" w:asciiTheme="minorAscii" w:hAnsiTheme="minorAscii" w:eastAsiaTheme="minorAscii" w:cstheme="minorAscii"/>
          <w:b w:val="0"/>
          <w:bCs w:val="0"/>
          <w:i w:val="1"/>
          <w:iCs w:val="1"/>
          <w:noProof w:val="0"/>
          <w:color w:val="333333"/>
          <w:sz w:val="24"/>
          <w:szCs w:val="24"/>
          <w:lang w:val="en-GB"/>
        </w:rPr>
        <w:t xml:space="preserve">Qualities of a Leader. </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Available at: </w:t>
      </w:r>
      <w:hyperlink r:id="R3f2686a709b5418b">
        <w:r w:rsidRPr="1B5823CD" w:rsidR="1B5823CD">
          <w:rPr>
            <w:rStyle w:val="Hyperlink"/>
            <w:rFonts w:ascii="Calibri" w:hAnsi="Calibri" w:eastAsia="Calibri" w:cs="Calibri" w:asciiTheme="minorAscii" w:hAnsiTheme="minorAscii" w:eastAsiaTheme="minorAscii" w:cstheme="minorAscii"/>
            <w:b w:val="0"/>
            <w:bCs w:val="0"/>
            <w:i w:val="0"/>
            <w:iCs w:val="0"/>
            <w:noProof w:val="0"/>
            <w:color w:val="1155CC"/>
            <w:sz w:val="24"/>
            <w:szCs w:val="24"/>
            <w:lang w:val="en-GB"/>
          </w:rPr>
          <w:t>https://www.managementstudyguide.com/leadership-motivation.htm</w:t>
        </w:r>
      </w:hyperlink>
      <w:r w:rsidRPr="1B5823CD" w:rsidR="1B5823CD">
        <w:rPr>
          <w:rFonts w:ascii="Calibri" w:hAnsi="Calibri" w:eastAsia="Calibri" w:cs="Calibri" w:asciiTheme="minorAscii" w:hAnsiTheme="minorAscii" w:eastAsiaTheme="minorAscii" w:cstheme="minorAscii"/>
          <w:b w:val="0"/>
          <w:bCs w:val="0"/>
          <w:i w:val="0"/>
          <w:iCs w:val="0"/>
          <w:noProof w:val="0"/>
          <w:color w:val="1155CC"/>
          <w:sz w:val="24"/>
          <w:szCs w:val="24"/>
          <w:lang w:val="en-GB"/>
        </w:rPr>
        <w:t xml:space="preserve"> (Accessed: 16th May 2019)</w:t>
      </w:r>
      <w:r>
        <w:br/>
      </w:r>
    </w:p>
    <w:p w:rsidR="7D50BB84" w:rsidP="1B5823CD" w:rsidRDefault="7D50BB84" w14:paraId="5ADE57A5" w14:textId="652906CB">
      <w:pPr>
        <w:pStyle w:val="Normal"/>
        <w:rPr>
          <w:rFonts w:ascii="Calibri" w:hAnsi="Calibri" w:eastAsia="Calibri" w:cs="Calibri" w:asciiTheme="minorAscii" w:hAnsiTheme="minorAscii" w:eastAsiaTheme="minorAscii" w:cstheme="minorAscii"/>
        </w:rPr>
      </w:pPr>
      <w:r w:rsidRPr="1B5823CD" w:rsidR="1B5823CD">
        <w:rPr>
          <w:rFonts w:ascii="Calibri" w:hAnsi="Calibri" w:eastAsia="Calibri" w:cs="Calibri" w:asciiTheme="minorAscii" w:hAnsiTheme="minorAscii" w:eastAsiaTheme="minorAscii" w:cstheme="minorAscii"/>
          <w:noProof w:val="0"/>
          <w:sz w:val="22"/>
          <w:szCs w:val="22"/>
          <w:lang w:val="en-GB"/>
        </w:rPr>
        <w:t>The New England Journal of Medicine (2003)</w:t>
      </w:r>
      <w:hyperlink r:id="R71a98385b5a24fc4">
        <w:r w:rsidRPr="1B5823CD" w:rsidR="1B5823CD">
          <w:rPr>
            <w:rStyle w:val="Hyperlink"/>
            <w:rFonts w:ascii="Calibri" w:hAnsi="Calibri" w:eastAsia="Calibri" w:cs="Calibri" w:asciiTheme="minorAscii" w:hAnsiTheme="minorAscii" w:eastAsiaTheme="minorAscii" w:cstheme="minorAscii"/>
            <w:noProof w:val="0"/>
            <w:sz w:val="22"/>
            <w:szCs w:val="22"/>
            <w:lang w:val="en-GB"/>
          </w:rPr>
          <w:t>https://www.nejm.org/doi/full/10.1056/NEJMoa022252</w:t>
        </w:r>
      </w:hyperlink>
    </w:p>
    <w:p w:rsidR="7D50BB84" w:rsidP="1B5823CD" w:rsidRDefault="7D50BB84" w14:paraId="586F83A3" w14:textId="2BB6CB78">
      <w:pPr>
        <w:pStyle w:val="Normal"/>
        <w:rPr>
          <w:rFonts w:ascii="Calibri" w:hAnsi="Calibri" w:eastAsia="Calibri" w:cs="Calibri" w:asciiTheme="minorAscii" w:hAnsiTheme="minorAscii" w:eastAsiaTheme="minorAscii" w:cstheme="minorAscii"/>
        </w:rPr>
      </w:pPr>
      <w:r w:rsidRPr="1B5823CD" w:rsidR="1B5823CD">
        <w:rPr>
          <w:rFonts w:ascii="Calibri" w:hAnsi="Calibri" w:eastAsia="Calibri" w:cs="Calibri" w:asciiTheme="minorAscii" w:hAnsiTheme="minorAscii" w:eastAsiaTheme="minorAscii" w:cstheme="minorAscii"/>
          <w:noProof w:val="0"/>
          <w:sz w:val="22"/>
          <w:szCs w:val="22"/>
          <w:lang w:val="en-GB"/>
        </w:rPr>
        <w:t xml:space="preserve">Alanna Orpen (2016) </w:t>
      </w:r>
      <w:hyperlink r:id="Rc84acc13f67240ac">
        <w:r w:rsidRPr="1B5823CD" w:rsidR="1B5823CD">
          <w:rPr>
            <w:rStyle w:val="Hyperlink"/>
            <w:rFonts w:ascii="Calibri" w:hAnsi="Calibri" w:eastAsia="Calibri" w:cs="Calibri" w:asciiTheme="minorAscii" w:hAnsiTheme="minorAscii" w:eastAsiaTheme="minorAscii" w:cstheme="minorAscii"/>
            <w:noProof w:val="0"/>
            <w:sz w:val="22"/>
            <w:szCs w:val="22"/>
            <w:lang w:val="en-GB"/>
          </w:rPr>
          <w:t>https://blogs.biomedcentral.com/bmcseriesblog/2016/04/04/keep-dancing-turns-good-brain/</w:t>
        </w:r>
      </w:hyperlink>
    </w:p>
    <w:p w:rsidR="7D50BB84" w:rsidP="1B5823CD" w:rsidRDefault="7D50BB84" w14:paraId="5D87FF7E" w14:textId="49479539">
      <w:pPr>
        <w:pStyle w:val="Normal"/>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2"/>
          <w:szCs w:val="22"/>
          <w:lang w:val="en-GB"/>
        </w:rPr>
        <w:t>Shaw, E. (2019) Workshop. University of Wales Trinity St David. 12th March 2019</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4"/>
          <w:szCs w:val="24"/>
          <w:lang w:val="en-GB"/>
        </w:rPr>
        <w:t>.</w:t>
      </w:r>
      <w:r>
        <w:br/>
      </w:r>
    </w:p>
    <w:p w:rsidR="4FD89B9F" w:rsidP="1B5823CD" w:rsidRDefault="4FD89B9F" w14:paraId="2FFA8190" w14:textId="710F4806">
      <w:pPr>
        <w:pStyle w:val="Normal"/>
        <w:rPr>
          <w:rFonts w:ascii="Calibri" w:hAnsi="Calibri" w:eastAsia="Calibri" w:cs="Calibri" w:asciiTheme="minorAscii" w:hAnsiTheme="minorAscii" w:eastAsiaTheme="minorAscii" w:cstheme="minorAscii"/>
          <w:noProof w:val="0"/>
          <w:sz w:val="22"/>
          <w:szCs w:val="22"/>
          <w:lang w:val="en-GB"/>
        </w:rPr>
      </w:pPr>
      <w:r w:rsidRPr="1B5823CD" w:rsidR="1B5823CD">
        <w:rPr>
          <w:rFonts w:ascii="Calibri" w:hAnsi="Calibri" w:eastAsia="Calibri" w:cs="Calibri" w:asciiTheme="minorAscii" w:hAnsiTheme="minorAscii" w:eastAsiaTheme="minorAscii" w:cstheme="minorAscii"/>
          <w:noProof w:val="0"/>
          <w:sz w:val="22"/>
          <w:szCs w:val="22"/>
          <w:lang w:val="en-GB"/>
        </w:rPr>
        <w:t xml:space="preserve">Newton, Donna (2016) </w:t>
      </w:r>
      <w:hyperlink r:id="R08aed80720514a56">
        <w:r w:rsidRPr="1B5823CD" w:rsidR="1B5823CD">
          <w:rPr>
            <w:rStyle w:val="Hyperlink"/>
            <w:rFonts w:ascii="Calibri" w:hAnsi="Calibri" w:eastAsia="Calibri" w:cs="Calibri" w:asciiTheme="minorAscii" w:hAnsiTheme="minorAscii" w:eastAsiaTheme="minorAscii" w:cstheme="minorAscii"/>
            <w:noProof w:val="0"/>
            <w:sz w:val="22"/>
            <w:szCs w:val="22"/>
            <w:lang w:val="en-GB"/>
          </w:rPr>
          <w:t>https://www.tpp.co.uk/blog/2016/11/why-is-positive-reinforcement-so-important-in-the-workplace</w:t>
        </w:r>
      </w:hyperlink>
      <w:r w:rsidRPr="1B5823CD" w:rsidR="1B5823CD">
        <w:rPr>
          <w:rFonts w:ascii="Calibri" w:hAnsi="Calibri" w:eastAsia="Calibri" w:cs="Calibri" w:asciiTheme="minorAscii" w:hAnsiTheme="minorAscii" w:eastAsiaTheme="minorAscii" w:cstheme="minorAscii"/>
          <w:noProof w:val="0"/>
          <w:sz w:val="22"/>
          <w:szCs w:val="22"/>
          <w:lang w:val="en-GB"/>
        </w:rPr>
        <w:t xml:space="preserve"> </w:t>
      </w:r>
    </w:p>
    <w:p w:rsidR="4FD89B9F" w:rsidP="1B5823CD" w:rsidRDefault="4FD89B9F" w14:paraId="3CBB9921" w14:textId="6BB18805">
      <w:pPr>
        <w:pStyle w:val="Normal"/>
        <w:rPr>
          <w:rFonts w:ascii="Calibri" w:hAnsi="Calibri" w:eastAsia="Calibri" w:cs="Calibri" w:asciiTheme="minorAscii" w:hAnsiTheme="minorAscii" w:eastAsiaTheme="minorAscii" w:cstheme="minorAscii"/>
          <w:noProof w:val="0"/>
          <w:sz w:val="22"/>
          <w:szCs w:val="22"/>
          <w:lang w:val="en-GB"/>
        </w:rPr>
      </w:pPr>
      <w:r w:rsidRPr="1B5823CD" w:rsidR="1B5823CD">
        <w:rPr>
          <w:rFonts w:ascii="Calibri" w:hAnsi="Calibri" w:eastAsia="Calibri" w:cs="Calibri" w:asciiTheme="minorAscii" w:hAnsiTheme="minorAscii" w:eastAsiaTheme="minorAscii" w:cstheme="minorAscii"/>
          <w:noProof w:val="0"/>
          <w:sz w:val="22"/>
          <w:szCs w:val="22"/>
          <w:lang w:val="en-GB"/>
        </w:rPr>
        <w:t xml:space="preserve">Alzheimer’s Research UK (2018) </w:t>
      </w:r>
      <w:r w:rsidRPr="1B5823CD" w:rsidR="1B5823CD">
        <w:rPr>
          <w:rFonts w:ascii="Calibri" w:hAnsi="Calibri" w:eastAsia="Calibri" w:cs="Calibri" w:asciiTheme="minorAscii" w:hAnsiTheme="minorAscii" w:eastAsiaTheme="minorAscii" w:cstheme="minorAscii"/>
          <w:i w:val="1"/>
          <w:iCs w:val="1"/>
          <w:noProof w:val="0"/>
          <w:sz w:val="22"/>
          <w:szCs w:val="22"/>
          <w:lang w:val="en-GB"/>
        </w:rPr>
        <w:t xml:space="preserve">What does it feel like to have dementia? </w:t>
      </w:r>
      <w:r w:rsidRPr="1B5823CD" w:rsidR="1B5823CD">
        <w:rPr>
          <w:rFonts w:ascii="Calibri" w:hAnsi="Calibri" w:eastAsia="Calibri" w:cs="Calibri" w:asciiTheme="minorAscii" w:hAnsiTheme="minorAscii" w:eastAsiaTheme="minorAscii" w:cstheme="minorAscii"/>
          <w:noProof w:val="0"/>
          <w:sz w:val="22"/>
          <w:szCs w:val="22"/>
          <w:lang w:val="en-GB"/>
        </w:rPr>
        <w:t xml:space="preserve">Available at: </w:t>
      </w:r>
      <w:hyperlink r:id="R6f3fc53340334645">
        <w:r w:rsidRPr="1B5823CD" w:rsidR="1B5823CD">
          <w:rPr>
            <w:rStyle w:val="Hyperlink"/>
            <w:rFonts w:ascii="Calibri" w:hAnsi="Calibri" w:eastAsia="Calibri" w:cs="Calibri" w:asciiTheme="minorAscii" w:hAnsiTheme="minorAscii" w:eastAsiaTheme="minorAscii" w:cstheme="minorAscii"/>
            <w:noProof w:val="0"/>
            <w:sz w:val="22"/>
            <w:szCs w:val="22"/>
            <w:lang w:val="en-GB"/>
          </w:rPr>
          <w:t>https://kids.alzheimersresearchuk.org/juniors/what-is-dementia/what-does-it-feel-like-to-have-dementia-2/</w:t>
        </w:r>
      </w:hyperlink>
      <w:r w:rsidRPr="1B5823CD" w:rsidR="1B5823CD">
        <w:rPr>
          <w:rFonts w:ascii="Calibri" w:hAnsi="Calibri" w:eastAsia="Calibri" w:cs="Calibri" w:asciiTheme="minorAscii" w:hAnsiTheme="minorAscii" w:eastAsiaTheme="minorAscii" w:cstheme="minorAscii"/>
          <w:noProof w:val="0"/>
          <w:sz w:val="22"/>
          <w:szCs w:val="22"/>
          <w:lang w:val="en-GB"/>
        </w:rPr>
        <w:t xml:space="preserve"> (Accessed: 21</w:t>
      </w:r>
      <w:r w:rsidRPr="1B5823CD" w:rsidR="1B5823CD">
        <w:rPr>
          <w:rFonts w:ascii="Calibri" w:hAnsi="Calibri" w:eastAsia="Calibri" w:cs="Calibri" w:asciiTheme="minorAscii" w:hAnsiTheme="minorAscii" w:eastAsiaTheme="minorAscii" w:cstheme="minorAscii"/>
          <w:noProof w:val="0"/>
          <w:sz w:val="22"/>
          <w:szCs w:val="22"/>
          <w:vertAlign w:val="superscript"/>
          <w:lang w:val="en-GB"/>
        </w:rPr>
        <w:t>st</w:t>
      </w:r>
      <w:r w:rsidRPr="1B5823CD" w:rsidR="1B5823CD">
        <w:rPr>
          <w:rFonts w:ascii="Calibri" w:hAnsi="Calibri" w:eastAsia="Calibri" w:cs="Calibri" w:asciiTheme="minorAscii" w:hAnsiTheme="minorAscii" w:eastAsiaTheme="minorAscii" w:cstheme="minorAscii"/>
          <w:noProof w:val="0"/>
          <w:sz w:val="22"/>
          <w:szCs w:val="22"/>
          <w:lang w:val="en-GB"/>
        </w:rPr>
        <w:t xml:space="preserve"> May 2019)</w:t>
      </w:r>
    </w:p>
    <w:p w:rsidR="75C5E9E0" w:rsidP="1B5823CD" w:rsidRDefault="75C5E9E0" w14:paraId="40A11564" w14:textId="7ABBF598">
      <w:pPr>
        <w:pStyle w:val="Normal"/>
        <w:rPr>
          <w:rFonts w:ascii="Calibri" w:hAnsi="Calibri" w:eastAsia="Calibri" w:cs="Calibri" w:asciiTheme="minorAscii" w:hAnsiTheme="minorAscii" w:eastAsiaTheme="minorAscii" w:cstheme="minorAscii"/>
          <w:noProof w:val="0"/>
          <w:sz w:val="22"/>
          <w:szCs w:val="22"/>
          <w:lang w:val="en-GB"/>
        </w:rPr>
      </w:pPr>
    </w:p>
    <w:p w:rsidR="75C5E9E0" w:rsidP="1B5823CD" w:rsidRDefault="75C5E9E0" w14:paraId="4BD2F2CF" w14:textId="6CD134D9">
      <w:pPr>
        <w:pStyle w:val="Normal"/>
        <w:rPr>
          <w:rFonts w:ascii="Calibri" w:hAnsi="Calibri" w:eastAsia="Calibri" w:cs="Calibri" w:asciiTheme="minorAscii" w:hAnsiTheme="minorAscii" w:eastAsiaTheme="minorAscii" w:cstheme="minorAscii"/>
          <w:noProof w:val="0"/>
          <w:sz w:val="22"/>
          <w:szCs w:val="22"/>
          <w:lang w:val="en-GB"/>
        </w:rPr>
      </w:pPr>
      <w:r w:rsidRPr="1B5823CD" w:rsidR="1B5823CD">
        <w:rPr>
          <w:rFonts w:ascii="Calibri" w:hAnsi="Calibri" w:eastAsia="Calibri" w:cs="Calibri" w:asciiTheme="minorAscii" w:hAnsiTheme="minorAscii" w:eastAsiaTheme="minorAscii" w:cstheme="minorAscii"/>
          <w:noProof w:val="0"/>
          <w:sz w:val="22"/>
          <w:szCs w:val="22"/>
          <w:lang w:val="en-GB"/>
        </w:rPr>
        <w:t xml:space="preserve">NHS (2018) </w:t>
      </w:r>
      <w:r w:rsidRPr="1B5823CD" w:rsidR="1B5823CD">
        <w:rPr>
          <w:rFonts w:ascii="Calibri" w:hAnsi="Calibri" w:eastAsia="Calibri" w:cs="Calibri" w:asciiTheme="minorAscii" w:hAnsiTheme="minorAscii" w:eastAsiaTheme="minorAscii" w:cstheme="minorAscii"/>
          <w:i w:val="1"/>
          <w:iCs w:val="1"/>
          <w:noProof w:val="0"/>
          <w:sz w:val="22"/>
          <w:szCs w:val="22"/>
          <w:lang w:val="en-GB"/>
        </w:rPr>
        <w:t xml:space="preserve">Music and dementia a powerful connector. </w:t>
      </w:r>
      <w:r w:rsidRPr="1B5823CD" w:rsidR="1B5823CD">
        <w:rPr>
          <w:rFonts w:ascii="Calibri" w:hAnsi="Calibri" w:eastAsia="Calibri" w:cs="Calibri" w:asciiTheme="minorAscii" w:hAnsiTheme="minorAscii" w:eastAsiaTheme="minorAscii" w:cstheme="minorAscii"/>
          <w:i w:val="0"/>
          <w:iCs w:val="0"/>
          <w:noProof w:val="0"/>
          <w:sz w:val="22"/>
          <w:szCs w:val="22"/>
          <w:lang w:val="en-GB"/>
        </w:rPr>
        <w:t>Available at:</w:t>
      </w:r>
      <w:r w:rsidRPr="1B5823CD" w:rsidR="1B5823CD">
        <w:rPr>
          <w:rFonts w:ascii="Calibri" w:hAnsi="Calibri" w:eastAsia="Calibri" w:cs="Calibri" w:asciiTheme="minorAscii" w:hAnsiTheme="minorAscii" w:eastAsiaTheme="minorAscii" w:cstheme="minorAscii"/>
          <w:i w:val="1"/>
          <w:iCs w:val="1"/>
          <w:noProof w:val="0"/>
          <w:sz w:val="22"/>
          <w:szCs w:val="22"/>
          <w:lang w:val="en-GB"/>
        </w:rPr>
        <w:t xml:space="preserve"> </w:t>
      </w:r>
      <w:hyperlink r:id="R53104f4e580c4320">
        <w:r w:rsidRPr="1B5823CD" w:rsidR="1B5823CD">
          <w:rPr>
            <w:rStyle w:val="Hyperlink"/>
            <w:rFonts w:ascii="Calibri" w:hAnsi="Calibri" w:eastAsia="Calibri" w:cs="Calibri" w:asciiTheme="minorAscii" w:hAnsiTheme="minorAscii" w:eastAsiaTheme="minorAscii" w:cstheme="minorAscii"/>
            <w:noProof w:val="0"/>
            <w:sz w:val="22"/>
            <w:szCs w:val="22"/>
            <w:lang w:val="en-GB"/>
          </w:rPr>
          <w:t>https://www.england.nhs.uk/blog/music-and-dementia-a-powerful-connector/</w:t>
        </w:r>
      </w:hyperlink>
      <w:r w:rsidRPr="1B5823CD" w:rsidR="1B5823CD">
        <w:rPr>
          <w:rFonts w:ascii="Calibri" w:hAnsi="Calibri" w:eastAsia="Calibri" w:cs="Calibri" w:asciiTheme="minorAscii" w:hAnsiTheme="minorAscii" w:eastAsiaTheme="minorAscii" w:cstheme="minorAscii"/>
          <w:noProof w:val="0"/>
          <w:sz w:val="22"/>
          <w:szCs w:val="22"/>
          <w:lang w:val="en-GB"/>
        </w:rPr>
        <w:t xml:space="preserve"> (Accessed: 21</w:t>
      </w:r>
      <w:r w:rsidRPr="1B5823CD" w:rsidR="1B5823CD">
        <w:rPr>
          <w:rFonts w:ascii="Calibri" w:hAnsi="Calibri" w:eastAsia="Calibri" w:cs="Calibri" w:asciiTheme="minorAscii" w:hAnsiTheme="minorAscii" w:eastAsiaTheme="minorAscii" w:cstheme="minorAscii"/>
          <w:noProof w:val="0"/>
          <w:sz w:val="22"/>
          <w:szCs w:val="22"/>
          <w:vertAlign w:val="superscript"/>
          <w:lang w:val="en-GB"/>
        </w:rPr>
        <w:t>st</w:t>
      </w:r>
      <w:r w:rsidRPr="1B5823CD" w:rsidR="1B5823CD">
        <w:rPr>
          <w:rFonts w:ascii="Calibri" w:hAnsi="Calibri" w:eastAsia="Calibri" w:cs="Calibri" w:asciiTheme="minorAscii" w:hAnsiTheme="minorAscii" w:eastAsiaTheme="minorAscii" w:cstheme="minorAscii"/>
          <w:noProof w:val="0"/>
          <w:sz w:val="22"/>
          <w:szCs w:val="22"/>
          <w:lang w:val="en-GB"/>
        </w:rPr>
        <w:t xml:space="preserve"> May 2019)</w:t>
      </w:r>
    </w:p>
    <w:p w:rsidR="75C5E9E0" w:rsidP="1B5823CD" w:rsidRDefault="75C5E9E0" w14:paraId="26C526EC" w14:textId="1724C427">
      <w:pPr>
        <w:pStyle w:val="Normal"/>
        <w:rPr>
          <w:rFonts w:ascii="Calibri" w:hAnsi="Calibri" w:eastAsia="Calibri" w:cs="Calibri" w:asciiTheme="minorAscii" w:hAnsiTheme="minorAscii" w:eastAsiaTheme="minorAscii" w:cstheme="minorAscii"/>
          <w:noProof w:val="0"/>
          <w:sz w:val="22"/>
          <w:szCs w:val="22"/>
          <w:lang w:val="en-GB"/>
        </w:rPr>
      </w:pPr>
    </w:p>
    <w:p w:rsidR="75C5E9E0" w:rsidP="1B5823CD" w:rsidRDefault="75C5E9E0" w14:paraId="1004BD6D" w14:textId="28766576">
      <w:pPr>
        <w:pStyle w:val="Normal"/>
        <w:rPr>
          <w:rFonts w:ascii="Calibri" w:hAnsi="Calibri" w:eastAsia="Calibri" w:cs="Calibri" w:asciiTheme="minorAscii" w:hAnsiTheme="minorAscii" w:eastAsiaTheme="minorAscii" w:cstheme="minorAscii"/>
          <w:i w:val="0"/>
          <w:iCs w:val="0"/>
          <w:noProof w:val="0"/>
          <w:sz w:val="22"/>
          <w:szCs w:val="22"/>
          <w:lang w:val="en-GB"/>
        </w:rPr>
      </w:pPr>
      <w:r w:rsidRPr="1B5823CD" w:rsidR="1B5823CD">
        <w:rPr>
          <w:rFonts w:ascii="Calibri" w:hAnsi="Calibri" w:eastAsia="Calibri" w:cs="Calibri" w:asciiTheme="minorAscii" w:hAnsiTheme="minorAscii" w:eastAsiaTheme="minorAscii" w:cstheme="minorAscii"/>
          <w:noProof w:val="0"/>
          <w:sz w:val="22"/>
          <w:szCs w:val="22"/>
          <w:lang w:val="en-GB"/>
        </w:rPr>
        <w:t xml:space="preserve">Alzheimer’s Society (2019) </w:t>
      </w:r>
      <w:r w:rsidRPr="1B5823CD" w:rsidR="1B5823CD">
        <w:rPr>
          <w:rFonts w:ascii="Calibri" w:hAnsi="Calibri" w:eastAsia="Calibri" w:cs="Calibri" w:asciiTheme="minorAscii" w:hAnsiTheme="minorAscii" w:eastAsiaTheme="minorAscii" w:cstheme="minorAscii"/>
          <w:i w:val="1"/>
          <w:iCs w:val="1"/>
          <w:noProof w:val="0"/>
          <w:sz w:val="22"/>
          <w:szCs w:val="22"/>
          <w:lang w:val="en-GB"/>
        </w:rPr>
        <w:t xml:space="preserve">How do people experience memory loss. </w:t>
      </w:r>
      <w:r w:rsidRPr="1B5823CD" w:rsidR="1B5823CD">
        <w:rPr>
          <w:rFonts w:ascii="Calibri" w:hAnsi="Calibri" w:eastAsia="Calibri" w:cs="Calibri" w:asciiTheme="minorAscii" w:hAnsiTheme="minorAscii" w:eastAsiaTheme="minorAscii" w:cstheme="minorAscii"/>
          <w:i w:val="0"/>
          <w:iCs w:val="0"/>
          <w:noProof w:val="0"/>
          <w:sz w:val="22"/>
          <w:szCs w:val="22"/>
          <w:lang w:val="en-GB"/>
        </w:rPr>
        <w:t xml:space="preserve">Available at: </w:t>
      </w:r>
      <w:hyperlink r:id="R86dae089e44e420f">
        <w:r w:rsidRPr="1B5823CD" w:rsidR="1B5823CD">
          <w:rPr>
            <w:rStyle w:val="Hyperlink"/>
            <w:rFonts w:ascii="Calibri" w:hAnsi="Calibri" w:eastAsia="Calibri" w:cs="Calibri" w:asciiTheme="minorAscii" w:hAnsiTheme="minorAscii" w:eastAsiaTheme="minorAscii" w:cstheme="minorAscii"/>
            <w:i w:val="0"/>
            <w:iCs w:val="0"/>
            <w:noProof w:val="0"/>
            <w:sz w:val="22"/>
            <w:szCs w:val="22"/>
            <w:lang w:val="en-GB"/>
          </w:rPr>
          <w:t>https://www.alzheimers.org.uk/about-dementia/symptoms-and-diagnosis/symptoms/memory-loss-in-dementia</w:t>
        </w:r>
      </w:hyperlink>
      <w:r w:rsidRPr="1B5823CD" w:rsidR="1B5823CD">
        <w:rPr>
          <w:rFonts w:ascii="Calibri" w:hAnsi="Calibri" w:eastAsia="Calibri" w:cs="Calibri" w:asciiTheme="minorAscii" w:hAnsiTheme="minorAscii" w:eastAsiaTheme="minorAscii" w:cstheme="minorAscii"/>
          <w:i w:val="0"/>
          <w:iCs w:val="0"/>
          <w:noProof w:val="0"/>
          <w:sz w:val="22"/>
          <w:szCs w:val="22"/>
          <w:lang w:val="en-GB"/>
        </w:rPr>
        <w:t xml:space="preserve"> (Accessed: 21</w:t>
      </w:r>
      <w:r w:rsidRPr="1B5823CD" w:rsidR="1B5823CD">
        <w:rPr>
          <w:rFonts w:ascii="Calibri" w:hAnsi="Calibri" w:eastAsia="Calibri" w:cs="Calibri" w:asciiTheme="minorAscii" w:hAnsiTheme="minorAscii" w:eastAsiaTheme="minorAscii" w:cstheme="minorAscii"/>
          <w:i w:val="0"/>
          <w:iCs w:val="0"/>
          <w:noProof w:val="0"/>
          <w:sz w:val="22"/>
          <w:szCs w:val="22"/>
          <w:vertAlign w:val="superscript"/>
          <w:lang w:val="en-GB"/>
        </w:rPr>
        <w:t>st</w:t>
      </w:r>
      <w:r w:rsidRPr="1B5823CD" w:rsidR="1B5823CD">
        <w:rPr>
          <w:rFonts w:ascii="Calibri" w:hAnsi="Calibri" w:eastAsia="Calibri" w:cs="Calibri" w:asciiTheme="minorAscii" w:hAnsiTheme="minorAscii" w:eastAsiaTheme="minorAscii" w:cstheme="minorAscii"/>
          <w:i w:val="0"/>
          <w:iCs w:val="0"/>
          <w:noProof w:val="0"/>
          <w:sz w:val="22"/>
          <w:szCs w:val="22"/>
          <w:lang w:val="en-GB"/>
        </w:rPr>
        <w:t xml:space="preserve"> May 2019)</w:t>
      </w:r>
    </w:p>
    <w:p w:rsidR="41319126" w:rsidP="1B5823CD" w:rsidRDefault="41319126" w14:paraId="3861771F" w14:textId="29BAB787">
      <w:pPr>
        <w:pStyle w:val="Normal"/>
        <w:rPr>
          <w:rFonts w:ascii="Calibri" w:hAnsi="Calibri" w:eastAsia="Calibri" w:cs="Calibri" w:asciiTheme="minorAscii" w:hAnsiTheme="minorAscii" w:eastAsiaTheme="minorAscii" w:cstheme="minorAscii"/>
          <w:noProof w:val="0"/>
          <w:sz w:val="22"/>
          <w:szCs w:val="22"/>
          <w:lang w:val="en-GB"/>
        </w:rPr>
      </w:pPr>
      <w:r w:rsidRPr="1B5823CD" w:rsidR="1B5823CD">
        <w:rPr>
          <w:rFonts w:ascii="Calibri" w:hAnsi="Calibri" w:eastAsia="Calibri" w:cs="Calibri" w:asciiTheme="minorAscii" w:hAnsiTheme="minorAscii" w:eastAsiaTheme="minorAscii" w:cstheme="minorAscii"/>
          <w:i w:val="0"/>
          <w:iCs w:val="0"/>
          <w:noProof w:val="0"/>
          <w:sz w:val="22"/>
          <w:szCs w:val="22"/>
          <w:lang w:val="en-GB"/>
        </w:rPr>
        <w:t xml:space="preserve">Social Care Institution for Excellence (2015) </w:t>
      </w:r>
      <w:r w:rsidRPr="1B5823CD" w:rsidR="1B5823CD">
        <w:rPr>
          <w:rFonts w:ascii="Calibri" w:hAnsi="Calibri" w:eastAsia="Calibri" w:cs="Calibri" w:asciiTheme="minorAscii" w:hAnsiTheme="minorAscii" w:eastAsiaTheme="minorAscii" w:cstheme="minorAscii"/>
          <w:i w:val="1"/>
          <w:iCs w:val="1"/>
          <w:noProof w:val="0"/>
          <w:sz w:val="22"/>
          <w:szCs w:val="22"/>
          <w:lang w:val="en-GB"/>
        </w:rPr>
        <w:t xml:space="preserve">When people with dementia refuse help. </w:t>
      </w:r>
      <w:r w:rsidRPr="1B5823CD" w:rsidR="1B5823CD">
        <w:rPr>
          <w:rFonts w:ascii="Calibri" w:hAnsi="Calibri" w:eastAsia="Calibri" w:cs="Calibri" w:asciiTheme="minorAscii" w:hAnsiTheme="minorAscii" w:eastAsiaTheme="minorAscii" w:cstheme="minorAscii"/>
          <w:i w:val="0"/>
          <w:iCs w:val="0"/>
          <w:noProof w:val="0"/>
          <w:sz w:val="22"/>
          <w:szCs w:val="22"/>
          <w:lang w:val="en-GB"/>
        </w:rPr>
        <w:t xml:space="preserve">Available at: </w:t>
      </w:r>
      <w:hyperlink r:id="R9ce5bd6860e3421a">
        <w:r w:rsidRPr="1B5823CD" w:rsidR="1B5823CD">
          <w:rPr>
            <w:rStyle w:val="Hyperlink"/>
            <w:rFonts w:ascii="Calibri" w:hAnsi="Calibri" w:eastAsia="Calibri" w:cs="Calibri" w:asciiTheme="minorAscii" w:hAnsiTheme="minorAscii" w:eastAsiaTheme="minorAscii" w:cstheme="minorAscii"/>
            <w:i w:val="0"/>
            <w:iCs w:val="0"/>
            <w:noProof w:val="0"/>
            <w:sz w:val="22"/>
            <w:szCs w:val="22"/>
            <w:lang w:val="en-GB"/>
          </w:rPr>
          <w:t>https://www.scie.org.uk/dementia/living-with-dementia/difficult-situations/refusing-help.asp</w:t>
        </w:r>
      </w:hyperlink>
      <w:r w:rsidRPr="1B5823CD" w:rsidR="1B5823CD">
        <w:rPr>
          <w:rFonts w:ascii="Calibri" w:hAnsi="Calibri" w:eastAsia="Calibri" w:cs="Calibri" w:asciiTheme="minorAscii" w:hAnsiTheme="minorAscii" w:eastAsiaTheme="minorAscii" w:cstheme="minorAscii"/>
          <w:i w:val="0"/>
          <w:iCs w:val="0"/>
          <w:noProof w:val="0"/>
          <w:sz w:val="22"/>
          <w:szCs w:val="22"/>
          <w:lang w:val="en-GB"/>
        </w:rPr>
        <w:t xml:space="preserve"> (Accessed 21</w:t>
      </w:r>
      <w:r w:rsidRPr="1B5823CD" w:rsidR="1B5823CD">
        <w:rPr>
          <w:rFonts w:ascii="Calibri" w:hAnsi="Calibri" w:eastAsia="Calibri" w:cs="Calibri" w:asciiTheme="minorAscii" w:hAnsiTheme="minorAscii" w:eastAsiaTheme="minorAscii" w:cstheme="minorAscii"/>
          <w:i w:val="0"/>
          <w:iCs w:val="0"/>
          <w:noProof w:val="0"/>
          <w:sz w:val="22"/>
          <w:szCs w:val="22"/>
          <w:vertAlign w:val="superscript"/>
          <w:lang w:val="en-GB"/>
        </w:rPr>
        <w:t>st</w:t>
      </w:r>
      <w:r w:rsidRPr="1B5823CD" w:rsidR="1B5823CD">
        <w:rPr>
          <w:rFonts w:ascii="Calibri" w:hAnsi="Calibri" w:eastAsia="Calibri" w:cs="Calibri" w:asciiTheme="minorAscii" w:hAnsiTheme="minorAscii" w:eastAsiaTheme="minorAscii" w:cstheme="minorAscii"/>
          <w:i w:val="0"/>
          <w:iCs w:val="0"/>
          <w:noProof w:val="0"/>
          <w:sz w:val="22"/>
          <w:szCs w:val="22"/>
          <w:lang w:val="en-GB"/>
        </w:rPr>
        <w:t xml:space="preserve"> May 2019)</w:t>
      </w:r>
    </w:p>
    <w:p w:rsidR="1B5823CD" w:rsidP="1B5823CD" w:rsidRDefault="1B5823CD" w14:paraId="637D691A" w14:textId="230A6479">
      <w:pPr>
        <w:pStyle w:val="Normal"/>
        <w:rPr>
          <w:rFonts w:ascii="Calibri" w:hAnsi="Calibri" w:eastAsia="Calibri" w:cs="Calibri" w:asciiTheme="minorAscii" w:hAnsiTheme="minorAscii" w:eastAsiaTheme="minorAscii" w:cstheme="minorAscii"/>
          <w:b w:val="0"/>
          <w:bCs w:val="0"/>
          <w:i w:val="0"/>
          <w:iCs w:val="0"/>
          <w:noProof w:val="0"/>
          <w:color w:val="333333"/>
          <w:sz w:val="23"/>
          <w:szCs w:val="23"/>
          <w:lang w:val="en-GB"/>
        </w:rPr>
      </w:pPr>
      <w:r w:rsidRPr="1B5823CD" w:rsidR="1B5823CD">
        <w:rPr>
          <w:rFonts w:ascii="Calibri" w:hAnsi="Calibri" w:eastAsia="Calibri" w:cs="Calibri" w:asciiTheme="minorAscii" w:hAnsiTheme="minorAscii" w:eastAsiaTheme="minorAscii" w:cstheme="minorAscii"/>
          <w:b w:val="0"/>
          <w:bCs w:val="0"/>
          <w:i w:val="0"/>
          <w:iCs w:val="0"/>
          <w:noProof w:val="0"/>
          <w:color w:val="333333"/>
          <w:sz w:val="23"/>
          <w:szCs w:val="23"/>
          <w:lang w:val="en-GB"/>
        </w:rPr>
        <w:t>Harrington, C. (2019) Workshop. University of Wales Trinity St David. 26th March 2019.</w:t>
      </w:r>
    </w:p>
    <w:p w:rsidR="1B5823CD" w:rsidP="1B5823CD" w:rsidRDefault="1B5823CD" w14:paraId="5E277D6A" w14:textId="649C41E8">
      <w:pPr>
        <w:pStyle w:val="Normal"/>
        <w:rPr>
          <w:rFonts w:ascii="Calibri" w:hAnsi="Calibri" w:eastAsia="Calibri" w:cs="Calibri" w:asciiTheme="minorAscii" w:hAnsiTheme="minorAscii" w:eastAsiaTheme="minorAscii" w:cstheme="minorAscii"/>
          <w:noProof w:val="0"/>
          <w:sz w:val="21"/>
          <w:szCs w:val="21"/>
          <w:lang w:val="en-GB"/>
        </w:rPr>
      </w:pPr>
      <w:r w:rsidRPr="1B5823CD" w:rsidR="1B5823CD">
        <w:rPr>
          <w:rFonts w:ascii="Calibri" w:hAnsi="Calibri" w:eastAsia="Calibri" w:cs="Calibri" w:asciiTheme="minorAscii" w:hAnsiTheme="minorAscii" w:eastAsiaTheme="minorAscii" w:cstheme="minorAscii"/>
          <w:b w:val="0"/>
          <w:bCs w:val="0"/>
          <w:i w:val="1"/>
          <w:iCs w:val="1"/>
          <w:noProof w:val="0"/>
          <w:color w:val="333333"/>
          <w:sz w:val="21"/>
          <w:szCs w:val="21"/>
          <w:lang w:val="en-GB"/>
        </w:rPr>
        <w:t xml:space="preserve">CBS News </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1"/>
          <w:szCs w:val="21"/>
          <w:lang w:val="en-GB"/>
        </w:rPr>
        <w:t xml:space="preserve">(2019) </w:t>
      </w:r>
      <w:r w:rsidRPr="1B5823CD" w:rsidR="1B5823CD">
        <w:rPr>
          <w:rFonts w:ascii="Calibri" w:hAnsi="Calibri" w:eastAsia="Calibri" w:cs="Calibri" w:asciiTheme="minorAscii" w:hAnsiTheme="minorAscii" w:eastAsiaTheme="minorAscii" w:cstheme="minorAscii"/>
          <w:b w:val="0"/>
          <w:bCs w:val="0"/>
          <w:i w:val="1"/>
          <w:iCs w:val="1"/>
          <w:noProof w:val="0"/>
          <w:color w:val="333333"/>
          <w:sz w:val="21"/>
          <w:szCs w:val="21"/>
          <w:lang w:val="en-GB"/>
        </w:rPr>
        <w:t>Agitation and mood swings</w:t>
      </w:r>
      <w:r w:rsidRPr="1B5823CD" w:rsidR="1B5823CD">
        <w:rPr>
          <w:rFonts w:ascii="Calibri" w:hAnsi="Calibri" w:eastAsia="Calibri" w:cs="Calibri" w:asciiTheme="minorAscii" w:hAnsiTheme="minorAscii" w:eastAsiaTheme="minorAscii" w:cstheme="minorAscii"/>
          <w:b w:val="0"/>
          <w:bCs w:val="0"/>
          <w:i w:val="1"/>
          <w:iCs w:val="1"/>
          <w:noProof w:val="0"/>
          <w:color w:val="333333"/>
          <w:sz w:val="21"/>
          <w:szCs w:val="21"/>
          <w:lang w:val="en-GB"/>
        </w:rPr>
        <w:t>.</w:t>
      </w:r>
      <w:r w:rsidRPr="1B5823CD" w:rsidR="1B5823CD">
        <w:rPr>
          <w:rFonts w:ascii="Calibri" w:hAnsi="Calibri" w:eastAsia="Calibri" w:cs="Calibri" w:asciiTheme="minorAscii" w:hAnsiTheme="minorAscii" w:eastAsiaTheme="minorAscii" w:cstheme="minorAscii"/>
          <w:b w:val="0"/>
          <w:bCs w:val="0"/>
          <w:i w:val="0"/>
          <w:iCs w:val="0"/>
          <w:noProof w:val="0"/>
          <w:color w:val="333333"/>
          <w:sz w:val="21"/>
          <w:szCs w:val="21"/>
          <w:lang w:val="en-GB"/>
        </w:rPr>
        <w:t xml:space="preserve"> Available at: </w:t>
      </w:r>
      <w:hyperlink r:id="R7296f46ecdee45ed">
        <w:r w:rsidRPr="1B5823CD" w:rsidR="1B5823CD">
          <w:rPr>
            <w:rStyle w:val="Hyperlink"/>
            <w:rFonts w:ascii="Calibri" w:hAnsi="Calibri" w:eastAsia="Calibri" w:cs="Calibri" w:asciiTheme="minorAscii" w:hAnsiTheme="minorAscii" w:eastAsiaTheme="minorAscii" w:cstheme="minorAscii"/>
            <w:noProof w:val="0"/>
            <w:sz w:val="21"/>
            <w:szCs w:val="21"/>
            <w:lang w:val="en-GB"/>
          </w:rPr>
          <w:t>https://www.cbsnews.com/pictures/alzheimers-25-signs-never-to-ignore/3/#site-header27</w:t>
        </w:r>
      </w:hyperlink>
      <w:r w:rsidRPr="1B5823CD" w:rsidR="1B5823CD">
        <w:rPr>
          <w:rFonts w:ascii="Calibri" w:hAnsi="Calibri" w:eastAsia="Calibri" w:cs="Calibri" w:asciiTheme="minorAscii" w:hAnsiTheme="minorAscii" w:eastAsiaTheme="minorAscii" w:cstheme="minorAscii"/>
          <w:noProof w:val="0"/>
          <w:sz w:val="21"/>
          <w:szCs w:val="21"/>
          <w:lang w:val="en-GB"/>
        </w:rPr>
        <w:t xml:space="preserve"> (Accessed: 21</w:t>
      </w:r>
      <w:r w:rsidRPr="1B5823CD" w:rsidR="1B5823CD">
        <w:rPr>
          <w:rFonts w:ascii="Calibri" w:hAnsi="Calibri" w:eastAsia="Calibri" w:cs="Calibri" w:asciiTheme="minorAscii" w:hAnsiTheme="minorAscii" w:eastAsiaTheme="minorAscii" w:cstheme="minorAscii"/>
          <w:noProof w:val="0"/>
          <w:sz w:val="21"/>
          <w:szCs w:val="21"/>
          <w:vertAlign w:val="superscript"/>
          <w:lang w:val="en-GB"/>
        </w:rPr>
        <w:t>st</w:t>
      </w:r>
      <w:r w:rsidRPr="1B5823CD" w:rsidR="1B5823CD">
        <w:rPr>
          <w:rFonts w:ascii="Calibri" w:hAnsi="Calibri" w:eastAsia="Calibri" w:cs="Calibri" w:asciiTheme="minorAscii" w:hAnsiTheme="minorAscii" w:eastAsiaTheme="minorAscii" w:cstheme="minorAscii"/>
          <w:noProof w:val="0"/>
          <w:sz w:val="21"/>
          <w:szCs w:val="21"/>
          <w:lang w:val="en-GB"/>
        </w:rPr>
        <w:t xml:space="preserve"> May 2019)</w:t>
      </w:r>
    </w:p>
    <w:p w:rsidR="1B5823CD" w:rsidP="1B5823CD" w:rsidRDefault="1B5823CD" w14:paraId="55451548" w14:textId="76FF4331">
      <w:pPr>
        <w:pStyle w:val="Normal"/>
        <w:rPr>
          <w:rFonts w:ascii="Calibri" w:hAnsi="Calibri" w:eastAsia="Calibri" w:cs="Calibri" w:asciiTheme="minorAscii" w:hAnsiTheme="minorAscii" w:eastAsiaTheme="minorAscii" w:cstheme="minorAscii"/>
          <w:noProof w:val="0"/>
          <w:sz w:val="21"/>
          <w:szCs w:val="21"/>
          <w:lang w:val="en-GB"/>
        </w:rPr>
      </w:pPr>
      <w:proofErr w:type="spellStart"/>
      <w:r w:rsidRPr="1B5823CD" w:rsidR="1B5823CD">
        <w:rPr>
          <w:rFonts w:ascii="Calibri" w:hAnsi="Calibri" w:eastAsia="Calibri" w:cs="Calibri" w:asciiTheme="minorAscii" w:hAnsiTheme="minorAscii" w:eastAsiaTheme="minorAscii" w:cstheme="minorAscii"/>
          <w:noProof w:val="0"/>
          <w:sz w:val="21"/>
          <w:szCs w:val="21"/>
          <w:lang w:val="en-GB"/>
        </w:rPr>
        <w:t>Palijug</w:t>
      </w:r>
      <w:proofErr w:type="spellEnd"/>
      <w:r w:rsidRPr="1B5823CD" w:rsidR="1B5823CD">
        <w:rPr>
          <w:rFonts w:ascii="Calibri" w:hAnsi="Calibri" w:eastAsia="Calibri" w:cs="Calibri" w:asciiTheme="minorAscii" w:hAnsiTheme="minorAscii" w:eastAsiaTheme="minorAscii" w:cstheme="minorAscii"/>
          <w:noProof w:val="0"/>
          <w:sz w:val="21"/>
          <w:szCs w:val="21"/>
          <w:lang w:val="en-GB"/>
        </w:rPr>
        <w:t xml:space="preserve">, K. (2017) </w:t>
      </w:r>
      <w:r w:rsidRPr="1B5823CD" w:rsidR="1B5823CD">
        <w:rPr>
          <w:rFonts w:ascii="Calibri" w:hAnsi="Calibri" w:eastAsia="Calibri" w:cs="Calibri" w:asciiTheme="minorAscii" w:hAnsiTheme="minorAscii" w:eastAsiaTheme="minorAscii" w:cstheme="minorAscii"/>
          <w:i w:val="1"/>
          <w:iCs w:val="1"/>
          <w:noProof w:val="0"/>
          <w:sz w:val="21"/>
          <w:szCs w:val="21"/>
          <w:lang w:val="en-GB"/>
        </w:rPr>
        <w:t xml:space="preserve">Health Benefits for dancing with seniors. </w:t>
      </w:r>
      <w:r w:rsidRPr="1B5823CD" w:rsidR="1B5823CD">
        <w:rPr>
          <w:rFonts w:ascii="Calibri" w:hAnsi="Calibri" w:eastAsia="Calibri" w:cs="Calibri" w:asciiTheme="minorAscii" w:hAnsiTheme="minorAscii" w:eastAsiaTheme="minorAscii" w:cstheme="minorAscii"/>
          <w:i w:val="0"/>
          <w:iCs w:val="0"/>
          <w:noProof w:val="0"/>
          <w:sz w:val="21"/>
          <w:szCs w:val="21"/>
          <w:u w:val="none"/>
          <w:lang w:val="en-GB"/>
        </w:rPr>
        <w:t xml:space="preserve">Available at: </w:t>
      </w:r>
      <w:hyperlink r:id="Re6cf8a791e5c4cc7">
        <w:r w:rsidRPr="1B5823CD" w:rsidR="1B5823CD">
          <w:rPr>
            <w:rStyle w:val="Hyperlink"/>
            <w:rFonts w:ascii="Calibri" w:hAnsi="Calibri" w:eastAsia="Calibri" w:cs="Calibri" w:asciiTheme="minorAscii" w:hAnsiTheme="minorAscii" w:eastAsiaTheme="minorAscii" w:cstheme="minorAscii"/>
            <w:noProof w:val="0"/>
            <w:sz w:val="21"/>
            <w:szCs w:val="21"/>
            <w:lang w:val="en-GB"/>
          </w:rPr>
          <w:t>https://www.yourcareeverywhere.com/life-stages/healthy-aging/health-benefits-of-dancing-for-seniors.html</w:t>
        </w:r>
      </w:hyperlink>
      <w:r w:rsidRPr="1B5823CD" w:rsidR="1B5823CD">
        <w:rPr>
          <w:rFonts w:ascii="Calibri" w:hAnsi="Calibri" w:eastAsia="Calibri" w:cs="Calibri" w:asciiTheme="minorAscii" w:hAnsiTheme="minorAscii" w:eastAsiaTheme="minorAscii" w:cstheme="minorAscii"/>
          <w:noProof w:val="0"/>
          <w:sz w:val="21"/>
          <w:szCs w:val="21"/>
          <w:lang w:val="en-GB"/>
        </w:rPr>
        <w:t xml:space="preserve"> (Accessed: 22</w:t>
      </w:r>
      <w:r w:rsidRPr="1B5823CD" w:rsidR="1B5823CD">
        <w:rPr>
          <w:rFonts w:ascii="Calibri" w:hAnsi="Calibri" w:eastAsia="Calibri" w:cs="Calibri" w:asciiTheme="minorAscii" w:hAnsiTheme="minorAscii" w:eastAsiaTheme="minorAscii" w:cstheme="minorAscii"/>
          <w:noProof w:val="0"/>
          <w:sz w:val="21"/>
          <w:szCs w:val="21"/>
          <w:vertAlign w:val="superscript"/>
          <w:lang w:val="en-GB"/>
        </w:rPr>
        <w:t>nd</w:t>
      </w:r>
      <w:r w:rsidRPr="1B5823CD" w:rsidR="1B5823CD">
        <w:rPr>
          <w:rFonts w:ascii="Calibri" w:hAnsi="Calibri" w:eastAsia="Calibri" w:cs="Calibri" w:asciiTheme="minorAscii" w:hAnsiTheme="minorAscii" w:eastAsiaTheme="minorAscii" w:cstheme="minorAscii"/>
          <w:noProof w:val="0"/>
          <w:sz w:val="21"/>
          <w:szCs w:val="21"/>
          <w:lang w:val="en-GB"/>
        </w:rPr>
        <w:t xml:space="preserve"> May 2019)</w:t>
      </w:r>
    </w:p>
    <w:p w:rsidR="1B5823CD" w:rsidP="1B5823CD" w:rsidRDefault="1B5823CD" w14:paraId="09CC6B62" w14:textId="16B32C3E">
      <w:pPr>
        <w:pStyle w:val="Normal"/>
        <w:rPr>
          <w:rFonts w:ascii="Calibri" w:hAnsi="Calibri" w:eastAsia="Calibri" w:cs="Calibri" w:asciiTheme="minorAscii" w:hAnsiTheme="minorAscii" w:eastAsiaTheme="minorAscii" w:cstheme="minorAscii"/>
          <w:i w:val="0"/>
          <w:iCs w:val="0"/>
          <w:noProof w:val="0"/>
          <w:sz w:val="22"/>
          <w:szCs w:val="22"/>
          <w:lang w:val="en-GB"/>
        </w:rPr>
      </w:pPr>
      <w:r w:rsidRPr="1B5823CD" w:rsidR="1B5823CD">
        <w:rPr>
          <w:rFonts w:ascii="Calibri" w:hAnsi="Calibri" w:eastAsia="Calibri" w:cs="Calibri" w:asciiTheme="minorAscii" w:hAnsiTheme="minorAscii" w:eastAsiaTheme="minorAscii" w:cstheme="minorAscii"/>
          <w:i w:val="0"/>
          <w:iCs w:val="0"/>
          <w:noProof w:val="0"/>
          <w:sz w:val="22"/>
          <w:szCs w:val="22"/>
          <w:lang w:val="en-GB"/>
        </w:rPr>
        <w:t>Help Guide (201</w:t>
      </w:r>
      <w:r w:rsidRPr="1B5823CD" w:rsidR="1B5823CD">
        <w:rPr>
          <w:rFonts w:ascii="Calibri" w:hAnsi="Calibri" w:eastAsia="Calibri" w:cs="Calibri" w:asciiTheme="minorAscii" w:hAnsiTheme="minorAscii" w:eastAsiaTheme="minorAscii" w:cstheme="minorAscii"/>
          <w:i w:val="0"/>
          <w:iCs w:val="0"/>
          <w:noProof w:val="0"/>
          <w:sz w:val="22"/>
          <w:szCs w:val="22"/>
          <w:lang w:val="en-GB"/>
        </w:rPr>
        <w:t>9</w:t>
      </w:r>
      <w:r w:rsidRPr="1B5823CD" w:rsidR="1B5823CD">
        <w:rPr>
          <w:rFonts w:ascii="Calibri" w:hAnsi="Calibri" w:eastAsia="Calibri" w:cs="Calibri" w:asciiTheme="minorAscii" w:hAnsiTheme="minorAscii" w:eastAsiaTheme="minorAscii" w:cstheme="minorAscii"/>
          <w:i w:val="0"/>
          <w:iCs w:val="0"/>
          <w:noProof w:val="0"/>
          <w:sz w:val="22"/>
          <w:szCs w:val="22"/>
          <w:lang w:val="en-GB"/>
        </w:rPr>
        <w:t>)</w:t>
      </w:r>
      <w:r w:rsidRPr="1B5823CD" w:rsidR="1B5823CD">
        <w:rPr>
          <w:rFonts w:ascii="Calibri" w:hAnsi="Calibri" w:eastAsia="Calibri" w:cs="Calibri" w:asciiTheme="minorAscii" w:hAnsiTheme="minorAscii" w:eastAsiaTheme="minorAscii" w:cstheme="minorAscii"/>
          <w:i w:val="0"/>
          <w:iCs w:val="0"/>
          <w:noProof w:val="0"/>
          <w:sz w:val="22"/>
          <w:szCs w:val="22"/>
          <w:lang w:val="en-GB"/>
        </w:rPr>
        <w:t xml:space="preserve"> </w:t>
      </w:r>
      <w:r w:rsidRPr="1B5823CD" w:rsidR="1B5823CD">
        <w:rPr>
          <w:rFonts w:ascii="Calibri" w:hAnsi="Calibri" w:eastAsia="Calibri" w:cs="Calibri" w:asciiTheme="minorAscii" w:hAnsiTheme="minorAscii" w:eastAsiaTheme="minorAscii" w:cstheme="minorAscii"/>
          <w:i w:val="1"/>
          <w:iCs w:val="1"/>
          <w:noProof w:val="0"/>
          <w:sz w:val="22"/>
          <w:szCs w:val="22"/>
          <w:lang w:val="en-GB"/>
        </w:rPr>
        <w:t xml:space="preserve">Senior exercise and fitness tips. Available at: </w:t>
      </w:r>
      <w:hyperlink r:id="R6950c5bc620f4633">
        <w:r w:rsidRPr="1B5823CD" w:rsidR="1B5823CD">
          <w:rPr>
            <w:rStyle w:val="Hyperlink"/>
            <w:rFonts w:ascii="Calibri" w:hAnsi="Calibri" w:eastAsia="Calibri" w:cs="Calibri" w:asciiTheme="minorAscii" w:hAnsiTheme="minorAscii" w:eastAsiaTheme="minorAscii" w:cstheme="minorAscii"/>
            <w:noProof w:val="0"/>
            <w:sz w:val="22"/>
            <w:szCs w:val="22"/>
            <w:lang w:val="en-GB"/>
          </w:rPr>
          <w:t>https://www.helpguide.org/articles/healthy-living/exercise-and-fitness-as-you-age.htm/</w:t>
        </w:r>
      </w:hyperlink>
      <w:r w:rsidRPr="1B5823CD" w:rsidR="1B5823CD">
        <w:rPr>
          <w:rFonts w:ascii="Calibri" w:hAnsi="Calibri" w:eastAsia="Calibri" w:cs="Calibri" w:asciiTheme="minorAscii" w:hAnsiTheme="minorAscii" w:eastAsiaTheme="minorAscii" w:cstheme="minorAscii"/>
          <w:noProof w:val="0"/>
          <w:sz w:val="22"/>
          <w:szCs w:val="22"/>
          <w:lang w:val="en-GB"/>
        </w:rPr>
        <w:t xml:space="preserve"> (Accessed: 22</w:t>
      </w:r>
      <w:r w:rsidRPr="1B5823CD" w:rsidR="1B5823CD">
        <w:rPr>
          <w:rFonts w:ascii="Calibri" w:hAnsi="Calibri" w:eastAsia="Calibri" w:cs="Calibri" w:asciiTheme="minorAscii" w:hAnsiTheme="minorAscii" w:eastAsiaTheme="minorAscii" w:cstheme="minorAscii"/>
          <w:noProof w:val="0"/>
          <w:sz w:val="22"/>
          <w:szCs w:val="22"/>
          <w:vertAlign w:val="superscript"/>
          <w:lang w:val="en-GB"/>
        </w:rPr>
        <w:t>nd</w:t>
      </w:r>
      <w:r w:rsidRPr="1B5823CD" w:rsidR="1B5823CD">
        <w:rPr>
          <w:rFonts w:ascii="Calibri" w:hAnsi="Calibri" w:eastAsia="Calibri" w:cs="Calibri" w:asciiTheme="minorAscii" w:hAnsiTheme="minorAscii" w:eastAsiaTheme="minorAscii" w:cstheme="minorAscii"/>
          <w:noProof w:val="0"/>
          <w:sz w:val="22"/>
          <w:szCs w:val="22"/>
          <w:lang w:val="en-GB"/>
        </w:rPr>
        <w:t xml:space="preserve"> May 2019)</w:t>
      </w:r>
    </w:p>
    <w:p w:rsidR="1B5823CD" w:rsidP="1B5823CD" w:rsidRDefault="1B5823CD" w14:paraId="1974CA00" w14:textId="0F5215C6">
      <w:pPr>
        <w:pStyle w:val="Normal"/>
        <w:rPr>
          <w:rFonts w:ascii="Calibri" w:hAnsi="Calibri" w:eastAsia="Calibri" w:cs="Calibri" w:asciiTheme="minorAscii" w:hAnsiTheme="minorAscii" w:eastAsiaTheme="minorAscii" w:cstheme="minorAscii"/>
          <w:noProof w:val="0"/>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A94ECC1"/>
  <w15:docId w15:val="{e493ca38-214a-4603-b1a4-47b0dd0eb3da}"/>
  <w:rsids>
    <w:rsidRoot w:val="2A94ECC1"/>
    <w:rsid w:val="1B5823CD"/>
    <w:rsid w:val="2A94ECC1"/>
    <w:rsid w:val="2BEF61CB"/>
    <w:rsid w:val="33A41F55"/>
    <w:rsid w:val="41319126"/>
    <w:rsid w:val="4FD89B9F"/>
    <w:rsid w:val="70F6C3A4"/>
    <w:rsid w:val="75C5E9E0"/>
    <w:rsid w:val="7D50BB8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358a1421e2246f2" /><Relationship Type="http://schemas.openxmlformats.org/officeDocument/2006/relationships/hyperlink" Target="http://www.who.int/mental_health/neurology/neurological_disorders_report_web.pdf" TargetMode="External" Id="Rcfb6539e33a3454c" /><Relationship Type="http://schemas.openxmlformats.org/officeDocument/2006/relationships/hyperlink" Target="https://www.alzheimersresearchuk.org/about-dementia/quick-guide-dementia-translations/quick-guide-dementia/" TargetMode="External" Id="Rd5b1079fb7304940" /><Relationship Type="http://schemas.openxmlformats.org/officeDocument/2006/relationships/hyperlink" Target="https://www.dementiauk.org/understanding-dementia/advice-and-information/dementia-first-steps/what-is-dementia/" TargetMode="External" Id="R753b8e38b70447da" /><Relationship Type="http://schemas.openxmlformats.org/officeDocument/2006/relationships/hyperlink" Target="https://www.alzheimers.org.uk/about-dementia/types-dementia/younger-people-with-dementia?gclid=Cj0KCQjwnpXmBRDUARIsAEo71tQvasP2W2VX0vs9zx_uFwVTllypZ_hSmMbPg_KFNpW8bbQuhvbjFtcaAmZnEALw_wcB" TargetMode="External" Id="R64a04791281f4a17" /><Relationship Type="http://schemas.openxmlformats.org/officeDocument/2006/relationships/hyperlink" Target="https://www.managementstudyguide.com/leadership-motivation.htm" TargetMode="External" Id="R3f2686a709b5418b" /><Relationship Type="http://schemas.openxmlformats.org/officeDocument/2006/relationships/hyperlink" Target="https://www.nejm.org/doi/full/10.1056/NEJMoa022252" TargetMode="External" Id="R71a98385b5a24fc4" /><Relationship Type="http://schemas.openxmlformats.org/officeDocument/2006/relationships/hyperlink" Target="https://blogs.biomedcentral.com/bmcseriesblog/2016/04/04/keep-dancing-turns-good-brain/" TargetMode="External" Id="Rc84acc13f67240ac" /><Relationship Type="http://schemas.openxmlformats.org/officeDocument/2006/relationships/hyperlink" Target="https://www.tpp.co.uk/blog/2016/11/why-is-positive-reinforcement-so-important-in-the-workplace" TargetMode="External" Id="R08aed80720514a56" /><Relationship Type="http://schemas.openxmlformats.org/officeDocument/2006/relationships/hyperlink" Target="https://kids.alzheimersresearchuk.org/juniors/what-is-dementia/what-does-it-feel-like-to-have-dementia-2/" TargetMode="External" Id="R6f3fc53340334645" /><Relationship Type="http://schemas.openxmlformats.org/officeDocument/2006/relationships/hyperlink" Target="https://www.england.nhs.uk/blog/music-and-dementia-a-powerful-connector/" TargetMode="External" Id="R53104f4e580c4320" /><Relationship Type="http://schemas.openxmlformats.org/officeDocument/2006/relationships/hyperlink" Target="https://www.alzheimers.org.uk/about-dementia/symptoms-and-diagnosis/symptoms/memory-loss-in-dementia" TargetMode="External" Id="R86dae089e44e420f" /><Relationship Type="http://schemas.openxmlformats.org/officeDocument/2006/relationships/hyperlink" Target="https://www.scie.org.uk/dementia/living-with-dementia/difficult-situations/refusing-help.asp" TargetMode="External" Id="R9ce5bd6860e3421a" /><Relationship Type="http://schemas.openxmlformats.org/officeDocument/2006/relationships/hyperlink" Target="https://www.cbsnews.com/pictures/alzheimers-25-signs-never-to-ignore/3/#site-header27" TargetMode="External" Id="R7296f46ecdee45ed" /><Relationship Type="http://schemas.openxmlformats.org/officeDocument/2006/relationships/hyperlink" Target="https://www.yourcareeverywhere.com/life-stages/healthy-aging/health-benefits-of-dancing-for-seniors.html" TargetMode="External" Id="Re6cf8a791e5c4cc7" /><Relationship Type="http://schemas.openxmlformats.org/officeDocument/2006/relationships/hyperlink" Target="https://www.helpguide.org/articles/healthy-living/exercise-and-fitness-as-you-age.htm/" TargetMode="External" Id="R6950c5bc620f46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Worsfold (1702362)</dc:creator>
  <keywords/>
  <dc:description/>
  <lastModifiedBy>Cerys Worsfold (1702362)</lastModifiedBy>
  <revision>9</revision>
  <dcterms:created xsi:type="dcterms:W3CDTF">2019-04-28T15:45:59.4199350Z</dcterms:created>
  <dcterms:modified xsi:type="dcterms:W3CDTF">2019-05-24T15:53:31.3569511Z</dcterms:modified>
</coreProperties>
</file>