
<file path=[Content_Types].xml><?xml version="1.0" encoding="utf-8"?>
<Types xmlns="http://schemas.openxmlformats.org/package/2006/content-types">
  <Default Extension="jpeg" ContentType="image/jpeg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footer120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body>
    <w:p>
      <w:pPr>
        <w:pStyle w:val="PO5"/>
        <w:numPr>
          <w:ilvl w:val="0"/>
          <w:numId w:val="0"/>
        </w:numPr>
        <w:jc w:val="both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Calibri" w:eastAsia="Times New Roman" w:hAnsi="Times New Roman" w:hint="default"/>
        </w:rPr>
        <w:autoSpaceDE w:val="0"/>
        <w:autoSpaceDN w:val="0"/>
      </w:pPr>
      <w:bookmarkStart w:id="1" w:name="_Hlk536617495"/>
      <w:r>
        <w:rPr>
          <w:sz w:val="20"/>
        </w:rPr>
        <mc:AlternateContent>
          <mc:Choice Requires="wps">
            <w:drawing>
              <wp:anchor distT="0" distB="0" distL="114300" distR="114300" simplePos="0" relativeHeight="251624959" behindDoc="1" locked="0" layoutInCell="1" allowOverlap="1">
                <wp:simplePos x="0" y="0"/>
                <mc:AlternateContent>
                  <mc:Choice Requires="wp14">
                    <wp:positionH relativeFrom="page">
                      <wp14:pctPosHOffset>4000</wp14:pctPosHOffset>
                    </wp:positionH>
                  </mc:Choice>
                  <mc:Fallback>
                    <wp:positionH relativeFrom="page">
                      <wp:posOffset>302260</wp:posOffset>
                    </wp:positionH>
                  </mc:Fallback>
                </mc:AlternateContent>
                <wp:positionV relativeFrom="page">
                  <wp:align>center</wp:align>
                </wp:positionV>
                <wp:extent cx="2495550" cy="10158730"/>
                <wp:effectExtent l="0" t="0" r="6985" b="7620"/>
                <wp:wrapNone/>
                <wp:docPr id="9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6185" cy="10159365"/>
                          <a:chOff x="0" y="0"/>
                          <a:chExt cx="2496185" cy="10159365"/>
                        </a:xfrm>
                        <a:prstGeom prst="rect"/>
                        <a:ln cap="flat"/>
                      </wpg:grpSpPr>
                      <wps:wsp>
                        <wps:cNvPr id="105" name="Rectangle 105"/>
                        <wps:cNvSpPr/>
                        <wps:spPr>
                          <a:xfrm>
                            <a:off x="0" y="0"/>
                            <a:ext cx="222885" cy="10159365"/>
                          </a:xfrm>
                          <a:prstGeom prst="rect"/>
                          <a:solidFill>
                            <a:schemeClr val="tx2"/>
                          </a:solidFill>
                          <a:ln cap="flat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0">
                          <a:prstTxWarp prst="textNoShape"/>
                        </wps:bodyPr>
                      </wps:wsp>
                      <wps:wsp>
                        <wps:cNvPr id="106" name="Pentagon 4"/>
                        <wps:cNvSpPr txBox="1"/>
                        <wps:spPr>
                          <a:xfrm>
                            <a:off x="0" y="1632585"/>
                            <a:ext cx="2496185" cy="616585"/>
                          </a:xfrm>
                          <a:prstGeom prst="homePlate"/>
                          <a:ln cap="flat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 style="" inset="7pt,0pt,14pt,0pt">
                          <w:txbxContent>
                            <w:p>
                              <w:pPr>
                                <w:pStyle w:val="PO5"/>
                                <w:numPr>
                                  <w:ilvl w:val="0"/>
                                  <w:numId w:val="0"/>
                                </w:numPr>
                                <w:jc w:val="right"/>
                                <w:spacing w:lineRule="auto" w:line="240" w:before="0" w:after="0"/>
                                <w:ind w:right="0" w:firstLine="0"/>
                                <w:rPr>
                                  <w:color w:val="FFFFFF" w:themeColor="background1"/>
                                  <w:position w:val="0"/>
                                  <w:sz w:val="28"/>
                                  <w:szCs w:val="28"/>
                                  <w:rFonts w:ascii="Calibri" w:eastAsia="Times New Roman" w:hAnsi="Times New Roman" w:hint="default"/>
                                </w:rPr>
                                <w:autoSpaceDE w:val="0"/>
                                <w:autoSpaceDN w:val="0"/>
                              </w:pPr>
                              <w:r>
                                <w:rPr>
                                  <w:color w:val="FFFFFF" w:themeColor="background1"/>
                                  <w:position w:val="0"/>
                                  <w:sz w:val="28"/>
                                  <w:szCs w:val="28"/>
                                  <w:rFonts w:ascii="Calibri" w:eastAsia="Times New Roman" w:hAnsi="Times New Roman" w:hint="default"/>
                                </w:rPr>
                                <w:t>[Date]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182880" bIns="0" numCol="1" spcCol="0" rtlCol="0" fromWordArt="0" anchor="ctr" anchorCtr="0" forceAA="0" compatLnSpc="0">
                          <a:prstTxWarp prst="textNoShape"/>
                        </wps:bodyPr>
                      </wps:wsp>
                      <wpg:grpSp>
                        <wpg:cNvGrpSpPr/>
                        <wpg:grpSpPr>
                          <a:xfrm>
                            <a:off x="86360" y="4686935"/>
                            <a:ext cx="2339975" cy="5466715"/>
                            <a:chOff x="0" y="0"/>
                            <a:chExt cx="2339975" cy="5466715"/>
                          </a:xfrm>
                          <a:prstGeom prst="rect"/>
                          <a:ln cap="flat"/>
                        </wpg:grpSpPr>
                        <wpg:grpSp>
                          <wpg:cNvGrpSpPr/>
                          <wpg:grpSpPr>
                            <a:xfrm>
                              <a:off x="108585" y="0"/>
                              <a:ext cx="1877060" cy="5466715"/>
                              <a:chOff x="0" y="0"/>
                              <a:chExt cx="1877060" cy="5466715"/>
                            </a:xfrm>
                            <a:prstGeom prst="rect"/>
                            <a:ln cap="flat"/>
                          </wpg:grpSpPr>
                          <wps:wsp>
                            <wps:cNvPr id="109" name="Freeform 20"/>
                            <wps:cNvSpPr/>
                            <wps:spPr>
                              <a:xfrm>
                                <a:off x="409575" y="3510280"/>
                                <a:ext cx="348615" cy="1225550"/>
                              </a:xfrm>
                              <a:custGeom>
                                <a:gdLst>
                                  <a:gd fmla="*/ 0 w 122" name="TX0"/>
                                  <a:gd fmla="*/ 0 h 440" name="TY0"/>
                                  <a:gd fmla="*/ 39 w 122" name="TX1"/>
                                  <a:gd fmla="*/ 152 h 440" name="TY1"/>
                                  <a:gd fmla="*/ 84 w 122" name="TX2"/>
                                  <a:gd fmla="*/ 304 h 440" name="TY2"/>
                                  <a:gd fmla="*/ 122 w 122" name="TX3"/>
                                  <a:gd fmla="*/ 417 h 440" name="TY3"/>
                                  <a:gd fmla="*/ 122 w 122" name="TX4"/>
                                  <a:gd fmla="*/ 440 h 440" name="TY4"/>
                                  <a:gd fmla="*/ 76 w 122" name="TX5"/>
                                  <a:gd fmla="*/ 306 h 440" name="TY5"/>
                                  <a:gd fmla="*/ 39 w 122" name="TX6"/>
                                  <a:gd fmla="*/ 180 h 440" name="TY6"/>
                                  <a:gd fmla="*/ 6 w 122" name="TX7"/>
                                  <a:gd fmla="*/ 53 h 440" name="TY7"/>
                                  <a:gd fmla="*/ 0 w 122" name="TX8"/>
                                  <a:gd fmla="*/ 0 h 440" name="TY8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</a:cxnLst>
                                <a:rect l="l" t="t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0" name="Freeform 21"/>
                            <wps:cNvSpPr/>
                            <wps:spPr>
                              <a:xfrm>
                                <a:off x="773430" y="4716780"/>
                                <a:ext cx="331470" cy="749935"/>
                              </a:xfrm>
                              <a:custGeom>
                                <a:gdLst>
                                  <a:gd fmla="*/ 0 w 116" name="TX0"/>
                                  <a:gd fmla="*/ 0 h 269" name="TY0"/>
                                  <a:gd fmla="*/ 8 w 116" name="TX1"/>
                                  <a:gd fmla="*/ 19 h 269" name="TY1"/>
                                  <a:gd fmla="*/ 37 w 116" name="TX2"/>
                                  <a:gd fmla="*/ 93 h 269" name="TY2"/>
                                  <a:gd fmla="*/ 67 w 116" name="TX3"/>
                                  <a:gd fmla="*/ 167 h 269" name="TY3"/>
                                  <a:gd fmla="*/ 116 w 116" name="TX4"/>
                                  <a:gd fmla="*/ 269 h 269" name="TY4"/>
                                  <a:gd fmla="*/ 108 w 116" name="TX5"/>
                                  <a:gd fmla="*/ 269 h 269" name="TY5"/>
                                  <a:gd fmla="*/ 60 w 116" name="TX6"/>
                                  <a:gd fmla="*/ 169 h 269" name="TY6"/>
                                  <a:gd fmla="*/ 30 w 116" name="TX7"/>
                                  <a:gd fmla="*/ 98 h 269" name="TY7"/>
                                  <a:gd fmla="*/ 1 w 116" name="TX8"/>
                                  <a:gd fmla="*/ 25 h 269" name="TY8"/>
                                  <a:gd fmla="*/ 0 w 116" name="TX9"/>
                                  <a:gd fmla="*/ 0 h 269" name="TY9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</a:cxnLst>
                                <a:rect l="l" t="t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1" name="Freeform 22"/>
                            <wps:cNvSpPr/>
                            <wps:spPr>
                              <a:xfrm>
                                <a:off x="0" y="0"/>
                                <a:ext cx="400050" cy="3538220"/>
                              </a:xfrm>
                              <a:custGeom>
                                <a:gdLst>
                                  <a:gd fmla="*/ 0 w 140" name="TX0"/>
                                  <a:gd fmla="*/ 0 h 1272" name="TY0"/>
                                  <a:gd fmla="*/ 0 w 140" name="TX1"/>
                                  <a:gd fmla="*/ 0 h 1272" name="TY1"/>
                                  <a:gd fmla="*/ 1 w 140" name="TX2"/>
                                  <a:gd fmla="*/ 79 h 1272" name="TY2"/>
                                  <a:gd fmla="*/ 3 w 140" name="TX3"/>
                                  <a:gd fmla="*/ 159 h 1272" name="TY3"/>
                                  <a:gd fmla="*/ 12 w 140" name="TX4"/>
                                  <a:gd fmla="*/ 317 h 1272" name="TY4"/>
                                  <a:gd fmla="*/ 23 w 140" name="TX5"/>
                                  <a:gd fmla="*/ 476 h 1272" name="TY5"/>
                                  <a:gd fmla="*/ 39 w 140" name="TX6"/>
                                  <a:gd fmla="*/ 634 h 1272" name="TY6"/>
                                  <a:gd fmla="*/ 58 w 140" name="TX7"/>
                                  <a:gd fmla="*/ 792 h 1272" name="TY7"/>
                                  <a:gd fmla="*/ 83 w 140" name="TX8"/>
                                  <a:gd fmla="*/ 948 h 1272" name="TY8"/>
                                  <a:gd fmla="*/ 107 w 140" name="TX9"/>
                                  <a:gd fmla="*/ 1086 h 1272" name="TY9"/>
                                  <a:gd fmla="*/ 135 w 140" name="TX10"/>
                                  <a:gd fmla="*/ 1223 h 1272" name="TY10"/>
                                  <a:gd fmla="*/ 140 w 140" name="TX11"/>
                                  <a:gd fmla="*/ 1272 h 1272" name="TY11"/>
                                  <a:gd fmla="*/ 138 w 140" name="TX12"/>
                                  <a:gd fmla="*/ 1262 h 1272" name="TY12"/>
                                  <a:gd fmla="*/ 105 w 140" name="TX13"/>
                                  <a:gd fmla="*/ 1106 h 1272" name="TY13"/>
                                  <a:gd fmla="*/ 77 w 140" name="TX14"/>
                                  <a:gd fmla="*/ 949 h 1272" name="TY14"/>
                                  <a:gd fmla="*/ 53 w 140" name="TX15"/>
                                  <a:gd fmla="*/ 792 h 1272" name="TY15"/>
                                  <a:gd fmla="*/ 35 w 140" name="TX16"/>
                                  <a:gd fmla="*/ 634 h 1272" name="TY16"/>
                                  <a:gd fmla="*/ 20 w 140" name="TX17"/>
                                  <a:gd fmla="*/ 476 h 1272" name="TY17"/>
                                  <a:gd fmla="*/ 9 w 140" name="TX18"/>
                                  <a:gd fmla="*/ 317 h 1272" name="TY18"/>
                                  <a:gd fmla="*/ 2 w 140" name="TX19"/>
                                  <a:gd fmla="*/ 159 h 1272" name="TY19"/>
                                  <a:gd fmla="*/ 0 w 140" name="TX20"/>
                                  <a:gd fmla="*/ 79 h 1272" name="TY20"/>
                                  <a:gd fmla="*/ 0 w 140" name="TX21"/>
                                  <a:gd fmla="*/ 0 h 1272" name="TY21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  <a:cxn ang="0">
                                    <a:pos x="TX10" y="TY10"/>
                                  </a:cxn>
                                  <a:cxn ang="0">
                                    <a:pos x="TX11" y="TY11"/>
                                  </a:cxn>
                                  <a:cxn ang="0">
                                    <a:pos x="TX12" y="TY12"/>
                                  </a:cxn>
                                  <a:cxn ang="0">
                                    <a:pos x="TX13" y="TY13"/>
                                  </a:cxn>
                                  <a:cxn ang="0">
                                    <a:pos x="TX14" y="TY14"/>
                                  </a:cxn>
                                  <a:cxn ang="0">
                                    <a:pos x="TX15" y="TY15"/>
                                  </a:cxn>
                                  <a:cxn ang="0">
                                    <a:pos x="TX16" y="TY16"/>
                                  </a:cxn>
                                  <a:cxn ang="0">
                                    <a:pos x="TX17" y="TY17"/>
                                  </a:cxn>
                                  <a:cxn ang="0">
                                    <a:pos x="TX18" y="TY18"/>
                                  </a:cxn>
                                  <a:cxn ang="0">
                                    <a:pos x="TX19" y="TY19"/>
                                  </a:cxn>
                                  <a:cxn ang="0">
                                    <a:pos x="TX20" y="TY20"/>
                                  </a:cxn>
                                  <a:cxn ang="0">
                                    <a:pos x="TX21" y="TY21"/>
                                  </a:cxn>
                                </a:cxnLst>
                                <a:rect l="l" t="t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2" name="Freeform 23"/>
                            <wps:cNvSpPr/>
                            <wps:spPr>
                              <a:xfrm>
                                <a:off x="358140" y="1135380"/>
                                <a:ext cx="129540" cy="2376170"/>
                              </a:xfrm>
                              <a:custGeom>
                                <a:gdLst>
                                  <a:gd fmla="*/ 45 w 45" name="TX0"/>
                                  <a:gd fmla="*/ 0 h 854" name="TY0"/>
                                  <a:gd fmla="*/ 45 w 45" name="TX1"/>
                                  <a:gd fmla="*/ 0 h 854" name="TY1"/>
                                  <a:gd fmla="*/ 35 w 45" name="TX2"/>
                                  <a:gd fmla="*/ 66 h 854" name="TY2"/>
                                  <a:gd fmla="*/ 26 w 45" name="TX3"/>
                                  <a:gd fmla="*/ 133 h 854" name="TY3"/>
                                  <a:gd fmla="*/ 14 w 45" name="TX4"/>
                                  <a:gd fmla="*/ 267 h 854" name="TY4"/>
                                  <a:gd fmla="*/ 6 w 45" name="TX5"/>
                                  <a:gd fmla="*/ 401 h 854" name="TY5"/>
                                  <a:gd fmla="*/ 3 w 45" name="TX6"/>
                                  <a:gd fmla="*/ 534 h 854" name="TY6"/>
                                  <a:gd fmla="*/ 6 w 45" name="TX7"/>
                                  <a:gd fmla="*/ 669 h 854" name="TY7"/>
                                  <a:gd fmla="*/ 14 w 45" name="TX8"/>
                                  <a:gd fmla="*/ 803 h 854" name="TY8"/>
                                  <a:gd fmla="*/ 18 w 45" name="TX9"/>
                                  <a:gd fmla="*/ 854 h 854" name="TY9"/>
                                  <a:gd fmla="*/ 18 w 45" name="TX10"/>
                                  <a:gd fmla="*/ 851 h 854" name="TY10"/>
                                  <a:gd fmla="*/ 9 w 45" name="TX11"/>
                                  <a:gd fmla="*/ 814 h 854" name="TY11"/>
                                  <a:gd fmla="*/ 8 w 45" name="TX12"/>
                                  <a:gd fmla="*/ 803 h 854" name="TY12"/>
                                  <a:gd fmla="*/ 1 w 45" name="TX13"/>
                                  <a:gd fmla="*/ 669 h 854" name="TY13"/>
                                  <a:gd fmla="*/ 0 w 45" name="TX14"/>
                                  <a:gd fmla="*/ 534 h 854" name="TY14"/>
                                  <a:gd fmla="*/ 3 w 45" name="TX15"/>
                                  <a:gd fmla="*/ 401 h 854" name="TY15"/>
                                  <a:gd fmla="*/ 12 w 45" name="TX16"/>
                                  <a:gd fmla="*/ 267 h 854" name="TY16"/>
                                  <a:gd fmla="*/ 25 w 45" name="TX17"/>
                                  <a:gd fmla="*/ 132 h 854" name="TY17"/>
                                  <a:gd fmla="*/ 34 w 45" name="TX18"/>
                                  <a:gd fmla="*/ 66 h 854" name="TY18"/>
                                  <a:gd fmla="*/ 45 w 45" name="TX19"/>
                                  <a:gd fmla="*/ 0 h 854" name="TY19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  <a:cxn ang="0">
                                    <a:pos x="TX10" y="TY10"/>
                                  </a:cxn>
                                  <a:cxn ang="0">
                                    <a:pos x="TX11" y="TY11"/>
                                  </a:cxn>
                                  <a:cxn ang="0">
                                    <a:pos x="TX12" y="TY12"/>
                                  </a:cxn>
                                  <a:cxn ang="0">
                                    <a:pos x="TX13" y="TY13"/>
                                  </a:cxn>
                                  <a:cxn ang="0">
                                    <a:pos x="TX14" y="TY14"/>
                                  </a:cxn>
                                  <a:cxn ang="0">
                                    <a:pos x="TX15" y="TY15"/>
                                  </a:cxn>
                                  <a:cxn ang="0">
                                    <a:pos x="TX16" y="TY16"/>
                                  </a:cxn>
                                  <a:cxn ang="0">
                                    <a:pos x="TX17" y="TY17"/>
                                  </a:cxn>
                                  <a:cxn ang="0">
                                    <a:pos x="TX18" y="TY18"/>
                                  </a:cxn>
                                  <a:cxn ang="0">
                                    <a:pos x="TX19" y="TY19"/>
                                  </a:cxn>
                                </a:cxnLst>
                                <a:rect l="l" t="t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4" name="Freeform 24"/>
                            <wps:cNvSpPr/>
                            <wps:spPr>
                              <a:xfrm>
                                <a:off x="398145" y="3535045"/>
                                <a:ext cx="440055" cy="1750695"/>
                              </a:xfrm>
                              <a:custGeom>
                                <a:gdLst>
                                  <a:gd fmla="*/ 0 w 154" name="TX0"/>
                                  <a:gd fmla="*/ 0 h 629" name="TY0"/>
                                  <a:gd fmla="*/ 10 w 154" name="TX1"/>
                                  <a:gd fmla="*/ 44 h 629" name="TY1"/>
                                  <a:gd fmla="*/ 21 w 154" name="TX2"/>
                                  <a:gd fmla="*/ 126 h 629" name="TY2"/>
                                  <a:gd fmla="*/ 34 w 154" name="TX3"/>
                                  <a:gd fmla="*/ 207 h 629" name="TY3"/>
                                  <a:gd fmla="*/ 53 w 154" name="TX4"/>
                                  <a:gd fmla="*/ 293 h 629" name="TY4"/>
                                  <a:gd fmla="*/ 75 w 154" name="TX5"/>
                                  <a:gd fmla="*/ 380 h 629" name="TY5"/>
                                  <a:gd fmla="*/ 100 w 154" name="TX6"/>
                                  <a:gd fmla="*/ 466 h 629" name="TY6"/>
                                  <a:gd fmla="*/ 120 w 154" name="TX7"/>
                                  <a:gd fmla="*/ 521 h 629" name="TY7"/>
                                  <a:gd fmla="*/ 141 w 154" name="TX8"/>
                                  <a:gd fmla="*/ 576 h 629" name="TY8"/>
                                  <a:gd fmla="*/ 152 w 154" name="TX9"/>
                                  <a:gd fmla="*/ 618 h 629" name="TY9"/>
                                  <a:gd fmla="*/ 154 w 154" name="TX10"/>
                                  <a:gd fmla="*/ 629 h 629" name="TY10"/>
                                  <a:gd fmla="*/ 140 w 154" name="TX11"/>
                                  <a:gd fmla="*/ 595 h 629" name="TY11"/>
                                  <a:gd fmla="*/ 115 w 154" name="TX12"/>
                                  <a:gd fmla="*/ 532 h 629" name="TY12"/>
                                  <a:gd fmla="*/ 93 w 154" name="TX13"/>
                                  <a:gd fmla="*/ 468 h 629" name="TY13"/>
                                  <a:gd fmla="*/ 67 w 154" name="TX14"/>
                                  <a:gd fmla="*/ 383 h 629" name="TY14"/>
                                  <a:gd fmla="*/ 47 w 154" name="TX15"/>
                                  <a:gd fmla="*/ 295 h 629" name="TY15"/>
                                  <a:gd fmla="*/ 28 w 154" name="TX16"/>
                                  <a:gd fmla="*/ 207 h 629" name="TY16"/>
                                  <a:gd fmla="*/ 12 w 154" name="TX17"/>
                                  <a:gd fmla="*/ 104 h 629" name="TY17"/>
                                  <a:gd fmla="*/ 0 w 154" name="TX18"/>
                                  <a:gd fmla="*/ 0 h 629" name="TY18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  <a:cxn ang="0">
                                    <a:pos x="TX10" y="TY10"/>
                                  </a:cxn>
                                  <a:cxn ang="0">
                                    <a:pos x="TX11" y="TY11"/>
                                  </a:cxn>
                                  <a:cxn ang="0">
                                    <a:pos x="TX12" y="TY12"/>
                                  </a:cxn>
                                  <a:cxn ang="0">
                                    <a:pos x="TX13" y="TY13"/>
                                  </a:cxn>
                                  <a:cxn ang="0">
                                    <a:pos x="TX14" y="TY14"/>
                                  </a:cxn>
                                  <a:cxn ang="0">
                                    <a:pos x="TX15" y="TY15"/>
                                  </a:cxn>
                                  <a:cxn ang="0">
                                    <a:pos x="TX16" y="TY16"/>
                                  </a:cxn>
                                  <a:cxn ang="0">
                                    <a:pos x="TX17" y="TY17"/>
                                  </a:cxn>
                                  <a:cxn ang="0">
                                    <a:pos x="TX18" y="TY18"/>
                                  </a:cxn>
                                </a:cxnLst>
                                <a:rect l="l" t="t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5" name="Freeform 25"/>
                            <wps:cNvSpPr/>
                            <wps:spPr>
                              <a:xfrm>
                                <a:off x="858520" y="5273040"/>
                                <a:ext cx="95885" cy="193675"/>
                              </a:xfrm>
                              <a:custGeom>
                                <a:gdLst>
                                  <a:gd fmla="*/ 0 w 33" name="TX0"/>
                                  <a:gd fmla="*/ 0 h 69" name="TY0"/>
                                  <a:gd fmla="*/ 33 w 33" name="TX1"/>
                                  <a:gd fmla="*/ 69 h 69" name="TY1"/>
                                  <a:gd fmla="*/ 24 w 33" name="TX2"/>
                                  <a:gd fmla="*/ 69 h 69" name="TY2"/>
                                  <a:gd fmla="*/ 12 w 33" name="TX3"/>
                                  <a:gd fmla="*/ 35 h 69" name="TY3"/>
                                  <a:gd fmla="*/ 0 w 33" name="TX4"/>
                                  <a:gd fmla="*/ 0 h 69" name="TY4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</a:cxnLst>
                                <a:rect l="l" t="t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6" name="Freeform 26"/>
                            <wps:cNvSpPr/>
                            <wps:spPr>
                              <a:xfrm>
                                <a:off x="383540" y="3398520"/>
                                <a:ext cx="44450" cy="260350"/>
                              </a:xfrm>
                              <a:custGeom>
                                <a:gdLst>
                                  <a:gd fmla="*/ 0 w 15" name="TX0"/>
                                  <a:gd fmla="*/ 0 h 93" name="TY0"/>
                                  <a:gd fmla="*/ 9 w 15" name="TX1"/>
                                  <a:gd fmla="*/ 37 h 93" name="TY1"/>
                                  <a:gd fmla="*/ 9 w 15" name="TX2"/>
                                  <a:gd fmla="*/ 40 h 93" name="TY2"/>
                                  <a:gd fmla="*/ 15 w 15" name="TX3"/>
                                  <a:gd fmla="*/ 93 h 93" name="TY3"/>
                                  <a:gd fmla="*/ 5 w 15" name="TX4"/>
                                  <a:gd fmla="*/ 49 h 93" name="TY4"/>
                                  <a:gd fmla="*/ 0 w 15" name="TX5"/>
                                  <a:gd fmla="*/ 0 h 93" name="TY5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</a:cxnLst>
                                <a:rect l="l" t="t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7" name="Freeform 27"/>
                            <wps:cNvSpPr/>
                            <wps:spPr>
                              <a:xfrm>
                                <a:off x="756285" y="2586990"/>
                                <a:ext cx="1122045" cy="2131695"/>
                              </a:xfrm>
                              <a:custGeom>
                                <a:gdLst>
                                  <a:gd fmla="*/ 394 w 394" name="TX0"/>
                                  <a:gd fmla="*/ 0 h 766" name="TY0"/>
                                  <a:gd fmla="*/ 394 w 394" name="TX1"/>
                                  <a:gd fmla="*/ 0 h 766" name="TY1"/>
                                  <a:gd fmla="*/ 356 w 394" name="TX2"/>
                                  <a:gd fmla="*/ 38 h 766" name="TY2"/>
                                  <a:gd fmla="*/ 319 w 394" name="TX3"/>
                                  <a:gd fmla="*/ 77 h 766" name="TY3"/>
                                  <a:gd fmla="*/ 284 w 394" name="TX4"/>
                                  <a:gd fmla="*/ 117 h 766" name="TY4"/>
                                  <a:gd fmla="*/ 249 w 394" name="TX5"/>
                                  <a:gd fmla="*/ 160 h 766" name="TY5"/>
                                  <a:gd fmla="*/ 207 w 394" name="TX6"/>
                                  <a:gd fmla="*/ 218 h 766" name="TY6"/>
                                  <a:gd fmla="*/ 168 w 394" name="TX7"/>
                                  <a:gd fmla="*/ 276 h 766" name="TY7"/>
                                  <a:gd fmla="*/ 131 w 394" name="TX8"/>
                                  <a:gd fmla="*/ 339 h 766" name="TY8"/>
                                  <a:gd fmla="*/ 98 w 394" name="TX9"/>
                                  <a:gd fmla="*/ 402 h 766" name="TY9"/>
                                  <a:gd fmla="*/ 69 w 394" name="TX10"/>
                                  <a:gd fmla="*/ 467 h 766" name="TY10"/>
                                  <a:gd fmla="*/ 45 w 394" name="TX11"/>
                                  <a:gd fmla="*/ 535 h 766" name="TY11"/>
                                  <a:gd fmla="*/ 26 w 394" name="TX12"/>
                                  <a:gd fmla="*/ 604 h 766" name="TY12"/>
                                  <a:gd fmla="*/ 14 w 394" name="TX13"/>
                                  <a:gd fmla="*/ 673 h 766" name="TY13"/>
                                  <a:gd fmla="*/ 7 w 394" name="TX14"/>
                                  <a:gd fmla="*/ 746 h 766" name="TY14"/>
                                  <a:gd fmla="*/ 6 w 394" name="TX15"/>
                                  <a:gd fmla="*/ 766 h 766" name="TY15"/>
                                  <a:gd fmla="*/ 0 w 394" name="TX16"/>
                                  <a:gd fmla="*/ 749 h 766" name="TY16"/>
                                  <a:gd fmla="*/ 1 w 394" name="TX17"/>
                                  <a:gd fmla="*/ 744 h 766" name="TY17"/>
                                  <a:gd fmla="*/ 7 w 394" name="TX18"/>
                                  <a:gd fmla="*/ 673 h 766" name="TY18"/>
                                  <a:gd fmla="*/ 21 w 394" name="TX19"/>
                                  <a:gd fmla="*/ 603 h 766" name="TY19"/>
                                  <a:gd fmla="*/ 40 w 394" name="TX20"/>
                                  <a:gd fmla="*/ 533 h 766" name="TY20"/>
                                  <a:gd fmla="*/ 65 w 394" name="TX21"/>
                                  <a:gd fmla="*/ 466 h 766" name="TY21"/>
                                  <a:gd fmla="*/ 94 w 394" name="TX22"/>
                                  <a:gd fmla="*/ 400 h 766" name="TY22"/>
                                  <a:gd fmla="*/ 127 w 394" name="TX23"/>
                                  <a:gd fmla="*/ 336 h 766" name="TY23"/>
                                  <a:gd fmla="*/ 164 w 394" name="TX24"/>
                                  <a:gd fmla="*/ 275 h 766" name="TY24"/>
                                  <a:gd fmla="*/ 204 w 394" name="TX25"/>
                                  <a:gd fmla="*/ 215 h 766" name="TY25"/>
                                  <a:gd fmla="*/ 248 w 394" name="TX26"/>
                                  <a:gd fmla="*/ 158 h 766" name="TY26"/>
                                  <a:gd fmla="*/ 282 w 394" name="TX27"/>
                                  <a:gd fmla="*/ 116 h 766" name="TY27"/>
                                  <a:gd fmla="*/ 318 w 394" name="TX28"/>
                                  <a:gd fmla="*/ 76 h 766" name="TY28"/>
                                  <a:gd fmla="*/ 354 w 394" name="TX29"/>
                                  <a:gd fmla="*/ 37 h 766" name="TY29"/>
                                  <a:gd fmla="*/ 394 w 394" name="TX30"/>
                                  <a:gd fmla="*/ 0 h 766" name="TY30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  <a:cxn ang="0">
                                    <a:pos x="TX10" y="TY10"/>
                                  </a:cxn>
                                  <a:cxn ang="0">
                                    <a:pos x="TX11" y="TY11"/>
                                  </a:cxn>
                                  <a:cxn ang="0">
                                    <a:pos x="TX12" y="TY12"/>
                                  </a:cxn>
                                  <a:cxn ang="0">
                                    <a:pos x="TX13" y="TY13"/>
                                  </a:cxn>
                                  <a:cxn ang="0">
                                    <a:pos x="TX14" y="TY14"/>
                                  </a:cxn>
                                  <a:cxn ang="0">
                                    <a:pos x="TX15" y="TY15"/>
                                  </a:cxn>
                                  <a:cxn ang="0">
                                    <a:pos x="TX16" y="TY16"/>
                                  </a:cxn>
                                  <a:cxn ang="0">
                                    <a:pos x="TX17" y="TY17"/>
                                  </a:cxn>
                                  <a:cxn ang="0">
                                    <a:pos x="TX18" y="TY18"/>
                                  </a:cxn>
                                  <a:cxn ang="0">
                                    <a:pos x="TX19" y="TY19"/>
                                  </a:cxn>
                                  <a:cxn ang="0">
                                    <a:pos x="TX20" y="TY20"/>
                                  </a:cxn>
                                  <a:cxn ang="0">
                                    <a:pos x="TX21" y="TY21"/>
                                  </a:cxn>
                                  <a:cxn ang="0">
                                    <a:pos x="TX22" y="TY22"/>
                                  </a:cxn>
                                  <a:cxn ang="0">
                                    <a:pos x="TX23" y="TY23"/>
                                  </a:cxn>
                                  <a:cxn ang="0">
                                    <a:pos x="TX24" y="TY24"/>
                                  </a:cxn>
                                  <a:cxn ang="0">
                                    <a:pos x="TX25" y="TY25"/>
                                  </a:cxn>
                                  <a:cxn ang="0">
                                    <a:pos x="TX26" y="TY26"/>
                                  </a:cxn>
                                  <a:cxn ang="0">
                                    <a:pos x="TX27" y="TY27"/>
                                  </a:cxn>
                                  <a:cxn ang="0">
                                    <a:pos x="TX28" y="TY28"/>
                                  </a:cxn>
                                  <a:cxn ang="0">
                                    <a:pos x="TX29" y="TY29"/>
                                  </a:cxn>
                                  <a:cxn ang="0">
                                    <a:pos x="TX30" y="TY30"/>
                                  </a:cxn>
                                </a:cxnLst>
                                <a:rect l="l" t="t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8" name="Freeform 28"/>
                            <wps:cNvSpPr/>
                            <wps:spPr>
                              <a:xfrm>
                                <a:off x="756285" y="4733290"/>
                                <a:ext cx="104140" cy="541020"/>
                              </a:xfrm>
                              <a:custGeom>
                                <a:gdLst>
                                  <a:gd fmla="*/ 0 w 36" name="TX0"/>
                                  <a:gd fmla="*/ 0 h 194" name="TY0"/>
                                  <a:gd fmla="*/ 6 w 36" name="TX1"/>
                                  <a:gd fmla="*/ 16 h 194" name="TY1"/>
                                  <a:gd fmla="*/ 7 w 36" name="TX2"/>
                                  <a:gd fmla="*/ 19 h 194" name="TY2"/>
                                  <a:gd fmla="*/ 11 w 36" name="TX3"/>
                                  <a:gd fmla="*/ 80 h 194" name="TY3"/>
                                  <a:gd fmla="*/ 20 w 36" name="TX4"/>
                                  <a:gd fmla="*/ 132 h 194" name="TY4"/>
                                  <a:gd fmla="*/ 33 w 36" name="TX5"/>
                                  <a:gd fmla="*/ 185 h 194" name="TY5"/>
                                  <a:gd fmla="*/ 36 w 36" name="TX6"/>
                                  <a:gd fmla="*/ 194 h 194" name="TY6"/>
                                  <a:gd fmla="*/ 21 w 36" name="TX7"/>
                                  <a:gd fmla="*/ 161 h 194" name="TY7"/>
                                  <a:gd fmla="*/ 15 w 36" name="TX8"/>
                                  <a:gd fmla="*/ 145 h 194" name="TY8"/>
                                  <a:gd fmla="*/ 5 w 36" name="TX9"/>
                                  <a:gd fmla="*/ 81 h 194" name="TY9"/>
                                  <a:gd fmla="*/ 1 w 36" name="TX10"/>
                                  <a:gd fmla="*/ 41 h 194" name="TY10"/>
                                  <a:gd fmla="*/ 0 w 36" name="TX11"/>
                                  <a:gd fmla="*/ 0 h 194" name="TY11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  <a:cxn ang="0">
                                    <a:pos x="TX10" y="TY10"/>
                                  </a:cxn>
                                  <a:cxn ang="0">
                                    <a:pos x="TX11" y="TY11"/>
                                  </a:cxn>
                                </a:cxnLst>
                                <a:rect l="l" t="t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19" name="Freeform 29"/>
                            <wps:cNvSpPr/>
                            <wps:spPr>
                              <a:xfrm>
                                <a:off x="835660" y="5283835"/>
                                <a:ext cx="90170" cy="182880"/>
                              </a:xfrm>
                              <a:custGeom>
                                <a:gdLst>
                                  <a:gd fmla="*/ 0 w 31" name="TX0"/>
                                  <a:gd fmla="*/ 0 h 65" name="TY0"/>
                                  <a:gd fmla="*/ 31 w 31" name="TX1"/>
                                  <a:gd fmla="*/ 65 h 65" name="TY1"/>
                                  <a:gd fmla="*/ 23 w 31" name="TX2"/>
                                  <a:gd fmla="*/ 65 h 65" name="TY2"/>
                                  <a:gd fmla="*/ 0 w 31" name="TX3"/>
                                  <a:gd fmla="*/ 0 h 65" name="TY3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</a:cxnLst>
                                <a:rect l="l" t="t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20" name="Freeform 30"/>
                            <wps:cNvSpPr/>
                            <wps:spPr>
                              <a:xfrm>
                                <a:off x="756285" y="4669155"/>
                                <a:ext cx="21590" cy="118745"/>
                              </a:xfrm>
                              <a:custGeom>
                                <a:gdLst>
                                  <a:gd fmla="*/ 0 w 7" name="TX0"/>
                                  <a:gd fmla="*/ 0 h 42" name="TY0"/>
                                  <a:gd fmla="*/ 6 w 7" name="TX1"/>
                                  <a:gd fmla="*/ 17 h 42" name="TY1"/>
                                  <a:gd fmla="*/ 7 w 7" name="TX2"/>
                                  <a:gd fmla="*/ 42 h 42" name="TY2"/>
                                  <a:gd fmla="*/ 6 w 7" name="TX3"/>
                                  <a:gd fmla="*/ 39 h 42" name="TY3"/>
                                  <a:gd fmla="*/ 0 w 7" name="TX4"/>
                                  <a:gd fmla="*/ 23 h 42" name="TY4"/>
                                  <a:gd fmla="*/ 0 w 7" name="TX5"/>
                                  <a:gd fmla="*/ 0 h 42" name="TY5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</a:cxnLst>
                                <a:rect l="l" t="t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21" name="Freeform 31"/>
                            <wps:cNvSpPr/>
                            <wps:spPr>
                              <a:xfrm>
                                <a:off x="798830" y="5136515"/>
                                <a:ext cx="129540" cy="330200"/>
                              </a:xfrm>
                              <a:custGeom>
                                <a:gdLst>
                                  <a:gd fmla="*/ 0 w 45" name="TX0"/>
                                  <a:gd fmla="*/ 0 h 118" name="TY0"/>
                                  <a:gd fmla="*/ 6 w 45" name="TX1"/>
                                  <a:gd fmla="*/ 16 h 118" name="TY1"/>
                                  <a:gd fmla="*/ 21 w 45" name="TX2"/>
                                  <a:gd fmla="*/ 49 h 118" name="TY2"/>
                                  <a:gd fmla="*/ 33 w 45" name="TX3"/>
                                  <a:gd fmla="*/ 84 h 118" name="TY3"/>
                                  <a:gd fmla="*/ 45 w 45" name="TX4"/>
                                  <a:gd fmla="*/ 118 h 118" name="TY4"/>
                                  <a:gd fmla="*/ 44 w 45" name="TX5"/>
                                  <a:gd fmla="*/ 118 h 118" name="TY5"/>
                                  <a:gd fmla="*/ 13 w 45" name="TX6"/>
                                  <a:gd fmla="*/ 53 h 118" name="TY6"/>
                                  <a:gd fmla="*/ 11 w 45" name="TX7"/>
                                  <a:gd fmla="*/ 42 h 118" name="TY7"/>
                                  <a:gd fmla="*/ 0 w 45" name="TX8"/>
                                  <a:gd fmla="*/ 0 h 118" name="TY8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</a:cxnLst>
                                <a:rect l="l" t="t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 cap="flat" cmpd="sng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</wpg:grpSp>
                        <wpg:grpSp>
                          <wpg:cNvGrpSpPr/>
                          <wpg:grpSpPr>
                            <a:xfrm>
                              <a:off x="0" y="1075690"/>
                              <a:ext cx="2339975" cy="4390390"/>
                              <a:chOff x="0" y="0"/>
                              <a:chExt cx="2339975" cy="4390390"/>
                            </a:xfrm>
                            <a:prstGeom prst="rect"/>
                            <a:ln cap="flat"/>
                          </wpg:grpSpPr>
                          <wps:wsp>
                            <wps:cNvPr id="123" name="Freeform 8"/>
                            <wps:cNvSpPr/>
                            <wps:spPr>
                              <a:xfrm>
                                <a:off x="102235" y="1411605"/>
                                <a:ext cx="532765" cy="1870075"/>
                              </a:xfrm>
                              <a:custGeom>
                                <a:gdLst>
                                  <a:gd fmla="*/ 0 w 125" name="TX0"/>
                                  <a:gd fmla="*/ 0 h 450" name="TY0"/>
                                  <a:gd fmla="*/ 41 w 125" name="TX1"/>
                                  <a:gd fmla="*/ 155 h 450" name="TY1"/>
                                  <a:gd fmla="*/ 86 w 125" name="TX2"/>
                                  <a:gd fmla="*/ 309 h 450" name="TY2"/>
                                  <a:gd fmla="*/ 125 w 125" name="TX3"/>
                                  <a:gd fmla="*/ 425 h 450" name="TY3"/>
                                  <a:gd fmla="*/ 125 w 125" name="TX4"/>
                                  <a:gd fmla="*/ 450 h 450" name="TY4"/>
                                  <a:gd fmla="*/ 79 w 125" name="TX5"/>
                                  <a:gd fmla="*/ 311 h 450" name="TY5"/>
                                  <a:gd fmla="*/ 41 w 125" name="TX6"/>
                                  <a:gd fmla="*/ 183 h 450" name="TY6"/>
                                  <a:gd fmla="*/ 7 w 125" name="TX7"/>
                                  <a:gd fmla="*/ 54 h 450" name="TY7"/>
                                  <a:gd fmla="*/ 0 w 125" name="TX8"/>
                                  <a:gd fmla="*/ 0 h 450" name="TY8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</a:cxnLst>
                                <a:rect l="l" t="t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24" name="Freeform 9"/>
                            <wps:cNvSpPr/>
                            <wps:spPr>
                              <a:xfrm>
                                <a:off x="662940" y="3246755"/>
                                <a:ext cx="502920" cy="1143635"/>
                              </a:xfrm>
                              <a:custGeom>
                                <a:gdLst>
                                  <a:gd fmla="*/ 0 w 118" name="TX0"/>
                                  <a:gd fmla="*/ 0 h 275" name="TY0"/>
                                  <a:gd fmla="*/ 8 w 118" name="TX1"/>
                                  <a:gd fmla="*/ 20 h 275" name="TY1"/>
                                  <a:gd fmla="*/ 37 w 118" name="TX2"/>
                                  <a:gd fmla="*/ 96 h 275" name="TY2"/>
                                  <a:gd fmla="*/ 69 w 118" name="TX3"/>
                                  <a:gd fmla="*/ 170 h 275" name="TY3"/>
                                  <a:gd fmla="*/ 118 w 118" name="TX4"/>
                                  <a:gd fmla="*/ 275 h 275" name="TY4"/>
                                  <a:gd fmla="*/ 109 w 118" name="TX5"/>
                                  <a:gd fmla="*/ 275 h 275" name="TY5"/>
                                  <a:gd fmla="*/ 61 w 118" name="TX6"/>
                                  <a:gd fmla="*/ 174 h 275" name="TY6"/>
                                  <a:gd fmla="*/ 30 w 118" name="TX7"/>
                                  <a:gd fmla="*/ 100 h 275" name="TY7"/>
                                  <a:gd fmla="*/ 0 w 118" name="TX8"/>
                                  <a:gd fmla="*/ 26 h 275" name="TY8"/>
                                  <a:gd fmla="*/ 0 w 118" name="TX9"/>
                                  <a:gd fmla="*/ 0 h 275" name="TY9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</a:cxnLst>
                                <a:rect l="l" t="t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25" name="Freeform 10"/>
                            <wps:cNvSpPr/>
                            <wps:spPr>
                              <a:xfrm>
                                <a:off x="0" y="942340"/>
                                <a:ext cx="86995" cy="504190"/>
                              </a:xfrm>
                              <a:custGeom>
                                <a:gdLst>
                                  <a:gd fmla="*/ 0 w 20" name="TX0"/>
                                  <a:gd fmla="*/ 0 h 121" name="TY0"/>
                                  <a:gd fmla="*/ 16 w 20" name="TX1"/>
                                  <a:gd fmla="*/ 72 h 121" name="TY1"/>
                                  <a:gd fmla="*/ 20 w 20" name="TX2"/>
                                  <a:gd fmla="*/ 121 h 121" name="TY2"/>
                                  <a:gd fmla="*/ 18 w 20" name="TX3"/>
                                  <a:gd fmla="*/ 112 h 121" name="TY3"/>
                                  <a:gd fmla="*/ 0 w 20" name="TX4"/>
                                  <a:gd fmla="*/ 31 h 121" name="TY4"/>
                                  <a:gd fmla="*/ 0 w 20" name="TX5"/>
                                  <a:gd fmla="*/ 0 h 121" name="TY5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</a:cxnLst>
                                <a:rect l="l" t="t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26" name="Freeform 12"/>
                            <wps:cNvSpPr/>
                            <wps:spPr>
                              <a:xfrm>
                                <a:off x="85090" y="1445260"/>
                                <a:ext cx="672465" cy="2671445"/>
                              </a:xfrm>
                              <a:custGeom>
                                <a:gdLst>
                                  <a:gd fmla="*/ 0 w 158" name="TX0"/>
                                  <a:gd fmla="*/ 0 h 643" name="TY0"/>
                                  <a:gd fmla="*/ 11 w 158" name="TX1"/>
                                  <a:gd fmla="*/ 46 h 643" name="TY1"/>
                                  <a:gd fmla="*/ 22 w 158" name="TX2"/>
                                  <a:gd fmla="*/ 129 h 643" name="TY2"/>
                                  <a:gd fmla="*/ 36 w 158" name="TX3"/>
                                  <a:gd fmla="*/ 211 h 643" name="TY3"/>
                                  <a:gd fmla="*/ 55 w 158" name="TX4"/>
                                  <a:gd fmla="*/ 301 h 643" name="TY4"/>
                                  <a:gd fmla="*/ 76 w 158" name="TX5"/>
                                  <a:gd fmla="*/ 389 h 643" name="TY5"/>
                                  <a:gd fmla="*/ 103 w 158" name="TX6"/>
                                  <a:gd fmla="*/ 476 h 643" name="TY6"/>
                                  <a:gd fmla="*/ 123 w 158" name="TX7"/>
                                  <a:gd fmla="*/ 533 h 643" name="TY7"/>
                                  <a:gd fmla="*/ 144 w 158" name="TX8"/>
                                  <a:gd fmla="*/ 588 h 643" name="TY8"/>
                                  <a:gd fmla="*/ 155 w 158" name="TX9"/>
                                  <a:gd fmla="*/ 632 h 643" name="TY9"/>
                                  <a:gd fmla="*/ 158 w 158" name="TX10"/>
                                  <a:gd fmla="*/ 643 h 643" name="TY10"/>
                                  <a:gd fmla="*/ 142 w 158" name="TX11"/>
                                  <a:gd fmla="*/ 608 h 643" name="TY11"/>
                                  <a:gd fmla="*/ 118 w 158" name="TX12"/>
                                  <a:gd fmla="*/ 544 h 643" name="TY12"/>
                                  <a:gd fmla="*/ 95 w 158" name="TX13"/>
                                  <a:gd fmla="*/ 478 h 643" name="TY13"/>
                                  <a:gd fmla="*/ 69 w 158" name="TX14"/>
                                  <a:gd fmla="*/ 391 h 643" name="TY14"/>
                                  <a:gd fmla="*/ 47 w 158" name="TX15"/>
                                  <a:gd fmla="*/ 302 h 643" name="TY15"/>
                                  <a:gd fmla="*/ 29 w 158" name="TX16"/>
                                  <a:gd fmla="*/ 212 h 643" name="TY16"/>
                                  <a:gd fmla="*/ 13 w 158" name="TX17"/>
                                  <a:gd fmla="*/ 107 h 643" name="TY17"/>
                                  <a:gd fmla="*/ 0 w 158" name="TX18"/>
                                  <a:gd fmla="*/ 0 h 643" name="TY18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  <a:cxn ang="0">
                                    <a:pos x="TX10" y="TY10"/>
                                  </a:cxn>
                                  <a:cxn ang="0">
                                    <a:pos x="TX11" y="TY11"/>
                                  </a:cxn>
                                  <a:cxn ang="0">
                                    <a:pos x="TX12" y="TY12"/>
                                  </a:cxn>
                                  <a:cxn ang="0">
                                    <a:pos x="TX13" y="TY13"/>
                                  </a:cxn>
                                  <a:cxn ang="0">
                                    <a:pos x="TX14" y="TY14"/>
                                  </a:cxn>
                                  <a:cxn ang="0">
                                    <a:pos x="TX15" y="TY15"/>
                                  </a:cxn>
                                  <a:cxn ang="0">
                                    <a:pos x="TX16" y="TY16"/>
                                  </a:cxn>
                                  <a:cxn ang="0">
                                    <a:pos x="TX17" y="TY17"/>
                                  </a:cxn>
                                  <a:cxn ang="0">
                                    <a:pos x="TX18" y="TY18"/>
                                  </a:cxn>
                                </a:cxnLst>
                                <a:rect l="l" t="t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27" name="Freeform 13"/>
                            <wps:cNvSpPr/>
                            <wps:spPr>
                              <a:xfrm>
                                <a:off x="789940" y="4093845"/>
                                <a:ext cx="142240" cy="296545"/>
                              </a:xfrm>
                              <a:custGeom>
                                <a:gdLst>
                                  <a:gd fmla="*/ 0 w 33" name="TX0"/>
                                  <a:gd fmla="*/ 0 h 71" name="TY0"/>
                                  <a:gd fmla="*/ 33 w 33" name="TX1"/>
                                  <a:gd fmla="*/ 71 h 71" name="TY1"/>
                                  <a:gd fmla="*/ 24 w 33" name="TX2"/>
                                  <a:gd fmla="*/ 71 h 71" name="TY2"/>
                                  <a:gd fmla="*/ 11 w 33" name="TX3"/>
                                  <a:gd fmla="*/ 36 h 71" name="TY3"/>
                                  <a:gd fmla="*/ 0 w 33" name="TX4"/>
                                  <a:gd fmla="*/ 0 h 71" name="TY4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</a:cxnLst>
                                <a:rect l="l" t="t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28" name="Freeform 14"/>
                            <wps:cNvSpPr/>
                            <wps:spPr>
                              <a:xfrm>
                                <a:off x="67945" y="1241425"/>
                                <a:ext cx="65405" cy="396240"/>
                              </a:xfrm>
                              <a:custGeom>
                                <a:gdLst>
                                  <a:gd fmla="*/ 0 w 15" name="TX0"/>
                                  <a:gd fmla="*/ 0 h 95" name="TY0"/>
                                  <a:gd fmla="*/ 8 w 15" name="TX1"/>
                                  <a:gd fmla="*/ 37 h 95" name="TY1"/>
                                  <a:gd fmla="*/ 8 w 15" name="TX2"/>
                                  <a:gd fmla="*/ 41 h 95" name="TY2"/>
                                  <a:gd fmla="*/ 15 w 15" name="TX3"/>
                                  <a:gd fmla="*/ 95 h 95" name="TY3"/>
                                  <a:gd fmla="*/ 4 w 15" name="TX4"/>
                                  <a:gd fmla="*/ 49 h 95" name="TY4"/>
                                  <a:gd fmla="*/ 0 w 15" name="TX5"/>
                                  <a:gd fmla="*/ 0 h 95" name="TY5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</a:cxnLst>
                                <a:rect l="l" t="t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29" name="Freeform 15"/>
                            <wps:cNvSpPr/>
                            <wps:spPr>
                              <a:xfrm>
                                <a:off x="633095" y="0"/>
                                <a:ext cx="1707515" cy="3248660"/>
                              </a:xfrm>
                              <a:custGeom>
                                <a:gdLst>
                                  <a:gd fmla="*/ 402 w 402" name="TX0"/>
                                  <a:gd fmla="*/ 0 h 782" name="TY0"/>
                                  <a:gd fmla="*/ 402 w 402" name="TX1"/>
                                  <a:gd fmla="*/ 1 h 782" name="TY1"/>
                                  <a:gd fmla="*/ 363 w 402" name="TX2"/>
                                  <a:gd fmla="*/ 39 h 782" name="TY2"/>
                                  <a:gd fmla="*/ 325 w 402" name="TX3"/>
                                  <a:gd fmla="*/ 79 h 782" name="TY3"/>
                                  <a:gd fmla="*/ 290 w 402" name="TX4"/>
                                  <a:gd fmla="*/ 121 h 782" name="TY4"/>
                                  <a:gd fmla="*/ 255 w 402" name="TX5"/>
                                  <a:gd fmla="*/ 164 h 782" name="TY5"/>
                                  <a:gd fmla="*/ 211 w 402" name="TX6"/>
                                  <a:gd fmla="*/ 222 h 782" name="TY6"/>
                                  <a:gd fmla="*/ 171 w 402" name="TX7"/>
                                  <a:gd fmla="*/ 284 h 782" name="TY7"/>
                                  <a:gd fmla="*/ 133 w 402" name="TX8"/>
                                  <a:gd fmla="*/ 346 h 782" name="TY8"/>
                                  <a:gd fmla="*/ 100 w 402" name="TX9"/>
                                  <a:gd fmla="*/ 411 h 782" name="TY9"/>
                                  <a:gd fmla="*/ 71 w 402" name="TX10"/>
                                  <a:gd fmla="*/ 478 h 782" name="TY10"/>
                                  <a:gd fmla="*/ 45 w 402" name="TX11"/>
                                  <a:gd fmla="*/ 546 h 782" name="TY11"/>
                                  <a:gd fmla="*/ 27 w 402" name="TX12"/>
                                  <a:gd fmla="*/ 617 h 782" name="TY12"/>
                                  <a:gd fmla="*/ 13 w 402" name="TX13"/>
                                  <a:gd fmla="*/ 689 h 782" name="TY13"/>
                                  <a:gd fmla="*/ 7 w 402" name="TX14"/>
                                  <a:gd fmla="*/ 761 h 782" name="TY14"/>
                                  <a:gd fmla="*/ 7 w 402" name="TX15"/>
                                  <a:gd fmla="*/ 782 h 782" name="TY15"/>
                                  <a:gd fmla="*/ 0 w 402" name="TX16"/>
                                  <a:gd fmla="*/ 765 h 782" name="TY16"/>
                                  <a:gd fmla="*/ 1 w 402" name="TX17"/>
                                  <a:gd fmla="*/ 761 h 782" name="TY17"/>
                                  <a:gd fmla="*/ 7 w 402" name="TX18"/>
                                  <a:gd fmla="*/ 688 h 782" name="TY18"/>
                                  <a:gd fmla="*/ 21 w 402" name="TX19"/>
                                  <a:gd fmla="*/ 616 h 782" name="TY19"/>
                                  <a:gd fmla="*/ 40 w 402" name="TX20"/>
                                  <a:gd fmla="*/ 545 h 782" name="TY20"/>
                                  <a:gd fmla="*/ 66 w 402" name="TX21"/>
                                  <a:gd fmla="*/ 475 h 782" name="TY21"/>
                                  <a:gd fmla="*/ 95 w 402" name="TX22"/>
                                  <a:gd fmla="*/ 409 h 782" name="TY22"/>
                                  <a:gd fmla="*/ 130 w 402" name="TX23"/>
                                  <a:gd fmla="*/ 343 h 782" name="TY23"/>
                                  <a:gd fmla="*/ 167 w 402" name="TX24"/>
                                  <a:gd fmla="*/ 281 h 782" name="TY24"/>
                                  <a:gd fmla="*/ 209 w 402" name="TX25"/>
                                  <a:gd fmla="*/ 220 h 782" name="TY25"/>
                                  <a:gd fmla="*/ 253 w 402" name="TX26"/>
                                  <a:gd fmla="*/ 163 h 782" name="TY26"/>
                                  <a:gd fmla="*/ 287 w 402" name="TX27"/>
                                  <a:gd fmla="*/ 120 h 782" name="TY27"/>
                                  <a:gd fmla="*/ 324 w 402" name="TX28"/>
                                  <a:gd fmla="*/ 78 h 782" name="TY28"/>
                                  <a:gd fmla="*/ 362 w 402" name="TX29"/>
                                  <a:gd fmla="*/ 38 h 782" name="TY29"/>
                                  <a:gd fmla="*/ 402 w 402" name="TX30"/>
                                  <a:gd fmla="*/ 0 h 782" name="TY30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  <a:cxn ang="0">
                                    <a:pos x="TX10" y="TY10"/>
                                  </a:cxn>
                                  <a:cxn ang="0">
                                    <a:pos x="TX11" y="TY11"/>
                                  </a:cxn>
                                  <a:cxn ang="0">
                                    <a:pos x="TX12" y="TY12"/>
                                  </a:cxn>
                                  <a:cxn ang="0">
                                    <a:pos x="TX13" y="TY13"/>
                                  </a:cxn>
                                  <a:cxn ang="0">
                                    <a:pos x="TX14" y="TY14"/>
                                  </a:cxn>
                                  <a:cxn ang="0">
                                    <a:pos x="TX15" y="TY15"/>
                                  </a:cxn>
                                  <a:cxn ang="0">
                                    <a:pos x="TX16" y="TY16"/>
                                  </a:cxn>
                                  <a:cxn ang="0">
                                    <a:pos x="TX17" y="TY17"/>
                                  </a:cxn>
                                  <a:cxn ang="0">
                                    <a:pos x="TX18" y="TY18"/>
                                  </a:cxn>
                                  <a:cxn ang="0">
                                    <a:pos x="TX19" y="TY19"/>
                                  </a:cxn>
                                  <a:cxn ang="0">
                                    <a:pos x="TX20" y="TY20"/>
                                  </a:cxn>
                                  <a:cxn ang="0">
                                    <a:pos x="TX21" y="TY21"/>
                                  </a:cxn>
                                  <a:cxn ang="0">
                                    <a:pos x="TX22" y="TY22"/>
                                  </a:cxn>
                                  <a:cxn ang="0">
                                    <a:pos x="TX23" y="TY23"/>
                                  </a:cxn>
                                  <a:cxn ang="0">
                                    <a:pos x="TX24" y="TY24"/>
                                  </a:cxn>
                                  <a:cxn ang="0">
                                    <a:pos x="TX25" y="TY25"/>
                                  </a:cxn>
                                  <a:cxn ang="0">
                                    <a:pos x="TX26" y="TY26"/>
                                  </a:cxn>
                                  <a:cxn ang="0">
                                    <a:pos x="TX27" y="TY27"/>
                                  </a:cxn>
                                  <a:cxn ang="0">
                                    <a:pos x="TX28" y="TY28"/>
                                  </a:cxn>
                                  <a:cxn ang="0">
                                    <a:pos x="TX29" y="TY29"/>
                                  </a:cxn>
                                  <a:cxn ang="0">
                                    <a:pos x="TX30" y="TY30"/>
                                  </a:cxn>
                                </a:cxnLst>
                                <a:rect l="l" t="t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30" name="Freeform 16"/>
                            <wps:cNvSpPr/>
                            <wps:spPr>
                              <a:xfrm>
                                <a:off x="633095" y="3280410"/>
                                <a:ext cx="158750" cy="815975"/>
                              </a:xfrm>
                              <a:custGeom>
                                <a:gdLst>
                                  <a:gd fmla="*/ 0 w 37" name="TX0"/>
                                  <a:gd fmla="*/ 0 h 196" name="TY0"/>
                                  <a:gd fmla="*/ 6 w 37" name="TX1"/>
                                  <a:gd fmla="*/ 15 h 196" name="TY1"/>
                                  <a:gd fmla="*/ 7 w 37" name="TX2"/>
                                  <a:gd fmla="*/ 18 h 196" name="TY2"/>
                                  <a:gd fmla="*/ 12 w 37" name="TX3"/>
                                  <a:gd fmla="*/ 80 h 196" name="TY3"/>
                                  <a:gd fmla="*/ 21 w 37" name="TX4"/>
                                  <a:gd fmla="*/ 134 h 196" name="TY4"/>
                                  <a:gd fmla="*/ 33 w 37" name="TX5"/>
                                  <a:gd fmla="*/ 188 h 196" name="TY5"/>
                                  <a:gd fmla="*/ 37 w 37" name="TX6"/>
                                  <a:gd fmla="*/ 196 h 196" name="TY6"/>
                                  <a:gd fmla="*/ 22 w 37" name="TX7"/>
                                  <a:gd fmla="*/ 162 h 196" name="TY7"/>
                                  <a:gd fmla="*/ 15 w 37" name="TX8"/>
                                  <a:gd fmla="*/ 146 h 196" name="TY8"/>
                                  <a:gd fmla="*/ 5 w 37" name="TX9"/>
                                  <a:gd fmla="*/ 81 h 196" name="TY9"/>
                                  <a:gd fmla="*/ 1 w 37" name="TX10"/>
                                  <a:gd fmla="*/ 40 h 196" name="TY10"/>
                                  <a:gd fmla="*/ 0 w 37" name="TX11"/>
                                  <a:gd fmla="*/ 0 h 196" name="TY11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  <a:cxn ang="0">
                                    <a:pos x="TX9" y="TY9"/>
                                  </a:cxn>
                                  <a:cxn ang="0">
                                    <a:pos x="TX10" y="TY10"/>
                                  </a:cxn>
                                  <a:cxn ang="0">
                                    <a:pos x="TX11" y="TY11"/>
                                  </a:cxn>
                                </a:cxnLst>
                                <a:rect l="l" t="t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31" name="Freeform 17"/>
                            <wps:cNvSpPr/>
                            <wps:spPr>
                              <a:xfrm>
                                <a:off x="756285" y="4114800"/>
                                <a:ext cx="133350" cy="276225"/>
                              </a:xfrm>
                              <a:custGeom>
                                <a:gdLst>
                                  <a:gd fmla="*/ 0 w 31" name="TX0"/>
                                  <a:gd fmla="*/ 0 h 66" name="TY0"/>
                                  <a:gd fmla="*/ 31 w 31" name="TX1"/>
                                  <a:gd fmla="*/ 66 h 66" name="TY1"/>
                                  <a:gd fmla="*/ 24 w 31" name="TX2"/>
                                  <a:gd fmla="*/ 66 h 66" name="TY2"/>
                                  <a:gd fmla="*/ 0 w 31" name="TX3"/>
                                  <a:gd fmla="*/ 0 h 66" name="TY3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</a:cxnLst>
                                <a:rect l="l" t="t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32" name="Freeform 18"/>
                            <wps:cNvSpPr/>
                            <wps:spPr>
                              <a:xfrm>
                                <a:off x="633095" y="3176270"/>
                                <a:ext cx="31750" cy="180340"/>
                              </a:xfrm>
                              <a:custGeom>
                                <a:gdLst>
                                  <a:gd fmla="*/ 0 w 7" name="TX0"/>
                                  <a:gd fmla="*/ 0 h 43" name="TY0"/>
                                  <a:gd fmla="*/ 7 w 7" name="TX1"/>
                                  <a:gd fmla="*/ 17 h 43" name="TY1"/>
                                  <a:gd fmla="*/ 7 w 7" name="TX2"/>
                                  <a:gd fmla="*/ 43 h 43" name="TY2"/>
                                  <a:gd fmla="*/ 6 w 7" name="TX3"/>
                                  <a:gd fmla="*/ 40 h 43" name="TY3"/>
                                  <a:gd fmla="*/ 0 w 7" name="TX4"/>
                                  <a:gd fmla="*/ 25 h 43" name="TY4"/>
                                  <a:gd fmla="*/ 0 w 7" name="TX5"/>
                                  <a:gd fmla="*/ 0 h 43" name="TY5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</a:cxnLst>
                                <a:rect l="l" t="t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  <wps:wsp>
                            <wps:cNvPr id="133" name="Freeform 19"/>
                            <wps:cNvSpPr/>
                            <wps:spPr>
                              <a:xfrm>
                                <a:off x="696595" y="3886200"/>
                                <a:ext cx="197485" cy="504190"/>
                              </a:xfrm>
                              <a:custGeom>
                                <a:gdLst>
                                  <a:gd fmla="*/ 0 w 46" name="TX0"/>
                                  <a:gd fmla="*/ 0 h 121" name="TY0"/>
                                  <a:gd fmla="*/ 7 w 46" name="TX1"/>
                                  <a:gd fmla="*/ 16 h 121" name="TY1"/>
                                  <a:gd fmla="*/ 22 w 46" name="TX2"/>
                                  <a:gd fmla="*/ 50 h 121" name="TY2"/>
                                  <a:gd fmla="*/ 33 w 46" name="TX3"/>
                                  <a:gd fmla="*/ 86 h 121" name="TY3"/>
                                  <a:gd fmla="*/ 46 w 46" name="TX4"/>
                                  <a:gd fmla="*/ 121 h 121" name="TY4"/>
                                  <a:gd fmla="*/ 45 w 46" name="TX5"/>
                                  <a:gd fmla="*/ 121 h 121" name="TY5"/>
                                  <a:gd fmla="*/ 14 w 46" name="TX6"/>
                                  <a:gd fmla="*/ 55 h 121" name="TY6"/>
                                  <a:gd fmla="*/ 11 w 46" name="TX7"/>
                                  <a:gd fmla="*/ 44 h 121" name="TY7"/>
                                  <a:gd fmla="*/ 0 w 46" name="TX8"/>
                                  <a:gd fmla="*/ 0 h 121" name="TY8"/>
                                </a:gdLst>
                                <a:cxnLst>
                                  <a:cxn ang="0">
                                    <a:pos x="TX0" y="TY0"/>
                                  </a:cxn>
                                  <a:cxn ang="0">
                                    <a:pos x="TX1" y="TY1"/>
                                  </a:cxn>
                                  <a:cxn ang="0">
                                    <a:pos x="TX2" y="TY2"/>
                                  </a:cxn>
                                  <a:cxn ang="0">
                                    <a:pos x="TX3" y="TY3"/>
                                  </a:cxn>
                                  <a:cxn ang="0">
                                    <a:pos x="TX4" y="TY4"/>
                                  </a:cxn>
                                  <a:cxn ang="0">
                                    <a:pos x="TX5" y="TY5"/>
                                  </a:cxn>
                                  <a:cxn ang="0">
                                    <a:pos x="TX6" y="TY6"/>
                                  </a:cxn>
                                  <a:cxn ang="0">
                                    <a:pos x="TX7" y="TY7"/>
                                  </a:cxn>
                                  <a:cxn ang="0">
                                    <a:pos x="TX8" y="TY8"/>
                                  </a:cxn>
                                </a:cxnLst>
                                <a:rect l="l" t="t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17"/>
                                </a:schemeClr>
                              </a:solidFill>
                              <a:ln w="0" cap="flat" cmpd="sng">
                                <a:solidFill>
                                  <a:schemeClr val="tx2">
                                    <a:alpha val="20017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0">
                              <a:prstTxWarp prst="textNoShape"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id="_x0000_s9" style="position:absolute;left:0;margin-left:0pt;mso-left-percent:40;mso-position-horizontal-relative:page;margin-top:0pt;mso-position-vertical:center;mso-position-vertical-relative:page;width:196.5pt;height:799.9pt;z-index:-251624961" coordorigin="476,421" coordsize="3930,15998">
                <v:shape id="_x0000_s10" style="position:absolute;left:476;top:421;width:350;height:15998;v-text-anchor:middle;z-index:251624960" coordsize="222250,10158730" path="m,l222250,,222250,10158730,,10158730xe" stroked="f" fillcolor="#44546a" filled="t"/>
                <v:shape id="_x0000_s11" style="position:absolute;left:476;top:2992;width:3930;height:970;v-text-anchor:middle;z-index:251624961" coordsize="2495550,615950" path="m,l2187575,,2495550,307975,2187575,615950,,615950xe" stroked="f" fillcolor="#4472c4" filled="t">
                  <v:textbox style="" inset="7pt,0pt,14pt,0pt">
                    <w:txbxContent>
                      <w:p>
                        <w:pPr>
                          <w:pStyle w:val="PO5"/>
                          <w:numPr>
                            <w:ilvl w:val="0"/>
                            <w:numId w:val="0"/>
                          </w:numPr>
                          <w:jc w:val="right"/>
                          <w:spacing w:lineRule="auto" w:line="240" w:before="0" w:after="0"/>
                          <w:ind w:right="0" w:firstLine="0"/>
                          <w:rPr>
                            <w:color w:val="FFFFFF" w:themeColor="background1"/>
                            <w:position w:val="0"/>
                            <w:sz w:val="28"/>
                            <w:szCs w:val="28"/>
                            <w:rFonts w:ascii="Calibri" w:eastAsia="Times New Roman" w:hAnsi="Times New Roman" w:hint="default"/>
                          </w:rPr>
                          <w:autoSpaceDE w:val="0"/>
                          <w:autoSpaceDN w:val="0"/>
                        </w:pPr>
                        <w:r>
                          <w:rPr>
                            <w:color w:val="FFFFFF" w:themeColor="background1"/>
                            <w:position w:val="0"/>
                            <w:sz w:val="28"/>
                            <w:szCs w:val="28"/>
                            <w:rFonts w:ascii="Calibri" w:eastAsia="Times New Roman" w:hAnsi="Times New Roman" w:hint="default"/>
                          </w:rPr>
                          <w:t>[Date]</w:t>
                        </w:r>
                      </w:p>
                    </w:txbxContent>
                  </v:textbox>
                </v:shape>
                <v:group id="_x0000_s12" style="position:absolute;left:612;top:7802;width:3684;height:8608;z-index:-251624961" coordorigin="612,7802" coordsize="3684,8608">
                  <v:group id="_x0000_s13" style="position:absolute;left:783;top:7802;width:2955;height:8608;z-index:-251624962" coordorigin="783,7802" coordsize="2955,8608">
                    <v:shape id="_x0000_s14" style="position:absolute;left:1428;top:13330;width:548;height:1929;z-index:251624960" coordsize="347980,1224915" path="m,l111125,422910,239395,846455,347980,1160780,347980,1224915,217170,852170,111125,501015,17145,147320,,xe" strokecolor="#44546a" o:allowoverlap="1" strokeweight="0pt" fillcolor="#44546a" filled="t">
                      <v:stroke joinstyle="round"/>
                    </v:shape>
                    <v:shape id="_x0000_s15" style="position:absolute;left:2001;top:15230;width:521;height:1180;z-index:251624961" coordsize="330835,749300" path="m,l22860,52705,105410,259080,191135,464820,330835,749300,307975,749300,170815,470535,85725,273050,2540,69850,,xe" strokecolor="#44546a" o:allowoverlap="1" strokeweight="0pt" fillcolor="#44546a" filled="t">
                      <v:stroke joinstyle="round"/>
                    </v:shape>
                    <v:shape id="_x0000_s16" style="position:absolute;left:783;top:7802;width:629;height:5571;z-index:251624962" coordsize="399415,3537585" path="m,l,,2540,219710,8255,441960,34290,881380,65405,1323975,111125,1763395,165100,2202815,236855,2636520,305435,3020695,384810,3401695,399415,3537585,393700,3509645,299720,3075940,219710,2639695,151130,2202815,99695,1763395,57150,1323975,25400,881380,5715,441960,,219710,,xe" strokecolor="#44546a" o:allowoverlap="1" strokeweight="0pt" fillcolor="#44546a" filled="t">
                      <v:stroke joinstyle="round"/>
                    </v:shape>
                    <v:shape id="_x0000_s17" style="position:absolute;left:1347;top:9590;width:203;height:3741;z-index:251624963" coordsize="128905,2375535" path="m128905,l128905,,100330,183515,74295,370205,40005,742950,17145,1115695,8890,1485265,17145,1861185,40005,2233930,51435,2375535,51435,2367280,26035,2264410,22860,2233930,3175,1861185,,1485265,8890,1115695,34290,742950,71755,367030,97155,183515,128905,xe" strokecolor="#44546a" o:allowoverlap="1" strokeweight="0pt" fillcolor="#44546a" filled="t">
                      <v:stroke joinstyle="round"/>
                    </v:shape>
                    <v:shape id="_x0000_s18" style="position:absolute;left:1410;top:13369;width:692;height:2756;z-index:251624964" coordsize="439420,1750060" path="m,l28575,122555,59690,350520,97155,575945,151130,815340,213995,1057275,285115,1296670,342265,1449705,402590,1602740,433705,1719580,439420,1750060,399415,1655445,328295,1480185,265430,1301750,191135,1065530,133985,820420,80010,575945,34290,289560,,xe" strokecolor="#44546a" o:allowoverlap="1" strokeweight="0pt" fillcolor="#44546a" filled="t">
                      <v:stroke joinstyle="round"/>
                    </v:shape>
                    <v:shape id="_x0000_s19" style="position:absolute;left:2135;top:16106;width:150;height:304;z-index:251624965" coordsize="95250,193040" path="m,l95250,193040,69215,193040,34925,97790,,xe" strokecolor="#44546a" o:allowoverlap="1" strokeweight="0pt" fillcolor="#44546a" filled="t">
                      <v:stroke joinstyle="round"/>
                    </v:shape>
                    <v:shape id="_x0000_s20" style="position:absolute;left:1387;top:13154;width:69;height:409;z-index:251624966" coordsize="43815,259715" path="m,l26035,103505,26035,111760,43815,259715,14605,136525,,xe" strokecolor="#44546a" o:allowoverlap="1" strokeweight="0pt" fillcolor="#44546a" filled="t">
                      <v:stroke joinstyle="round"/>
                    </v:shape>
                    <v:shape id="_x0000_s21" style="position:absolute;left:1974;top:11876;width:1766;height:3356;z-index:251624967" coordsize="1121410,2131060" path="m1121410,l1121410,,1013460,105410,908050,213995,808355,325755,708660,445135,589280,606425,478155,767715,372745,942975,278765,1118235,196215,1299210,128270,1488440,74295,1680210,40005,1872615,19685,2075815,17145,2131060,,2084070,2540,2070100,19685,1872615,59690,1677670,113665,1482725,184785,1296670,267335,1113155,361315,934720,466725,765175,580390,598170,706120,439420,802640,322580,904875,211455,1007745,102870,1121410,xe" strokecolor="#44546a" o:allowoverlap="1" strokeweight="0pt" fillcolor="#44546a" filled="t">
                      <v:stroke joinstyle="round"/>
                    </v:shape>
                    <v:shape id="_x0000_s22" style="position:absolute;left:1974;top:15256;width:163;height:851;z-index:251624968" coordsize="103505,540385" path="m,l17145,44450,20320,52705,31750,222885,57785,367665,95250,514985,103505,540385,60325,448310,43180,403860,14605,225425,3175,114300,,xe" strokecolor="#44546a" o:allowoverlap="1" strokeweight="0pt" fillcolor="#44546a" filled="t">
                      <v:stroke joinstyle="round"/>
                    </v:shape>
                    <v:shape id="_x0000_s23" style="position:absolute;left:2099;top:16123;width:141;height:287;z-index:251624969" coordsize="89535,182245" path="m,l89535,182245,66675,182245,,xe" strokecolor="#44546a" o:allowoverlap="1" strokeweight="0pt" fillcolor="#44546a" filled="t">
                      <v:stroke joinstyle="round"/>
                    </v:shape>
                    <v:shape id="_x0000_s24" style="position:absolute;left:1974;top:15155;width:33;height:186;z-index:251624970" coordsize="20955,118110" path="m,l17780,47625,20955,118110,17780,109855,,64770,,xe" strokecolor="#44546a" o:allowoverlap="1" strokeweight="0pt" fillcolor="#44546a" filled="t">
                      <v:stroke joinstyle="round"/>
                    </v:shape>
                    <v:shape id="_x0000_s25" style="position:absolute;left:2041;top:15891;width:203;height:519;z-index:251624971" coordsize="128905,329565" path="m,l17145,44450,60325,136525,94615,234315,128905,329565,125730,329565,37465,147955,31750,117475,,xe" strokecolor="#44546a" o:allowoverlap="1" strokeweight="0pt" fillcolor="#44546a" filled="t">
                      <v:stroke joinstyle="round"/>
                    </v:shape>
                  </v:group>
                  <v:group id="_x0000_s26" style="position:absolute;left:612;top:9496;width:3684;height:6913;z-index:-251624961" coordorigin="612,9496" coordsize="3684,6913">
                    <v:shape id="_x0000_s27" style="position:absolute;left:773;top:11719;width:838;height:2944;z-index:251624960" coordsize="532130,1869440" path="m,l174625,643890,365760,1283970,532130,1765935,532130,1869440,336550,1292225,174625,760095,29845,224155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28" style="position:absolute;left:1656;top:14609;width:791;height:1800;z-index:251624961" coordsize="502285,1143000" path="m,l34290,83185,157480,398780,293370,706755,502285,1143000,464185,1143000,259715,723265,127635,415925,,107950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29" style="position:absolute;left:612;top:10980;width:136;height:793;z-index:251624962" coordsize="86360,503555" path="m,l69215,299720,86360,503555,77470,466089,,128905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30" style="position:absolute;left:746;top:11772;width:1058;height:4206;z-index:251624963" coordsize="671830,2670810" path="m,l46990,191135,93345,535940,153035,876300,233680,1250315,323215,1616075,438150,1977390,523240,2214245,612140,2442210,659130,2625090,671830,2670810,603885,2525395,501650,2259330,403860,1985645,293370,1624330,200025,1254125,123190,880745,55245,444500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31" style="position:absolute;left:1856;top:15943;width:223;height:466;z-index:251624964" coordsize="141605,295910" path="m,l141605,295910,102870,295910,46990,149860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32" style="position:absolute;left:719;top:11451;width:102;height:623;z-index:251624965" coordsize="64770,395605" path="m,l34290,154305,34290,170815,64770,395605,17145,203835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33" style="position:absolute;left:1609;top:9496;width:2688;height:5115;z-index:251624966" coordsize="1706880,3248025" path="m1706880,l1706880,4445,1541145,161925,1379855,328295,1231265,502285,1082675,681355,895985,922020,725805,1179830,564515,1437005,424815,1706880,301625,1985010,191135,2267585,114935,2562860,55245,2861945,29845,3160395,29845,3248025,,3177540,4445,3160395,29845,2857500,88900,2558415,169545,2263775,280035,1972945,403225,1698625,551815,1424305,709295,1167130,887095,913765,1074420,676910,1218565,498475,1375410,323850,1536700,158115,1706880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34" style="position:absolute;left:1609;top:14662;width:249;height:1284;z-index:251624967" coordsize="158115,815340" path="m,l25400,62230,29845,74930,51435,332740,89535,557530,140970,782320,158115,815340,93980,673735,64135,607695,21590,337185,4445,166370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35" style="position:absolute;left:1803;top:15976;width:209;height:434;z-index:251624968" coordsize="132715,275590" path="m,l132715,275590,102870,275590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36" style="position:absolute;left:1609;top:14498;width:49;height:283;z-index:251624969" coordsize="31115,179705" path="m,l31115,71120,31115,179705,26670,167005,,104140,,xe" strokecolor="#44546a" o:allowoverlap="1" strokeweight="0pt" fillcolor="#44546a" filled="t">
                      <v:stroke joinstyle="round" opacity="13107f"/>
                      <v:fill opacity="13107f"/>
                    </v:shape>
                    <v:shape id="_x0000_s37" style="position:absolute;left:1709;top:15616;width:310;height:793;z-index:251624970" coordsize="196850,503555" path="m,l29845,66675,93980,208280,140970,358140,196850,503555,192405,503555,59690,229235,46990,182880,,xe" strokecolor="#44546a" o:allowoverlap="1" strokeweight="0pt" fillcolor="#44546a" filled="t">
                      <v:stroke joinstyle="round" opacity="13107f"/>
                      <v:fill opacity="13107f"/>
                    </v:shape>
                  </v:group>
                </v:group>
              </v:group>
            </w:pict>
          </mc:Fallback>
        </mc:AlternateContent>
      </w:r>
      <w:bookmarkEnd w:id="1"/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3258820" cy="1658620"/>
            <wp:effectExtent l="0" t="0" r="635" b="0"/>
            <wp:docPr id="3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/Users/Silvia/AppData/Roaming/PolarisOffice/ETemp/10860_11002864/image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9455" cy="1659255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25014" behindDoc="0" locked="0" layoutInCell="1" allowOverlap="1">
                <wp:simplePos x="0" y="0"/>
                <wp:positionH relativeFrom="page">
                  <wp:posOffset>1009655</wp:posOffset>
                </wp:positionH>
                <wp:positionV relativeFrom="page">
                  <wp:posOffset>3331850</wp:posOffset>
                </wp:positionV>
                <wp:extent cx="6490970" cy="5259070"/>
                <wp:effectExtent l="0" t="0" r="0" b="0"/>
                <wp:wrapNone/>
                <wp:docPr id="39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1605" cy="5259705"/>
                        </a:xfrm>
                        <a:prstGeom prst="rect"/>
                        <a:noFill/>
                        <a:ln w="6350" cap="flat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style="" inset="0pt,0pt,0pt,0pt">
                        <w:txbxContent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color w:val="272727" w:themeColor="text1" w:themeTint="D8"/>
                                <w:position w:val="0"/>
                                <w:sz w:val="72"/>
                                <w:szCs w:val="72"/>
                                <w:rFonts w:ascii="MS Gothic" w:eastAsia="MS Gothic" w:hAnsi="MS Gothic" w:hint="default"/>
                              </w:rPr>
                              <w:autoSpaceDE w:val="0"/>
                              <w:autoSpaceDN w:val="0"/>
                            </w:pPr>
                            <w:r>
                              <w:rPr>
                                <w:color w:val="272727" w:themeColor="text1" w:themeTint="D8"/>
                                <w:position w:val="0"/>
                                <w:sz w:val="72"/>
                                <w:szCs w:val="72"/>
                                <w:rFonts w:ascii="Calibri Light" w:eastAsia="Calibri Light" w:hAnsi="Calibri Light" w:hint="default"/>
                              </w:rPr>
                              <w:t xml:space="preserve">    </w:t>
                            </w:r>
                            <w:r>
                              <w:rPr>
                                <w:color w:val="272727" w:themeColor="text1" w:themeTint="D8"/>
                                <w:position w:val="0"/>
                                <w:sz w:val="72"/>
                                <w:szCs w:val="72"/>
                                <w:rFonts w:ascii="MS Gothic" w:eastAsia="MS Gothic" w:hAnsi="MS Gothic" w:hint="default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color w:val="002060"/>
                                <w:position w:val="0"/>
                                <w:sz w:val="72"/>
                                <w:szCs w:val="72"/>
                                <w:rFonts w:ascii="MS Gothic" w:eastAsia="MS Gothic" w:hAnsi="MS Gothic" w:hint="default"/>
                              </w:rPr>
                              <w:t>MBA</w:t>
                            </w:r>
                            <w:r>
                              <w:rPr>
                                <w:color w:val="002060"/>
                                <w:position w:val="0"/>
                                <w:sz w:val="72"/>
                                <w:szCs w:val="72"/>
                                <w:rFonts w:ascii="MS Gothic" w:eastAsia="MS Gothic" w:hAnsi="MS Gothic" w:hint="default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color w:val="002060"/>
                                <w:position w:val="0"/>
                                <w:sz w:val="72"/>
                                <w:szCs w:val="72"/>
                                <w:rFonts w:ascii="MS Gothic" w:eastAsia="MS Gothic" w:hAnsi="MS Gothic" w:hint="default"/>
                              </w:rPr>
                              <w:t>DISSERTATION</w:t>
                            </w:r>
                          </w:p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b w:val="1"/>
                                <w:color w:val="002060"/>
                                <w:position w:val="0"/>
                                <w:sz w:val="72"/>
                                <w:szCs w:val="72"/>
                                <w:rFonts w:ascii="Andalus" w:eastAsia="Andalus" w:hAnsi="Andalus" w:hint="default"/>
                              </w:rPr>
                              <w:autoSpaceDE w:val="0"/>
                              <w:autoSpaceDN w:val="0"/>
                            </w:pPr>
                          </w:p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b w:val="1"/>
                                <w:color w:val="002060"/>
                                <w:position w:val="0"/>
                                <w:sz w:val="72"/>
                                <w:szCs w:val="72"/>
                                <w:rFonts w:ascii="Andalus" w:eastAsia="Andalus" w:hAnsi="Andalus" w:hint="default"/>
                              </w:rPr>
                              <w:autoSpaceDE w:val="0"/>
                              <w:autoSpaceDN w:val="0"/>
                            </w:pPr>
                          </w:p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b w:val="1"/>
                                <w:color w:val="002060"/>
                                <w:position w:val="0"/>
                                <w:sz w:val="72"/>
                                <w:szCs w:val="72"/>
                                <w:rFonts w:ascii="Andalus" w:eastAsia="Andalus" w:hAnsi="Andalus" w:hint="default"/>
                              </w:rPr>
                              <w:autoSpaceDE w:val="0"/>
                              <w:autoSpaceDN w:val="0"/>
                            </w:pPr>
                          </w:p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b w:val="1"/>
                                <w:color w:val="002060"/>
                                <w:position w:val="0"/>
                                <w:sz w:val="32"/>
                                <w:szCs w:val="32"/>
                                <w:rFonts w:ascii="Arial" w:eastAsia="Arial" w:hAnsi="Arial" w:hint="default"/>
                              </w:rPr>
                              <w:autoSpaceDE w:val="0"/>
                              <w:autoSpaceDN w:val="0"/>
                            </w:pPr>
                            <w:r>
                              <w:rPr>
                                <w:b w:val="1"/>
                                <w:color w:val="002060"/>
                                <w:position w:val="0"/>
                                <w:sz w:val="52"/>
                                <w:szCs w:val="52"/>
                                <w:rFonts w:ascii="MS Gothic" w:eastAsia="MS Gothic" w:hAnsi="MS Gothic" w:hint="default"/>
                              </w:rPr>
                              <w:t>Course:</w:t>
                            </w:r>
                            <w:r>
                              <w:rPr>
                                <w:b w:val="1"/>
                                <w:color w:val="002060"/>
                                <w:position w:val="0"/>
                                <w:sz w:val="52"/>
                                <w:szCs w:val="52"/>
                                <w:rFonts w:ascii="Andalus" w:eastAsia="Andalus" w:hAnsi="Andalus" w:hint="default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color w:val="002060"/>
                                <w:position w:val="0"/>
                                <w:sz w:val="32"/>
                                <w:szCs w:val="32"/>
                                <w:rFonts w:ascii="Arial" w:eastAsia="Arial" w:hAnsi="Arial" w:hint="default"/>
                              </w:rPr>
                              <w:t xml:space="preserve">Master of Business Administration: Entrepreneurship</w:t>
                            </w:r>
                          </w:p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color w:val="272727" w:themeColor="text1" w:themeTint="D8"/>
                                <w:position w:val="0"/>
                                <w:sz w:val="72"/>
                                <w:szCs w:val="72"/>
                                <w:rFonts w:ascii="Andalus" w:eastAsia="Andalus" w:hAnsi="Andalus" w:hint="default"/>
                              </w:rPr>
                              <w:autoSpaceDE w:val="0"/>
                              <w:autoSpaceDN w:val="0"/>
                            </w:pPr>
                            <w:r>
                              <w:rPr>
                                <w:b w:val="1"/>
                                <w:color w:val="002060"/>
                                <w:position w:val="0"/>
                                <w:sz w:val="52"/>
                                <w:szCs w:val="52"/>
                                <w:rFonts w:ascii="MS Gothic" w:eastAsia="MS Gothic" w:hAnsi="MS Gothic" w:hint="default"/>
                              </w:rPr>
                              <w:t>Name:</w:t>
                            </w:r>
                            <w:r>
                              <w:rPr>
                                <w:color w:val="002060"/>
                                <w:position w:val="0"/>
                                <w:sz w:val="72"/>
                                <w:szCs w:val="72"/>
                                <w:rFonts w:ascii="Andalus" w:eastAsia="Andalus" w:hAnsi="Andalus" w:hint="default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position w:val="0"/>
                                <w:sz w:val="44"/>
                                <w:szCs w:val="44"/>
                                <w:rFonts w:ascii="Andalus" w:eastAsia="Andalus" w:hAnsi="Andalus" w:hint="default"/>
                              </w:rPr>
                              <w:t xml:space="preserve">Chibueze C. Duru</w:t>
                            </w:r>
                          </w:p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color w:val="272727" w:themeColor="text1" w:themeTint="D8"/>
                                <w:position w:val="0"/>
                                <w:sz w:val="72"/>
                                <w:szCs w:val="72"/>
                                <w:rFonts w:ascii="Andalus" w:eastAsia="Andalus" w:hAnsi="Andalus" w:hint="default"/>
                              </w:rPr>
                              <w:autoSpaceDE w:val="0"/>
                              <w:autoSpaceDN w:val="0"/>
                            </w:pPr>
                            <w:r>
                              <w:rPr>
                                <w:b w:val="1"/>
                                <w:color w:val="002060"/>
                                <w:position w:val="0"/>
                                <w:sz w:val="52"/>
                                <w:szCs w:val="52"/>
                                <w:rFonts w:ascii="MS Gothic" w:eastAsia="MS Gothic" w:hAnsi="MS Gothic" w:hint="default"/>
                              </w:rPr>
                              <w:t xml:space="preserve">Student No:</w:t>
                            </w:r>
                            <w:r>
                              <w:rPr>
                                <w:color w:val="002060"/>
                                <w:position w:val="0"/>
                                <w:sz w:val="72"/>
                                <w:szCs w:val="72"/>
                                <w:rFonts w:ascii="Andalus" w:eastAsia="Andalus" w:hAnsi="Andalus" w:hint="default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position w:val="0"/>
                                <w:sz w:val="44"/>
                                <w:szCs w:val="44"/>
                                <w:rFonts w:ascii="Andalus" w:eastAsia="Andalus" w:hAnsi="Andalus" w:hint="default"/>
                              </w:rPr>
                              <w:t>1709607</w:t>
                            </w:r>
                          </w:p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color w:val="272727" w:themeColor="text1" w:themeTint="D8"/>
                                <w:position w:val="0"/>
                                <w:sz w:val="72"/>
                                <w:szCs w:val="72"/>
                                <w:rFonts w:ascii="Andalus" w:eastAsia="Andalus" w:hAnsi="Andalus" w:hint="default"/>
                              </w:rPr>
                              <w:autoSpaceDE w:val="0"/>
                              <w:autoSpaceDN w:val="0"/>
                            </w:pPr>
                            <w:r>
                              <w:rPr>
                                <w:b w:val="1"/>
                                <w:color w:val="002060"/>
                                <w:position w:val="0"/>
                                <w:sz w:val="52"/>
                                <w:szCs w:val="52"/>
                                <w:rFonts w:ascii="MS Gothic" w:eastAsia="MS Gothic" w:hAnsi="MS Gothic" w:hint="default"/>
                              </w:rPr>
                              <w:t>Supervisor:</w:t>
                            </w:r>
                            <w:r>
                              <w:rPr>
                                <w:color w:val="auto"/>
                                <w:position w:val="0"/>
                                <w:sz w:val="44"/>
                                <w:szCs w:val="44"/>
                                <w:rFonts w:ascii="Andalus" w:eastAsia="Andalus" w:hAnsi="Andalus" w:hint="default"/>
                              </w:rPr>
                              <w:t xml:space="preserve">Tushara Balendran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0"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" style="position:absolute;left:0;margin-left:80pt;mso-position-horizontal:absolute;mso-position-horizontal-relative:page;margin-top:262pt;mso-position-vertical:absolute;mso-position-vertical-relative:page;width:511.1pt;height:414.1pt;z-index:251625014" coordsize="6490970,5259070" path="m,l6490970,,6490970,5259070,,5259070xe" stroked="f" filled="f">
                <v:textbox style="" inset="0pt,0pt,0pt,0pt">
                  <w:txbxContent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color w:val="272727" w:themeColor="text1" w:themeTint="D8"/>
                          <w:position w:val="0"/>
                          <w:sz w:val="72"/>
                          <w:szCs w:val="72"/>
                          <w:rFonts w:ascii="MS Gothic" w:eastAsia="MS Gothic" w:hAnsi="MS Gothic" w:hint="default"/>
                        </w:rPr>
                        <w:autoSpaceDE w:val="0"/>
                        <w:autoSpaceDN w:val="0"/>
                      </w:pPr>
                      <w:r>
                        <w:rPr>
                          <w:color w:val="272727" w:themeColor="text1" w:themeTint="D8"/>
                          <w:position w:val="0"/>
                          <w:sz w:val="72"/>
                          <w:szCs w:val="72"/>
                          <w:rFonts w:ascii="Calibri Light" w:eastAsia="Calibri Light" w:hAnsi="Calibri Light" w:hint="default"/>
                        </w:rPr>
                        <w:t xml:space="preserve">    </w:t>
                      </w:r>
                      <w:r>
                        <w:rPr>
                          <w:color w:val="272727" w:themeColor="text1" w:themeTint="D8"/>
                          <w:position w:val="0"/>
                          <w:sz w:val="72"/>
                          <w:szCs w:val="72"/>
                          <w:rFonts w:ascii="MS Gothic" w:eastAsia="MS Gothic" w:hAnsi="MS Gothic" w:hint="default"/>
                        </w:rPr>
                        <w:t xml:space="preserve"> </w:t>
                      </w:r>
                      <w:r>
                        <w:rPr>
                          <w:b w:val="1"/>
                          <w:color w:val="002060"/>
                          <w:position w:val="0"/>
                          <w:sz w:val="72"/>
                          <w:szCs w:val="72"/>
                          <w:rFonts w:ascii="MS Gothic" w:eastAsia="MS Gothic" w:hAnsi="MS Gothic" w:hint="default"/>
                        </w:rPr>
                        <w:t>MBA</w:t>
                      </w:r>
                      <w:r>
                        <w:rPr>
                          <w:color w:val="002060"/>
                          <w:position w:val="0"/>
                          <w:sz w:val="72"/>
                          <w:szCs w:val="72"/>
                          <w:rFonts w:ascii="MS Gothic" w:eastAsia="MS Gothic" w:hAnsi="MS Gothic" w:hint="default"/>
                        </w:rPr>
                        <w:t xml:space="preserve"> </w:t>
                      </w:r>
                      <w:r>
                        <w:rPr>
                          <w:b w:val="1"/>
                          <w:color w:val="002060"/>
                          <w:position w:val="0"/>
                          <w:sz w:val="72"/>
                          <w:szCs w:val="72"/>
                          <w:rFonts w:ascii="MS Gothic" w:eastAsia="MS Gothic" w:hAnsi="MS Gothic" w:hint="default"/>
                        </w:rPr>
                        <w:t>DISSERTATION</w:t>
                      </w:r>
                    </w:p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b w:val="1"/>
                          <w:color w:val="002060"/>
                          <w:position w:val="0"/>
                          <w:sz w:val="72"/>
                          <w:szCs w:val="72"/>
                          <w:rFonts w:ascii="Andalus" w:eastAsia="Andalus" w:hAnsi="Andalus" w:hint="default"/>
                        </w:rPr>
                        <w:autoSpaceDE w:val="0"/>
                        <w:autoSpaceDN w:val="0"/>
                      </w:pPr>
                    </w:p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b w:val="1"/>
                          <w:color w:val="002060"/>
                          <w:position w:val="0"/>
                          <w:sz w:val="72"/>
                          <w:szCs w:val="72"/>
                          <w:rFonts w:ascii="Andalus" w:eastAsia="Andalus" w:hAnsi="Andalus" w:hint="default"/>
                        </w:rPr>
                        <w:autoSpaceDE w:val="0"/>
                        <w:autoSpaceDN w:val="0"/>
                      </w:pPr>
                    </w:p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b w:val="1"/>
                          <w:color w:val="002060"/>
                          <w:position w:val="0"/>
                          <w:sz w:val="72"/>
                          <w:szCs w:val="72"/>
                          <w:rFonts w:ascii="Andalus" w:eastAsia="Andalus" w:hAnsi="Andalus" w:hint="default"/>
                        </w:rPr>
                        <w:autoSpaceDE w:val="0"/>
                        <w:autoSpaceDN w:val="0"/>
                      </w:pPr>
                    </w:p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b w:val="1"/>
                          <w:color w:val="002060"/>
                          <w:position w:val="0"/>
                          <w:sz w:val="32"/>
                          <w:szCs w:val="32"/>
                          <w:rFonts w:ascii="Arial" w:eastAsia="Arial" w:hAnsi="Arial" w:hint="default"/>
                        </w:rPr>
                        <w:autoSpaceDE w:val="0"/>
                        <w:autoSpaceDN w:val="0"/>
                      </w:pPr>
                      <w:r>
                        <w:rPr>
                          <w:b w:val="1"/>
                          <w:color w:val="002060"/>
                          <w:position w:val="0"/>
                          <w:sz w:val="52"/>
                          <w:szCs w:val="52"/>
                          <w:rFonts w:ascii="MS Gothic" w:eastAsia="MS Gothic" w:hAnsi="MS Gothic" w:hint="default"/>
                        </w:rPr>
                        <w:t>Course:</w:t>
                      </w:r>
                      <w:r>
                        <w:rPr>
                          <w:b w:val="1"/>
                          <w:color w:val="002060"/>
                          <w:position w:val="0"/>
                          <w:sz w:val="52"/>
                          <w:szCs w:val="52"/>
                          <w:rFonts w:ascii="Andalus" w:eastAsia="Andalus" w:hAnsi="Andalus" w:hint="default"/>
                        </w:rPr>
                        <w:t xml:space="preserve"> </w:t>
                      </w:r>
                      <w:r>
                        <w:rPr>
                          <w:b w:val="1"/>
                          <w:color w:val="002060"/>
                          <w:position w:val="0"/>
                          <w:sz w:val="32"/>
                          <w:szCs w:val="32"/>
                          <w:rFonts w:ascii="Arial" w:eastAsia="Arial" w:hAnsi="Arial" w:hint="default"/>
                        </w:rPr>
                        <w:t xml:space="preserve">Master of Business Administration: Entrepreneurship</w:t>
                      </w:r>
                    </w:p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color w:val="272727" w:themeColor="text1" w:themeTint="D8"/>
                          <w:position w:val="0"/>
                          <w:sz w:val="72"/>
                          <w:szCs w:val="72"/>
                          <w:rFonts w:ascii="Andalus" w:eastAsia="Andalus" w:hAnsi="Andalus" w:hint="default"/>
                        </w:rPr>
                        <w:autoSpaceDE w:val="0"/>
                        <w:autoSpaceDN w:val="0"/>
                      </w:pPr>
                      <w:r>
                        <w:rPr>
                          <w:b w:val="1"/>
                          <w:color w:val="002060"/>
                          <w:position w:val="0"/>
                          <w:sz w:val="52"/>
                          <w:szCs w:val="52"/>
                          <w:rFonts w:ascii="MS Gothic" w:eastAsia="MS Gothic" w:hAnsi="MS Gothic" w:hint="default"/>
                        </w:rPr>
                        <w:t>Name:</w:t>
                      </w:r>
                      <w:r>
                        <w:rPr>
                          <w:color w:val="002060"/>
                          <w:position w:val="0"/>
                          <w:sz w:val="72"/>
                          <w:szCs w:val="72"/>
                          <w:rFonts w:ascii="Andalus" w:eastAsia="Andalus" w:hAnsi="Andalus" w:hint="default"/>
                        </w:rPr>
                        <w:t xml:space="preserve"> </w:t>
                      </w:r>
                      <w:r>
                        <w:rPr>
                          <w:color w:val="auto"/>
                          <w:position w:val="0"/>
                          <w:sz w:val="44"/>
                          <w:szCs w:val="44"/>
                          <w:rFonts w:ascii="Andalus" w:eastAsia="Andalus" w:hAnsi="Andalus" w:hint="default"/>
                        </w:rPr>
                        <w:t xml:space="preserve">Chibueze C. Duru</w:t>
                      </w:r>
                    </w:p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color w:val="272727" w:themeColor="text1" w:themeTint="D8"/>
                          <w:position w:val="0"/>
                          <w:sz w:val="72"/>
                          <w:szCs w:val="72"/>
                          <w:rFonts w:ascii="Andalus" w:eastAsia="Andalus" w:hAnsi="Andalus" w:hint="default"/>
                        </w:rPr>
                        <w:autoSpaceDE w:val="0"/>
                        <w:autoSpaceDN w:val="0"/>
                      </w:pPr>
                      <w:r>
                        <w:rPr>
                          <w:b w:val="1"/>
                          <w:color w:val="002060"/>
                          <w:position w:val="0"/>
                          <w:sz w:val="52"/>
                          <w:szCs w:val="52"/>
                          <w:rFonts w:ascii="MS Gothic" w:eastAsia="MS Gothic" w:hAnsi="MS Gothic" w:hint="default"/>
                        </w:rPr>
                        <w:t xml:space="preserve">Student No:</w:t>
                      </w:r>
                      <w:r>
                        <w:rPr>
                          <w:color w:val="002060"/>
                          <w:position w:val="0"/>
                          <w:sz w:val="72"/>
                          <w:szCs w:val="72"/>
                          <w:rFonts w:ascii="Andalus" w:eastAsia="Andalus" w:hAnsi="Andalus" w:hint="default"/>
                        </w:rPr>
                        <w:t xml:space="preserve"> </w:t>
                      </w:r>
                      <w:r>
                        <w:rPr>
                          <w:color w:val="auto"/>
                          <w:position w:val="0"/>
                          <w:sz w:val="44"/>
                          <w:szCs w:val="44"/>
                          <w:rFonts w:ascii="Andalus" w:eastAsia="Andalus" w:hAnsi="Andalus" w:hint="default"/>
                        </w:rPr>
                        <w:t>1709607</w:t>
                      </w:r>
                    </w:p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color w:val="272727" w:themeColor="text1" w:themeTint="D8"/>
                          <w:position w:val="0"/>
                          <w:sz w:val="72"/>
                          <w:szCs w:val="72"/>
                          <w:rFonts w:ascii="Andalus" w:eastAsia="Andalus" w:hAnsi="Andalus" w:hint="default"/>
                        </w:rPr>
                        <w:autoSpaceDE w:val="0"/>
                        <w:autoSpaceDN w:val="0"/>
                      </w:pPr>
                      <w:r>
                        <w:rPr>
                          <w:b w:val="1"/>
                          <w:color w:val="002060"/>
                          <w:position w:val="0"/>
                          <w:sz w:val="52"/>
                          <w:szCs w:val="52"/>
                          <w:rFonts w:ascii="MS Gothic" w:eastAsia="MS Gothic" w:hAnsi="MS Gothic" w:hint="default"/>
                        </w:rPr>
                        <w:t>Supervisor:</w:t>
                      </w:r>
                      <w:r>
                        <w:rPr>
                          <w:color w:val="auto"/>
                          <w:position w:val="0"/>
                          <w:sz w:val="44"/>
                          <w:szCs w:val="44"/>
                          <w:rFonts w:ascii="Andalus" w:eastAsia="Andalus" w:hAnsi="Andalus" w:hint="default"/>
                        </w:rPr>
                        <w:t xml:space="preserve">Tushara Balendran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pStyle w:val="PO5"/>
        <w:numPr>
          <w:ilvl w:val="0"/>
          <w:numId w:val="0"/>
        </w:numPr>
        <w:jc w:val="both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Calibri" w:eastAsia="Times New Roman" w:hAnsi="Times New Roman" w:hint="default"/>
        </w:rPr>
        <w:autoSpaceDE w:val="0"/>
        <w:autoSpaceDN w:val="0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25016" behindDoc="0" locked="0" layoutInCell="1" allowOverlap="1">
                <wp:simplePos x="0" y="0"/>
                <wp:positionH relativeFrom="page">
                  <wp:posOffset>2209805</wp:posOffset>
                </wp:positionH>
                <wp:positionV relativeFrom="page">
                  <wp:posOffset>7620005</wp:posOffset>
                </wp:positionV>
                <wp:extent cx="3792220" cy="563245"/>
                <wp:effectExtent l="0" t="0" r="0" b="9525"/>
                <wp:wrapNone/>
                <wp:docPr id="40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2855" cy="563880"/>
                        </a:xfrm>
                        <a:prstGeom prst="rect"/>
                        <a:noFill/>
                        <a:ln w="6350" cap="flat">
                          <a:noFill/>
                        </a:ln>
                      </wps:spPr>
                      <wps:txbx style="" inset="0pt,0pt,0pt,0pt">
                        <w:txbxContent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color w:val="272727" w:themeColor="text1" w:themeTint="D8"/>
                                <w:position w:val="0"/>
                                <w:sz w:val="72"/>
                                <w:szCs w:val="72"/>
                                <w:rFonts w:ascii="Calibri Light" w:eastAsia="Calibri Light" w:hAnsi="Calibri Light" w:hint="default"/>
                              </w:rPr>
                              <w:autoSpaceDE w:val="0"/>
                              <w:autoSpaceDN w:val="0"/>
                            </w:pPr>
                            <w:r>
                              <w:rPr>
                                <w:color w:val="272727" w:themeColor="text1" w:themeTint="D8"/>
                                <w:position w:val="0"/>
                                <w:sz w:val="72"/>
                                <w:szCs w:val="72"/>
                                <w:rFonts w:ascii="Calibri Light" w:eastAsia="Calibri Light" w:hAnsi="Calibri Light" w:hint="default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0"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" style="position:absolute;left:0;margin-left:174pt;mso-position-horizontal:absolute;mso-position-horizontal-relative:page;margin-top:600pt;mso-position-vertical:absolute;mso-position-vertical-relative:page;width:298.6pt;height:44.3pt;z-index:251625016" coordsize="3792220,563245" path="m,l3792220,,3792220,563245,,563245xe" stroked="f" filled="f">
                <v:textbox style="" inset="0pt,0pt,0pt,0pt">
                  <w:txbxContent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color w:val="272727" w:themeColor="text1" w:themeTint="D8"/>
                          <w:position w:val="0"/>
                          <w:sz w:val="72"/>
                          <w:szCs w:val="72"/>
                          <w:rFonts w:ascii="Calibri Light" w:eastAsia="Calibri Light" w:hAnsi="Calibri Light" w:hint="default"/>
                        </w:rPr>
                        <w:autoSpaceDE w:val="0"/>
                        <w:autoSpaceDN w:val="0"/>
                      </w:pPr>
                      <w:r>
                        <w:rPr>
                          <w:color w:val="272727" w:themeColor="text1" w:themeTint="D8"/>
                          <w:position w:val="0"/>
                          <w:sz w:val="72"/>
                          <w:szCs w:val="72"/>
                          <w:rFonts w:ascii="Calibri Light" w:eastAsia="Calibri Light" w:hAnsi="Calibri Light" w:hint="default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25015" behindDoc="0" locked="0" layoutInCell="1" allowOverlap="1">
                <wp:simplePos x="0" y="0"/>
                <wp:positionH relativeFrom="page">
                  <wp:posOffset>3175004</wp:posOffset>
                </wp:positionH>
                <wp:positionV relativeFrom="page">
                  <wp:posOffset>9408799</wp:posOffset>
                </wp:positionV>
                <wp:extent cx="1200150" cy="356870"/>
                <wp:effectExtent l="0" t="0" r="0" b="0"/>
                <wp:wrapNone/>
                <wp:docPr id="4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785" cy="357505"/>
                        </a:xfrm>
                        <a:prstGeom prst="rect"/>
                        <a:noFill/>
                        <a:ln w="6350" cap="flat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style="" inset="0pt,0pt,0pt,0pt">
                        <w:txbxContent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color w:val="4472C4" w:themeColor="accent1"/>
                                <w:position w:val="0"/>
                                <w:sz w:val="26"/>
                                <w:szCs w:val="26"/>
                                <w:rFonts w:ascii="Calibri" w:eastAsia="Times New Roman" w:hAnsi="Times New Roman" w:hint="default"/>
                              </w:rPr>
                              <w:autoSpaceDE w:val="0"/>
                              <w:autoSpaceDN w:val="0"/>
                            </w:pPr>
                            <w:r>
                              <w:rPr>
                                <w:color w:val="4472C4" w:themeColor="accent1"/>
                                <w:position w:val="0"/>
                                <w:sz w:val="26"/>
                                <w:szCs w:val="26"/>
                                <w:rFonts w:ascii="Calibri" w:eastAsia="Times New Roman" w:hAnsi="Times New Roman" w:hint="default"/>
                              </w:rPr>
                              <w:t xml:space="preserve">Chibueze C. Duru</w:t>
                            </w:r>
                          </w:p>
                          <w:p>
                            <w:pPr>
                              <w:pStyle w:val="PO5"/>
                              <w:numPr>
                                <w:ilvl w:val="0"/>
                                <w:numId w:val="0"/>
                              </w:numPr>
                              <w:jc w:val="both"/>
                              <w:spacing w:lineRule="auto" w:line="240" w:before="0" w:after="0"/>
                              <w:ind w:right="0" w:firstLine="0"/>
                              <w:rPr>
                                <w:color w:val="5A5A5A" w:themeColor="text1" w:themeTint="A5"/>
                                <w:position w:val="0"/>
                                <w:sz w:val="20"/>
                                <w:szCs w:val="20"/>
                                <w:rFonts w:ascii="Calibri" w:eastAsia="Times New Roman" w:hAnsi="Times New Roman" w:hint="default"/>
                              </w:rPr>
                              <w:autoSpaceDE w:val="0"/>
                              <w:autoSpaceDN w:val="0"/>
                            </w:pPr>
                            <w:r>
                              <w:rPr>
                                <w:color w:val="5A5A5A" w:themeColor="text1" w:themeTint="A5"/>
                                <w:position w:val="0"/>
                                <w:sz w:val="20"/>
                                <w:szCs w:val="20"/>
                                <w:caps/>
                                <w:rFonts w:ascii="Calibri" w:eastAsia="Times New Roman" w:hAnsi="Times New Roman" w:hint="default"/>
                              </w:rPr>
                              <w:t xml:space="preserve"> MBA DISSERTATION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0"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" style="position:absolute;left:0;margin-left:250pt;mso-position-horizontal:absolute;mso-position-horizontal-relative:page;margin-top:741pt;mso-position-vertical:absolute;mso-position-vertical-relative:page;width:94.5pt;height:28.1pt;v-text-anchor:bottom;z-index:251625015" coordsize="1200150,356870" path="m,l1200150,,1200150,356870,,356870xe" stroked="f" filled="f">
                <v:textbox style="" inset="0pt,0pt,0pt,0pt">
                  <w:txbxContent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color w:val="4472C4" w:themeColor="accent1"/>
                          <w:position w:val="0"/>
                          <w:sz w:val="26"/>
                          <w:szCs w:val="26"/>
                          <w:rFonts w:ascii="Calibri" w:eastAsia="Times New Roman" w:hAnsi="Times New Roman" w:hint="default"/>
                        </w:rPr>
                        <w:autoSpaceDE w:val="0"/>
                        <w:autoSpaceDN w:val="0"/>
                      </w:pPr>
                      <w:r>
                        <w:rPr>
                          <w:color w:val="4472C4" w:themeColor="accent1"/>
                          <w:position w:val="0"/>
                          <w:sz w:val="26"/>
                          <w:szCs w:val="26"/>
                          <w:rFonts w:ascii="Calibri" w:eastAsia="Times New Roman" w:hAnsi="Times New Roman" w:hint="default"/>
                        </w:rPr>
                        <w:t xml:space="preserve">Chibueze C. Duru</w:t>
                      </w:r>
                    </w:p>
                    <w:p>
                      <w:pPr>
                        <w:pStyle w:val="PO5"/>
                        <w:numPr>
                          <w:ilvl w:val="0"/>
                          <w:numId w:val="0"/>
                        </w:numPr>
                        <w:jc w:val="both"/>
                        <w:spacing w:lineRule="auto" w:line="240" w:before="0" w:after="0"/>
                        <w:ind w:right="0" w:firstLine="0"/>
                        <w:rPr>
                          <w:color w:val="5A5A5A" w:themeColor="text1" w:themeTint="A5"/>
                          <w:position w:val="0"/>
                          <w:sz w:val="20"/>
                          <w:szCs w:val="20"/>
                          <w:rFonts w:ascii="Calibri" w:eastAsia="Times New Roman" w:hAnsi="Times New Roman" w:hint="default"/>
                        </w:rPr>
                        <w:autoSpaceDE w:val="0"/>
                        <w:autoSpaceDN w:val="0"/>
                      </w:pPr>
                      <w:r>
                        <w:rPr>
                          <w:color w:val="5A5A5A" w:themeColor="text1" w:themeTint="A5"/>
                          <w:position w:val="0"/>
                          <w:sz w:val="20"/>
                          <w:szCs w:val="20"/>
                          <w:caps/>
                          <w:rFonts w:ascii="Calibri" w:eastAsia="Times New Roman" w:hAnsi="Times New Roman" w:hint="default"/>
                        </w:rPr>
                        <w:t xml:space="preserve"> MBA DISSERTATION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5732780" cy="7152640"/>
            <wp:effectExtent l="0" t="0" r="2540" b="0"/>
            <wp:docPr id="43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/Users/Silvia/AppData/Roaming/PolarisOffice/ETemp/10860_11002864/imag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100" t="13561" r="20563" b="9058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15327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6243320" cy="8136890"/>
            <wp:effectExtent l="0" t="0" r="6350" b="0"/>
            <wp:docPr id="44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/Users/Silvia/AppData/Roaming/PolarisOffice/ETemp/10860_11002864/image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607" t="14359" r="20563" b="10654"/>
                    <a:stretch>
                      <a:fillRect/>
                    </a:stretch>
                  </pic:blipFill>
                  <pic:spPr>
                    <a:xfrm>
                      <a:off x="0" y="0"/>
                      <a:ext cx="6243955" cy="813752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6177280" cy="8298815"/>
            <wp:effectExtent l="0" t="0" r="0" b="8255"/>
            <wp:docPr id="45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/Users/Silvia/AppData/Roaming/PolarisOffice/ETemp/10860_11002864/image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7915" cy="8299450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6042660" cy="7152640"/>
            <wp:effectExtent l="0" t="0" r="0" b="0"/>
            <wp:docPr id="48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/Users/Silvia/AppData/Roaming/PolarisOffice/ETemp/10860_11002864/image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43295" cy="7153275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tabs>
          <w:tab w:val="left" w:pos="2970"/>
        </w:tabs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ab/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br w:type="page"/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sz w:val="20"/>
        </w:rPr>
        <w:drawing>
          <wp:inline distT="0" distB="0" distL="0" distR="0">
            <wp:extent cx="6128385" cy="6652895"/>
            <wp:effectExtent l="0" t="0" r="6985" b="0"/>
            <wp:docPr id="50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/Users/Silvia/AppData/Roaming/PolarisOffice/ETemp/10860_11002864/image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9020" cy="6653530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br w:type="page"/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975985" cy="7347585"/>
            <wp:effectExtent l="0" t="0" r="6985" b="6985"/>
            <wp:docPr id="52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:/Users/Silvia/AppData/Roaming/PolarisOffice/ETemp/10860_11002864/image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7348220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72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5973445" cy="7478395"/>
            <wp:effectExtent l="0" t="0" r="9525" b="9525"/>
            <wp:docPr id="53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/Users/Silvia/AppData/Roaming/PolarisOffice/ETemp/10860_11002864/image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4429" t="12232" r="19400" b="29290"/>
                    <a:stretch>
                      <a:fillRect/>
                    </a:stretch>
                  </pic:blipFill>
                  <pic:spPr>
                    <a:xfrm>
                      <a:off x="0" y="0"/>
                      <a:ext cx="5974080" cy="747903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tabs>
          <w:tab w:val="left" w:pos="9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ab/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5963920" cy="7840345"/>
            <wp:effectExtent l="0" t="0" r="0" b="9525"/>
            <wp:docPr id="5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:/Users/Silvia/AppData/Roaming/PolarisOffice/ETemp/10860_11002864/image9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4763" t="13030" r="19067" b="7995"/>
                    <a:stretch>
                      <a:fillRect/>
                    </a:stretch>
                  </pic:blipFill>
                  <pic:spPr>
                    <a:xfrm>
                      <a:off x="0" y="0"/>
                      <a:ext cx="5964555" cy="784098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5849620" cy="8059420"/>
            <wp:effectExtent l="0" t="0" r="0" b="0"/>
            <wp:docPr id="5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:/Users/Silvia/AppData/Roaming/PolarisOffice/ETemp/10860_11002864/image10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3931" t="12497" r="19067" b="8261"/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806005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5821045" cy="6487795"/>
            <wp:effectExtent l="0" t="0" r="9525" b="9525"/>
            <wp:docPr id="5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:/Users/Silvia/AppData/Roaming/PolarisOffice/ETemp/10860_11002864/image1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5094" t="14093" r="19400" b="7996"/>
                    <a:stretch>
                      <a:fillRect/>
                    </a:stretch>
                  </pic:blipFill>
                  <pic:spPr>
                    <a:xfrm>
                      <a:off x="0" y="0"/>
                      <a:ext cx="5821680" cy="648843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5811520" cy="1887220"/>
            <wp:effectExtent l="0" t="0" r="0" b="0"/>
            <wp:docPr id="5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:/Users/Silvia/AppData/Roaming/PolarisOffice/ETemp/10860_11002864/image1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3431" t="21273" r="19733" b="44956"/>
                    <a:stretch>
                      <a:fillRect/>
                    </a:stretch>
                  </pic:blipFill>
                  <pic:spPr>
                    <a:xfrm>
                      <a:off x="0" y="0"/>
                      <a:ext cx="5812155" cy="188785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72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Abstracts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must develop strategies of survival in the environment where they operate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of the harsh environmental factors beyond their control. These factors influence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strategic choices and its industry competitiveness. Understanding the environment will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also enable them to make strategic decisions that will permit them to reduce the impact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environmental threats capable of having adverse effect on their performances.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have become more competitive by managing the increasing turbulent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 created by the digital age.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research study investigated the external competitive environment in which Unilever Plc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operates and to ascertain how it affects its performance including the strategical responses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organisation in turbulence periods. The objectives of the present research were: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investigate the external environmental issues that affect the performance of Unilever Plc,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investigate the strategies adopted by Unilever Nigeria in turbulent environment periods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establish best methods suitable for organisations during the period of turbulence.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this research, data was collected from the employees of Unilever Nigeria by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researcher. The participation of the respondents was voluntary and that determined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prominently the population of the participants. The researcher used semi-structured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questionnaires to collect primary data. For analysis and interpretations, the researcher used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statistical calculations such as frequency distribution, correlations analysis, analyses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variance (ANOVA) and cross-tabulations to draw conclusions on the findings using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SPSS.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From the findings of this research study, some of the causes of turbulence that affect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are external environmental factors, for example, political instability,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government regulations, high interest and inflation rates etcetera. The study established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also the importance of compliance to statutory regulations in the FMCG industry . Another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indication of the study is the strong relationship between FMCG industry competition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new product development. New competitors come to the market with new products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services having the intention to give customers something different from what they usually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obtain from the old products in the market. They offer innovative products with the intention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changing customer’s perceptions and attitudes towards the existing products in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market.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bookmarkStart w:id="2" w:name="_Toc867593"/>
      <w:bookmarkStart w:id="3" w:name="_Toc869647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                                            </w:t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                                           Acknowledgement</w:t>
      </w:r>
      <w:bookmarkEnd w:id="2"/>
      <w:bookmarkEnd w:id="3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I owe an enormous debt of gratitude to the almighty God for his mercy and blessings upon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me and my family.</w:t>
      </w:r>
    </w:p>
    <w:p>
      <w:pPr>
        <w:numPr>
          <w:ilvl w:val="0"/>
          <w:numId w:val="0"/>
        </w:numPr>
        <w:jc w:val="both"/>
        <w:spacing w:lineRule="auto" w:line="360" w:before="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I am thankful to and fortunate enough to get constant encouragement, support and guidance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from my wife, Nkenta and children, Jessica, Silvia and Matteo which helped me in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successfully completing my work. Also, I would like to extend my sincere esteems to Francis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Adaji for his timely support.</w:t>
      </w:r>
    </w:p>
    <w:p>
      <w:pPr>
        <w:numPr>
          <w:ilvl w:val="0"/>
          <w:numId w:val="0"/>
        </w:numPr>
        <w:jc w:val="both"/>
        <w:spacing w:lineRule="auto" w:line="360" w:before="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I heartily thank my project supervisor, Tushara Balendran for her guidance and suggestions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during this project work. </w:t>
      </w:r>
    </w:p>
    <w:p>
      <w:pPr>
        <w:numPr>
          <w:ilvl w:val="0"/>
          <w:numId w:val="0"/>
        </w:numPr>
        <w:jc w:val="both"/>
        <w:spacing w:lineRule="auto" w:line="360" w:before="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A very big thank you for all the lecturers that have moulded my knowledge up to this level.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God bless you all.</w:t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outlineLvl w:val="0"/>
        <w:autoSpaceDE w:val="1"/>
        <w:autoSpaceDN w:val="1"/>
      </w:pP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Chibueze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both"/>
        <w:spacing w:lineRule="auto" w:line="259" w:before="0" w:after="160"/>
        <w:ind w:left="0" w:hanging="0"/>
        <w:rPr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wordWrap w:val="off"/>
      </w:pPr>
      <w:r>
        <w:br w:type="page"/>
      </w:r>
      <w:bookmarkStart w:id="4" w:name="_Toc826274938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                                                   Dedication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color w:val="2F5496" w:themeColor="accent1" w:themeShade="BF"/>
          <w:position w:val="0"/>
          <w:sz w:val="24"/>
          <w:szCs w:val="24"/>
          <w:rFonts w:ascii="Arial" w:eastAsia="Arial" w:hAnsi="Arial" w:hint="default"/>
        </w:rPr>
        <w:t xml:space="preserve">                            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This work is dedicated to my parents   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                     Ezinna Afred Duru and Ezinne  Christana Duru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b w:val="1"/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t xml:space="preserve">                                            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and my uncle 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                                              Mr Julius Udeogu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b w:val="1"/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t xml:space="preserve"> </w:t>
      </w:r>
      <w:r>
        <w:br w:type="page"/>
      </w:r>
      <w:bookmarkStart w:id="5" w:name="_Toc867594"/>
      <w:bookmarkStart w:id="6" w:name="_Toc869648"/>
      <w:bookmarkEnd w:id="4"/>
      <w:r>
        <w:rPr>
          <w:b w:val="1"/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t xml:space="preserve">                                              </w:t>
      </w: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Table of Contents</w:t>
      </w:r>
      <w:bookmarkEnd w:id="5"/>
      <w:bookmarkEnd w:id="6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2F5496" w:themeColor="accent1" w:themeShade="BF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fldChar w:fldCharType="begin"/>
      </w:r>
      <w:r>
        <w:instrText> TOC  </w:instrText>
      </w:r>
      <w:r>
        <w:fldChar w:fldCharType="separate"/>
      </w:r>
    </w:p>
    <w:p>
      <w:pPr>
        <w:pStyle w:val="PO28"/>
        <w:numPr>
          <w:ilvl w:val="0"/>
          <w:numId w:val="0"/>
        </w:numPr>
        <w:jc w:val="left"/>
        <w:spacing w:lineRule="auto" w:line="259" w:before="0" w:after="100"/>
        <w:ind w:right="0" w:firstLine="0"/>
        <w:tabs>
          <w:tab w:val="right" w:leader="dot" w:pos="9830"/>
        </w:tabs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39"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Chapter One: Research Introduction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_Toc826274939 </w:instrText>
        </w:r>
        <w:r>
          <w:instrText> \* MERGEFORMAT</w:instrText>
        </w:r>
        <w:r>
          <w:fldChar w:fldCharType="separate"/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14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1.0 Introduction of Research Background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1.1 Problem discussion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15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2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1.2 Research Investigative Questions</w:t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_Toc826274942 </w:instrText>
        </w:r>
        <w:r>
          <w:instrText> \* MERGEFORMAT</w:instrText>
        </w:r>
        <w:r>
          <w:fldChar w:fldCharType="separate"/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15</w:t>
        </w:r>
        <w:r>
          <w:rPr>
            <w:rStyle w:val="PO155"/>
            <w:color w:val="auto"/>
            <w:position w:val="0"/>
            <w:sz w:val="24"/>
            <w:szCs w:val="24"/>
            <w:u w:val="single"/>
            <w:shd w:val="clear" w:color="000000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1.3 The Relevance of the research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  <w:bookmarkStart w:id="7" w:name="_Hlk1468496"/>
      <w:bookmarkEnd w:id="7"/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1.4 Dissertation Structure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259" w:before="0" w:after="100"/>
        <w:ind w:right="0" w:firstLine="0"/>
        <w:tabs>
          <w:tab w:val="right" w:leader="dot" w:pos="9830"/>
        </w:tabs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5"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Chapter Two: literature Review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_Toc826274945 </w:instrText>
        </w:r>
        <w:r>
          <w:instrText> \* MERGEFORMAT</w:instrText>
        </w:r>
        <w:r>
          <w:fldChar w:fldCharType="separate"/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17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2.0 Literature Review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2.1 External Environment Analysis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2.2 PESTLE analysis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4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2.2.1 Political factors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_Toc826274949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2.2.2 Economic dimensions Important to Unilever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2.2.3 Social Factors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2.2.4 Technological Factors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19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2.2.5 Ecological/Environmental Factors Affecting Unilever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2.2.6 Legal Factors Facing Unilever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2.2.7 Critical Analysis of PESTLE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2.3 Porter Five Forces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2.3.1 Threat of New Entry (Weak)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2.3.2 Bargaining Power of Suppliers (Moderate)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22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5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2.3.3 Bargaining Power of Buyers (Strong)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_Toc826274959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22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2.3.4 Threat of Substitution (Weak)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22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2.3.5 Competitive Rivalry (Strong)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2.3.6 Critique of Porter Five forces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2.4 Analysis of the Internal Environment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2.4.1 The SWOT Analysis Model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2.4.2 Critique of the SWOT Analysis Model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25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2.5 The Strategic Responses of Organizations to Environmental Turbulence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2.5.1 Generic Strategies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2.5.2 Unilever uses broad differentiation 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6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2.5.3 Critique of Porter Generic Strategies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_Toc826274969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2.6 Ansoff Matrix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2.6.1 Market Penetration (Unilever’s Primary Strategy).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2.6.2 Product Development (Unilever’s Secondary Strategy).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2.6.3 Market Development (Unilever’s Supporting Strategy)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2.6.4 Diversification (Unilever’s Supporting Strategy).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2.6.5 Critique of Ansoff Matrix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2.7 Corporate Restructuring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2.9 Critique of Corporate Restructuring strategy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7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2.9 Business Strategic Framework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_Toc826274978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259" w:before="0" w:after="100"/>
        <w:ind w:right="0" w:firstLine="0"/>
        <w:tabs>
          <w:tab w:val="right" w:leader="dot" w:pos="9830"/>
        </w:tabs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81"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Chapter Three: Methodology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_Toc826274981 </w:instrText>
        </w:r>
        <w:r>
          <w:instrText> \* MERGEFORMAT</w:instrText>
        </w:r>
        <w:r>
          <w:fldChar w:fldCharType="separate"/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33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8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3.0 Research Introduction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_Toc826274982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8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3.1 Research Objectives.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_Toc826274983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8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3.2 Research Onion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_Toc826274984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8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3.2.1 Research Philosophy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_Toc826274985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8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3.2.2 The Deductive Research Strategy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_Toc826274986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35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8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3.2.3 Strategy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_Toc826274987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35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8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3.2.4 Research Approaches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_Toc826274989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3.2.4.1 The Qualitative Approach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3.2.4.2 The Quantitative Approach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3.3 Choices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3.3.1 Critical Evaluation of Mixed Method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3.4 Time Horizon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3.5 Data Collection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3.6 Research Sample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3.6.1 Population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3.6.2 Sampling Frame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499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3.6.3 Sample strategy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_Toc826274999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3.7 Sample Size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3.8 Reliability and validity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3.9. Data Analysis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3.10 Limitations of the Research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3.11 Ethical Consideration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259" w:before="0" w:after="100"/>
        <w:ind w:right="0" w:firstLine="0"/>
        <w:tabs>
          <w:tab w:val="right" w:leader="dot" w:pos="9830"/>
        </w:tabs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5"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CHAPTER FOUR: Presentation and Interpretation of Findings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_Toc826275005 </w:instrText>
        </w:r>
        <w:r>
          <w:instrText> \* MERGEFORMAT</w:instrText>
        </w:r>
        <w:r>
          <w:fldChar w:fldCharType="separate"/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43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4.0 Introduction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 General information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4.2 Age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0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4.3 Gender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_Toc826275009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4.4 Years of Working Experience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45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4.5 Participants’ highest level of Education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4.6 The impact of external environmental factors on the Performance of the FMCG Industry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4.7 The impact of Statutory Regulations on Organisation’s Performance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4.8 Economic Factors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4.9 Social Factors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4.10   Experience and Technological Change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4.11 Industry Competition and New Product Development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4.12 Relationship between Industry competition and new market development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1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4.13 The Relationship Between Gender and New Products in the Market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_Toc826275019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4.14 Organisation Performance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55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4.15 Predictable Social Change Effect on Businesses Environments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4.16 Organizational Capacity Building and Adaptability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4.17 Strategic Responses engaged by Unilever in Turbulence Periods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4.18 Diversification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4.19 Corporate Restructuring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4.20 Best Practices/ tools Adopted by Unilever in Turbulent Environmental Periods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4.21 Uncertainty and Strategic Response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65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2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4.22 Summary of Presentation and Interpretation of Results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_Toc826275028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259" w:before="0" w:after="100"/>
        <w:ind w:right="0" w:firstLine="0"/>
        <w:tabs>
          <w:tab w:val="right" w:leader="dot" w:pos="9830"/>
        </w:tabs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0"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Chapter Five: Summary and Discussion of the Research Findings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_Toc826275030 </w:instrText>
        </w:r>
        <w:r>
          <w:instrText> \* MERGEFORMAT</w:instrText>
        </w:r>
        <w:r>
          <w:fldChar w:fldCharType="separate"/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68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5.0 Introduction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5.1 Summary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5.2 Research discussion of the findings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5.2.1 Competitive Environment and Organisational Performance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5.2.2 Strategies Adopted by Unilever Nigeria in turbulent Environmental periods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5.2.3 Strategy in Turbulent Environmental Periods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259" w:before="0" w:after="100"/>
        <w:ind w:right="0" w:firstLine="0"/>
        <w:tabs>
          <w:tab w:val="right" w:leader="dot" w:pos="9830"/>
        </w:tabs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7"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Chapter six: Conclusion and Recommendation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_Toc826275037 </w:instrText>
        </w:r>
        <w:r>
          <w:instrText> \* MERGEFORMAT</w:instrText>
        </w:r>
        <w:r>
          <w:fldChar w:fldCharType="separate"/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t>75</w:t>
        </w:r>
        <w:r>
          <w:rPr>
            <w:b w:val="1"/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3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6.0 Conclusion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_Toc826275039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75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6.1 Linking with Objectives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1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6.1.1 Objective One: to investigate the external environmental issues that affect the 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p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erformance UnileverPlc.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2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6.1.2 Objective Two: to investigate the strategies adopted by Unilever Nigeria in 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t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urbulent environmentperiods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3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6.1.3 Objectives Three: to establish best practice suitable for organisations in turbulent 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t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imes.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4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6.2 Recommendations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5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6.2.1 Industry External Competitive Environment and Organisational Performance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6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6.2.2 Strategic Responses Employed by Unilever Nigeria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30"/>
        <w:numPr>
          <w:ilvl w:val="0"/>
          <w:numId w:val="0"/>
        </w:numPr>
        <w:jc w:val="left"/>
        <w:spacing w:lineRule="auto" w:line="259" w:before="0" w:after="100"/>
        <w:ind w:left="44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7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6.2.3 Best practices suitable for organisations in environmental turbulence periods.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8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7.0 Limitations of this Research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259" w:before="0" w:after="100"/>
        <w:ind w:left="220"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49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8.0 Future Scope of the Research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_Toc826275049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259" w:before="0" w:after="100"/>
        <w:ind w:right="0" w:firstLine="0"/>
        <w:tabs>
          <w:tab w:val="right" w:leader="dot" w:pos="983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26275050"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References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_Toc826275050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79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  <w:r>
        <w:rPr>
          <w:b w:val="1"/>
          <w:color w:val="2F5496" w:themeColor="accent1" w:themeShade="BF"/>
          <w:position w:val="0"/>
          <w:sz w:val="24"/>
          <w:szCs w:val="24"/>
          <w:rFonts w:ascii="Arial" w:eastAsia="Arial" w:hAnsi="Arial" w:hint="default"/>
        </w:rPr>
        <w:fldChar w:fldCharType="end"/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>Appendices…………………………………………………………………………………………..80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  <w:r>
        <w:br w:type="page"/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bookmarkStart w:id="8" w:name="_Toc869649"/>
      <w:r>
        <w:rPr>
          <w:color w:val="auto"/>
          <w:position w:val="0"/>
          <w:sz w:val="22"/>
          <w:szCs w:val="22"/>
          <w:rFonts w:ascii="Calibri" w:eastAsia="Calibri" w:hAnsi="Calibri" w:hint="default"/>
        </w:rPr>
        <w:t xml:space="preserve">                                                                 </w:t>
      </w: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List of </w:t>
      </w:r>
      <w:bookmarkEnd w:id="8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Figures</w:t>
      </w:r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fldChar w:fldCharType="begin"/>
      </w:r>
      <w:r>
        <w:instrText> TOC  </w:instrText>
      </w:r>
      <w:r>
        <w:fldChar w:fldCharType="separate"/>
      </w:r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659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Figure. 2.1 External Environment Analysis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_Toc869659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rStyle w:val="PO155"/>
          <w:color w:val="auto"/>
          <w:position w:val="0"/>
          <w:sz w:val="24"/>
          <w:szCs w:val="24"/>
          <w:u w:val="single"/>
          <w:shd w:val="clear" w:color="000000"/>
          <w:rFonts w:ascii="Arial" w:eastAsia="Arial" w:hAnsi="Arial" w:hint="default"/>
        </w:rPr>
        <w:autoSpaceDE w:val="1"/>
        <w:autoSpaceDN w:val="1"/>
      </w:pPr>
      <w:hyperlink w:anchor="_Toc869661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2.2 PESTLE Analysis Strategy Framework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_Toc869661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24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  <w:r>
        <w:fldChar w:fldCharType="separate"/>
      </w:r>
      <w:r>
        <w:rPr>
          <w:rStyle w:val="PO155"/>
          <w:color w:val="auto"/>
          <w:position w:val="0"/>
          <w:sz w:val="24"/>
          <w:szCs w:val="24"/>
          <w:u w:val="none"/>
          <w:shd w:val="clear" w:color="000000"/>
          <w:rFonts w:ascii="Arial" w:eastAsia="Arial" w:hAnsi="Arial" w:hint="default"/>
        </w:rPr>
        <w:t xml:space="preserve"> </w:t>
      </w:r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678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2.3 The SWOT Analysis Model 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_Toc869678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9"/>
        <w:numPr>
          <w:ilvl w:val="0"/>
          <w:numId w:val="0"/>
        </w:numPr>
        <w:jc w:val="left"/>
        <w:spacing w:lineRule="auto" w:line="360" w:before="0" w:after="0"/>
        <w:ind w:left="220"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682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2.4 Generic Strategies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_Toc869682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32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686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2.5 Ansoff Matrix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_Toc869686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695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2.6 Business Strategic Framework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_Toc869695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37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07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3.2 Work plan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_Toc869707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22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4.1 Age group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_Toc869722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49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24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4.2 Gender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_Toc869724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26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Fig. 4.3: Years of Work Experience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_Toc869726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28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Fig. 4.4: Participants’ Level 8of Education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_Toc869728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52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31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4.5 Compliance with Statutory Regulations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_Toc869731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33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4.6 High interest rate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_Toc869733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35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Table 4.7: Social factor analysis.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_Toc869735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37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4.8: Employees’ Work Experience and Changes in Technology</w:t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_Toc869737 </w:instrText>
        </w:r>
        <w:r>
          <w:instrText> \* MERGEFORMAT</w:instrText>
        </w:r>
        <w:r>
          <w:fldChar w:fldCharType="separate"/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56</w:t>
        </w:r>
        <w:r>
          <w:rPr>
            <w:rStyle w:val="PO155"/>
            <w:color w:val="auto"/>
            <w:position w:val="0"/>
            <w:sz w:val="24"/>
            <w:szCs w:val="24"/>
            <w:u w:val="single"/>
            <w:shd w:val="clear" w:color="000000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39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4.9: Industry Competition and</w:t>
        </w:r>
        <w:r>
          <w:rPr>
            <w:rStyle w:val="PO155"/>
            <w:color w:val="auto"/>
            <w:position w:val="0"/>
            <w:sz w:val="22"/>
            <w:szCs w:val="22"/>
            <w:u w:val="none"/>
            <w:shd w:val="clear" w:color="000000"/>
            <w:rFonts w:ascii="Calibri" w:eastAsia="Times New Roman" w:hAnsi="Times New Roman" w:hint="default"/>
          </w:rPr>
          <w:t> </w:t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development of new market, diversification and new </w:t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p</w:t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roduct development</w:t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_Toc869739 </w:instrText>
        </w:r>
        <w:r>
          <w:instrText> \* MERGEFORMAT</w:instrText>
        </w:r>
        <w:r>
          <w:fldChar w:fldCharType="separate"/>
        </w:r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57</w:t>
        </w:r>
        <w:r>
          <w:rPr>
            <w:rStyle w:val="PO155"/>
            <w:color w:val="auto"/>
            <w:position w:val="0"/>
            <w:sz w:val="24"/>
            <w:szCs w:val="24"/>
            <w:u w:val="single"/>
            <w:shd w:val="clear" w:color="000000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40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4.9 Industry Competition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_Toc869740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58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42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4.10 Industry Competition and New Market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_Toc869742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59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44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11 Gender and New Products in the Market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_Toc869744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60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46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4.12: Organisation performance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_Toc869746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47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4.13: Organisation capacity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_Toc869747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61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49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4.14 predictable Social Changes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_Toc869749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62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51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4.15: Organisation Capacity Building and Adaptability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_Toc869751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63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54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4.16: Diversification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_Toc869754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64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hyperlink w:anchor="_Toc869756">
        <w:r>
          <w:rPr>
            <w:rStyle w:val="PO155"/>
            <w:color w:val="auto"/>
            <w:position w:val="0"/>
            <w:sz w:val="24"/>
            <w:szCs w:val="24"/>
            <w:u w:val="none"/>
            <w:shd w:val="clear" w:color="000000"/>
            <w:rFonts w:ascii="Arial" w:eastAsia="Arial" w:hAnsi="Arial" w:hint="default"/>
          </w:rPr>
          <w:t>Figure 4.17: Corporate Restructuring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ab/>
        </w:r>
        <w:r>
          <w:rPr>
            <w:color w:val="auto"/>
            <w:position w:val="0"/>
            <w:sz w:val="22"/>
            <w:szCs w:val="22"/>
            <w:rFonts w:ascii="Calibri" w:eastAsia="Times New Roman" w:hAnsi="Times New Roman" w:hint="default"/>
          </w:rPr>
          <w:fldChar w:fldCharType="begin"/>
        </w:r>
        <w:r>
          <w:instrText> PAGEREF  _Toc869756 </w:instrText>
        </w:r>
        <w:r>
          <w:instrText> \* MERGEFORMAT</w:instrText>
        </w:r>
        <w:r>
          <w:fldChar w:fldCharType="separate"/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t>66</w:t>
        </w:r>
        <w:r>
          <w:rPr>
            <w:color w:val="auto"/>
            <w:position w:val="0"/>
            <w:sz w:val="24"/>
            <w:szCs w:val="24"/>
            <w:rFonts w:ascii="Arial" w:eastAsia="Arial" w:hAnsi="Arial" w:hint="default"/>
          </w:rPr>
          <w:fldChar w:fldCharType="end"/>
        </w:r>
      </w:hyperlink>
    </w:p>
    <w:p>
      <w:pPr>
        <w:pStyle w:val="PO28"/>
        <w:numPr>
          <w:ilvl w:val="0"/>
          <w:numId w:val="0"/>
        </w:numPr>
        <w:jc w:val="left"/>
        <w:spacing w:lineRule="auto" w:line="360" w:before="0" w:after="0"/>
        <w:ind w:right="0" w:firstLine="0"/>
        <w:tabs>
          <w:tab w:val="right" w:leader="dot" w:pos="9820"/>
        </w:tabs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</w:t>
      </w:r>
    </w:p>
    <w:p>
      <w:pPr>
        <w:numPr>
          <w:ilvl w:val="0"/>
          <w:numId w:val="0"/>
        </w:numPr>
        <w:jc w:val="left"/>
        <w:spacing w:lineRule="auto" w:line="36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fldChar w:fldCharType="end"/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br w:type="page"/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ABBREVIATIONS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CSR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-Corporate Social Responsibility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D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-Diversification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EU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-European Union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FMCG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 Fast Moving Consumer Good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IC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-Industry Competition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NA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-Not Available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PESTLE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-Political, Economic, Social, Technological, Legal and Ecological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PLC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-Public Liability Company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PIU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-Political Instability and Uncertainty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P&amp;G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-Procter and Gamble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NMD -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New Market Development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NMP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-New Product Development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SPSS -</w:t>
      </w:r>
      <w:r>
        <w:rPr>
          <w:spacing w:val="0"/>
          <w:i w:val="0"/>
          <w:b w:val="0"/>
          <w:color w:val="000000"/>
          <w:position w:val="0"/>
          <w:sz w:val="24"/>
          <w:szCs w:val="24"/>
          <w:rFonts w:ascii="helvetica" w:eastAsia="helvetica" w:hAnsi="helvetica" w:hint="default"/>
        </w:rPr>
        <w:t xml:space="preserve">Statistical Package for the Social Sciences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SWOT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-Strengths, Weaknesses, Opportunities and Threats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SW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-Social Welfare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UK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-United Kingdom</w:t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br w:type="page"/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9" w:name="_Toc536546759"/>
      <w:bookmarkStart w:id="10" w:name="_Toc536548434"/>
      <w:bookmarkStart w:id="11" w:name="_Toc826274939"/>
      <w:bookmarkStart w:id="12" w:name="_Toc867596"/>
      <w:bookmarkStart w:id="13" w:name="_Toc86965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Chapter One: Research Introduction</w:t>
      </w:r>
      <w:bookmarkEnd w:id="9"/>
      <w:bookmarkEnd w:id="10"/>
      <w:bookmarkEnd w:id="11"/>
      <w:bookmarkEnd w:id="12"/>
      <w:bookmarkEnd w:id="13"/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14" w:name="_Hlk536194249"/>
      <w:bookmarkStart w:id="15" w:name="_Toc536546760"/>
      <w:bookmarkStart w:id="16" w:name="_Toc536548435"/>
      <w:bookmarkStart w:id="17" w:name="_Toc536613428"/>
      <w:bookmarkStart w:id="18" w:name="_Toc826274940"/>
      <w:bookmarkStart w:id="19" w:name="_Toc867597"/>
      <w:bookmarkStart w:id="20" w:name="_Toc869651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1.0 Introduction</w:t>
      </w:r>
      <w:bookmarkEnd w:id="14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 of Research Background</w:t>
      </w:r>
      <w:bookmarkEnd w:id="15"/>
      <w:bookmarkEnd w:id="16"/>
      <w:bookmarkEnd w:id="17"/>
      <w:bookmarkEnd w:id="18"/>
      <w:bookmarkEnd w:id="19"/>
      <w:bookmarkEnd w:id="20"/>
    </w:p>
    <w:p>
      <w:pPr>
        <w:pStyle w:val="PO8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21" w:name="_Hlk87623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must develop strategies of survival in the environment where they operate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of the harsh environmental factors beyond their control. These factors influence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strategic choices and its industry competitiveness. </w:t>
      </w:r>
      <w:bookmarkEnd w:id="21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good understanding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 is the beginning of their success. The management must constantly scan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business environment to identify gaps to convert into opportunities of generating extra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revenue for the organisation. </w:t>
      </w:r>
      <w:bookmarkStart w:id="22" w:name="_Hlk87628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Understanding the environment will also enable them to make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strategic decisions that will permit them to reduce the impact of the environmental threats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capable of having adverse effect on their performances. </w:t>
      </w:r>
      <w:bookmarkEnd w:id="22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Mintzberg et al. (2009)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managers must make strategies capable of matching internal capabilities with external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possibilities.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23" w:name="_Hlk87635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 are various sources that lead to environmental changes such as innovative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technologies, rapid economic change and political drifts, instabilities in societal values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 in consumers preferences (Karake, 1997).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bookmarkEnd w:id="2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 view of Rigby (2001)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company managers need to change the theory of ‘one strategy fits all’ during the period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turbulence. Rigby further said that the survival in turbulence time depends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revision of the business contents such as the industry sources, the level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turbulence, the strategic position of the organisation within the industry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its financial strength. “External environment is a source of uncertainty and constraints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creates more problems for some organisations than others” (Pearce and Robinson, 2008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).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Most of the economic factors that evolve constantly are government economic regulations,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consumer buying habit such as taste or trend, new technologies, all these create turbulence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(Perrot, I2011). Millennium organisations must have the capability of forecasting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predicting future changes and developing strategies to cope with them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(Karake, 1997).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address the issues of uncertainty and dynamism, it is mandatory to gather information about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environment in which they operate. According to Khandwalla (1977)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turbulence is unpredictable, very dynamic and fluctuating. The postulation of Ansoff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McDonnell (1990) is that an organisation can achieve a good return of investment aligning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its strategic aggressiveness and general management to the environment turbulence.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24" w:name="_Toc536546761"/>
      <w:bookmarkStart w:id="25" w:name="_Toc536548436"/>
      <w:bookmarkStart w:id="26" w:name="_Toc536613429"/>
      <w:bookmarkStart w:id="27" w:name="_Toc826274941"/>
      <w:bookmarkStart w:id="28" w:name="_Toc867598"/>
      <w:bookmarkStart w:id="29" w:name="_Toc869652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1.1 Problem discussion</w:t>
      </w:r>
      <w:bookmarkEnd w:id="24"/>
      <w:bookmarkEnd w:id="25"/>
      <w:bookmarkEnd w:id="26"/>
      <w:bookmarkEnd w:id="27"/>
      <w:bookmarkEnd w:id="28"/>
      <w:bookmarkEnd w:id="2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30" w:name="_Hlk87638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have become more competitive by managing the increasing turbulent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 created by the digital age. </w:t>
      </w:r>
      <w:bookmarkEnd w:id="30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 theory of Thomson (1997) before 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 can control change and development, they must control the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forces that provides growth and change opportunities also those that pose threat to its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existence.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addition to the ongoing political uncertainty, fast moving consumer goods (FMCG) firms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must adopt strategies to survive this technological disruption. For example, the recent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devaluation of the pounds and the uncertainty of future trade deals due to Brexit. Currency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devaluation has resulted in a higher cost of imported raw materials and this reduces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profitability- the challenge is managing price changes whilst currency is volatile and ensuring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Supply Chain Process operates unhindered by political decisions regarding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movement of goods and services.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Consumers now pay more attention to the environment and expect brands to be socially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responsible by ensuring that their growth is sustainable and ethical. Organisations such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have taken measures to reduce the carbon footprint of their value chain to maintain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good name of their brand - as Warren Buffett (n.a) famously said: </w:t>
      </w:r>
      <w:r>
        <w:rPr>
          <w:i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"It takes 20 years to </w:t>
      </w:r>
      <w:r>
        <w:rPr>
          <w:i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build a reputation and five minutes to ruin it"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Though many see the FMCG industry as stable and safe, the reality is political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technological disruption doesn't discriminate- it affects all industries and even big, diversified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FMCG companies such as Unilever must prepare for the future.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1" w:name="_Toc536546762"/>
      <w:bookmarkStart w:id="32" w:name="_Toc536548437"/>
      <w:bookmarkStart w:id="33" w:name="_Toc536613430"/>
      <w:bookmarkStart w:id="34" w:name="_Toc826274942"/>
      <w:bookmarkStart w:id="35" w:name="_Toc867599"/>
      <w:bookmarkStart w:id="36" w:name="_Toc869653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1.2 Research </w:t>
      </w:r>
      <w:bookmarkEnd w:id="31"/>
      <w:bookmarkEnd w:id="32"/>
      <w:bookmarkEnd w:id="33"/>
      <w:bookmarkEnd w:id="34"/>
      <w:bookmarkEnd w:id="35"/>
      <w:bookmarkEnd w:id="36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Investigative Questions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1. What are the impacts of external competitive environment on the performance of Unilever?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2. What are the strategic responses adopted by Unilever Plc in turbulent environments?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3. What are the best practices/ tools in Turbulent Times?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These questions will be approached through surveys and literature review. Conclusion will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 drawn after analysing and comparing the result of the findings.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7" w:name="_Toc536546763"/>
      <w:bookmarkStart w:id="38" w:name="_Toc536548438"/>
      <w:bookmarkStart w:id="39" w:name="_Toc536613431"/>
      <w:bookmarkStart w:id="40" w:name="_Toc826274943"/>
      <w:bookmarkStart w:id="41" w:name="_Toc867600"/>
      <w:bookmarkStart w:id="42" w:name="_Toc869654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1.3 </w:t>
      </w:r>
      <w:bookmarkEnd w:id="37"/>
      <w:bookmarkEnd w:id="38"/>
      <w:bookmarkEnd w:id="39"/>
      <w:bookmarkEnd w:id="40"/>
      <w:bookmarkEnd w:id="41"/>
      <w:bookmarkEnd w:id="42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The Relevance of the research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researcher’s aim is to shed more light on the various types of strategies organisations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use in turbulence periods. The result of the study will aid the management of organisations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understanding the environment where they operate and formulate strategies suitable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dealing with the challenges caused by the dynamic nature of the environment. The result will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help as a source of reference for students and policy makers in creating favourable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operating environments that will enhance the growth of entrepreneurs.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</w:t>
      </w: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3" w:name="_Toc536546764"/>
      <w:bookmarkStart w:id="44" w:name="_Toc536548439"/>
      <w:bookmarkStart w:id="45" w:name="_Toc536613432"/>
      <w:bookmarkStart w:id="46" w:name="_Toc867601"/>
      <w:bookmarkStart w:id="47" w:name="_Toc869655"/>
      <w:bookmarkStart w:id="48" w:name="_Toc826274944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1.4 Dissertation Structure</w:t>
      </w:r>
      <w:bookmarkEnd w:id="43"/>
      <w:bookmarkEnd w:id="44"/>
      <w:bookmarkEnd w:id="45"/>
      <w:bookmarkEnd w:id="46"/>
      <w:bookmarkEnd w:id="47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4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work is divided in six chapters. Chapter One: General information that includes, age,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years of working experience and gender. Chapter Two: literature review of relevant theories.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Chapter Three: Research Methodology. Chapter Four: presentation and analysis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finds. Chapter Five: Summary and discussion. Chapter Six: Conclusion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recommendations.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Literature review will be discussed in the next chapter.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9" w:name="_Toc536546765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End w:id="49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0" w:name="_Toc536548440"/>
      <w:bookmarkStart w:id="51" w:name="_Toc826274945"/>
      <w:bookmarkStart w:id="52" w:name="_Toc867602"/>
      <w:bookmarkStart w:id="53" w:name="_Toc869656"/>
      <w:bookmarkStart w:id="54" w:name="_Toc53654676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Chapter Two: literature Review</w:t>
      </w:r>
      <w:bookmarkEnd w:id="50"/>
      <w:bookmarkEnd w:id="51"/>
      <w:bookmarkEnd w:id="52"/>
      <w:bookmarkEnd w:id="53"/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5" w:name="_Toc536548441"/>
      <w:bookmarkStart w:id="56" w:name="_Toc826274946"/>
      <w:bookmarkStart w:id="57" w:name="_Toc867603"/>
      <w:bookmarkStart w:id="58" w:name="_Toc86965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2.0 Literature Review</w:t>
      </w:r>
      <w:bookmarkEnd w:id="54"/>
      <w:bookmarkEnd w:id="55"/>
      <w:bookmarkEnd w:id="56"/>
      <w:bookmarkEnd w:id="57"/>
      <w:bookmarkEnd w:id="5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According to Cooper (1988) literature review has the function of describing, summering, </w:t>
      </w: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evaluating and/or integrating the content of primary reports.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In this chapter, an empirical literature analysis consisting of summaries of similar studies by </w:t>
      </w: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other researchers will be done to support this work using articles from reviewed journals, </w:t>
      </w: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academic journals, books including online sources. The objectives of the research were met </w:t>
      </w: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using the literature to show how the independent variable; external environment affect the </w:t>
      </w: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dependent variable; firm performance. This chapter also covers how organisations respond </w:t>
      </w: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to turbulence.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9" w:name="_Toc536546767"/>
      <w:bookmarkStart w:id="60" w:name="_Toc536548442"/>
      <w:bookmarkStart w:id="61" w:name="_Toc826274947"/>
      <w:bookmarkStart w:id="62" w:name="_Toc867604"/>
      <w:bookmarkStart w:id="63" w:name="_Toc86965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2.1 </w:t>
      </w:r>
      <w:bookmarkStart w:id="64" w:name="_Hlk86715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External Environment Analysis</w:t>
      </w:r>
      <w:bookmarkEnd w:id="59"/>
      <w:bookmarkEnd w:id="60"/>
      <w:bookmarkEnd w:id="61"/>
      <w:bookmarkEnd w:id="64"/>
      <w:bookmarkEnd w:id="62"/>
      <w:bookmarkEnd w:id="6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290060" cy="2375535"/>
            <wp:effectExtent l="0" t="0" r="0" b="7620"/>
            <wp:docPr id="63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:/Users/Silvia/AppData/Roaming/PolarisOffice/ETemp/10860_11002864/image13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4260" t="15425" r="27047" b="53202"/>
                    <a:stretch>
                      <a:fillRect/>
                    </a:stretch>
                  </pic:blipFill>
                  <pic:spPr>
                    <a:xfrm>
                      <a:off x="0" y="0"/>
                      <a:ext cx="4290695" cy="2376170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bookmarkStart w:id="65" w:name="_Toc867400"/>
      <w:bookmarkStart w:id="66" w:name="_Toc869659"/>
      <w:r>
        <w:rPr>
          <w:rStyle w:val="PO152"/>
          <w:i w:val="1"/>
          <w:color w:val="auto"/>
          <w:position w:val="0"/>
          <w:sz w:val="24"/>
          <w:szCs w:val="24"/>
          <w:shd w:val="clear" w:color="000000"/>
          <w:rFonts w:ascii="Arial" w:eastAsia="Arial" w:hAnsi="Arial" w:hint="default"/>
        </w:rPr>
        <w:t xml:space="preserve">Figure. 2.1 External Environment Analysis</w:t>
      </w:r>
      <w:bookmarkEnd w:id="65"/>
      <w:bookmarkEnd w:id="66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       </w:t>
      </w:r>
      <w:r>
        <w:rPr>
          <w:i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(Pearce and Robinson, 2008).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67" w:name="_Hlk87643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Generally, the external environment greatly impacts the performance of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(Boyne and Meier, 2009).</w:t>
      </w:r>
      <w:r>
        <w:rPr>
          <w:color w:val="FF0000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bookmarkEnd w:id="6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the “Logic of governance” of Lynch et al. (2000),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authors included political issues, economic issues, legal </w:t>
      </w:r>
      <w:bookmarkStart w:id="68" w:name="_Hlk536194698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issues</w:t>
      </w:r>
      <w:bookmarkEnd w:id="68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and social issues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organisational context. They claim that the effect of these environmental factors are directly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related to the performance of organisations.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69" w:name="_Toc536546768"/>
      <w:bookmarkStart w:id="70" w:name="_Toc536548443"/>
      <w:bookmarkStart w:id="71" w:name="_Toc826274948"/>
      <w:bookmarkStart w:id="72" w:name="_Toc867606"/>
      <w:bookmarkStart w:id="73" w:name="_Toc86966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2.2 PESTLE analysis</w:t>
      </w:r>
      <w:bookmarkEnd w:id="69"/>
      <w:bookmarkEnd w:id="70"/>
      <w:bookmarkEnd w:id="71"/>
      <w:bookmarkEnd w:id="72"/>
      <w:bookmarkEnd w:id="7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PESTLE is a very important analytical tool for businesses to study the environment in which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they operate.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480560" cy="2356485"/>
            <wp:effectExtent l="0" t="0" r="0" b="7620"/>
            <wp:docPr id="64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:/Users/Silvia/AppData/Roaming/PolarisOffice/ETemp/10860_11002864/image14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2906" t="27926" r="30697" b="33784"/>
                    <a:stretch>
                      <a:fillRect/>
                    </a:stretch>
                  </pic:blipFill>
                  <pic:spPr>
                    <a:xfrm>
                      <a:off x="0" y="0"/>
                      <a:ext cx="4481195" cy="2357120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i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                                                     </w:t>
      </w:r>
      <w:r>
        <w:rPr>
          <w:i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(Pearce and Robinson, 2008).</w:t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74" w:name="_Toc867402"/>
      <w:bookmarkStart w:id="75" w:name="_Toc869661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2.2 PESTLE Analysis Strategy Framework</w:t>
      </w:r>
      <w:bookmarkEnd w:id="74"/>
      <w:bookmarkEnd w:id="7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76" w:name="_Toc536548444"/>
      <w:bookmarkStart w:id="77" w:name="_Toc536612564"/>
      <w:bookmarkStart w:id="78" w:name="_Toc826274949"/>
      <w:bookmarkStart w:id="79" w:name="_Toc867608"/>
      <w:bookmarkStart w:id="80" w:name="_Toc86966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2.2.1 Political factors</w:t>
      </w:r>
      <w:bookmarkEnd w:id="76"/>
      <w:bookmarkEnd w:id="77"/>
      <w:bookmarkEnd w:id="78"/>
      <w:bookmarkEnd w:id="79"/>
      <w:bookmarkEnd w:id="8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speculation of the uncertainties of politics influences the economic transactions of all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nations (Beaulieu et al., 2005).</w:t>
      </w:r>
      <w:r>
        <w:rPr>
          <w:color w:val="FF0000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example, Brexit. Therefore, when formulating company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policies, the national political direction and stability must be considered because legal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regulatory parameters are based on political issues (Pearce and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Robinson, 2009).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example, company’s’ operation strategy can be affected by tax programs,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pollution regulations, employment laws and anti-trust laws.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should capture political stability as an opportunity to increase its market share.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example, strategic implementation challenges are minimised in the Germany due to its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political stability and the Brexit is affecting strategic decision of most of the global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 in the United Kingdom. The European political issues pose as potential threat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the operations of organisations like Unilever in the consumer goods market. However,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has more opportunities offered by the growth of global trade agreements between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most nations in the world. But they must adopt strategies to manage the challenges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associated with the political European Union conditions.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81" w:name="_Toc536546769"/>
      <w:bookmarkStart w:id="82" w:name="_Toc536548445"/>
      <w:bookmarkStart w:id="83" w:name="_Toc536612565"/>
      <w:bookmarkStart w:id="84" w:name="_Toc826274950"/>
      <w:bookmarkStart w:id="85" w:name="_Toc867609"/>
      <w:bookmarkStart w:id="86" w:name="_Toc86966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2.2.2 Economic dimensions important to Unilever</w:t>
      </w:r>
      <w:bookmarkEnd w:id="81"/>
      <w:bookmarkEnd w:id="82"/>
      <w:bookmarkEnd w:id="83"/>
      <w:bookmarkEnd w:id="84"/>
      <w:bookmarkEnd w:id="85"/>
      <w:bookmarkEnd w:id="8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As a global organisation the gross performance of Unilever depends on the economies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around the world because they operate in more than 200 countries worldwide.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Most of the developing nations are increasing their minimum wages, thereby, increasing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buying powers of the consumers. This presents an opportunity for Unilever to gain more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profit from higher potential sales. However, this external environmental factor can also be 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threat as regards to an increasing cost of production for Unilever that has manufacturing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facilities in most of these countries. The demographic growth of most of the developing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nation is an opportunity Unilever should embrace. For example, China and India are very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attractive markets because of their population. The economic stability of most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industrialised nations like United Kingdom and United States of America cushions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from risks in other markets, as it facilitates the gradual but steady growth.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87" w:name="_Toc536546770"/>
      <w:bookmarkStart w:id="88" w:name="_Toc536548446"/>
      <w:bookmarkStart w:id="89" w:name="_Toc536612566"/>
      <w:bookmarkStart w:id="90" w:name="_Toc826274951"/>
      <w:bookmarkStart w:id="91" w:name="_Toc867610"/>
      <w:bookmarkStart w:id="92" w:name="_Toc86966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2.2.3 Social </w:t>
      </w:r>
      <w:bookmarkStart w:id="93" w:name="_Hlk53619488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Factors</w:t>
      </w:r>
      <w:bookmarkEnd w:id="93"/>
      <w:bookmarkEnd w:id="87"/>
      <w:bookmarkEnd w:id="88"/>
      <w:bookmarkEnd w:id="89"/>
      <w:bookmarkEnd w:id="90"/>
      <w:bookmarkEnd w:id="91"/>
      <w:bookmarkEnd w:id="9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Cultural values such as belief, attitudes, opinions and lifestyle are the societal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factors that influence the operations of organisations (Ireland, et al, 2013).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“Culture is 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collective programming of the mind” (Hofstede, 1991). A change in the attitude of people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society, changes also the demand for the various products and services (Pearce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Robinson, 2009).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manufacturing of health products that directly takes care of consumers’ interest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health wellbeing will enable Unilever to achieve sustainable growth. Additionally, due to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awareness, Unilever should use modern technologies to improve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impact that will enable them to attract more customers. For instance, by using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new and more energy-efficient technologies, Unilever can reduce its energy consumption.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 is a great opportunity for growth by targeting female environmentalist consumers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worldwide.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94" w:name="_Toc536546771"/>
      <w:bookmarkStart w:id="95" w:name="_Toc536548447"/>
      <w:bookmarkStart w:id="96" w:name="_Toc536612567"/>
      <w:bookmarkStart w:id="97" w:name="_Toc826274952"/>
      <w:bookmarkStart w:id="98" w:name="_Toc867611"/>
      <w:bookmarkStart w:id="99" w:name="_Toc86966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2.2.4 Technological Factors</w:t>
      </w:r>
      <w:bookmarkEnd w:id="94"/>
      <w:bookmarkEnd w:id="95"/>
      <w:bookmarkEnd w:id="96"/>
      <w:bookmarkEnd w:id="97"/>
      <w:bookmarkEnd w:id="98"/>
      <w:bookmarkEnd w:id="9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21</w:t>
      </w:r>
      <w:r>
        <w:rPr>
          <w:vertAlign w:val="superscript"/>
          <w:color w:val="auto"/>
          <w:position w:val="0"/>
          <w:sz w:val="24"/>
          <w:szCs w:val="24"/>
          <w:rFonts w:ascii="Arial" w:eastAsia="Times New Roman" w:hAnsi="Times New Roman" w:hint="default"/>
        </w:rPr>
        <w:t>st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century has witnessed a great technological innovation and for companies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progress in this century technological know-how is very essential (Euchner, 2011).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fully automation production system presents an opportunity for Unilever to increase its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operational efficiency. For example, Unilever can enhance its supply chain and distribution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efficiencies through the application of new technologies. However, technology increases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competitiveness of other organisations in the local market and from this point of view can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considered as a threat in the consumer goods industry. The rapid progress of competitors’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and development investment threatens the competitive advantage of Unilever. Low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cost of transportation reduces the operation cost contributing to business growth. On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other hand, low transport cost is also a threat, the reduction of transportation cost increases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competitiveness which leads to market share and profit reduction of companies such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00" w:name="_Toc536546772"/>
      <w:bookmarkStart w:id="101" w:name="_Toc536548448"/>
      <w:bookmarkStart w:id="102" w:name="_Toc536612568"/>
      <w:bookmarkStart w:id="103" w:name="_Toc826274953"/>
      <w:bookmarkStart w:id="104" w:name="_Toc867612"/>
      <w:bookmarkStart w:id="105" w:name="_Toc86966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2.2.5 Ecological/Environmental Factors Affecting Unilever</w:t>
      </w:r>
      <w:bookmarkEnd w:id="100"/>
      <w:bookmarkEnd w:id="101"/>
      <w:bookmarkEnd w:id="102"/>
      <w:bookmarkEnd w:id="103"/>
      <w:bookmarkEnd w:id="104"/>
      <w:bookmarkEnd w:id="10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 are some external ecological trends and condition that have impact on the Fast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Moving consumer Goods industries such as Unilever.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should improve its environmental program to attract the environmentalists. They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can achieve this by enhancing its sustainability program thereby, strengthening its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competitiveness against other industry competitors. Unilever should use its corporate social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responsibility strategy to effectively achieve this program. For example, reducing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impact through product innovation and internal business processes.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effort in reducing environmental impact will support their ability to satisfy increasingly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complex environmental programs. This provides an opportunity to gain competitive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advantage through corporate responsibility.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</w:t>
      </w: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06" w:name="_Toc536546773"/>
      <w:bookmarkStart w:id="107" w:name="_Toc536548449"/>
      <w:bookmarkStart w:id="108" w:name="_Toc536612569"/>
      <w:bookmarkStart w:id="109" w:name="_Toc826274954"/>
      <w:bookmarkStart w:id="110" w:name="_Toc867613"/>
      <w:bookmarkStart w:id="111" w:name="_Toc86966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2.2.6 Legal Factors Facing Unilever</w:t>
      </w:r>
      <w:bookmarkEnd w:id="106"/>
      <w:bookmarkEnd w:id="107"/>
      <w:bookmarkEnd w:id="108"/>
      <w:bookmarkEnd w:id="109"/>
      <w:bookmarkEnd w:id="110"/>
      <w:bookmarkEnd w:id="11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Global companies are affected by the external legal environmental factors in their host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nations. Unilever being present in more than 200 nations of the world is exposed to most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these factors.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 is an opportunity for Unilever to boost its corporate image by matching their CSR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strategy with environmental regulations of their respective host countries. Additionally,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growth of the company can be enhanced by strengthening international patent laws. 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example, patent related problems can be reduced in developing nations by new patent laws.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12" w:name="_Toc536546774"/>
      <w:bookmarkStart w:id="113" w:name="_Toc536548450"/>
      <w:bookmarkStart w:id="114" w:name="_Toc536612570"/>
      <w:bookmarkStart w:id="115" w:name="_Toc867614"/>
      <w:bookmarkStart w:id="116" w:name="_Toc869668"/>
      <w:bookmarkStart w:id="117" w:name="_Toc82627495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2.2.7 Critical Analysis of PESTLE</w:t>
      </w:r>
      <w:bookmarkEnd w:id="112"/>
      <w:bookmarkEnd w:id="113"/>
      <w:bookmarkEnd w:id="114"/>
      <w:bookmarkEnd w:id="115"/>
      <w:bookmarkEnd w:id="11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11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weaknesses of PESTLE are over simplification of information used in making strategic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decision, implementation and priority of the factors. Investment in this analysis has to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done periodically in other to be effective. The access to quality external information may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costly or sometimes restricted. Organisational decision made are based on assumptions,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making such decision subjective. For example, Brexit has created much uncertainty in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business world. Decisions made in this moment might impact positively or negatively 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 based on the final agreement between EU an UK. PESTLE does not cover all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factors; some environmental changes may not be noticeable during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initial stages but can have adverse effect on organisations. Environmental factors are not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stagnant, they change constantly making the result of PESTLE analysis subject to constant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evaluation.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118" w:name="_Toc536546775"/>
      <w:bookmarkStart w:id="119" w:name="_Toc536548451"/>
      <w:bookmarkStart w:id="120" w:name="_Toc867615"/>
      <w:bookmarkStart w:id="121" w:name="_Toc869669"/>
      <w:bookmarkStart w:id="122" w:name="_Toc82627495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2.3 Porter Five Forces</w:t>
      </w:r>
      <w:bookmarkEnd w:id="118"/>
      <w:bookmarkEnd w:id="119"/>
      <w:bookmarkEnd w:id="120"/>
      <w:bookmarkEnd w:id="12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 </w:t>
      </w:r>
      <w:bookmarkEnd w:id="12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Tarzijan and Ramirez (2011), Industry environment has a direct consequence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on the profitability of organisations. The potentiality of their profit is directly related to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threat of new competitors in the market, the negotiating power of consumers and suppliers,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availability of alternative products and the industry rivalries (Porter, 1979).</w:t>
      </w:r>
    </w:p>
    <w:p>
      <w:pPr>
        <w:pStyle w:val="PO9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color w:val="1F3863" w:themeColor="accent1" w:themeShade="7F"/>
          <w:position w:val="0"/>
          <w:sz w:val="24"/>
          <w:szCs w:val="24"/>
          <w:rFonts w:ascii="Calibri Light" w:eastAsia="Arial" w:hAnsi="Arial" w:hint="default"/>
        </w:rPr>
        <w:outlineLvl w:val="2"/>
        <w:autoSpaceDE w:val="1"/>
        <w:autoSpaceDN w:val="1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23" w:name="_Toc536546776"/>
      <w:bookmarkStart w:id="124" w:name="_Toc536548452"/>
      <w:bookmarkStart w:id="125" w:name="_Toc536613022"/>
      <w:bookmarkStart w:id="126" w:name="_Toc826274957"/>
      <w:bookmarkStart w:id="127" w:name="_Toc867616"/>
      <w:bookmarkStart w:id="128" w:name="_Toc86967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2.3.1 Threat of New Entry (Weak)</w:t>
      </w:r>
      <w:bookmarkEnd w:id="123"/>
      <w:bookmarkEnd w:id="124"/>
      <w:bookmarkEnd w:id="125"/>
      <w:bookmarkEnd w:id="126"/>
      <w:bookmarkEnd w:id="127"/>
      <w:bookmarkEnd w:id="12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market of consumer goods is made up of established companies such as Unilever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new companies. The new entrants have great influence on the industry environment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their intention is to share the existing customers with the old players of the industry.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Due to the low switching cost new entrant can put up a fierce competitive fight in the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against firms like Unilever pushing the consumers to try new products. However, due to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difficulty of building a brand as strong as Unilever or some other big players like Procter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Gamble, this weakens the threat of new entrants. As well, the new entrants lack high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organisational efficiencies, established distribution channels and the high economies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scales that enables Unilever to achieve competitive pricing.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29" w:name="_Toc536546777"/>
      <w:bookmarkStart w:id="130" w:name="_Toc536548453"/>
      <w:bookmarkStart w:id="131" w:name="_Toc536613023"/>
      <w:bookmarkStart w:id="132" w:name="_Toc826274958"/>
      <w:bookmarkStart w:id="133" w:name="_Toc867617"/>
      <w:bookmarkStart w:id="134" w:name="_Toc86967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2.3.2 Bargaining Power of Suppliers (Moderate)</w:t>
      </w:r>
      <w:bookmarkEnd w:id="129"/>
      <w:bookmarkEnd w:id="130"/>
      <w:bookmarkEnd w:id="131"/>
      <w:bookmarkEnd w:id="132"/>
      <w:bookmarkEnd w:id="133"/>
      <w:bookmarkEnd w:id="13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Karake (1997) defined suppliers power as the ability of the suppliers in getting good prices.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 input supplier price increase increases the output price and can cause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turbulence. In a market with less suppliers, suppliers have a high bargaining power (Porter,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2008).  Suppliers play very important role in the business of consumer goods; their decisions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affect the level of raw materials available to firms like Unilever.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external force exerts moderate force on Unilever due to the large number of products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under their production. Generally, the number of suppliers contributes to their power.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example, the higher number of suppliers in this industry the lesser their power becomes,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restricted their influence on companies such as Unilever.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35" w:name="_Toc536546778"/>
      <w:bookmarkStart w:id="136" w:name="_Toc536548454"/>
      <w:bookmarkStart w:id="137" w:name="_Toc536613024"/>
      <w:bookmarkStart w:id="138" w:name="_Toc826274959"/>
      <w:bookmarkStart w:id="139" w:name="_Toc867618"/>
      <w:bookmarkStart w:id="140" w:name="_Toc86967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2.3.3 Bargaining Power of Buyers (Strong)</w:t>
      </w:r>
      <w:bookmarkEnd w:id="135"/>
      <w:bookmarkEnd w:id="136"/>
      <w:bookmarkEnd w:id="137"/>
      <w:bookmarkEnd w:id="138"/>
      <w:bookmarkEnd w:id="139"/>
      <w:bookmarkEnd w:id="14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reason consumers bargain for higher quality products and services is to reduce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cost (Bhattacharyya and Nain, 2011).</w:t>
      </w:r>
      <w:r>
        <w:rPr>
          <w:color w:val="FF0000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Inferior products sometimes have short life span.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Pearce and Robinson (2009) consumers use the strategy of playing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competitors against each other to obtain price reduction. The purchasing power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consumers is high when the make bulk purchases because they can easily switch to another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supplier, especially, when the switching cost is insignificant (Ireland et al, 2013). Therefore,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 industry where the consumer has more power faces more environmental turbulence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(Karake, 1997).  The performance of companies such as Unilever depends on the response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the customer to their products.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low switching cost enables consumers to easily switch from Unilever’s product,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example, to that of Procter and Gamble (P&amp;G) or to other competitors. The intensity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consumers’ bargaining power is influenced by external environmental factors. Also,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modern technologies have put consumers in condition to compare the quality of goods and it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influences their buying decisions when transferring from Unilever to other providers. Bulk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purchasers have stronger bargaining power than individual consumers over companies like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41" w:name="_Toc536546779"/>
      <w:bookmarkStart w:id="142" w:name="_Toc536548455"/>
      <w:bookmarkStart w:id="143" w:name="_Toc536613025"/>
      <w:bookmarkStart w:id="144" w:name="_Toc826274960"/>
      <w:bookmarkStart w:id="145" w:name="_Toc867619"/>
      <w:bookmarkStart w:id="146" w:name="_Toc86967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2.3.4 Threat of Substitution (Weak)</w:t>
      </w:r>
      <w:bookmarkEnd w:id="141"/>
      <w:bookmarkEnd w:id="142"/>
      <w:bookmarkEnd w:id="143"/>
      <w:bookmarkEnd w:id="144"/>
      <w:bookmarkEnd w:id="145"/>
      <w:bookmarkEnd w:id="14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Porter (2008), substitute is when in the market exists other similar product 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service capable of providing the same function. For example, videoconferencing is 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substitute for travelling to a location for a business meeting. Porter further stated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industry’s profitability suffers when the threat of substitute is high. Product substitute affects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level of industry’s environmental turbulence and uncertainty (Karake, 1997). That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survival of the existing product is threatened because new substitute brings new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technologies and curiosity. The theory of Ireland (2013) is that any action taken by 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 provokes a competitive response. Simon et al (2010) argue that within 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industry, companies are seldom similar as they seek to differentiate themselves in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capabilities and resources. Threats that emerge from product substitutes reduce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revenue of companies that manufacture the original products. In this case, if consumers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find substitutes to their products, it will reduce the volume of sales of those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products and the Unilever’s revenue.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low cost enables consumers to easily switch from Unilever’s products to other similar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products in the market. The force of product substitute is very strong in the business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consumer goods. Nevertheless, due to low availability of substitutes in this industry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intensity of the force is weak.  For example, the accessibility of Unilever Close-Up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toothpaste is easier than homemade organic dentifrice. Relatively, there is insignificant cost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difference between most substitutes and the original goods in the market. This weakens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intensity of the threat of product substitute.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47" w:name="_Toc536546780"/>
      <w:bookmarkStart w:id="148" w:name="_Toc536548456"/>
      <w:bookmarkStart w:id="149" w:name="_Toc536613026"/>
      <w:bookmarkStart w:id="150" w:name="_Toc826274961"/>
      <w:bookmarkStart w:id="151" w:name="_Toc867620"/>
      <w:bookmarkStart w:id="152" w:name="_Toc86967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2.3.5 Competitive Rivalry (Strong)</w:t>
      </w:r>
      <w:bookmarkEnd w:id="147"/>
      <w:bookmarkEnd w:id="148"/>
      <w:bookmarkEnd w:id="149"/>
      <w:bookmarkEnd w:id="150"/>
      <w:bookmarkEnd w:id="151"/>
      <w:bookmarkEnd w:id="15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Porter states that “rivalry among existing firms takes forms such as: price discounts, new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 introduction, advertising campaigns and service improvements” (Porter 2008).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Competition is a strong force in the business of consumer goods. The big players of this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industry have huge financial and technological capabilities thereby making the competition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very fierce.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the consumer goods industry, there are many competitors that impose a strong force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Unilever. The intensity of the competition makes these firms very aggressive trying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survive from all the external environmental forces exerting pressures on them. The low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switching cost makes it difficult to build and maintain a large database of loyal customers.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factor makes th</w:t>
      </w:r>
      <w:r>
        <w:rPr>
          <w:color w:val="000000" w:themeColor="text1"/>
          <w:position w:val="0"/>
          <w:sz w:val="22"/>
          <w:szCs w:val="22"/>
          <w:rFonts w:ascii="Arial" w:eastAsia="Arial" w:hAnsi="Arial" w:hint="default"/>
        </w:rPr>
        <w:t xml:space="preserve">e force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competitive rivalry strong.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1F3863" w:themeColor="accent1" w:themeShade="7F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53" w:name="_Toc826274962"/>
      <w:r>
        <w:rPr>
          <w:color w:val="1F3863" w:themeColor="accent1" w:themeShade="7F"/>
          <w:position w:val="0"/>
          <w:sz w:val="24"/>
          <w:szCs w:val="24"/>
          <w:rFonts w:ascii="Calibri Light" w:eastAsia="Calibri Light" w:hAnsi="Calibri Light" w:hint="default"/>
        </w:rPr>
        <w:t xml:space="preserve"> </w:t>
      </w:r>
      <w:bookmarkStart w:id="154" w:name="_Toc536546781"/>
      <w:bookmarkStart w:id="155" w:name="_Toc536548457"/>
      <w:bookmarkStart w:id="156" w:name="_Toc536613027"/>
      <w:bookmarkStart w:id="157" w:name="_Toc867621"/>
      <w:bookmarkStart w:id="158" w:name="_Toc86967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2.3.6 Critique of Porter Five forces</w:t>
      </w:r>
      <w:bookmarkEnd w:id="154"/>
      <w:bookmarkEnd w:id="155"/>
      <w:bookmarkEnd w:id="156"/>
      <w:bookmarkEnd w:id="153"/>
      <w:bookmarkEnd w:id="157"/>
      <w:bookmarkEnd w:id="15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Speed (1989) porter five forces can be criticised for two reasons: firstly,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choice is made arbitrarily and secondly, the strategy gives no suggestion on the method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suitable for the analysis based on these forces, no proposed counteractions. The non-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consideration of the impact of the suppliers’ complementary products and the environment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which industries operate has made most scholars to challenge its validity (Grant, 2005).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five forces do not consider environmental changes and that firms can create values and gain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competitive advantage through other sources such as innovation and technological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breakthrough. The model is static based on the opinion of Hill and Jones (2007), the model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represented just a snapshot of a constantly changing situation, it does not record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 arising in the industry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authors further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claimed that the Porter overrated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role of industry as determinant of organisation’s profit neglecting the differences between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individual companies.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159" w:name="_Toc536546782"/>
      <w:bookmarkStart w:id="160" w:name="_Toc536548458"/>
      <w:bookmarkStart w:id="161" w:name="_Toc867622"/>
      <w:bookmarkStart w:id="162" w:name="_Toc869676"/>
      <w:bookmarkStart w:id="163" w:name="_Toc82627496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2.4 Analysis of the Internal Environment</w:t>
      </w:r>
      <w:bookmarkEnd w:id="159"/>
      <w:bookmarkEnd w:id="160"/>
      <w:bookmarkEnd w:id="161"/>
      <w:bookmarkEnd w:id="16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16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64" w:name="_Toc536546783"/>
      <w:bookmarkStart w:id="165" w:name="_Toc536548459"/>
      <w:bookmarkStart w:id="166" w:name="_Toc826274964"/>
      <w:bookmarkStart w:id="167" w:name="_Toc867623"/>
      <w:bookmarkStart w:id="168" w:name="_Toc86967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2.4.1 The SWOT Analysis Model</w:t>
      </w:r>
      <w:bookmarkEnd w:id="164"/>
      <w:bookmarkEnd w:id="165"/>
      <w:bookmarkEnd w:id="166"/>
      <w:bookmarkEnd w:id="167"/>
      <w:bookmarkEnd w:id="16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Humphrey (2005)</w:t>
      </w:r>
      <w:r>
        <w:rPr>
          <w:color w:val="FF0000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SWOT analysis examines the internal and external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 of organisation highlighting possible internal and external environmental factors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will enhance or may compromise its future performance. Precisely, the SWOT analysis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underlines the organisation’s internal strengths and weaknesses including opportunities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threats in its operative external environment.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815965" cy="2916555"/>
            <wp:effectExtent l="0" t="0" r="0" b="0"/>
            <wp:docPr id="6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:/Users/Silvia/AppData/Roaming/PolarisOffice/ETemp/10860_11002864/image15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1129" t="25146" r="11953" b="23340"/>
                    <a:stretch>
                      <a:fillRect/>
                    </a:stretch>
                  </pic:blipFill>
                  <pic:spPr>
                    <a:xfrm>
                      <a:off x="0" y="0"/>
                      <a:ext cx="5816600" cy="291719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t xml:space="preserve"> </w:t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169" w:name="_Toc869678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2.3 The SWOT Analysis Model</w:t>
      </w:r>
      <w:bookmarkEnd w:id="16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main strengths of Unilever are its product diversification, diverse brand portfolio, very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good leadership, motivated employees and product development including a very large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investment is research and development (Unilever Communications, 2013).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Unilever’s greatest weaknesses are composed of the structural, organisational and mission-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issues. The rise in consumers’ purchasing power in developing nations is one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external factors that can benefit Unilever by establishing a positive position in the customer’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minds. For example, Unilever gained customer and loyalty support through its dedication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environment (Emerald Publishing Group, 2013a).</w:t>
      </w:r>
      <w:r>
        <w:rPr>
          <w:color w:val="FF0000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Apart from the fierce competition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is facing, the health of their revenue is threatened by political uncertainties,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financial costs such as tax increase, information technology risks and government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regulations in various nation where they operate (Unilever Communications,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2018).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While global development provides economic growth opportunities for organisations like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Unilever, their success is equally threatened by the increasing concern about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impact of technology and industry rivalries.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70" w:name="_Toc536546784"/>
      <w:bookmarkStart w:id="171" w:name="_Toc536548460"/>
      <w:bookmarkStart w:id="172" w:name="_Toc826274965"/>
      <w:bookmarkStart w:id="173" w:name="_Toc867624"/>
      <w:bookmarkStart w:id="174" w:name="_Toc86967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2.4.2 Critique of the SWOT Analysis Model</w:t>
      </w:r>
      <w:bookmarkEnd w:id="170"/>
      <w:bookmarkEnd w:id="171"/>
      <w:bookmarkEnd w:id="172"/>
      <w:bookmarkEnd w:id="173"/>
      <w:bookmarkEnd w:id="17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opinion of Wheelan and Hunger (2002) is that SWOT analysis as a technique lacks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quality and quantity. That SWOT does not prioritise issues and does not provide solutions 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offer alternative decisions. The use of SWOT is expensive because it requires experience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training for a systematic construction and use. According to Dess et. al (1997) SWOT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analysis is primarily a static assessment that focuses too much on the present condition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 organisation and more especially, strength does not often lead to competitive advantage.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Valentin (1989), the factors used in SWOT analysis do not consider all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sectors and there is no clear evidence of benefits and disadvantages of sustainability. Even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if SWOT generates many outcomes, it does not take into consideration probability. Listing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strengths and opportunities on paper is prone to bias and it is very different from testing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experiencing organisational strengths at work. SWOT is expensive because the analysis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need to be repeated every time one or more of these environmental factors change.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175" w:name="_Toc536546785"/>
      <w:bookmarkStart w:id="176" w:name="_Toc536548461"/>
      <w:bookmarkStart w:id="177" w:name="_Toc826274966"/>
      <w:bookmarkStart w:id="178" w:name="_Toc867625"/>
      <w:bookmarkStart w:id="179" w:name="_Toc86968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2.5 The Strategic Responses of Organizations to Environmental Turbulence</w:t>
      </w:r>
      <w:bookmarkEnd w:id="175"/>
      <w:bookmarkEnd w:id="176"/>
      <w:bookmarkEnd w:id="177"/>
      <w:bookmarkEnd w:id="178"/>
      <w:bookmarkEnd w:id="17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Ansoff and McDonnell, (1990), business organisations react differently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changes and gradually respond to minimise the shift from the historical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behaviour amid the firms and the environment. The authors retain that business approach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requires a radical revolutionary change instead of suppressing and minimising it, 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entrepreneur pursues change.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Ireland et al., (2009) retained competitive response to be a strategic action carefully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orchestrated and executed by an organisation to counter effect its competitors’ action. Dess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et al (2008) argue that an organisation needs to have a good prediction of the competitors’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action before initiating a response. Developing response strategy is very essential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to be competitive.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80" w:name="_Toc536546786"/>
      <w:bookmarkStart w:id="181" w:name="_Toc536548462"/>
      <w:bookmarkStart w:id="182" w:name="_Toc826274967"/>
      <w:bookmarkStart w:id="183" w:name="_Toc867626"/>
      <w:bookmarkStart w:id="184" w:name="_Toc86968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2.5.1 Generic Strategies</w:t>
      </w:r>
      <w:bookmarkEnd w:id="180"/>
      <w:bookmarkEnd w:id="181"/>
      <w:bookmarkEnd w:id="182"/>
      <w:bookmarkEnd w:id="183"/>
      <w:bookmarkEnd w:id="184"/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i w:val="1"/>
          <w:color w:val="auto"/>
          <w:position w:val="0"/>
          <w:sz w:val="24"/>
          <w:szCs w:val="24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744845" cy="2110105"/>
            <wp:effectExtent l="0" t="0" r="635" b="9525"/>
            <wp:docPr id="6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/Users/Silvia/AppData/Roaming/PolarisOffice/ETemp/10860_11002864/image16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998" t="2504" r="3001" b="8249"/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2110740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br/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</w:t>
      </w:r>
      <w:r>
        <w:rPr>
          <w:i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(Porter, 1985)</w:t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185" w:name="_Toc869682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2.4 Generic Strategies</w:t>
      </w:r>
      <w:bookmarkEnd w:id="18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 generic strategy is the main idea regarding the capability of an organisation to compete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market place (Pearce and Robinson, 2008).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gained competitive advantage through cost leadership and satisfaction of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customers’ specific needs and preferences. According to Porter (1985) generic strategy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ensures organizations’ competitiveness essential for its growth and resilience. In relation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Unilever, product development method integrated with research to address market needs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was used to achieve competitive advantage. Unilever used appropriate mixture of intensive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strategies to sustain growth. The condition of the consumer goods market influences how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shifts its prioritisation of strategies for intensive growth. To ensure success in its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global operations they  used both generic competitive strategy and intensive growth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strategies.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86" w:name="_Toc536546787"/>
      <w:bookmarkStart w:id="187" w:name="_Toc536548463"/>
      <w:bookmarkStart w:id="188" w:name="_Toc867627"/>
      <w:bookmarkStart w:id="189" w:name="_Toc869683"/>
      <w:bookmarkStart w:id="190" w:name="_Toc82627496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2.5.2 Unilever uses broad differentiation</w:t>
      </w:r>
      <w:bookmarkEnd w:id="186"/>
      <w:bookmarkEnd w:id="187"/>
      <w:bookmarkEnd w:id="188"/>
      <w:bookmarkEnd w:id="18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 </w:t>
      </w:r>
      <w:bookmarkEnd w:id="19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adopted the strategy of broad differentiation to gain competitive advantage among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its rivals. Generic strategy enables organisations to focus on the features or characteristics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distinguishes their products from other competitors. For instance, Unilever uses </w:t>
      </w:r>
      <w:bookmarkStart w:id="191" w:name="_Hlk531162460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Cream Bars </w:t>
      </w:r>
      <w:bookmarkEnd w:id="191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satisfy the need of its customers that require soaps that are not hash 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drying. Using the generic strategy, Unilever aligned its vision and mission statements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supporting global sustainability and increasing vitality in consumers’ lives.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192" w:name="_Toc536546788"/>
      <w:bookmarkStart w:id="193" w:name="_Toc536548464"/>
      <w:bookmarkStart w:id="194" w:name="_Toc826274969"/>
      <w:bookmarkStart w:id="195" w:name="_Toc867628"/>
      <w:bookmarkStart w:id="196" w:name="_Toc86968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2.5.3 Critique of Porter Generic Strategies</w:t>
      </w:r>
      <w:bookmarkEnd w:id="192"/>
      <w:bookmarkEnd w:id="193"/>
      <w:bookmarkEnd w:id="194"/>
      <w:bookmarkEnd w:id="195"/>
      <w:bookmarkEnd w:id="19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generic strategies’ have the limitation of not providing relevant strategic routes in fast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developing markets (Lynch, 2003). Cost leadership presents the risk of companies focusing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on reduction of costs sometimes compromising other vital success factors, at times losing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vision of the main reason why they embarked on such strategy. Cost leadership needs high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sales volume and experience gained can be cancelled by technological changes. Finally,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competitors matching your prices and inflation can annul the perceived price differential.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197" w:name="_Toc536546789"/>
      <w:bookmarkStart w:id="198" w:name="_Toc536548465"/>
      <w:bookmarkStart w:id="199" w:name="_Toc826274970"/>
      <w:bookmarkStart w:id="200" w:name="_Toc867629"/>
      <w:bookmarkStart w:id="201" w:name="_Toc86968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2.6 Ansoff Matrix</w:t>
      </w:r>
      <w:bookmarkEnd w:id="197"/>
      <w:bookmarkEnd w:id="198"/>
      <w:bookmarkEnd w:id="199"/>
      <w:bookmarkEnd w:id="200"/>
      <w:bookmarkEnd w:id="20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Ansoff (1990) matrix is useful for organisation to tackle environmental issues when seeking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growth.                                   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Products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444365" cy="1811655"/>
            <wp:effectExtent l="0" t="0" r="0" b="0"/>
            <wp:docPr id="67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:/Users/Silvia/AppData/Roaming/PolarisOffice/ETemp/10860_11002864/image17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2215" t="10441" r="31869" b="53561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1812290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i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</w:t>
      </w:r>
      <w:bookmarkStart w:id="202" w:name="_Toc869686"/>
      <w:r>
        <w:rPr>
          <w:rStyle w:val="PO152"/>
          <w:i w:val="1"/>
          <w:color w:val="auto"/>
          <w:position w:val="0"/>
          <w:sz w:val="24"/>
          <w:szCs w:val="24"/>
          <w:shd w:val="clear" w:color="000000"/>
          <w:rFonts w:ascii="Arial" w:eastAsia="Arial" w:hAnsi="Arial" w:hint="default"/>
        </w:rPr>
        <w:t xml:space="preserve">Figure 2.5 Ansoff Matrix</w:t>
      </w:r>
      <w:bookmarkEnd w:id="202"/>
      <w:r>
        <w:rPr>
          <w:i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                     (Jobber, 2010)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 are various risks attached to a particular strategy. The adoption of a new strategy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represents its own risk. The only way to achieve market strategy is winning the competitors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(Jobber, 2010).</w:t>
      </w:r>
      <w:bookmarkStart w:id="203" w:name="_Hlk53121579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04" w:name="_Toc536546790"/>
      <w:bookmarkStart w:id="205" w:name="_Toc536548466"/>
      <w:bookmarkStart w:id="206" w:name="_Toc826274971"/>
      <w:bookmarkStart w:id="207" w:name="_Toc867630"/>
      <w:bookmarkStart w:id="208" w:name="_Toc86968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2.6.1 </w:t>
      </w:r>
      <w:bookmarkEnd w:id="20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Market Penetration (Unilever’s Primary Strategy).</w:t>
      </w:r>
      <w:bookmarkEnd w:id="204"/>
      <w:bookmarkEnd w:id="205"/>
      <w:bookmarkEnd w:id="206"/>
      <w:bookmarkEnd w:id="207"/>
      <w:bookmarkEnd w:id="20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Through market penetration, Unilever was able to achieve the intensive growth strategy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enabled its sales volume, revenue and corresponding business growth. For example, they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aggressively marketed their home care products in the United states and Canada and was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able to capture customers away from competing home care firms. Generic strategy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differentiation allowed Unilever to distinguish their products by making them more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competitive and attractive than others in the same market. The main limitation of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penetration: it does not allow for any company growth by focusing on retaining only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existing customers.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09" w:name="_Hlk531215946"/>
      <w:bookmarkStart w:id="210" w:name="_Toc536546791"/>
      <w:bookmarkStart w:id="211" w:name="_Toc536548467"/>
      <w:bookmarkStart w:id="212" w:name="_Toc826274972"/>
      <w:bookmarkStart w:id="213" w:name="_Toc867631"/>
      <w:bookmarkStart w:id="214" w:name="_Toc86968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2.6.2 </w:t>
      </w:r>
      <w:bookmarkEnd w:id="20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Product Development (Unilever’s Secondary Strategy).</w:t>
      </w:r>
      <w:bookmarkEnd w:id="210"/>
      <w:bookmarkEnd w:id="211"/>
      <w:bookmarkEnd w:id="212"/>
      <w:bookmarkEnd w:id="213"/>
      <w:bookmarkEnd w:id="21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 development means creating new product for the existing market (Edwards, 2008).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strategy can be achieved through the expansion of an existing product line with many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varieties (Jobber, 2010). A good example is Apple that extended its product line iPod with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iPod Nano, shuffle and touch, giving their customers a greater variety of choice (Jobber,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2010). Although, new product development has the benefit of reaching the customers before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other competitors, but it is expensive, time consuming and your competitors may introduce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the market products that the compensate the deficiencies of your product. Your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competitors might introduce products that fulfil the gap in your first release, practically,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making your product obsolete.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intensive growth strategy of Unilever used new product development to satisfy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needs of their customers. Using new versions or entirely new of their personal care products,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was able to increase its market share. This innovation contributed to improvement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their marketing mix and benefited them financially.</w:t>
      </w:r>
      <w:r>
        <w:rPr>
          <w:color w:val="auto"/>
          <w:position w:val="0"/>
          <w:sz w:val="48"/>
          <w:szCs w:val="48"/>
          <w:rFonts w:ascii="Arial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15" w:name="_Toc536546792"/>
      <w:bookmarkStart w:id="216" w:name="_Toc536548468"/>
      <w:bookmarkStart w:id="217" w:name="_Toc826274973"/>
      <w:bookmarkStart w:id="218" w:name="_Toc867632"/>
      <w:bookmarkStart w:id="219" w:name="_Toc86968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2.6.3 Market Development (Unilever’s Supporting Strategy)</w:t>
      </w:r>
      <w:bookmarkEnd w:id="215"/>
      <w:bookmarkEnd w:id="216"/>
      <w:bookmarkEnd w:id="217"/>
      <w:bookmarkEnd w:id="218"/>
      <w:bookmarkEnd w:id="21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Market development means creating new market for the existing product that includes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option of adding a market segment or geographical regions. The reason organisations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 new market development is to be able to manage their risks by creating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opportunities that generate extra income (Etzel, et al., 2007). The reason is that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uncertainties of market development are bigger than those of market penetration.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uses market development strategy to support its intensive growth strategy.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system they adopt is entering new market or market segments. For illustration,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opportunity of increasing their growth is marketing new products to meet customer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requirements in certain markets. In any case, Unilever is already present in all sort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consumer goods market in the whole world. The objective of Unilever’s market development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strategy is to make the brand more visible using marketing campaigns to highlight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potential benefits of its current products to capture new customers. The limitation is that it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requires entering a new market with unknown parameters and a high risk of failure.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20" w:name="_Toc536546793"/>
      <w:bookmarkStart w:id="221" w:name="_Toc536548469"/>
      <w:bookmarkStart w:id="222" w:name="_Toc826274974"/>
      <w:bookmarkStart w:id="223" w:name="_Toc867633"/>
      <w:bookmarkStart w:id="224" w:name="_Toc86969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2.6.4 Diversification (Unilever’s Supporting Strategy).</w:t>
      </w:r>
      <w:bookmarkEnd w:id="220"/>
      <w:bookmarkEnd w:id="221"/>
      <w:bookmarkEnd w:id="222"/>
      <w:bookmarkEnd w:id="223"/>
      <w:bookmarkEnd w:id="22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Among the four growth strategies, diversification is the riskiest because it entails the creation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both product and market, sometimes, the organisation may not have the core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competencies, but it can be profitable (Jobber, 2010). For example, Honda, an established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manufacturer of motorcycles to cars and Apple from making computers to iPod and iPhone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(Mitchell, 2005). There are several advantages of diversification strategy such as securing 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position in an attractive industry and reducing its business risk that leads to a good return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above industry average (Ireland et al 2013). Too much of diversification may lead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performance decline and organisation’s units in the business are divested (Hayward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Shimizu, 2006)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supports their intensive growth strategy through diversification focusing on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establishment of new businesses that will enable the company to grow. For example, from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2009 – 2010, Unilever acquired other businesses like personal care business of Sara Lee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Corporation to achieve diversification, thereby, attracting target consumers.</w:t>
      </w:r>
      <w:bookmarkStart w:id="225" w:name="_Hlk53117902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bookmarkStart w:id="226" w:name="_Hlk531598103"/>
      <w:bookmarkEnd w:id="22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Although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diversification increases the visibility of an organisation, but it is the riskiest among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generic growth strategies proposed by Ansoff because </w:t>
      </w:r>
      <w:bookmarkStart w:id="227" w:name="_Hlk53162778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it requires entering a new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with unknown parameters.</w:t>
      </w:r>
      <w:bookmarkEnd w:id="226"/>
      <w:bookmarkEnd w:id="22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28" w:name="_Toc536546794"/>
      <w:bookmarkStart w:id="229" w:name="_Toc536548470"/>
      <w:bookmarkStart w:id="230" w:name="_Toc826274975"/>
      <w:bookmarkStart w:id="231" w:name="_Toc867634"/>
      <w:bookmarkStart w:id="232" w:name="_Toc86969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2.6.5 Critique of Ansoff Matrix</w:t>
      </w:r>
      <w:bookmarkEnd w:id="228"/>
      <w:bookmarkEnd w:id="229"/>
      <w:bookmarkEnd w:id="230"/>
      <w:bookmarkEnd w:id="231"/>
      <w:bookmarkEnd w:id="23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frame work has the limitation that it must be used with other theoretical frameworks. It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useful for laying strategies for company growth, but its simplicity is generally criticised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external environmental factors are not considered. It focuses mainly on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potential instead of the resources that will enable the organisations to support the strategy.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Matrix is not appropriate for a company that its objective is survival because it outlines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only strategies for growth. The pursuit of a particular strategy does not guarantee success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decisions made based on any strategy is still subjective, therefore, increasing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risk of bias by management personnel. Another important risk is that all information used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decision making is based on forecast and this is a further risk.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233" w:name="_Toc536546795"/>
      <w:bookmarkStart w:id="234" w:name="_Toc536548471"/>
      <w:bookmarkStart w:id="235" w:name="_Toc826274976"/>
      <w:bookmarkStart w:id="236" w:name="_Toc867635"/>
      <w:bookmarkStart w:id="237" w:name="_Toc86969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2.7 Corporate Restructuring</w:t>
      </w:r>
      <w:bookmarkEnd w:id="233"/>
      <w:bookmarkEnd w:id="234"/>
      <w:bookmarkEnd w:id="235"/>
      <w:bookmarkEnd w:id="236"/>
      <w:bookmarkEnd w:id="23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Lee and Madhaven, (2010), restructuring strategy allows organisation to make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business or financial structural changes. According to Pearce and Robinson (2008)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restructure to function more efficiently based on the notion that some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activities are strategically important to their success than others. The most popular types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restructuring adopted by organisations are: business process re-engineering, downscaling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controlled business buyouts (Pearce and Robinson, 2008; Ireland et al., 2013).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Downscoping is getting rid of businesses that are not related to organisations’ core business.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Downscoping can impact positively the performance of a company than downsizing because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it enables companies to concentrate with their capabilities and resources on its core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business (Bergh and Lim, 2008).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an attempt to revive Unilever, the management launched a strategy called Path to Growth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strategy in 2000 in response to the company’s years of slow performance attributed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inadequate corporate strategy, high numbers of low-volume brands, low global presence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mediocre presence in developing markets. The aim of path to grow strategy is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achieve in five years the reduction of company’s brand portfolio to 400 core brands, much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focus on research and development of products and new markets using product innovation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fuel internal growth (Unilever.com, 2018). The strategy was adopted to build brand value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will enable Unilever to gain pricing power among its competitors.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238" w:name="_Toc536546796"/>
      <w:bookmarkStart w:id="239" w:name="_Toc536548472"/>
      <w:bookmarkStart w:id="240" w:name="_Toc826274977"/>
      <w:bookmarkStart w:id="241" w:name="_Toc867636"/>
      <w:bookmarkStart w:id="242" w:name="_Toc86969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2.9 Critique of Corporate Restructuring strategy</w:t>
      </w:r>
      <w:bookmarkEnd w:id="238"/>
      <w:bookmarkEnd w:id="239"/>
      <w:bookmarkEnd w:id="240"/>
      <w:bookmarkEnd w:id="241"/>
      <w:bookmarkEnd w:id="24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Downsizing does not always guarantee organisational performance (Ireland et al.,2013).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Employees panic wondering how they will be affected by the change causing more stress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less focus on their actual work. Employees who leave the company also leave with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experience, skills and knowledge of company projects that they possess.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Sometimes investors react negatively to a restructuring situation due to the fear of losing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money. Their reactions may have negative impact which can result in dropping of stock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prices for companies that are publicly traded. Restructuring particularly in tough economic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periods sometimes shifts company image leaving customers and the other stakeholders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questio</w:t>
      </w:r>
      <w:bookmarkStart w:id="243" w:name="_Toc53654679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ning the future of the company.</w:t>
      </w: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244" w:name="_Toc536548473"/>
      <w:bookmarkStart w:id="245" w:name="_Toc826274978"/>
      <w:bookmarkStart w:id="246" w:name="_Toc867637"/>
      <w:bookmarkStart w:id="247" w:name="_Toc86969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2.9 Business Strategic Framework</w:t>
      </w:r>
      <w:bookmarkEnd w:id="243"/>
      <w:bookmarkEnd w:id="244"/>
      <w:bookmarkEnd w:id="245"/>
      <w:bookmarkEnd w:id="246"/>
      <w:bookmarkEnd w:id="24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0"/>
          <w:szCs w:val="20"/>
          <w:rFonts w:ascii="Calibri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6007100" cy="2484120"/>
            <wp:effectExtent l="0" t="0" r="0" b="635"/>
            <wp:docPr id="92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C:/Users/Silvia/AppData/Roaming/PolarisOffice/ETemp/10860_11002864/image18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29395"/>
                    <a:stretch>
                      <a:fillRect/>
                    </a:stretch>
                  </pic:blipFill>
                  <pic:spPr>
                    <a:xfrm>
                      <a:off x="0" y="0"/>
                      <a:ext cx="6007735" cy="2484755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248" w:name="_Toc826274979"/>
      <w:bookmarkStart w:id="249" w:name="_Toc867433"/>
      <w:bookmarkStart w:id="250" w:name="_Toc869695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2.</w:t>
      </w:r>
      <w:bookmarkEnd w:id="248"/>
      <w:bookmarkEnd w:id="249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6 Business Strategic Framework</w:t>
      </w:r>
      <w:bookmarkEnd w:id="250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  (Pearson Education, 2018)</w:t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 are three steps in business strategy framework namely: strategic analysis, strategic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formulation and strategic implementation. Industries such as Unilever are impacted by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macro-environment which can be classified as remote macro-environment such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legal/political, economic, social and technological environmental factors (PESTLE). Industry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macro environment includes company, consumers and competitors (FIVE FORCES).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Strategic formulation: Competitive advantage is jointly determined by industry and firms’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effects. While the Strategic Position of a company is determined by its business strategy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composed of two primary competitive levers such as value and cost. Practically, strategic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position is based on value creation and cost, the more the gap between value and cost,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greater the competitive advantage.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Business strategy perhaps leads to competitive advantage by performing the same activity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as your competitors using different methods or performing different activities. The main cost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drivers are input factors like lower cost of raw material, money and cost of labour including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economies of scales because increased output decreases the cost of products per unit.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 methodology will be discussed in the following chapter.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251" w:name="_Toc536546798"/>
      <w:bookmarkStart w:id="252" w:name="_Toc536548474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253" w:name="_Hlk531696927"/>
      <w:bookmarkEnd w:id="251"/>
      <w:bookmarkEnd w:id="25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254" w:name="_Hlk53467350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Chapter Three: Methodology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3.0 Research Introduction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3.1 Research Objectives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main objectives of this study are: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255" w:name="_Hlk534883840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1. to investigate the external environmental issues that affect the performance of Unilever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Plc.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2. to investigate the strategies adopted by Unilever Nigeria in turbulent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periods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3.  to establish best practice suitable for organisations in turbulent times.</w:t>
      </w:r>
      <w:bookmarkEnd w:id="254"/>
      <w:bookmarkEnd w:id="25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256" w:name="_Toc536546801"/>
      <w:bookmarkStart w:id="257" w:name="_Toc536548477"/>
      <w:bookmarkStart w:id="258" w:name="_Toc826274984"/>
      <w:bookmarkStart w:id="259" w:name="_Toc867642"/>
      <w:bookmarkStart w:id="260" w:name="_Toc86969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3.2 Research Onion</w:t>
      </w:r>
      <w:bookmarkEnd w:id="256"/>
      <w:bookmarkEnd w:id="257"/>
      <w:bookmarkEnd w:id="258"/>
      <w:bookmarkEnd w:id="259"/>
      <w:bookmarkEnd w:id="26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 onion shows the required procedures to be taken in development of 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strategy (Saunders et al., 2007). The authors provided an effective progression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useful in designing research methodology in the research onion. According to Bryman (2012)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usefulness of the onion depends on its adaptability to any type of methodology.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178300" cy="3214370"/>
            <wp:effectExtent l="0" t="0" r="0" b="0"/>
            <wp:docPr id="93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:/Users/Silvia/AppData/Roaming/PolarisOffice/ETemp/10860_11002864/image19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26093" t="32226" r="38047" b="22119"/>
                    <a:stretch>
                      <a:fillRect/>
                    </a:stretch>
                  </pic:blipFill>
                  <pic:spPr>
                    <a:xfrm>
                      <a:off x="0" y="0"/>
                      <a:ext cx="4178935" cy="321500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outlineLvl w:val="0"/>
        <w:autoSpaceDE w:val="1"/>
        <w:autoSpaceDN w:val="1"/>
      </w:pPr>
      <w:r>
        <w:rPr>
          <w:color w:val="2F5496" w:themeColor="accent1" w:themeShade="BF"/>
          <w:position w:val="0"/>
          <w:sz w:val="32"/>
          <w:szCs w:val="32"/>
          <w:rFonts w:ascii="Calibri Light" w:eastAsia="Calibri Light" w:hAnsi="Calibri Light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0"/>
          <w:szCs w:val="20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0"/>
          <w:szCs w:val="20"/>
          <w:rFonts w:ascii="Arial" w:eastAsia="Times New Roman" w:hAnsi="Times New Roman" w:hint="default"/>
        </w:rPr>
        <w:t xml:space="preserve"> </w:t>
      </w: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61" w:name="_Toc536546802"/>
      <w:bookmarkStart w:id="262" w:name="_Toc536548478"/>
      <w:bookmarkStart w:id="263" w:name="_Toc826274985"/>
      <w:bookmarkStart w:id="264" w:name="_Toc867643"/>
      <w:bookmarkStart w:id="265" w:name="_Toc86969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3.2.1 Research Philosophy</w:t>
      </w:r>
      <w:bookmarkEnd w:id="261"/>
      <w:bookmarkEnd w:id="262"/>
      <w:bookmarkEnd w:id="263"/>
      <w:bookmarkEnd w:id="264"/>
      <w:bookmarkEnd w:id="26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“A research philosophy is all the beliefs concerning the nature of the reality of the subject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 studied” (Bryman, 2012). According to May (2011), the selection of research philosophy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depends on the topic to be investigated and the aims objectives. The researcher after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considering the two key ontological frameworks stated by Zikmund et al., (2013) opted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positivism instead of constructionism. The assumption of positivism is that reality does not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depend on the subject being studied, that reality exists independently. That, phenomena are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consistent between subjects (Newman, 1998). Other reasons for adopting the method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study are, its suitability for any sample size used in a quantitative analysis and is good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descriptive research projects because its standardisation facilitates the codification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gathered data but has the problem of capturing complex interplay in one measure.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66" w:name="_Toc536548479"/>
      <w:bookmarkStart w:id="267" w:name="_Toc826274986"/>
      <w:bookmarkStart w:id="268" w:name="_Toc867644"/>
      <w:bookmarkStart w:id="269" w:name="_Toc86969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3.2.2 The Deductive Research Strategy</w:t>
      </w:r>
      <w:bookmarkEnd w:id="266"/>
      <w:bookmarkEnd w:id="267"/>
      <w:bookmarkEnd w:id="268"/>
      <w:bookmarkEnd w:id="26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study considered the deductive method capable of meeting the the main objectives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 by answering all the research questions. The choice of the research method 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determined by research questions and objectives (Saunders et al., 2009). This study’s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choice of the deductive method matched the earlier choice of positivist method that gives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possibility of testing the reliability of the prevailing theories on the topic of the research.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Snieder and Larner (2009) concurred that the positivist method allows the formulation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hypotheses and the expected result can be tested statistically to an acceptable level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probability, yet the argument of some critics is that this approach lacks in encouraging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divergent thinking and has the risk of limiting the scope of creativities. </w:t>
      </w:r>
    </w:p>
    <w:p>
      <w:pPr>
        <w:pStyle w:val="PO9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color w:val="1F3863" w:themeColor="accent1" w:themeShade="7F"/>
          <w:position w:val="0"/>
          <w:sz w:val="24"/>
          <w:szCs w:val="24"/>
          <w:rFonts w:ascii="Calibri Light" w:eastAsia="Arial" w:hAnsi="Arial" w:hint="default"/>
        </w:rPr>
        <w:outlineLvl w:val="2"/>
        <w:autoSpaceDE w:val="1"/>
        <w:autoSpaceDN w:val="1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70" w:name="_Toc536546803"/>
      <w:bookmarkStart w:id="271" w:name="_Toc536548480"/>
      <w:bookmarkStart w:id="272" w:name="_Toc826274987"/>
      <w:bookmarkStart w:id="273" w:name="_Toc867645"/>
      <w:bookmarkStart w:id="274" w:name="_Toc86969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3.2.3 Strategy</w:t>
      </w:r>
      <w:bookmarkEnd w:id="270"/>
      <w:bookmarkEnd w:id="271"/>
      <w:bookmarkEnd w:id="272"/>
      <w:bookmarkEnd w:id="273"/>
      <w:bookmarkEnd w:id="27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bookmarkStart w:id="275" w:name="_Hlk531955201"/>
      <w:r>
        <w:rPr>
          <w:i w:val="1"/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Surveys</w:t>
      </w:r>
      <w:bookmarkEnd w:id="275"/>
      <w:r>
        <w:rPr>
          <w:i w:val="1"/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: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This study used survey based on questionnaire for data collection. Surveys are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suitable for quantitative research projects using a sample to represent the population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(Bryman &amp; Bell, 2011). Survey  is a convenient data gathering method for this study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provided a precise and good statistical result representing a large population. Only that, it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can allow the respondents to provide false information and some inappropriate questions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might not make it suitable for controversial issues.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i w:val="1"/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Case study research: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bookmarkStart w:id="276" w:name="_Hlk531686458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research used case study to investigate further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consequences of environmental changes on organisations</w:t>
      </w:r>
      <w:bookmarkEnd w:id="276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. According to Silverman (2013),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case study gives a comprehensive understanding of the real nature of any specimen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also enables the establishment of cultural importance and context in differences among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cases. Although, it is suitable in gaining a comprehensive knowledge of the research context,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but as an evaluation tool it has the limitations of a descriptive case study being qualitative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unreliable, suitable for only single or small clusters of projects making it impossible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results to be generalised to the entire portfolio of projects. External vs. internal validity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another weakness of case study. The problematic task of construct validity in case study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can be overcome by using multiple evidence and reviewing the draft of the case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study report using more informants (Yin 1994).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i w:val="1"/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 archival research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strategy uses existing materials to conduct the research study (Flick,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2011). The researcher used a systematic literature review to establish the sum of knowledge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on the influence of environmental factors on organisations’ performance. Using the archival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method saved a substantial amount of time, effort, and money for this research  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data are already collected.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Conversely, its limitations to this study were, previous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being incomplete that was not suitable to address certain key issues of this study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thereby, making the result of the research unreliable. The inability of the researcher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control the academic quality of the various sources of the articles used in the literature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review.</w:t>
      </w:r>
    </w:p>
    <w:p>
      <w:pPr>
        <w:pStyle w:val="PO9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color w:val="1F3863" w:themeColor="accent1" w:themeShade="7F"/>
          <w:position w:val="0"/>
          <w:sz w:val="24"/>
          <w:szCs w:val="24"/>
          <w:rFonts w:ascii="Calibri Light" w:eastAsia="Arial" w:hAnsi="Arial" w:hint="default"/>
        </w:rPr>
        <w:outlineLvl w:val="2"/>
        <w:autoSpaceDE w:val="1"/>
        <w:autoSpaceDN w:val="1"/>
      </w:pPr>
      <w:bookmarkStart w:id="277" w:name="_Toc826274988"/>
      <w:r>
        <w:rPr>
          <w:color w:val="1F3863" w:themeColor="accent1" w:themeShade="7F"/>
          <w:position w:val="0"/>
          <w:sz w:val="24"/>
          <w:szCs w:val="24"/>
          <w:rFonts w:ascii="Calibri Light" w:eastAsia="Arial" w:hAnsi="Arial" w:hint="default"/>
        </w:rPr>
        <w:t xml:space="preserve"> </w:t>
      </w:r>
      <w:bookmarkEnd w:id="277"/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78" w:name="_Toc536546804"/>
      <w:bookmarkStart w:id="279" w:name="_Toc536548481"/>
      <w:bookmarkStart w:id="280" w:name="_Toc826274989"/>
      <w:bookmarkStart w:id="281" w:name="_Toc867646"/>
      <w:bookmarkStart w:id="282" w:name="_Toc869700"/>
      <w:bookmarkStart w:id="283" w:name="_Hlk53168686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3.2.4 Research Approaches</w:t>
      </w:r>
      <w:bookmarkEnd w:id="278"/>
      <w:bookmarkEnd w:id="279"/>
      <w:bookmarkEnd w:id="280"/>
      <w:bookmarkEnd w:id="281"/>
      <w:bookmarkEnd w:id="28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 adopted mixed methods based on the research problems and the type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data required for their solution. According to Guba and Lincoln (1994), the difference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between the two is the use of numbers and statistics. Qualitative is exploratory while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quantitative is confirmatory (Dolan,1984).</w:t>
      </w:r>
      <w:bookmarkEnd w:id="28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84" w:name="_Toc536546805"/>
      <w:bookmarkStart w:id="285" w:name="_Toc536548482"/>
      <w:bookmarkStart w:id="286" w:name="_Toc826274990"/>
      <w:bookmarkStart w:id="287" w:name="_Toc867647"/>
      <w:bookmarkStart w:id="288" w:name="_Toc86970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3.2.4.1 The Qualitative Approach</w:t>
      </w:r>
      <w:bookmarkEnd w:id="284"/>
      <w:bookmarkEnd w:id="285"/>
      <w:bookmarkEnd w:id="286"/>
      <w:bookmarkEnd w:id="287"/>
      <w:bookmarkEnd w:id="28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Qualitative method is used in this research for data collection by using open ended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questions that give the respondents the possibility of giving more detailed answers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determine the effects of the environmental changes on the organisation. Qualitative method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does not allow the researchers to impose their opinion upon the participants and its main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objective is to study the participants’ own interpretation of the reality (Bryman &amp; Allen, 2011).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Qualitative method enabled this study to produce more in-depth and comprehensive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information by allowing the researcher to use subjective information and participants in the  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description of the context of the variables under study. Although, the qualitative method was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useful for this research, but it made it difficult to detect the researcher’s bias and 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establishing the reliability and validity of the procedures and information. Due to the in-dept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comprehensive data collection method required, its scope is limited in this research.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289" w:name="_Hlk531774908"/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290" w:name="_Toc536546806"/>
      <w:bookmarkStart w:id="291" w:name="_Toc536548483"/>
      <w:bookmarkStart w:id="292" w:name="_Toc826274991"/>
      <w:bookmarkStart w:id="293" w:name="_Toc867648"/>
      <w:bookmarkStart w:id="294" w:name="_Toc86970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3.2.</w:t>
      </w:r>
      <w:bookmarkEnd w:id="28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4.2 The Quantitative Approach</w:t>
      </w:r>
      <w:bookmarkEnd w:id="290"/>
      <w:bookmarkEnd w:id="291"/>
      <w:bookmarkEnd w:id="292"/>
      <w:bookmarkEnd w:id="293"/>
      <w:bookmarkEnd w:id="29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Quantitative research uses a formal, objective and systematic procedure to obtain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information using numerical data (Burns and Grove, 2005). This research used closed-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ended questionnaires for the quantitative data collection to produce numerical data that will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 analysed mathematically and statistically.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Quantitative data is considered to be reliable, easy to understand but it gives subjective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narrow results that represents a reality without providing any description. Quantitative data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pictures the symptoms and not the real problem.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295" w:name="_Toc536548484"/>
      <w:bookmarkStart w:id="296" w:name="_Toc826274992"/>
      <w:bookmarkStart w:id="297" w:name="_Toc867649"/>
      <w:bookmarkStart w:id="298" w:name="_Toc86970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3.3 Choices</w:t>
      </w:r>
      <w:bookmarkEnd w:id="295"/>
      <w:bookmarkEnd w:id="296"/>
      <w:bookmarkEnd w:id="297"/>
      <w:bookmarkEnd w:id="29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“Research onion choices comprised the mono method, the </w:t>
      </w:r>
      <w:bookmarkStart w:id="299" w:name="_Hlk53095186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mixed method, </w:t>
      </w:r>
      <w:bookmarkEnd w:id="299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the multi-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method” (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Saunders, Lewis, &amp; Thornhill, 2007). 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). In this research mixed method is used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data collection.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300" w:name="_Toc536546807"/>
      <w:bookmarkStart w:id="301" w:name="_Toc536548485"/>
      <w:bookmarkStart w:id="302" w:name="_Toc826274993"/>
      <w:bookmarkStart w:id="303" w:name="_Toc867650"/>
      <w:bookmarkStart w:id="304" w:name="_Toc86970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3.3.1 Critical Evaluation of Mixed Method</w:t>
      </w:r>
      <w:bookmarkEnd w:id="300"/>
      <w:bookmarkEnd w:id="301"/>
      <w:bookmarkEnd w:id="302"/>
      <w:bookmarkEnd w:id="303"/>
      <w:bookmarkEnd w:id="30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Although mixed method offers an-dept and comprehensive information of the problem than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either using the methods individually but due to its weakness of making the creation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design too complex, the researcher consumed a lot time in creating this study’s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design. In this study, the method complicated the planning and implementation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one method by drawing on the findings of another. The researcher transformed with difficulty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data to enable the integration of both methods during the analysis. The reason is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unequal evidence within the study might occur due to inequality between different methods,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which can make the interpretation of the results very difficult or inaccurate.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05" w:name="_Toc536546808"/>
      <w:bookmarkStart w:id="306" w:name="_Toc536548486"/>
      <w:bookmarkStart w:id="307" w:name="_Toc826274994"/>
      <w:bookmarkStart w:id="308" w:name="_Toc867651"/>
      <w:bookmarkStart w:id="309" w:name="_Toc86970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3.4 Time Horizon</w:t>
      </w:r>
      <w:bookmarkEnd w:id="305"/>
      <w:bookmarkEnd w:id="306"/>
      <w:bookmarkEnd w:id="307"/>
      <w:bookmarkEnd w:id="308"/>
      <w:bookmarkEnd w:id="30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time horizon defines the estimated time framework necessary for a project to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completed (Saunders et al., 2007). The estimated time projected for the completion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submission of this research is sixteen weeks as graphically illustrated below.</w:t>
      </w: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10" w:name="_Toc536699896"/>
      <w:bookmarkStart w:id="311" w:name="_Toc867447"/>
      <w:bookmarkStart w:id="312" w:name="_Toc867652"/>
      <w:bookmarkStart w:id="313" w:name="_Toc869706"/>
      <w:r>
        <w:rPr>
          <w:sz w:val="20"/>
        </w:rPr>
        <w:drawing>
          <wp:inline distT="0" distB="0" distL="0" distR="0">
            <wp:extent cx="5707380" cy="2973070"/>
            <wp:effectExtent l="0" t="0" r="8890" b="0"/>
            <wp:docPr id="94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C:/Users/Silvia/AppData/Roaming/PolarisOffice/ETemp/10860_11002864/image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015" cy="2973705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  <w:bookmarkEnd w:id="310"/>
      <w:bookmarkEnd w:id="311"/>
      <w:bookmarkEnd w:id="312"/>
      <w:bookmarkEnd w:id="313"/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314" w:name="_Toc867653"/>
      <w:bookmarkStart w:id="315" w:name="_Toc869707"/>
      <w:bookmarkStart w:id="316" w:name="_Toc536546810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3.2 Work plan</w:t>
      </w:r>
      <w:bookmarkStart w:id="317" w:name="_Toc536548488"/>
      <w:bookmarkEnd w:id="314"/>
      <w:bookmarkEnd w:id="315"/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color w:val="auto"/>
          <w:position w:val="0"/>
          <w:sz w:val="20"/>
          <w:szCs w:val="20"/>
          <w:rFonts w:ascii="Segoe UI" w:eastAsia="Segoe UI" w:hAnsi="Segoe UI" w:hint="default"/>
        </w:rPr>
        <w:outlineLvl w:val="1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18" w:name="_Toc826274995"/>
      <w:bookmarkStart w:id="319" w:name="_Toc867654"/>
      <w:bookmarkStart w:id="320" w:name="_Toc86970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3.5 Data Collection</w:t>
      </w:r>
      <w:bookmarkEnd w:id="316"/>
      <w:bookmarkEnd w:id="317"/>
      <w:bookmarkEnd w:id="318"/>
      <w:bookmarkEnd w:id="319"/>
      <w:bookmarkEnd w:id="32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Bryman, (2012) the gathering of data and its analysis depend on the adopted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methodological style. In this study, to ensure high reliability and validity, mixed method was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used for data collection (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Saunders, Lewis, &amp; Thornhill, 2007). 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 used questionnaire as the primary source of quantitative data collection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research. Sekaran (2003) stated that a questionnaire is a pre-formulated question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which respondents record their answers. While the primary qualitative source of data for this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is gathered through open ended questions.                         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Although, using questionnaire as data collection method has its advantages such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reducing the chance of bias because the respondents are asked the same question, its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administration is not expensive, and it facilitates the process of gathering data from many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audience. But its limitations are not to be under minded for example, the researcher found it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very difficult and time consuming to write the survey questions. Since the questionnaires can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 completed by the respondents alone, the researcher of this project cannot say for sure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who completed it due to lack of contact with respondents. The major deficiency is that due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cultural and educational background all respondents may not attribute the same meaning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 particular item or have a common understanding of a particular question. Finally, closed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ended questionnaire does not allow probing for more details, this is why the researcher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included some open-ended questions.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Saunders et al. (2006), secondary data are existing data from other studies that can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reused during other circumstances for other reasons. For example, the researcher collected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secondary data from previous works, websites and peer reviewed articles from previous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studies on similar topics. Secondary data is generated from other researchers’ work 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opinion (Newman, 1998).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While secondary data collection can be economically cheaper and rapid using information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system, but the limitations are not negligible. Secondary data must be carefully gathered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from the right sources making sure that they are linked appropriately to the study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undertaken. According to Zikmund (2013), it is very essential to examine carefully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circumstances behind the creation of the secondary data, if not it will be valueless for further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research. The researcher making use of secondary data must know the period these data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refer to.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21" w:name="_Toc536546811"/>
      <w:bookmarkStart w:id="322" w:name="_Toc536548489"/>
      <w:bookmarkStart w:id="323" w:name="_Toc826274996"/>
      <w:bookmarkStart w:id="324" w:name="_Toc867655"/>
      <w:bookmarkStart w:id="325" w:name="_Toc86970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3.6 Research Sampl</w:t>
      </w:r>
      <w:bookmarkEnd w:id="321"/>
      <w:bookmarkEnd w:id="32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e</w:t>
      </w:r>
      <w:bookmarkEnd w:id="323"/>
      <w:bookmarkEnd w:id="324"/>
      <w:bookmarkEnd w:id="32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326" w:name="_Toc536546812"/>
      <w:bookmarkStart w:id="327" w:name="_Toc536548490"/>
      <w:bookmarkStart w:id="328" w:name="_Toc826274997"/>
      <w:bookmarkStart w:id="329" w:name="_Toc867656"/>
      <w:bookmarkStart w:id="330" w:name="_Toc86971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3.6.1 Population</w:t>
      </w:r>
      <w:bookmarkEnd w:id="326"/>
      <w:bookmarkEnd w:id="327"/>
      <w:bookmarkEnd w:id="328"/>
      <w:bookmarkEnd w:id="329"/>
      <w:bookmarkEnd w:id="33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size of a sample and the method of selection in a quantitative study can be useful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establishing the reliability of the outcome of the research. The employees of Unilever were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target population. Population is the large collection of individuals or elements used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source of reference in a research study (Cooper and Schindler, 2008). The reason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choosing employees of FMCG industries is that they are involved in the process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formulating and implementing strategies.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331" w:name="_Toc536546813"/>
      <w:bookmarkStart w:id="332" w:name="_Toc536548491"/>
      <w:bookmarkStart w:id="333" w:name="_Toc826274998"/>
      <w:bookmarkStart w:id="334" w:name="_Toc867657"/>
      <w:bookmarkStart w:id="335" w:name="_Toc86971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3.6.2 Sampling Frame</w:t>
      </w:r>
      <w:bookmarkEnd w:id="331"/>
      <w:bookmarkEnd w:id="332"/>
      <w:bookmarkEnd w:id="333"/>
      <w:bookmarkEnd w:id="334"/>
      <w:bookmarkEnd w:id="33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Cooper and Schindler (2008), sample frame refers to the entire list of elements that 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closely related to the population from which the samples of a study is chosen. The sampling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frame of this study was obtained from the FMCG industry where Unilever operates.</w:t>
      </w:r>
    </w:p>
    <w:p>
      <w:pPr>
        <w:pStyle w:val="PO9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color w:val="1F3863" w:themeColor="accent1" w:themeShade="7F"/>
          <w:position w:val="0"/>
          <w:sz w:val="24"/>
          <w:szCs w:val="24"/>
          <w:rFonts w:ascii="Calibri Light" w:eastAsia="Arial" w:hAnsi="Arial" w:hint="default"/>
        </w:rPr>
        <w:outlineLvl w:val="2"/>
        <w:autoSpaceDE w:val="1"/>
        <w:autoSpaceDN w:val="1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336" w:name="_Toc536546814"/>
      <w:bookmarkStart w:id="337" w:name="_Toc536548492"/>
      <w:bookmarkStart w:id="338" w:name="_Toc826274999"/>
      <w:bookmarkStart w:id="339" w:name="_Toc867658"/>
      <w:bookmarkStart w:id="340" w:name="_Toc86971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3.6.3 Sample strategy</w:t>
      </w:r>
      <w:bookmarkEnd w:id="336"/>
      <w:bookmarkEnd w:id="337"/>
      <w:bookmarkEnd w:id="338"/>
      <w:bookmarkEnd w:id="339"/>
      <w:bookmarkEnd w:id="34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Bryman (2012) defined sample as a segment that represents the population and sample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techniques are the appropriate methods of selecting sample size for the broader study.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two types of sampling methods are probabilistic and non-probabilistic. According to Palinkas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et. al. (2015) probabilistic sampling can be classified as simple random, stratified, cluster,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systematic and multistage sampling methods. Probabilistic sampling methods is attributed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with the advantages of possessing minimum discrepancy in the data collection process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being cost effective. The limitation is the risk of selecting specific class of samples only.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Non-probability sampling method, according to Cooper and Schindler (2008) is subjective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non-random giving the interviewer the possibility of choosing the sample elements.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study, the main limitations of non-probabilistic method, it made data collection more time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consuming and expensive than the probabilistic method. The two types available are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purposive and convenience. This research used the convenience sampling technique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it can be used for both qualitative and quantitative studies while purposive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sampling can be used only in qualitative studies (Explorable.com. 2009).</w:t>
      </w:r>
      <w:r>
        <w:rPr>
          <w:color w:val="FF0000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adoption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method by the researcher facilitated data collection from different segments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organisation’s employees that are knowledgeable enough about the topic.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6"/>
          <w:szCs w:val="26"/>
          <w:rFonts w:ascii="Arial" w:eastAsia="Arial" w:hAnsi="Arial" w:hint="default"/>
        </w:rPr>
        <w:outlineLvl w:val="1"/>
        <w:autoSpaceDE w:val="1"/>
        <w:autoSpaceDN w:val="1"/>
      </w:pPr>
      <w:bookmarkStart w:id="341" w:name="_Toc536546815"/>
      <w:bookmarkStart w:id="342" w:name="_Toc536548493"/>
      <w:bookmarkStart w:id="343" w:name="_Toc826275000"/>
      <w:bookmarkStart w:id="344" w:name="_Toc867659"/>
      <w:bookmarkStart w:id="345" w:name="_Toc869713"/>
      <w:r>
        <w:rPr>
          <w:b w:val="1"/>
          <w:color w:val="000000" w:themeColor="text1"/>
          <w:position w:val="0"/>
          <w:sz w:val="26"/>
          <w:szCs w:val="26"/>
          <w:rFonts w:ascii="Arial" w:eastAsia="Arial" w:hAnsi="Arial" w:hint="default"/>
        </w:rPr>
        <w:t xml:space="preserve">3.7 Sample Size</w:t>
      </w:r>
      <w:bookmarkEnd w:id="341"/>
      <w:bookmarkEnd w:id="342"/>
      <w:bookmarkEnd w:id="343"/>
      <w:bookmarkEnd w:id="344"/>
      <w:bookmarkEnd w:id="34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Newman, (1998) stated that sample size represents the population to be studied and its size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vital in a quantitative study for the reliability of the research’s result. The sample size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research is constituted of 95 participants working in Unilever Plc Nigeria. The reason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choosing employees of Unilever mainly the managers was that they are knowledgeable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about the formulation and implementation of strategy.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46" w:name="_Toc536546816"/>
      <w:bookmarkStart w:id="347" w:name="_Toc536548494"/>
      <w:bookmarkStart w:id="348" w:name="_Toc826275001"/>
      <w:bookmarkStart w:id="349" w:name="_Toc867660"/>
      <w:bookmarkStart w:id="350" w:name="_Toc86971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3.8 Reliability and validity</w:t>
      </w:r>
      <w:bookmarkEnd w:id="346"/>
      <w:bookmarkEnd w:id="347"/>
      <w:bookmarkEnd w:id="348"/>
      <w:bookmarkEnd w:id="349"/>
      <w:bookmarkEnd w:id="35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351" w:name="_Hlk53218139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Validity is the explanation of how the data collection covers all aspects of the topic under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study (Ghauri and Gronhaug, 2005). It means basically “measuring what is intended to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measured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”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(Field, 2005). </w:t>
      </w:r>
      <w:bookmarkEnd w:id="351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research is carefully detailed using SPSS for data analysis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tables to reach a high degree of reliability and clear picture of the research findings.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specified by Saunders et al., (2007) to obtain a high reliability level if the research 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replicated the other researcher should follow accurately the same procedure used by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original researcher.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52" w:name="_Toc536546817"/>
      <w:bookmarkStart w:id="353" w:name="_Toc536548495"/>
      <w:bookmarkStart w:id="354" w:name="_Toc826275002"/>
      <w:bookmarkStart w:id="355" w:name="_Toc867661"/>
      <w:bookmarkStart w:id="356" w:name="_Toc86971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3.9. Data Analysis</w:t>
      </w:r>
      <w:bookmarkEnd w:id="352"/>
      <w:bookmarkEnd w:id="353"/>
      <w:bookmarkEnd w:id="354"/>
      <w:bookmarkEnd w:id="355"/>
      <w:bookmarkEnd w:id="35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 used descriptive statistics to transform the collected data into tables, graphs,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percentages in the presentation and interpretation of the findings</w:t>
      </w:r>
      <w:bookmarkStart w:id="357" w:name="_Hlk53218151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. Descriptive analysis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examines situations to describe the norm (Waliman, 2011). The main short shortcomings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descriptive analysis: Its main objective is description and not the determination of cause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effect, including lack of truthfulness of the participants. The researcher can pick only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information which supports her/his research hypothesis and ignoring others that do not,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might lead to bias.</w:t>
      </w:r>
      <w:bookmarkEnd w:id="35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SPSS enabled the researcher to use the following tools: correlation, regression, frequency,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percentage and crosstabulation for data analysis. The benefit of correlation is the possibility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establishing the relationship between variables. Conversely, its weaknesses are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impossibility of making casual conclusions in this study because the variables cannot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controlled. Another limitation is it required this study to use many participants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intrusiveness is usually low. Although, the regression analysis is good in establishing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relationship between the variables, but it has the weakness of using incomplete data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false conclusion that a correlation is causation.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bookmarkEnd w:id="253"/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6"/>
          <w:szCs w:val="26"/>
          <w:rFonts w:ascii="Arial" w:eastAsia="Arial" w:hAnsi="Arial" w:hint="default"/>
        </w:rPr>
        <w:outlineLvl w:val="1"/>
        <w:autoSpaceDE w:val="1"/>
        <w:autoSpaceDN w:val="1"/>
      </w:pPr>
      <w:bookmarkStart w:id="358" w:name="_Toc536548496"/>
      <w:bookmarkStart w:id="359" w:name="_Toc826275003"/>
      <w:bookmarkStart w:id="360" w:name="_Toc867662"/>
      <w:bookmarkStart w:id="361" w:name="_Toc869716"/>
      <w:r>
        <w:rPr>
          <w:b w:val="1"/>
          <w:color w:val="000000" w:themeColor="text1"/>
          <w:position w:val="0"/>
          <w:sz w:val="26"/>
          <w:szCs w:val="26"/>
          <w:rFonts w:ascii="Arial" w:eastAsia="Arial" w:hAnsi="Arial" w:hint="default"/>
        </w:rPr>
        <w:t xml:space="preserve">3.10 Limitations of the Research</w:t>
      </w:r>
      <w:bookmarkEnd w:id="358"/>
      <w:bookmarkEnd w:id="359"/>
      <w:bookmarkEnd w:id="360"/>
      <w:bookmarkEnd w:id="36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study is wholly based on Unilever Nigeria Plc and the result cannot be generalised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it does not represent the entire picture of the organisation working in more than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200 countries of the world.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non-availability of research fund allocation to this study is one the main limitation of this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research. Most of the work done or supposed to be done in this work required substantial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capital but were limited to the financial possibility of the researcher. The overall    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effectiveness and reliability of a research could be influence by insufficient finance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encountered by the researcher (Saunders et al., 2011). The sixteen-week time slot provided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the researcher was another vital factor that could challenge the accuracy of this research.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62" w:name="_Toc536546818"/>
      <w:bookmarkStart w:id="363" w:name="_Toc536548497"/>
      <w:bookmarkStart w:id="364" w:name="_Toc826275004"/>
      <w:bookmarkStart w:id="365" w:name="_Toc867663"/>
      <w:bookmarkStart w:id="366" w:name="_Toc86971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3.11 Ethical Consideration</w:t>
      </w:r>
      <w:bookmarkEnd w:id="362"/>
      <w:bookmarkEnd w:id="363"/>
      <w:bookmarkEnd w:id="364"/>
      <w:bookmarkEnd w:id="365"/>
      <w:bookmarkEnd w:id="36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this research, the privacy and anonymity of the participants were of paramount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importance and the researcher observed all the ethical principles. According to Beauchamp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Childress, (2009) autonomy, non-maleficence, beneficence and justice consideration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must form part of a research. Researchers must obtain permission from the participants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(Saunders et al., 2009). The researcher informed the participant all implications of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involvement in the study and informed them of their right of participation or withdrawal from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study without any exercise of pressure.</w:t>
      </w:r>
      <w:bookmarkStart w:id="367" w:name="_Hlk534371057"/>
      <w:bookmarkStart w:id="368" w:name="_Hlk533618017"/>
    </w:p>
    <w:p>
      <w:pPr>
        <w:numPr>
          <w:ilvl w:val="0"/>
          <w:numId w:val="0"/>
        </w:numPr>
        <w:jc w:val="left"/>
        <w:spacing w:lineRule="auto" w:line="360" w:before="0" w:after="16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The presentation and interpretation of research findings will be discussed in the following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chapter.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369" w:name="_Toc536546819"/>
      <w:bookmarkStart w:id="370" w:name="_Toc536548498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End w:id="369"/>
      <w:bookmarkEnd w:id="370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371" w:name="_bookmark37"/>
      <w:bookmarkStart w:id="372" w:name="_Toc826275005"/>
      <w:bookmarkStart w:id="373" w:name="_Toc867664"/>
      <w:bookmarkStart w:id="374" w:name="_Toc869718"/>
      <w:bookmarkStart w:id="375" w:name="_Toc536546820"/>
      <w:bookmarkStart w:id="376" w:name="_Toc536548499"/>
      <w:bookmarkEnd w:id="371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CHAPTER FOUR: Presentation and Interpretation of Findings</w:t>
      </w:r>
      <w:bookmarkEnd w:id="372"/>
      <w:bookmarkEnd w:id="373"/>
      <w:bookmarkEnd w:id="374"/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77" w:name="_Toc867665"/>
      <w:bookmarkStart w:id="378" w:name="_Toc869719"/>
      <w:bookmarkStart w:id="379" w:name="_Toc82627500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4.0 </w:t>
      </w:r>
      <w:bookmarkEnd w:id="37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Introduction</w:t>
      </w:r>
      <w:bookmarkEnd w:id="376"/>
      <w:bookmarkEnd w:id="377"/>
      <w:bookmarkEnd w:id="37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37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380" w:name="_bookmark38"/>
      <w:bookmarkEnd w:id="380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present chapter will illustrate the outcomes of the study on how environmental factors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affect the performance of FMCG organisations during turbulent periods. There are four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sections in this chapter as follows: Section one: general information. Section two: analysis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strategies of external factors. </w:t>
      </w:r>
      <w:bookmarkStart w:id="381" w:name="_Hlk534886926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Section three: Strategic analysis applied by organisation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survival. Section four: analysis of the best strategic practice. Finally, the summary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 findings and analysis.</w:t>
      </w:r>
      <w:bookmarkEnd w:id="38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82" w:name="_Toc536546821"/>
      <w:bookmarkStart w:id="383" w:name="_Toc536548500"/>
      <w:bookmarkStart w:id="384" w:name="_Toc826275007"/>
      <w:bookmarkStart w:id="385" w:name="_Toc867666"/>
      <w:bookmarkStart w:id="386" w:name="_Toc86972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 General information</w:t>
      </w:r>
      <w:bookmarkEnd w:id="382"/>
      <w:bookmarkEnd w:id="383"/>
      <w:bookmarkEnd w:id="384"/>
      <w:bookmarkEnd w:id="385"/>
      <w:bookmarkEnd w:id="38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chapter will give information regarding the response rate, participants’ age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percentage, work experience and their educational level. These variables provided different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levels of understanding the answers provided by the participants that contributed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enormously to the analysis.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response rate, 120 questionnaires were sent out, but only 95 responses were received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which implies that the research had a response rate of 79.2%. It was established that 84.2%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the participants have higher education qualification.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87" w:name="_Toc536546822"/>
      <w:bookmarkStart w:id="388" w:name="_Toc536548501"/>
      <w:bookmarkStart w:id="389" w:name="_Toc826275008"/>
      <w:bookmarkStart w:id="390" w:name="_Toc867667"/>
      <w:bookmarkStart w:id="391" w:name="_Toc86972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4.2 Age</w:t>
      </w:r>
      <w:bookmarkEnd w:id="387"/>
      <w:bookmarkEnd w:id="388"/>
      <w:bookmarkEnd w:id="389"/>
      <w:bookmarkEnd w:id="390"/>
      <w:bookmarkEnd w:id="39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Q: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Please tick your appropriate age group.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FMCG industry employs workers of different age groups, the researcher aimed 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establishing the age categories of the participants. The age groups of the respondents are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graphically represented in the figures below.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t xml:space="preserve"> </w:t>
      </w:r>
      <w:r>
        <w:rPr>
          <w:sz w:val="20"/>
        </w:rPr>
        <w:drawing>
          <wp:inline distT="0" distB="0" distL="0" distR="0">
            <wp:extent cx="5280660" cy="3736975"/>
            <wp:effectExtent l="0" t="0" r="635" b="0"/>
            <wp:docPr id="10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:/Users/Silvia/AppData/Roaming/PolarisOffice/ETemp/10860_11002864/image21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25178" t="29297" r="30722" b="8936"/>
                    <a:stretch>
                      <a:fillRect/>
                    </a:stretch>
                  </pic:blipFill>
                  <pic:spPr>
                    <a:xfrm>
                      <a:off x="0" y="0"/>
                      <a:ext cx="5281295" cy="373761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bookmarkEnd w:id="367"/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392" w:name="_Toc869722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 Age group</w:t>
      </w:r>
      <w:bookmarkEnd w:id="392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graph above represented the participants’ age ranging from 18 years to above 55 years.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group with the highest number of participants is 26 years to 35 years, seconded by 36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45 years. This implies that the FMCG industry has 77.9% workforce is between 26 to 45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years. 6.3% of above 55 years are still working probably because of the increase of pension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age, for example, in the UK t</w:t>
      </w:r>
      <w:r>
        <w:rPr>
          <w:spacing w:val="0"/>
          <w:i w:val="0"/>
          <w:b w:val="0"/>
          <w:color w:val="222222"/>
          <w:position w:val="0"/>
          <w:sz w:val="24"/>
          <w:szCs w:val="24"/>
          <w:highlight w:val="white"/>
          <w:rFonts w:ascii="Arial" w:eastAsia="Arial" w:hAnsi="Arial" w:hint="default"/>
        </w:rPr>
        <w:t xml:space="preserve">he current state pension age is 63 for women and 65 for men </w:t>
      </w:r>
      <w:r>
        <w:rPr>
          <w:spacing w:val="0"/>
          <w:i w:val="0"/>
          <w:b w:val="0"/>
          <w:color w:val="222222"/>
          <w:position w:val="0"/>
          <w:sz w:val="24"/>
          <w:szCs w:val="24"/>
          <w:highlight w:val="white"/>
          <w:rFonts w:ascii="Arial" w:eastAsia="Arial" w:hAnsi="Arial" w:hint="default"/>
        </w:rPr>
        <w:t xml:space="preserve">(www.gov.uk, 2019).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93" w:name="_Toc536548502"/>
      <w:bookmarkStart w:id="394" w:name="_Toc826275009"/>
      <w:bookmarkStart w:id="395" w:name="_Toc867668"/>
      <w:bookmarkStart w:id="396" w:name="_Toc86972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4.3 Gender</w:t>
      </w:r>
      <w:bookmarkEnd w:id="393"/>
      <w:bookmarkEnd w:id="394"/>
      <w:bookmarkEnd w:id="395"/>
      <w:bookmarkEnd w:id="39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Q: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Please tick your appropriate gender.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658995" cy="2696845"/>
            <wp:effectExtent l="0" t="0" r="9525" b="9525"/>
            <wp:docPr id="11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:/Users/Silvia/AppData/Roaming/PolarisOffice/ETemp/10860_11002864/image2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26552" t="23437" r="35911" b="17236"/>
                    <a:stretch>
                      <a:fillRect/>
                    </a:stretch>
                  </pic:blipFill>
                  <pic:spPr>
                    <a:xfrm>
                      <a:off x="0" y="0"/>
                      <a:ext cx="4659630" cy="269748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48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397" w:name="_Toc869724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4.2 Gender</w:t>
      </w:r>
      <w:bookmarkEnd w:id="39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study determined that 52.6% are women while 47.4% men. This implies that more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women are working in the management level of the FMCG industry.</w:t>
      </w: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398" w:name="_Toc536546823"/>
      <w:bookmarkStart w:id="399" w:name="_Toc536548503"/>
      <w:bookmarkStart w:id="400" w:name="_Toc826275010"/>
      <w:bookmarkStart w:id="401" w:name="_Toc867669"/>
      <w:bookmarkStart w:id="402" w:name="_Toc869725"/>
      <w:bookmarkStart w:id="403" w:name="_Hlk53437118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4.4 Years of Working Experience</w:t>
      </w:r>
      <w:bookmarkEnd w:id="398"/>
      <w:bookmarkEnd w:id="399"/>
      <w:bookmarkEnd w:id="400"/>
      <w:bookmarkEnd w:id="401"/>
      <w:bookmarkEnd w:id="40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Q: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Please tick your appropriate years of experience.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organizational decision, experience is very important at any senior management level.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Experience enables senior managers to make decisions that are beneficial to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organisation. Formulation and implementation of policies and strategies require experienced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employees to be carried out. The researcher wants to find out the reliability of strategies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 experience of the participants. Gender is the dependent variable.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following table contains the responses of the participants based on their gender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experience.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859020" cy="1572895"/>
            <wp:effectExtent l="0" t="0" r="0" b="9525"/>
            <wp:docPr id="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C:/Users/Silvia/AppData/Roaming/PolarisOffice/ETemp/10860_11002864/image23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5788" t="42045" r="34842" b="30908"/>
                    <a:stretch>
                      <a:fillRect/>
                    </a:stretch>
                  </pic:blipFill>
                  <pic:spPr>
                    <a:xfrm>
                      <a:off x="0" y="0"/>
                      <a:ext cx="4859655" cy="157353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tbl>
      <w:tblID w:val="0"/>
      <w:tblPr>
        <w:tblCellMar>
          <w:left w:w="10" w:type="dxa"/>
          <w:top w:w="0" w:type="dxa"/>
          <w:right w:w="10" w:type="dxa"/>
          <w:bottom w:w="0" w:type="dxa"/>
        </w:tblCellMar>
        <w:tblW w:w="7399" w:type="dxa"/>
        <w:tblLook w:val="000000" w:firstRow="0" w:lastRow="0" w:firstColumn="0" w:lastColumn="0" w:noHBand="0" w:noVBand="0"/>
        <w:tblLayout w:type="fixed"/>
      </w:tblPr>
      <w:tblGrid>
        <w:gridCol w:w="7399"/>
      </w:tblGrid>
      <w:tr>
        <w:trPr>
          <w:hidden w:val="0"/>
        </w:trPr>
        <w:tc>
          <w:tcPr>
            <w:tcW w:type="dxa" w:w="7399"/>
            <w:tcMar>
              <w:left w:w="99" w:type="dxa"/>
              <w:right w:w="99" w:type="dxa"/>
            </w:tcMar>
            <w:vAlign w:val="center"/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bookmarkStart w:id="404" w:name="_bookmark41"/>
            <w:bookmarkEnd w:id="403"/>
            <w:bookmarkEnd w:id="404"/>
          </w:p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16"/>
                <w:szCs w:val="16"/>
                <w:rFonts w:ascii="Calibri" w:eastAsia="Times New Roman" w:hAnsi="Times New Roman" w:hint="default"/>
              </w:rPr>
              <w:autoSpaceDE w:val="1"/>
              <w:autoSpaceDN w:val="0"/>
            </w:pPr>
            <w:r>
              <w:rPr>
                <w:sz w:val="20"/>
              </w:rPr>
              <w:drawing>
                <wp:inline distT="0" distB="0" distL="0" distR="0">
                  <wp:extent cx="5432425" cy="2393315"/>
                  <wp:effectExtent l="0" t="0" r="0" b="8890"/>
                  <wp:docPr id="113" name="Pictur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C:/Users/Silvia/AppData/Roaming/PolarisOffice/ETemp/10860_11002864/image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3060" cy="2393950"/>
                          </a:xfrm>
                          <a:prstGeom prst="rect"/>
                          <a:noFill/>
                          <a:ln cap="flat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i w:val="1"/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48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05" w:name="_Toc869726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4.3: Years of Work Experience</w:t>
      </w:r>
      <w:bookmarkEnd w:id="405"/>
    </w:p>
    <w:p>
      <w:pPr>
        <w:numPr>
          <w:ilvl w:val="0"/>
          <w:numId w:val="0"/>
        </w:numPr>
        <w:jc w:val="both"/>
        <w:spacing w:lineRule="auto" w:line="360" w:before="0" w:after="16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table above shows that 27.4% of male participants have working experience of 1 to 7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years while 40% of the female participants have working experience in the same period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male folks. 13.7% male above 55 have working experience of above 10 years, contrary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6.3% of the female that have over ten years of working experience in the FMCG industry.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implies that in the FMCG industry, there are more men with longer experience than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women, maybe because of the time-off women take to raise their families. This study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establishes that   more women are eager to work at the entry working level than men but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due to family engagements do not remain constantly in employment like their male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counterparts.</w:t>
      </w:r>
    </w:p>
    <w:p>
      <w:pPr>
        <w:numPr>
          <w:ilvl w:val="0"/>
          <w:numId w:val="0"/>
        </w:numPr>
        <w:jc w:val="left"/>
        <w:spacing w:lineRule="auto" w:line="360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06" w:name="_Toc536546824"/>
      <w:bookmarkStart w:id="407" w:name="_Toc536548504"/>
      <w:bookmarkStart w:id="408" w:name="_Toc826275011"/>
      <w:bookmarkStart w:id="409" w:name="_Toc867670"/>
      <w:bookmarkStart w:id="410" w:name="_Toc86972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4.5 Participants’ highest level of Education</w:t>
      </w:r>
      <w:bookmarkEnd w:id="406"/>
      <w:bookmarkEnd w:id="407"/>
      <w:bookmarkEnd w:id="408"/>
      <w:bookmarkEnd w:id="409"/>
      <w:bookmarkEnd w:id="41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Q:</w:t>
      </w:r>
      <w:bookmarkStart w:id="411" w:name="_Hlk532392221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Please tick your appropriate educational level.</w:t>
      </w:r>
      <w:bookmarkEnd w:id="41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the senior management level, education is very important for policy formulation.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train their employees equipping them with sufficient knowledge and expertise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help in the optimal performance of their duties. The researcher wanted to know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educational attainment of the participants and its influence on how they respond to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survey questions.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439920" cy="1449070"/>
            <wp:effectExtent l="0" t="0" r="0" b="0"/>
            <wp:docPr id="114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C:/Users/Silvia/AppData/Roaming/PolarisOffice/ETemp/10860_11002864/image25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25788" t="31007" r="31790" b="48730"/>
                    <a:stretch>
                      <a:fillRect/>
                    </a:stretch>
                  </pic:blipFill>
                  <pic:spPr>
                    <a:xfrm>
                      <a:off x="0" y="0"/>
                      <a:ext cx="4440555" cy="144970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Segoe UI" w:eastAsia="Times New Roman" w:hAnsi="Times New Roman" w:hint="default"/>
        </w:rPr>
        <w:wordWrap w:val="off"/>
        <w:autoSpaceDE w:val="1"/>
        <w:autoSpaceDN w:val="1"/>
      </w:pPr>
      <w:r>
        <w:rPr>
          <w:sz w:val="20"/>
        </w:rPr>
        <w:drawing>
          <wp:inline distT="0" distB="0" distL="0" distR="0">
            <wp:extent cx="4832350" cy="1745615"/>
            <wp:effectExtent l="0" t="0" r="0" b="9525"/>
            <wp:docPr id="115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C:/Users/Silvia/AppData/Roaming/PolarisOffice/ETemp/10860_11002864/image26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37233" t="31738" r="27518" b="35791"/>
                    <a:stretch>
                      <a:fillRect/>
                    </a:stretch>
                  </pic:blipFill>
                  <pic:spPr>
                    <a:xfrm>
                      <a:off x="0" y="0"/>
                      <a:ext cx="4832985" cy="174625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2F5496" w:themeColor="accent1" w:themeShade="BF"/>
          <w:position w:val="0"/>
          <w:sz w:val="20"/>
          <w:szCs w:val="20"/>
          <w:rFonts w:ascii="Arial" w:eastAsia="Arial" w:hAnsi="Arial" w:hint="default"/>
        </w:rPr>
        <w:outlineLvl w:val="0"/>
        <w:autoSpaceDE w:val="1"/>
        <w:autoSpaceDN w:val="1"/>
      </w:pPr>
      <w:r>
        <w:rPr>
          <w:color w:val="2F5496" w:themeColor="accent1" w:themeShade="BF"/>
          <w:position w:val="0"/>
          <w:sz w:val="24"/>
          <w:szCs w:val="24"/>
          <w:rFonts w:ascii="Calibri Light" w:eastAsia="Calibri Light" w:hAnsi="Calibri Light" w:hint="default"/>
        </w:rPr>
        <w:t xml:space="preserve"> </w:t>
      </w:r>
      <w:bookmarkStart w:id="412" w:name="_Toc869728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4.4: Participants’ Level of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 Education</w:t>
      </w:r>
      <w:bookmarkEnd w:id="412"/>
      <w:r>
        <w:rPr>
          <w:color w:val="auto"/>
          <w:position w:val="0"/>
          <w:sz w:val="20"/>
          <w:szCs w:val="20"/>
          <w:rFonts w:ascii="Arial" w:eastAsia="Arial" w:hAnsi="Arial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413" w:name="_bookmark42"/>
      <w:bookmarkEnd w:id="41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table above shows that 84.2% of the management workforce of the FMCG industry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have higher education while 15.8% of the others comprised people that entered the industry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through apprenticeship or other vocational training. The result presented above implies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management of the FMCG industry employs highly skilled people that can formulate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implement operational strategies adequately.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next section 4.2 will present the analysis on the external environmental factors affecting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FMCG industry performance.</w:t>
      </w:r>
    </w:p>
    <w:p>
      <w:pPr>
        <w:numPr>
          <w:ilvl w:val="0"/>
          <w:numId w:val="0"/>
        </w:numPr>
        <w:jc w:val="left"/>
        <w:spacing w:lineRule="auto" w:line="360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14" w:name="_Toc536546825"/>
      <w:bookmarkStart w:id="415" w:name="_Toc536548505"/>
      <w:bookmarkStart w:id="416" w:name="_Toc826275012"/>
      <w:bookmarkStart w:id="417" w:name="_Toc867671"/>
      <w:bookmarkStart w:id="418" w:name="_Toc869729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4.6 The impact of external environmental factors on the Performance of the FMCG </w:t>
      </w: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Industry</w:t>
      </w:r>
      <w:bookmarkEnd w:id="414"/>
      <w:bookmarkEnd w:id="415"/>
      <w:bookmarkEnd w:id="416"/>
      <w:bookmarkEnd w:id="417"/>
      <w:bookmarkEnd w:id="41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All organisations operate in an ever-changing business environment and their survival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depends on the smartness of their strategy formulation and its implementation. The capacity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scanning and comprehending the variable environmental factor are very essential to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operations of organizations. This section presents the outcome of different types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variables that influences positively or negatively the operations of most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organisations.</w:t>
      </w:r>
    </w:p>
    <w:p>
      <w:pPr>
        <w:numPr>
          <w:ilvl w:val="0"/>
          <w:numId w:val="0"/>
        </w:numPr>
        <w:jc w:val="left"/>
        <w:spacing w:lineRule="auto" w:line="360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419" w:name="_Toc536546826"/>
      <w:bookmarkStart w:id="420" w:name="_Toc536548506"/>
      <w:bookmarkStart w:id="421" w:name="_Toc826275013"/>
      <w:bookmarkStart w:id="422" w:name="_Toc867672"/>
      <w:bookmarkStart w:id="423" w:name="_Toc869730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4.7 The impact of Statutory Regulations on Organisation’s Performance</w:t>
      </w:r>
      <w:bookmarkEnd w:id="419"/>
      <w:bookmarkEnd w:id="420"/>
      <w:bookmarkEnd w:id="421"/>
      <w:bookmarkEnd w:id="422"/>
      <w:bookmarkEnd w:id="42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Q: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How do you think that the following environmental factors affect the performance of your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organisation?</w:t>
      </w:r>
    </w:p>
    <w:p>
      <w:pPr>
        <w:numPr>
          <w:ilvl w:val="0"/>
          <w:numId w:val="0"/>
        </w:numPr>
        <w:jc w:val="left"/>
        <w:spacing w:lineRule="auto" w:line="360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360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4601845" cy="1553845"/>
            <wp:effectExtent l="0" t="0" r="9525" b="9525"/>
            <wp:docPr id="116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C:/Users/Silvia/AppData/Roaming/PolarisOffice/ETemp/10860_11002864/image27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25941" t="21240" r="33163" b="47967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155448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5205095" cy="2507615"/>
            <wp:effectExtent l="0" t="0" r="0" b="0"/>
            <wp:docPr id="117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C:/Users/Silvia/AppData/Roaming/PolarisOffice/ETemp/10860_11002864/image28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5730" cy="2508250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48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color w:val="auto"/>
          <w:position w:val="0"/>
          <w:sz w:val="20"/>
          <w:szCs w:val="20"/>
          <w:rFonts w:ascii="Arial" w:eastAsia="Arial" w:hAnsi="Arial" w:hint="default"/>
        </w:rPr>
        <w:t xml:space="preserve"> </w:t>
      </w:r>
      <w:bookmarkStart w:id="424" w:name="_Toc869731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4.5 Compliance with Statutory Regulations</w:t>
      </w:r>
      <w:bookmarkEnd w:id="424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 asked the participants whether their organisation easily complies with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government statutory regulations. </w:t>
      </w:r>
      <w:bookmarkStart w:id="425" w:name="_Hlk534661581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89.5% agreed that their organisation complies with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government laws. </w:t>
      </w:r>
      <w:bookmarkEnd w:id="42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6.3% have doubt while 4.2% disagreed. The above chart shows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compliance to statutory regulations is very important in the FMCG industry. Industries invest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new technologies upgrading their operational systems to comply with technological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changes. Based on this result, the participants agreed that statutory regulations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uncertainty caused by political instability play important roles in the determination of how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organisations manage their daily affairs.</w:t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426" w:name="_bookmark44"/>
      <w:bookmarkEnd w:id="426"/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427" w:name="_Toc536546827"/>
      <w:bookmarkStart w:id="428" w:name="_Toc536548507"/>
      <w:bookmarkStart w:id="429" w:name="_Toc826275014"/>
      <w:bookmarkStart w:id="430" w:name="_Toc867673"/>
      <w:bookmarkStart w:id="431" w:name="_Toc869732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4.8 Economic Factors</w:t>
      </w:r>
      <w:bookmarkEnd w:id="427"/>
      <w:bookmarkEnd w:id="428"/>
      <w:bookmarkEnd w:id="429"/>
      <w:bookmarkEnd w:id="430"/>
      <w:bookmarkEnd w:id="43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table below shows that about 63.2% of the participants agreed that economic factors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affect the performance of their organisation while 11.6% were not sure. 25.3% responded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negatively.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668520" cy="1972945"/>
            <wp:effectExtent l="0" t="0" r="0" b="9525"/>
            <wp:docPr id="118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C:/Users/Silvia/AppData/Roaming/PolarisOffice/ETemp/10860_11002864/image29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25941" t="33139" r="33469" b="33106"/>
                    <a:stretch>
                      <a:fillRect/>
                    </a:stretch>
                  </pic:blipFill>
                  <pic:spPr>
                    <a:xfrm>
                      <a:off x="0" y="0"/>
                      <a:ext cx="4669155" cy="197358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32" w:name="_Toc867674"/>
      <w:bookmarkStart w:id="433" w:name="_Toc869733"/>
      <w:bookmarkStart w:id="434" w:name="_Toc536546828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4.6 High interest rate</w:t>
      </w:r>
      <w:bookmarkStart w:id="435" w:name="_Toc536548508"/>
      <w:bookmarkEnd w:id="432"/>
      <w:bookmarkEnd w:id="433"/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color w:val="auto"/>
          <w:position w:val="0"/>
          <w:sz w:val="20"/>
          <w:szCs w:val="20"/>
          <w:rFonts w:ascii="Segoe UI" w:eastAsia="Segoe UI" w:hAnsi="Segoe UI" w:hint="default"/>
        </w:rPr>
        <w:outlineLvl w:val="2"/>
        <w:autoSpaceDE w:val="1"/>
        <w:autoSpaceDN w:val="1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436" w:name="_Toc826275015"/>
      <w:bookmarkStart w:id="437" w:name="_Toc867675"/>
      <w:bookmarkStart w:id="438" w:name="_Toc869734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4.9 </w:t>
      </w:r>
      <w:bookmarkStart w:id="439" w:name="_Hlk534667744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Social Factors</w:t>
      </w:r>
      <w:bookmarkEnd w:id="434"/>
      <w:bookmarkEnd w:id="435"/>
      <w:bookmarkEnd w:id="436"/>
      <w:bookmarkEnd w:id="439"/>
      <w:bookmarkEnd w:id="437"/>
      <w:bookmarkEnd w:id="43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 sought to determine the relationship between Political Instability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Uncertainty and Social changes with correlation analysis as shown below. </w:t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Arial" w:eastAsia="Arial" w:hAnsi="Arial" w:hint="default"/>
        </w:rPr>
        <w:outlineLvl w:val="0"/>
        <w:autoSpaceDE w:val="1"/>
        <w:autoSpaceDN w:val="1"/>
      </w:pPr>
      <w:bookmarkStart w:id="440" w:name="_Toc869735"/>
      <w:r>
        <w:rPr>
          <w:color w:val="auto"/>
          <w:position w:val="0"/>
          <w:sz w:val="20"/>
          <w:szCs w:val="20"/>
          <w:rFonts w:ascii="Arial" w:eastAsia="Arial" w:hAnsi="Arial" w:hint="default"/>
        </w:rPr>
        <w:t xml:space="preserve">Table 4.7: Social factor analysis.</w:t>
      </w:r>
      <w:bookmarkEnd w:id="44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</w:t>
      </w:r>
      <w:r>
        <w:rPr>
          <w:sz w:val="20"/>
        </w:rPr>
        <w:drawing>
          <wp:inline distT="0" distB="0" distL="0" distR="0">
            <wp:extent cx="3792220" cy="1468120"/>
            <wp:effectExtent l="0" t="0" r="0" b="0"/>
            <wp:docPr id="119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C:/Users/Silvia/AppData/Roaming/PolarisOffice/ETemp/10860_11002864/image30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27161" t="33447" r="40336" b="49219"/>
                    <a:stretch>
                      <a:fillRect/>
                    </a:stretch>
                  </pic:blipFill>
                  <pic:spPr>
                    <a:xfrm>
                      <a:off x="0" y="0"/>
                      <a:ext cx="3792855" cy="146875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titlePg/>
          <w:endnotePr>
            <w:numFmt w:val="decimal"/>
            <w:numRestart w:val="continuous"/>
            <w:numStart w:val="1"/>
            <w:pos w:val="docEnd"/>
          </w:endnotePr>
          <w:footerReference w:type="default" r:id="rId35"/>
          <w:pgSz w:w="11910" w:h="16840"/>
          <w:pgMar w:top="720" w:left="1580" w:bottom="1740" w:right="500" w:gutter="0"/>
          <w:pgNumType w:fmt="decimal" w:start="0"/>
          <w:docGrid w:type="default" w:linePitch="360" w:charSpace="6144"/>
        </w:sect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value of R square of .037 shows that the national social welfare has a chance of being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affected by 3.7% increase in the nation’s political instability and uncertainty. Regression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441" w:name="_bookmark40"/>
      <w:bookmarkEnd w:id="441"/>
      <w:bookmarkEnd w:id="36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442" w:name="_Hlk53462831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analysis ascertains how strong the relationship between the politics and social welfare. 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value of .191 is the degree of the correlation.  Since the sig. value is more than 0.05,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implying that a relationship exists between political instability/Uncertainty and social welfare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changes.</w:t>
      </w:r>
      <w:bookmarkEnd w:id="442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Segoe UI" w:eastAsia="Times New Roman" w:hAnsi="Times New Roman" w:hint="default"/>
        </w:rPr>
        <w:wordWrap w:val="off"/>
        <w:autoSpaceDE w:val="1"/>
        <w:autoSpaceDN w:val="1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                                        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649470" cy="3458845"/>
            <wp:effectExtent l="0" t="0" r="0" b="9525"/>
            <wp:docPr id="127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C:/Users/Silvia/AppData/Roaming/PolarisOffice/ETemp/10860_11002864/image3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26705" t="20996" r="28433" b="25048"/>
                    <a:stretch>
                      <a:fillRect/>
                    </a:stretch>
                  </pic:blipFill>
                  <pic:spPr>
                    <a:xfrm>
                      <a:off x="0" y="0"/>
                      <a:ext cx="4650105" cy="345948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bookmarkStart w:id="443" w:name="_Hlk53462864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regression equation is developed using the figures in the above table.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Where: </w:t>
      </w:r>
      <w:bookmarkStart w:id="444" w:name="_Hlk866002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SW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represent Social Welfare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PIU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</w:t>
      </w:r>
      <w:bookmarkStart w:id="445" w:name="_Hlk53462994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political Instability and Uncertaint</w:t>
      </w:r>
      <w:bookmarkEnd w:id="44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y</w:t>
      </w:r>
      <w:bookmarkEnd w:id="44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output of this regression analysis means that social welfare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 </w:t>
      </w:r>
      <w:bookmarkStart w:id="446" w:name="_Hlk53644170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if political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Instability and Uncertainty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PIU</w:t>
      </w:r>
      <w:bookmarkEnd w:id="446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increase by one unit.</w:t>
      </w:r>
      <w:r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>Therefore,</w:t>
      </w:r>
      <w:r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social welfare will change by the sum of 0.185 unit of PIU plus the constant B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value of 3.155.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regression line equation: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SW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= 3.155+ .185PIU</w:t>
      </w:r>
      <w:bookmarkEnd w:id="44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47" w:name="_Toc536546829"/>
      <w:bookmarkStart w:id="448" w:name="_Toc536548509"/>
      <w:bookmarkStart w:id="449" w:name="_Toc826275016"/>
      <w:bookmarkStart w:id="450" w:name="_Toc867676"/>
      <w:bookmarkStart w:id="451" w:name="_Toc86973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4.10   Experience and Technological Change</w:t>
      </w:r>
      <w:bookmarkEnd w:id="447"/>
      <w:bookmarkEnd w:id="448"/>
      <w:bookmarkEnd w:id="449"/>
      <w:bookmarkEnd w:id="450"/>
      <w:bookmarkEnd w:id="45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As noted earlier in this research, most of the participants have worked in this sector for more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years and have acquired the experience to judge whether the technological improvement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leads to quality output within the shortest period using minimum resources. The tabulation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between years of working experience and technological investment is created. The chart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below shows, the relationship between the two variables.</w:t>
      </w:r>
      <w:bookmarkStart w:id="452" w:name="_bookmark45"/>
      <w:bookmarkEnd w:id="45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585460" cy="2459355"/>
            <wp:effectExtent l="0" t="0" r="0" b="0"/>
            <wp:docPr id="128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C:/Users/Silvia/AppData/Roaming/PolarisOffice/ETemp/10860_11002864/image32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6095" cy="2459990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53" w:name="_Toc869737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4.8: Employees’ Work Experience and Changes in Technology </w:t>
      </w:r>
      <w:bookmarkEnd w:id="45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graph above shows that years of working experience is directly related to employees’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recognition of the importance of technological innovation in the workplace. The result shows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88.4% of the participants voted for technological innovations while 6.3% considered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workplace technological innovations as a threat to employment or maybe because of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learning difficulties of new technologies. Only 5.3% were not sure of the role technological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innovations play in the work place. The desire for innovative technologies reduces above 10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years of working experience to 14.7% because the older generation finds it difficult to cope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with new generation technologies, therefore, they consider them to be a threat to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employment. This study shows that the desire for technological innovation grows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proportionately with working experience and decreases as the population grows older. This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implies that employees that have many years of working experience know the importance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technological innovation for organisations to remain competitive in the market than other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employees with less years of working experience.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54" w:name="_Toc826275017"/>
      <w:bookmarkStart w:id="455" w:name="_Toc867677"/>
      <w:bookmarkStart w:id="456" w:name="_Toc869738"/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4.11 Industry Competition and New Product Development</w:t>
      </w:r>
      <w:bookmarkEnd w:id="454"/>
      <w:bookmarkEnd w:id="455"/>
      <w:bookmarkEnd w:id="45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use of a suitable strategy to introduce new products into the market creates the benefit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having a competitive edge over other rivals. Organisations make huge investments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researching and developing products to best satisfy customer needs and increase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market share including their revenue. The researcher sought to establish the relationship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between industry competition with </w:t>
      </w:r>
      <w:bookmarkStart w:id="457" w:name="_Hlk534628229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new market development, diversification and new product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development </w:t>
      </w:r>
      <w:bookmarkEnd w:id="45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using correlation and regression analysis as presented in the tables below.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Arial" w:eastAsia="Arial" w:hAnsi="Arial" w:hint="default"/>
        </w:rPr>
        <w:outlineLvl w:val="0"/>
        <w:autoSpaceDE w:val="1"/>
        <w:autoSpaceDN w:val="1"/>
      </w:pPr>
      <w:bookmarkStart w:id="458" w:name="_bookmark46"/>
      <w:bookmarkStart w:id="459" w:name="_Toc869739"/>
      <w:bookmarkEnd w:id="458"/>
      <w:r>
        <w:rPr>
          <w:color w:val="auto"/>
          <w:position w:val="0"/>
          <w:sz w:val="20"/>
          <w:szCs w:val="20"/>
          <w:rFonts w:ascii="Arial" w:eastAsia="Arial" w:hAnsi="Arial" w:hint="default"/>
        </w:rPr>
        <w:t xml:space="preserve">Figure 4.9: Industry Competition and </w:t>
      </w:r>
      <w:bookmarkStart w:id="460" w:name="_Hlk534628416"/>
      <w:bookmarkStart w:id="461" w:name="_Hlk534628893"/>
      <w:r>
        <w:rPr>
          <w:color w:val="auto"/>
          <w:position w:val="0"/>
          <w:sz w:val="20"/>
          <w:szCs w:val="20"/>
          <w:rFonts w:ascii="Arial" w:eastAsia="Arial" w:hAnsi="Arial" w:hint="default"/>
        </w:rPr>
        <w:t xml:space="preserve">development new market, diversification and new product development</w:t>
      </w:r>
      <w:bookmarkEnd w:id="460"/>
      <w:bookmarkEnd w:id="461"/>
      <w:bookmarkEnd w:id="45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sz w:val="20"/>
        </w:rPr>
        <w:drawing>
          <wp:inline distT="0" distB="0" distL="0" distR="0">
            <wp:extent cx="5497195" cy="1925320"/>
            <wp:effectExtent l="0" t="0" r="9525" b="0"/>
            <wp:docPr id="129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C:/Users/Silvia/AppData/Roaming/PolarisOffice/ETemp/10860_11002864/image33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26552" t="19531" r="40030" b="50195"/>
                    <a:stretch>
                      <a:fillRect/>
                    </a:stretch>
                  </pic:blipFill>
                  <pic:spPr>
                    <a:xfrm>
                      <a:off x="0" y="0"/>
                      <a:ext cx="5497830" cy="192595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16"/>
          <w:szCs w:val="16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16"/>
          <w:szCs w:val="16"/>
          <w:rFonts w:ascii="Arial" w:eastAsia="Times New Roman" w:hAnsi="Times New Roman" w:hint="default"/>
        </w:rPr>
        <w:t xml:space="preserve">                                                  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value of R square of .040 shows that industry competition has a chance of being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influenced by 4% increase in one of the following: new market development, diversification,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new product development, corporate Restructuring. The study through the regression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analysis ascertained how the dependent and independent variables are strongly related. 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value is the degree of the correlation.  P = .288, since the value of p is more than 0.05, it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means that a strong relationship exists between industry competition and new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development, diversification, new product development, corporate Restructuring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6106795" cy="3344545"/>
            <wp:effectExtent l="0" t="0" r="9525" b="9525"/>
            <wp:docPr id="130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C:/Users/Silvia/AppData/Roaming/PolarisOffice/ETemp/10860_11002864/image34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24262" t="18311" r="19888" b="19948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34518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62" w:name="_Toc869740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4.9 Industry Competition</w:t>
      </w:r>
      <w:bookmarkEnd w:id="462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regression equation is developed using the figures in the above table.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Where: </w:t>
      </w:r>
      <w:bookmarkStart w:id="463" w:name="_Hlk866133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IC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Industry Competition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</w:t>
      </w:r>
      <w:bookmarkStart w:id="464" w:name="_Hlk534629102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NMD</w:t>
      </w:r>
      <w:bookmarkEnd w:id="464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New Market Development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      </w:t>
      </w:r>
      <w:bookmarkStart w:id="465" w:name="_Hlk534629564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D</w:t>
      </w:r>
      <w:bookmarkEnd w:id="465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Diversification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</w:t>
      </w:r>
      <w:bookmarkStart w:id="466" w:name="_Hlk534629575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NMP</w:t>
      </w:r>
      <w:bookmarkEnd w:id="466"/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New Product Development</w:t>
      </w:r>
      <w:bookmarkEnd w:id="46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           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output of this regression analysis means that industry competition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IC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 for every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increase in one unit of 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NMD, D,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NMP.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plus the constant B value of 3.501.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Therefore, the regression line equation: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IC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= 3.501+.336D+ (-.021NMP) + .253NMD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above analysis reveals that there is a significant association among FMCG industry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competition and new products development. New players compete with new ideas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 innovations to revolutionise customer preferences and perceptions, thereby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threatening the existence of the old products in the market. These results imply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the participants, competition and new products influence the daily processes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FMCG organisations.</w:t>
      </w: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67" w:name="_Toc536546831"/>
      <w:bookmarkStart w:id="468" w:name="_Toc536548511"/>
      <w:bookmarkStart w:id="469" w:name="_Toc536699920"/>
      <w:bookmarkStart w:id="470" w:name="_Toc826275018"/>
      <w:bookmarkStart w:id="471" w:name="_Toc867678"/>
      <w:bookmarkStart w:id="472" w:name="_Toc86974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4.12 Relationship between Industry competition and new market development</w:t>
      </w:r>
      <w:bookmarkEnd w:id="467"/>
      <w:bookmarkEnd w:id="468"/>
      <w:bookmarkEnd w:id="469"/>
      <w:bookmarkEnd w:id="470"/>
      <w:bookmarkEnd w:id="471"/>
      <w:bookmarkEnd w:id="47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determine whether industry competition is affects new market development,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researcher used Kendell and Spearman’s correlation coefficients analysis.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316095" cy="991870"/>
            <wp:effectExtent l="0" t="0" r="9525" b="0"/>
            <wp:docPr id="131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C:/Users/Silvia/AppData/Roaming/PolarisOffice/ETemp/10860_11002864/image35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26399" t="43213" r="37589" b="43359"/>
                    <a:stretch>
                      <a:fillRect/>
                    </a:stretch>
                  </pic:blipFill>
                  <pic:spPr>
                    <a:xfrm>
                      <a:off x="0" y="0"/>
                      <a:ext cx="4316730" cy="99250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73" w:name="_Toc869742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4.10 Industry Competition and New Market</w:t>
      </w:r>
      <w:bookmarkEnd w:id="473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above table shows that new product development is important in industry competition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with the p values more than 0.05. It implies that new product development has a strong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relationship with industry competition.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74" w:name="_Toc536546832"/>
      <w:bookmarkStart w:id="475" w:name="_Toc536548512"/>
      <w:bookmarkStart w:id="476" w:name="_Toc826275019"/>
      <w:bookmarkStart w:id="477" w:name="_Toc867679"/>
      <w:bookmarkStart w:id="478" w:name="_Toc86974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4.13 The Relationship Between Gender and New Products in the Market</w:t>
      </w:r>
      <w:bookmarkEnd w:id="474"/>
      <w:bookmarkEnd w:id="475"/>
      <w:bookmarkEnd w:id="476"/>
      <w:bookmarkEnd w:id="477"/>
      <w:bookmarkEnd w:id="47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Every innovative product has its market appeal. Most products are developed based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customers’ tastes while others are preferred after customers have tasted them and identified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quality. The researcher sought to find out how customer preferences led to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development and adoption of new products into the industry market. The critical factor used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determining tastes is gender. The outcome is represented in the figure below.</w:t>
      </w:r>
      <w:bookmarkStart w:id="479" w:name="_bookmark47"/>
      <w:bookmarkEnd w:id="47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047490" cy="1323975"/>
            <wp:effectExtent l="0" t="0" r="0" b="0"/>
            <wp:docPr id="132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C:/Users/Silvia/AppData/Roaming/PolarisOffice/ETemp/10860_11002864/fImage1331132374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2" t="46199" r="21648" b="2732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32461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80" w:name="_Toc869744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11 Gender and New Products in the Market</w:t>
      </w:r>
      <w:bookmarkEnd w:id="480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table above reveals that organisations adopt new products based on increased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customers’ change in tastes, attitude and perceptions. The result demonstrated that 81%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participants attributed to the increased change in customer preferences as the reason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adopt new product development strategy. While 18.9% were not sure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actual reason companies introduce new products to the market.</w:t>
      </w:r>
    </w:p>
    <w:p>
      <w:pPr>
        <w:pStyle w:val="PO8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color w:val="2F5496" w:themeColor="accent1" w:themeShade="BF"/>
          <w:position w:val="0"/>
          <w:sz w:val="26"/>
          <w:szCs w:val="26"/>
          <w:rFonts w:ascii="Calibri Light" w:eastAsia="Arial" w:hAnsi="Arial" w:hint="default"/>
        </w:rPr>
        <w:outlineLvl w:val="1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81" w:name="_Toc536546833"/>
      <w:bookmarkStart w:id="482" w:name="_Toc536548513"/>
      <w:bookmarkStart w:id="483" w:name="_Toc826275020"/>
      <w:bookmarkStart w:id="484" w:name="_Toc867680"/>
      <w:bookmarkStart w:id="485" w:name="_Toc86974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4.14 Organisation Performance</w:t>
      </w:r>
      <w:bookmarkEnd w:id="481"/>
      <w:bookmarkEnd w:id="482"/>
      <w:bookmarkEnd w:id="483"/>
      <w:bookmarkEnd w:id="484"/>
      <w:bookmarkEnd w:id="48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Q: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performance of our organisation is determined by environmental factors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761865" cy="3053715"/>
            <wp:effectExtent l="0" t="0" r="0" b="0"/>
            <wp:docPr id="13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C:/Users/Silvia/AppData/Roaming/PolarisOffice/ETemp/10860_11002864/image37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22737" t="26856" r="35758" b="22119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05435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86" w:name="_Toc869746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4.12: Organisation performance</w:t>
      </w:r>
      <w:bookmarkEnd w:id="48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participants were asked if the performance of their organisation is determined by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factors. 68.4% responded yes while the rest 31.6% said no. This implies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organisation’s performance is determined by environmental factors and the capability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manage its resources. 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Q: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Your organisation’s capability matches their strategies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287520" cy="1363345"/>
            <wp:effectExtent l="0" t="0" r="0" b="9525"/>
            <wp:docPr id="134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C:/Users/Silvia/AppData/Roaming/PolarisOffice/ETemp/10860_11002864/image38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25941" t="26368" r="38657" b="52881"/>
                    <a:stretch>
                      <a:fillRect/>
                    </a:stretch>
                  </pic:blipFill>
                  <pic:spPr>
                    <a:xfrm>
                      <a:off x="0" y="0"/>
                      <a:ext cx="4288155" cy="136398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487" w:name="_Hlk535234825"/>
      <w:bookmarkStart w:id="488" w:name="_Hlk535227580"/>
      <w:bookmarkEnd w:id="487"/>
      <w:bookmarkEnd w:id="48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676265" cy="2552700"/>
            <wp:effectExtent l="0" t="0" r="2540" b="0"/>
            <wp:docPr id="135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C:/Users/Silvia/AppData/Roaming/PolarisOffice/ETemp/10860_11002864/image39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26093" t="26856" r="30112" b="39941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55333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89" w:name="_Toc869747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4.13: Organisation capacity</w:t>
      </w:r>
      <w:bookmarkEnd w:id="489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When the participants were asked if their organisation matches their strategies with changes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due to turbulence environment, 84.2% responded yes while 15.8% responded negatively.</w:t>
      </w: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90" w:name="_Toc536546834"/>
      <w:bookmarkStart w:id="491" w:name="_Toc536548514"/>
      <w:bookmarkStart w:id="492" w:name="_Toc826275021"/>
      <w:bookmarkStart w:id="493" w:name="_Toc867681"/>
      <w:bookmarkStart w:id="494" w:name="_Toc86974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4.15 Predictable Social Change Effect on Organisations Operations</w:t>
      </w:r>
      <w:bookmarkEnd w:id="490"/>
      <w:bookmarkEnd w:id="491"/>
      <w:bookmarkEnd w:id="492"/>
      <w:bookmarkEnd w:id="493"/>
      <w:bookmarkEnd w:id="494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Culture as defined by Hofstede (1991) is mental programming of the society’s constituents. 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People are culturally programmed to pursue change whenever it occurs. Every change has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consequence on business environments and influences the daily operations of organisations.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Through business strategies organisations use their strengths to maximise the opportunities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minimise the threats that come with these changes. The researcher aims at assessing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how the environmental independent variables such as ethical standards, religious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orientations impact the performance of </w:t>
      </w:r>
      <w:bookmarkStart w:id="495" w:name="_Hlk53423371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organisations</w:t>
      </w:r>
      <w:bookmarkEnd w:id="49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and how organisations react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survival. The table below represents the outcomes of the study in percentages.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Q.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Your organisation always forecast social changes that they expect could affect their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business.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496" w:name="_bookmark52"/>
      <w:bookmarkEnd w:id="496"/>
      <w:r>
        <w:rPr>
          <w:sz w:val="20"/>
        </w:rPr>
        <w:drawing>
          <wp:inline distT="0" distB="0" distL="0" distR="0">
            <wp:extent cx="4916170" cy="1791970"/>
            <wp:effectExtent l="0" t="0" r="0" b="0"/>
            <wp:docPr id="136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C:/Users/Silvia/AppData/Roaming/PolarisOffice/ETemp/10860_11002864/image40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26094" t="19043" r="25839" b="55078"/>
                    <a:stretch>
                      <a:fillRect/>
                    </a:stretch>
                  </pic:blipFill>
                  <pic:spPr>
                    <a:xfrm>
                      <a:off x="0" y="0"/>
                      <a:ext cx="4916805" cy="179260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497" w:name="_Toc869749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4.14 predictable Social Changes</w:t>
      </w:r>
      <w:bookmarkEnd w:id="497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table above shows that about 81% of the participants believe that changes in social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factors also changes the way organisations operate. Contrarily, only 18.9% were not sure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whom to blame. The result of analysis implies that social changes affect the performance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FMCG industry.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498" w:name="_Toc536546835"/>
      <w:bookmarkStart w:id="499" w:name="_Toc536548515"/>
      <w:bookmarkStart w:id="500" w:name="_Toc826275022"/>
      <w:bookmarkStart w:id="501" w:name="_Toc867682"/>
      <w:bookmarkStart w:id="502" w:name="_Toc86975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4.16 Organizational Capacity Building and Adaptability</w:t>
      </w:r>
      <w:bookmarkEnd w:id="498"/>
      <w:bookmarkEnd w:id="499"/>
      <w:bookmarkEnd w:id="500"/>
      <w:bookmarkEnd w:id="501"/>
      <w:bookmarkEnd w:id="50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aim of every business is to improve its performance using lesser input to achieve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maximum output. Since, human factor is the most important element among the factors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production such as process, technology and people, organisations sought to invest in staff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capacity building. The researcher to understand the perception of the participants whether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organisation is being improved through capacity building.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Q.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Your organisation ensures that they adapt to environmental changes through the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continuous building of staff capacity.</w:t>
      </w:r>
      <w:bookmarkStart w:id="503" w:name="_bookmark56"/>
      <w:bookmarkEnd w:id="503"/>
    </w:p>
    <w:tbl>
      <w:tblID w:val="0"/>
      <w:tblPr>
        <w:tblCellMar>
          <w:left w:w="10" w:type="dxa"/>
          <w:top w:w="0" w:type="dxa"/>
          <w:right w:w="10" w:type="dxa"/>
          <w:bottom w:w="0" w:type="dxa"/>
        </w:tblCellMar>
        <w:tblW w:w="6546" w:type="dxa"/>
        <w:tblInd w:w="112" w:type="dxa"/>
        <w:tblLook w:val="000000" w:firstRow="0" w:lastRow="0" w:firstColumn="0" w:lastColumn="0" w:noHBand="0" w:noVBand="0"/>
        <w:tblLayout w:type="fixed"/>
      </w:tblPr>
      <w:tblGrid>
        <w:gridCol w:w="3285"/>
        <w:gridCol w:w="1843"/>
        <w:gridCol w:w="1418"/>
      </w:tblGrid>
      <w:tr>
        <w:trPr>
          <w:trHeight w:hRule="atleast" w:val="230"/>
          <w:hidden w:val="0"/>
        </w:trPr>
        <w:tc>
          <w:tcPr>
            <w:tcW w:type="dxa" w:w="328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>True</w:t>
            </w:r>
          </w:p>
        </w:tc>
        <w:tc>
          <w:tcPr>
            <w:tcW w:type="dxa" w:w="1843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 xml:space="preserve">      100</w:t>
            </w:r>
          </w:p>
        </w:tc>
        <w:tc>
          <w:tcPr>
            <w:tcW w:type="dxa" w:w="141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>100%</w:t>
            </w:r>
          </w:p>
        </w:tc>
      </w:tr>
      <w:tr>
        <w:trPr>
          <w:trHeight w:hRule="atleast" w:val="230"/>
          <w:hidden w:val="0"/>
        </w:trPr>
        <w:tc>
          <w:tcPr>
            <w:tcW w:type="dxa" w:w="328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>False</w:t>
            </w:r>
          </w:p>
        </w:tc>
        <w:tc>
          <w:tcPr>
            <w:tcW w:type="dxa" w:w="1843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 xml:space="preserve">      0</w:t>
            </w:r>
          </w:p>
        </w:tc>
        <w:tc>
          <w:tcPr>
            <w:tcW w:type="dxa" w:w="141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>0%</w:t>
            </w:r>
          </w:p>
        </w:tc>
      </w:tr>
      <w:tr>
        <w:trPr>
          <w:trHeight w:hRule="atleast" w:val="230"/>
          <w:hidden w:val="0"/>
        </w:trPr>
        <w:tc>
          <w:tcPr>
            <w:tcW w:type="dxa" w:w="328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b w:val="1"/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>Total</w:t>
            </w:r>
          </w:p>
        </w:tc>
        <w:tc>
          <w:tcPr>
            <w:tcW w:type="dxa" w:w="1843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b w:val="1"/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 xml:space="preserve">      95</w:t>
            </w:r>
          </w:p>
        </w:tc>
        <w:tc>
          <w:tcPr>
            <w:tcW w:type="dxa" w:w="141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b w:val="1"/>
                <w:color w:val="auto"/>
                <w:position w:val="0"/>
                <w:sz w:val="16"/>
                <w:szCs w:val="16"/>
                <w:rFonts w:ascii="Arial" w:eastAsia="Times New Roman" w:hAnsi="Times New Roman" w:hint="default"/>
              </w:rPr>
              <w:t>100%</w:t>
            </w:r>
          </w:p>
        </w:tc>
      </w:tr>
    </w:tbl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080635" cy="2560320"/>
            <wp:effectExtent l="0" t="0" r="1270" b="0"/>
            <wp:docPr id="138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C:/Users/Silvia/AppData/Roaming/PolarisOffice/ETemp/10860_11002864/image41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24873" t="30518" r="39115" b="42138"/>
                    <a:stretch>
                      <a:fillRect/>
                    </a:stretch>
                  </pic:blipFill>
                  <pic:spPr>
                    <a:xfrm>
                      <a:off x="0" y="0"/>
                      <a:ext cx="5081270" cy="256095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04" w:name="_Toc869751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4.15: Organisation Capacity Building and Adaptability</w:t>
      </w:r>
      <w:bookmarkEnd w:id="504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As shown in the table above, 100% of participants totally agreed that capacity building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staff enables organisations to adopt survival business strategies in turbulence periods.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implies that staff capacity is a necessity for FMCG organisations to ensure that they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adapt to any environmental changes and to achieve competitive advantage.</w:t>
      </w:r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outlineLvl w:val="0"/>
        <w:autoSpaceDE w:val="1"/>
        <w:autoSpaceDN w:val="1"/>
      </w:pPr>
      <w:bookmarkStart w:id="505" w:name="_bookmark60"/>
      <w:bookmarkEnd w:id="505"/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06" w:name="_Toc536546836"/>
      <w:bookmarkStart w:id="507" w:name="_Toc536548516"/>
      <w:bookmarkStart w:id="508" w:name="_Toc826275023"/>
      <w:bookmarkStart w:id="509" w:name="_Toc867683"/>
      <w:bookmarkStart w:id="510" w:name="_Toc86975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4.17 Strategic Responses engaged by Unilever in Turbulence Periods</w:t>
      </w:r>
      <w:bookmarkEnd w:id="506"/>
      <w:bookmarkEnd w:id="507"/>
      <w:bookmarkEnd w:id="508"/>
      <w:bookmarkEnd w:id="509"/>
      <w:bookmarkEnd w:id="51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 organisation is a legal entity as such has its ways and mechanisms that enable it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operate. Strategies are among the mechanisms organisations use for survival in the ever-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changing environment of the 21</w:t>
      </w:r>
      <w:r>
        <w:rPr>
          <w:vertAlign w:val="superscript"/>
          <w:color w:val="auto"/>
          <w:position w:val="0"/>
          <w:sz w:val="24"/>
          <w:szCs w:val="24"/>
          <w:rFonts w:ascii="Arial" w:eastAsia="Times New Roman" w:hAnsi="Times New Roman" w:hint="default"/>
        </w:rPr>
        <w:t>st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business world. This research sought to find the various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types of strategies firms use in their daily operations</w:t>
      </w: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color w:val="2F5496" w:themeColor="accent1" w:themeShade="BF"/>
          <w:position w:val="0"/>
          <w:sz w:val="26"/>
          <w:szCs w:val="26"/>
          <w:rFonts w:ascii="Calibri Light" w:eastAsia="Arial" w:hAnsi="Arial" w:hint="default"/>
        </w:rPr>
        <w:outlineLvl w:val="1"/>
        <w:autoSpaceDE w:val="1"/>
        <w:autoSpaceDN w:val="1"/>
      </w:pPr>
      <w:bookmarkStart w:id="511" w:name="_Toc536546837"/>
      <w:bookmarkStart w:id="512" w:name="_Toc536548517"/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13" w:name="_Toc826275024"/>
      <w:bookmarkStart w:id="514" w:name="_Toc867684"/>
      <w:bookmarkStart w:id="515" w:name="_Toc86975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4.18   Diversification</w:t>
      </w:r>
      <w:bookmarkEnd w:id="511"/>
      <w:bookmarkEnd w:id="512"/>
      <w:bookmarkEnd w:id="513"/>
      <w:bookmarkEnd w:id="514"/>
      <w:bookmarkEnd w:id="51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Q: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Has there been any business acquisition to enable diversification in your organisation?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Diversification as discussed earlier, is one of the strategies suitable for responding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changes. The researcher asked the participants if their respective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have adopted this strategy to cope with environmental changes. The table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above is used to represent how the participants responded to the question.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658995" cy="1430020"/>
            <wp:effectExtent l="0" t="0" r="9525" b="0"/>
            <wp:docPr id="139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C:/Users/Silvia/AppData/Roaming/PolarisOffice/ETemp/10860_11002864/image42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5178" t="26611" r="38352" b="48975"/>
                    <a:stretch>
                      <a:fillRect/>
                    </a:stretch>
                  </pic:blipFill>
                  <pic:spPr>
                    <a:xfrm>
                      <a:off x="0" y="0"/>
                      <a:ext cx="4659630" cy="143065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Segoe UI" w:eastAsia="Times New Roman" w:hAnsi="Times New Roman" w:hint="default"/>
        </w:rPr>
        <w:wordWrap w:val="off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4686300" cy="1971040"/>
            <wp:effectExtent l="0" t="0" r="0" b="635"/>
            <wp:docPr id="140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C:/Users/Silvia/AppData/Roaming/PolarisOffice/ETemp/10860_11002864/image43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23805" t="22705" r="35300" b="40186"/>
                    <a:stretch>
                      <a:fillRect/>
                    </a:stretch>
                  </pic:blipFill>
                  <pic:spPr>
                    <a:xfrm>
                      <a:off x="0" y="0"/>
                      <a:ext cx="4686935" cy="197167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16" w:name="_Toc869754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4.16: Diversification</w:t>
      </w:r>
      <w:bookmarkEnd w:id="516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graph above shows that according to </w:t>
      </w:r>
      <w:bookmarkStart w:id="517" w:name="_Hlk534663565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97.9% </w:t>
      </w:r>
      <w:bookmarkEnd w:id="51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the respondents, their organisations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have adopted diversification in one form or other while 2.1%% said no. The positive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responds signify the importance of business diversification as a means of increasing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portfolio and revenue of an organisation. 60% answered yes that their organisations have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done new market development as a means to increase their customer base and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revenues while 35% said no.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Q: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In your opinion, to what extent did your organisation achieve their objectives?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 further asked to the participant if in their opinion the extent the organisation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achieved their objectives. Most of the respondents believed that through diversification,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were able to meet their objectives by a large extent. Some of the participants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believed that diversification had a moderate impact on the success of their organisations.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Very few of the participants attributed the success of diversification to the performance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organisations. 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18" w:name="_Toc536546838"/>
      <w:bookmarkStart w:id="519" w:name="_Toc536548518"/>
      <w:bookmarkStart w:id="520" w:name="_Toc826275025"/>
      <w:bookmarkStart w:id="521" w:name="_Toc867685"/>
      <w:bookmarkStart w:id="522" w:name="_Toc86975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4.19 Corporate Restructuring</w:t>
      </w:r>
      <w:bookmarkEnd w:id="518"/>
      <w:bookmarkEnd w:id="519"/>
      <w:bookmarkEnd w:id="520"/>
      <w:bookmarkEnd w:id="521"/>
      <w:bookmarkEnd w:id="52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Q: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Has your organisation done recently any corporate restructuring of their business?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Corporate restructuring strategy is a suitable method of responding to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changes. The response of the participants on the adoption of restructuring strategy by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to survive in time of turbulence environmental changes is graphically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represented below.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182870" cy="1544320"/>
            <wp:effectExtent l="0" t="0" r="0" b="0"/>
            <wp:docPr id="141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C:/Users/Silvia/AppData/Roaming/PolarisOffice/ETemp/10860_11002864/image44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23499" t="47851" r="38505" b="30665"/>
                    <a:stretch>
                      <a:fillRect/>
                    </a:stretch>
                  </pic:blipFill>
                  <pic:spPr>
                    <a:xfrm>
                      <a:off x="0" y="0"/>
                      <a:ext cx="5183505" cy="154495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Segoe UI" w:eastAsia="Times New Roman" w:hAnsi="Times New Roman" w:hint="default"/>
        </w:rPr>
        <w:wordWrap w:val="off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814060" cy="3013075"/>
            <wp:effectExtent l="0" t="0" r="635" b="0"/>
            <wp:docPr id="160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C:/Users/Silvia/AppData/Roaming/PolarisOffice/ETemp/10860_11002864/image45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20295" t="31280" r="34537" b="32129"/>
                    <a:stretch>
                      <a:fillRect/>
                    </a:stretch>
                  </pic:blipFill>
                  <pic:spPr>
                    <a:xfrm>
                      <a:off x="0" y="0"/>
                      <a:ext cx="5814695" cy="301371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23" w:name="_Toc869756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4.17: Corporate Restructuring</w:t>
      </w:r>
      <w:bookmarkEnd w:id="523"/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524" w:name="_bookmark63"/>
      <w:bookmarkEnd w:id="524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message from the above table is that most FMCG organisations have undergone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corporate restructuring to survive in turbulent periods. 57.9% of the participants confirmed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their organisations have restructured to be more competitive in the industry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while 42.1% claimed that their organisations have adopted different survival strategies.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Q: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If Yes, please give description of the type of restructuring___________. Can you explain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if the objectives of the restructuring were met?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 asked the participants to state the effectiveness of corporate restructuring over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entire performance of the organisations. Some participants claimed that the strategy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helped their organisation to streamline and align business operations, resources and people.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Most participants indicated that it helped in the reorganization of business departments,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organizational structure, efficient management of the value chain and some further claimed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their organisation used downsizing to reduce operational cost and downscoping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reduce their business units.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some respondents, apart from the limitations of restructuring such as employee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lay-off, it has the capacity of increasing the efficiency of an organisation. Restructuring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improves performance because it reduces cost, increases productivity and maximizes profit.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Summarily, the respondents indicated that restructuring improves business performance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through creation of focus and clarity of new ideas.</w:t>
      </w:r>
      <w:bookmarkStart w:id="525" w:name="_Hlk53466639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Observations from most participants,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divestment helped their organisations to save cost and stabilize financial statements of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organisation, although it is one of the strategies less practiced. On the other hand,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downsizing helps organisations to maximize business outcome and asset base. Through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downsizing, organisations combine units and resources (lean production process), cost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control achieving profit maximization. Most participants claimed that new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development helped their organisations to expand their business network by reaching many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customers that increased their revenues.</w:t>
      </w:r>
      <w:bookmarkEnd w:id="52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undertake various types of operation activities such as downsizing,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divestment, product development and creation of new market to be more competitive than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rivals. This research study aims at determining from the participants whether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have responded to the ever-changing business environment using any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these activities</w:t>
      </w:r>
      <w:bookmarkStart w:id="526" w:name="_bookmark64"/>
      <w:bookmarkEnd w:id="526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Q: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Have you conducted in the recent time any of the following activities in your organisation: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creation of new product and new market?    If yes, please explain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participants were asked if their organisations have in the recent time embarked on new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 development. From the result, it implies that 100% of the organisations in the FMCG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industry have adopted product development strategy, 73.7% </w:t>
      </w:r>
      <w:bookmarkStart w:id="527" w:name="_Hlk534237910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the organisations </w:t>
      </w:r>
      <w:bookmarkEnd w:id="52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have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created a new market, 73% of the organisations have undertaken downscoping and 68%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organisations used divestment as a strategical approach to respond to turbulent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environments. The outcome of the research implies that FMCG organisations prefer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increase their performance through product development and new market than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downscoping or divestment, but the high percentages scored by downscoping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divestment might mean that organisations use these strategies to reposition themselves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market to maximise profits by capturing more market shares rather than as survival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strategies.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participants were further, asked to express how the activities affected the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operations of their organisations. Some participant sustained that product development help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organisations to expand their target market and meet the needs of their current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customers. Also, product development enabled their organisations to achieve growth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through product improvement that fits the market. Finally, most of the participants concurred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product development creates more revenue and improves the performance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organisations.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28" w:name="_Toc536546839"/>
      <w:bookmarkStart w:id="529" w:name="_Toc536548519"/>
      <w:bookmarkStart w:id="530" w:name="_Toc826275026"/>
      <w:bookmarkStart w:id="531" w:name="_Toc867686"/>
      <w:bookmarkStart w:id="532" w:name="_Toc86975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4.20 Best Practices/ tools Adopted </w:t>
      </w:r>
      <w:bookmarkStart w:id="533" w:name="_Hlk53361368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by Unilever in Turbulent Environmental Periods</w:t>
      </w:r>
      <w:bookmarkEnd w:id="533"/>
      <w:bookmarkEnd w:id="528"/>
      <w:bookmarkEnd w:id="529"/>
      <w:bookmarkEnd w:id="530"/>
      <w:bookmarkEnd w:id="531"/>
      <w:bookmarkEnd w:id="532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Every organisation has its strategic ways of survival in turbulent times. Organisations adopt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through experience acquired by knowledge sharing to choose the best practices capable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enabling them to survive the economic or organizational crisis. The researcher used this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study to find out from the study sample population the best practices adoptable by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in the turbulent times. The table below features the best strategical practices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will enhance or maintain the performance of organisations.</w:t>
      </w:r>
    </w:p>
    <w:p>
      <w:pPr>
        <w:sectPr>
          <w:endnotePr>
            <w:numFmt w:val="decimal"/>
            <w:numRestart w:val="continuous"/>
            <w:numStart w:val="1"/>
            <w:pos w:val="docEnd"/>
          </w:endnotePr>
          <w:footerReference w:type="default" r:id="rId51"/>
          <w:pgSz w:w="11910" w:h="16840"/>
          <w:pgMar w:top="1360" w:left="1580" w:bottom="2306" w:right="500" w:footer="1740" w:gutter="0"/>
          <w:pgNumType w:fmt="decimal"/>
          <w:docGrid w:type="default" w:linePitch="360" w:charSpace="6144"/>
        </w:sect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table below contained answer from the participants on the best practices of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organisations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534" w:name="_bookmark62"/>
      <w:bookmarkEnd w:id="534"/>
    </w:p>
    <w:tbl>
      <w:tblID w:val="0"/>
      <w:tblPr>
        <w:tblCellMar>
          <w:left w:w="10" w:type="dxa"/>
          <w:top w:w="0" w:type="dxa"/>
          <w:right w:w="10" w:type="dxa"/>
          <w:bottom w:w="0" w:type="dxa"/>
        </w:tblCellMar>
        <w:tblW w:w="7383" w:type="dxa"/>
        <w:tblInd w:w="220" w:type="dxa"/>
        <w:tblLook w:val="000000" w:firstRow="0" w:lastRow="0" w:firstColumn="0" w:lastColumn="0" w:noHBand="0" w:noVBand="0"/>
        <w:tblLayout w:type="fixed"/>
      </w:tblPr>
      <w:tblGrid>
        <w:gridCol w:w="5500"/>
        <w:gridCol w:w="888"/>
        <w:gridCol w:w="995"/>
      </w:tblGrid>
      <w:tr>
        <w:trPr>
          <w:trHeight w:hRule="atleast" w:val="771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</w:p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2"/>
                <w:szCs w:val="22"/>
                <w:rFonts w:ascii="Calibri" w:eastAsia="Times New Roman" w:hAnsi="Times New Roman" w:hint="default"/>
              </w:rPr>
              <w:autoSpaceDE w:val="1"/>
              <w:autoSpaceDN w:val="0"/>
            </w:pPr>
            <w:r>
              <w:rPr>
                <w:b w:val="1"/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Organisational Best Practices</w:t>
            </w:r>
          </w:p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</w:p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b w:val="1"/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TRUE</w:t>
            </w:r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</w:p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b w:val="1"/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b w:val="1"/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FALSE</w:t>
            </w:r>
          </w:p>
        </w:tc>
      </w:tr>
      <w:tr>
        <w:trPr>
          <w:trHeight w:hRule="atleast" w:val="552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2"/>
                <w:szCs w:val="22"/>
                <w:rFonts w:ascii="Calibri" w:eastAsia="Times New Roman" w:hAnsi="Times New Roman" w:hint="default"/>
              </w:rPr>
              <w:autoSpaceDE w:val="1"/>
              <w:autoSpaceDN w:val="0"/>
            </w:pPr>
            <w:bookmarkStart w:id="535" w:name="_Hlk534667318"/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Your organisation matches the capability of their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management/employees to the environmental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changes.</w:t>
            </w:r>
            <w:bookmarkEnd w:id="535"/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bookmarkStart w:id="536" w:name="_Hlk534667385"/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100%</w:t>
            </w:r>
            <w:bookmarkEnd w:id="536"/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0%</w:t>
            </w:r>
          </w:p>
        </w:tc>
      </w:tr>
      <w:tr>
        <w:trPr>
          <w:trHeight w:hRule="atleast" w:val="615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Your organisation’s capability is responsive to the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changes in the environmental.</w:t>
            </w:r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71.6%</w:t>
            </w:r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28.4%</w:t>
            </w:r>
          </w:p>
        </w:tc>
      </w:tr>
      <w:tr>
        <w:trPr>
          <w:trHeight w:hRule="atleast" w:val="738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bookmarkStart w:id="537" w:name="_Hlk534668164"/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Your organisation has good system to mitigate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risks and responds to environmental changes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according to the level/type of environmental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uncertainty</w:t>
            </w:r>
            <w:bookmarkEnd w:id="537"/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bookmarkStart w:id="538" w:name="_Hlk534668203"/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95.8%</w:t>
            </w:r>
            <w:bookmarkEnd w:id="538"/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4.2%</w:t>
            </w:r>
          </w:p>
        </w:tc>
      </w:tr>
      <w:tr>
        <w:trPr>
          <w:trHeight w:hRule="atleast" w:val="738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The strategies of your organisation are aligned to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the environmental turbulence to achieve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operational excellence.</w:t>
            </w:r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bookmarkStart w:id="539" w:name="_Hlk534667155"/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76.8%</w:t>
            </w:r>
            <w:bookmarkEnd w:id="539"/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23.2%</w:t>
            </w:r>
          </w:p>
        </w:tc>
      </w:tr>
      <w:tr>
        <w:trPr>
          <w:trHeight w:hRule="atleast" w:val="836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Your </w:t>
            </w:r>
            <w:bookmarkStart w:id="540" w:name="_Hlk534666959"/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organisation assesses their business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capability before setting future projections during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the period of environmental turbulence and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uncertainty</w:t>
            </w:r>
            <w:bookmarkEnd w:id="540"/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.</w:t>
            </w:r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bookmarkStart w:id="541" w:name="_Hlk534661173"/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73.7%</w:t>
            </w:r>
            <w:bookmarkEnd w:id="541"/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26.3%</w:t>
            </w:r>
          </w:p>
        </w:tc>
      </w:tr>
      <w:tr>
        <w:trPr>
          <w:trHeight w:hRule="atleast" w:val="572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Your organisation determines their performance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using only financial measures.</w:t>
            </w:r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60%</w:t>
            </w:r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40%</w:t>
            </w:r>
          </w:p>
        </w:tc>
      </w:tr>
      <w:tr>
        <w:trPr>
          <w:trHeight w:hRule="atleast" w:val="572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The performance of your organisation is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determined by environmental factors.</w:t>
            </w:r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65%</w:t>
            </w:r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32.6%</w:t>
            </w:r>
          </w:p>
        </w:tc>
      </w:tr>
      <w:tr>
        <w:trPr>
          <w:trHeight w:hRule="atleast" w:val="771"/>
          <w:hidden w:val="0"/>
        </w:trPr>
        <w:tc>
          <w:tcPr>
            <w:tcW w:type="dxa" w:w="5500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The success of your organisation is determined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by its capability to manage the turbulent </w:t>
            </w: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 xml:space="preserve">environmental factors.</w:t>
            </w:r>
          </w:p>
        </w:tc>
        <w:tc>
          <w:tcPr>
            <w:tcW w:type="dxa" w:w="888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67.4%</w:t>
            </w:r>
          </w:p>
        </w:tc>
        <w:tc>
          <w:tcPr>
            <w:tcW w:type="dxa" w:w="995"/>
            <w:tcMar>
              <w:left w:w="99" w:type="dxa"/>
              <w:right w:w="99" w:type="dxa"/>
            </w:tcMar>
            <w:vAlign w:val="top"/>
            <w:tcBorders>
              <w:bottom w:val="single" w:color="000000" w:sz="4"/>
              <w:left w:val="single" w:color="000000" w:sz="4"/>
              <w:right w:val="single" w:color="000000" w:sz="4"/>
              <w:top w:val="single" w:color="000000" w:sz="4"/>
            </w:tcBorders>
            <w:shd w:val="clear" w:color="000000"/>
          </w:tcPr>
          <w:p>
            <w:pPr>
              <w:numPr>
                <w:ilvl w:val="0"/>
                <w:numId w:val="0"/>
              </w:numPr>
              <w:jc w:val="both"/>
              <w:spacing w:lineRule="auto" w:line="360" w:before="0" w:after="159"/>
              <w:ind w:right="0" w:firstLine="0"/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autoSpaceDE w:val="1"/>
              <w:autoSpaceDN w:val="0"/>
            </w:pPr>
            <w:r>
              <w:rPr>
                <w:color w:val="auto"/>
                <w:position w:val="0"/>
                <w:sz w:val="24"/>
                <w:szCs w:val="24"/>
                <w:rFonts w:ascii="Arial" w:eastAsia="Times New Roman" w:hAnsi="Times New Roman" w:hint="default"/>
              </w:rPr>
              <w:t>40%</w:t>
            </w:r>
          </w:p>
        </w:tc>
      </w:tr>
    </w:tbl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42" w:name="_bookmark68"/>
      <w:bookmarkStart w:id="543" w:name="_Toc869758"/>
      <w:bookmarkEnd w:id="542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Table 4.18: The Best Strategic Practices</w:t>
      </w:r>
      <w:bookmarkEnd w:id="54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means that for organisations to endure in turbulent periods, it is imperative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assess the environment where they operate before making strategic decisions. It can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 deduced from the result that organisations make survival strategic decisions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 nature of the environmental uncertainty. Based on these results, it is 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good practice to align strategies to match the environmental turbulence level.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44" w:name="_Toc536546840"/>
      <w:bookmarkStart w:id="545" w:name="_Toc536548520"/>
      <w:bookmarkStart w:id="546" w:name="_Toc826275027"/>
      <w:bookmarkStart w:id="547" w:name="_Toc867687"/>
      <w:bookmarkStart w:id="548" w:name="_Toc86975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4.21 Environmental Uncertainty and Strategic Response</w:t>
      </w:r>
      <w:bookmarkEnd w:id="544"/>
      <w:bookmarkEnd w:id="545"/>
      <w:bookmarkEnd w:id="546"/>
      <w:bookmarkEnd w:id="547"/>
      <w:bookmarkEnd w:id="54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must learn to use their strength in the transformation of opportunities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into revenues but must be alert on the uncertainties that hide under opportunities.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Every industry has different challenges and the capability of knowing the right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strategies and their implementation.  This research sought to know if the level 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type of environmental uncertainty determines the organizational strategic response </w:t>
      </w:r>
      <w:bookmarkStart w:id="549" w:name="_Hlk533615368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using a cross tabulation between the level of education attained by the employees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the types of strategic response adopted by organisations during the periods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uncertainty.</w:t>
      </w:r>
      <w:bookmarkEnd w:id="54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740400" cy="2919095"/>
            <wp:effectExtent l="0" t="0" r="1270" b="0"/>
            <wp:docPr id="169" name="Pictur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C:/Users/Silvia/AppData/Roaming/PolarisOffice/ETemp/10860_11002864/image46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1035" cy="2919730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50" w:name="_Toc869760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Figure 4.19: Uncertainty and Strategic Response</w:t>
      </w:r>
      <w:bookmarkEnd w:id="55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outcome of this analysis is that 95.8% of the participants positively responded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their organisations have good system to mitigate risks and to responds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changes according to the level/type of environmental uncertainty. 56%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have postgraduate Education, 24.2% graduates and 14.7% with other levels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education. This implies that employees of the industry understand the importance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matching environmental uncertainty with the right survival strategies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their level of education.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Arial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2"/>
          <w:szCs w:val="22"/>
          <w:rFonts w:ascii="Arial" w:eastAsia="Times New Roman" w:hAnsi="Times New Roman" w:hint="default"/>
        </w:rPr>
        <w:t xml:space="preserve">4.5.2 Q: </w:t>
      </w:r>
      <w:r>
        <w:rPr>
          <w:color w:val="auto"/>
          <w:position w:val="0"/>
          <w:sz w:val="22"/>
          <w:szCs w:val="22"/>
          <w:rFonts w:ascii="Arial" w:eastAsia="Times New Roman" w:hAnsi="Times New Roman" w:hint="default"/>
        </w:rPr>
        <w:t xml:space="preserve">Please state how your organisation use the following activit1es?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163820" cy="1782445"/>
            <wp:effectExtent l="0" t="0" r="0" b="9525"/>
            <wp:docPr id="170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C:/Users/Silvia/AppData/Roaming/PolarisOffice/ETemp/10860_11002864/image47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26590" t="31112" r="40671" b="51072"/>
                    <a:stretch>
                      <a:fillRect/>
                    </a:stretch>
                  </pic:blipFill>
                  <pic:spPr>
                    <a:xfrm>
                      <a:off x="0" y="0"/>
                      <a:ext cx="5164455" cy="1783080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PO8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51" w:name="_bookmark78"/>
      <w:bookmarkStart w:id="552" w:name="_Toc536546841"/>
      <w:bookmarkStart w:id="553" w:name="_Toc536548521"/>
      <w:bookmarkEnd w:id="551"/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54" w:name="_Toc867688"/>
      <w:bookmarkStart w:id="555" w:name="_Toc869761"/>
      <w:bookmarkStart w:id="556" w:name="_Toc82627502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4.22 Summary of Presentation and Interpretation of Results</w:t>
      </w:r>
      <w:bookmarkEnd w:id="552"/>
      <w:bookmarkEnd w:id="553"/>
      <w:bookmarkEnd w:id="554"/>
      <w:bookmarkEnd w:id="55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 </w:t>
      </w:r>
      <w:bookmarkEnd w:id="556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chapter started with analysis of the background of the participants.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response rate, 120 questionnaires were sent out, but only 95 responses were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received which implies that the research had a response rate of 79.2%. It was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established that most of the participants have higher education qualification, with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ages starting from 18 to above 55 years.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first objective is </w:t>
      </w:r>
      <w:bookmarkStart w:id="557" w:name="_Hlk534674156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analysis of the external environmental factors that affect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Unilever’s performance.</w:t>
      </w:r>
      <w:bookmarkStart w:id="558" w:name="_Hlk876703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Environmental factors such as compliance to statutory rules,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continuous investment in new equipment, anticipated changes social attitudes due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 preferences were found to be critical to organisational performance. Other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business operating environmental factors that affect performance are political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legal factors. </w:t>
      </w:r>
      <w:bookmarkEnd w:id="558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conclusion of the first objective, the study identified technological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 also threat of new entry to the FMCG industry as external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factors that can impact negatively the performance of industry organisations.</w:t>
      </w:r>
      <w:bookmarkEnd w:id="55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second objective is analysed in this section: the strategies adopted by Unilever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turbulent periods. In the quest to identify the right strategic response suitable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responding to environmental turbulence periods, different types of strategies were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analysed. Among them, new product/market development, diversification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corporate restructuring were the most used by organisations.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Finally, this last section provided the analysis of the best strategic methods adopted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by Unilever Nigeria in turbulent environmental periods. The study indicates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make a strategic decision of survival based on the type and level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business uncertainties.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study further established that organisational success entirely depends on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following factors: capability to mitigate on risks, adequate financial controls and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capacity of its manpower. Finally, from the findings of the study, emerged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importance of environmental analysis such as scanning, monitoring, assessing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forecasting.  Before an organisation can forecast accurately, they need to first scan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environment and monitor the variables identified. Then they can assess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impact the identified variables will have on the performance of the organisation.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 outcome of the assessment a strategic decision can be made on how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achieve the forecasted objectives.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following chapter will discuss the summary and discussion of the research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findings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59" w:name="_Toc82627502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559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60" w:name="_Toc536546842"/>
      <w:bookmarkStart w:id="561" w:name="_Toc536548522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End w:id="560"/>
      <w:bookmarkEnd w:id="561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562" w:name="_bookmark80"/>
      <w:bookmarkStart w:id="563" w:name="_Toc826275030"/>
      <w:bookmarkStart w:id="564" w:name="_Toc867689"/>
      <w:bookmarkStart w:id="565" w:name="_Toc869762"/>
      <w:bookmarkStart w:id="566" w:name="_Toc536546843"/>
      <w:bookmarkStart w:id="567" w:name="_Toc536548523"/>
      <w:bookmarkEnd w:id="56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Chapter Five: </w:t>
      </w:r>
      <w:bookmarkStart w:id="568" w:name="_Hlk53677723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Summary and Discussion of Findings</w:t>
      </w:r>
      <w:bookmarkEnd w:id="568"/>
      <w:bookmarkEnd w:id="563"/>
      <w:bookmarkEnd w:id="564"/>
      <w:bookmarkEnd w:id="565"/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69" w:name="_Toc826275031"/>
      <w:bookmarkStart w:id="570" w:name="_Toc867690"/>
      <w:bookmarkStart w:id="571" w:name="_Toc86976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5.0 Introduction</w:t>
      </w:r>
      <w:bookmarkStart w:id="572" w:name="_bookmark81"/>
      <w:bookmarkEnd w:id="572"/>
      <w:bookmarkEnd w:id="566"/>
      <w:bookmarkEnd w:id="567"/>
      <w:bookmarkEnd w:id="569"/>
      <w:bookmarkEnd w:id="570"/>
      <w:bookmarkEnd w:id="57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research has the aim of investigating the external business environment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which Unilever Plc operates in turbulence periods and to ascertain how it affects its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performance including the strategic responses used in the industry to survive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turbulence periods. The key outcomes of this research are summarised here.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outcome of the study will be discussed basing on the specific three points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research.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73" w:name="_bookmark82"/>
      <w:bookmarkStart w:id="574" w:name="_Toc536546844"/>
      <w:bookmarkStart w:id="575" w:name="_Toc536548524"/>
      <w:bookmarkStart w:id="576" w:name="_Toc867691"/>
      <w:bookmarkStart w:id="577" w:name="_Toc869764"/>
      <w:bookmarkStart w:id="578" w:name="_Toc826275032"/>
      <w:bookmarkEnd w:id="573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5.1 Summary</w:t>
      </w:r>
      <w:bookmarkEnd w:id="574"/>
      <w:bookmarkEnd w:id="575"/>
      <w:bookmarkEnd w:id="576"/>
      <w:bookmarkEnd w:id="57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57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579" w:name="_Hlk877170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research study investigated the external competitive environment in which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Plc operates and to ascertain how it affects its performance including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strategical responses of organisation in turbulence periods. The objectives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present research were: to investigate the external environmental issues that affect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performance of Unilever Plc, to investigate the strategies adopted by Unilever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Nigeria in turbulent environment periods and to establish best methods suitable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in during the period of turbulence.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this study, the researcher used semi-structured questionnaires to collect primary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data from the employees of Unilever Nigeria. The population sample size of this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study was 95 in which 40 from the management and 55 from non-management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levels. The participation of the respondents was voluntary and that determined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prominently the population of the participants. Through a senior management staff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organisation the questionnaires were distributed to the other participants via e-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mail and responses were later forwandered to the researcher. For analysis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interpretations, the researcher used SPSS for statistical calculations such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frequency distribution, correlations analysis, analyses of variance (ANOVA)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cross-tabulations to draw conclusions on the findings</w:t>
      </w:r>
      <w:bookmarkStart w:id="580" w:name="_Hlk866321"/>
      <w:bookmarkEnd w:id="580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From the findings of this research study, some of the causes of turbulence that affect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are external environmental factors, for example, political instability,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government regulations, high interest and inflation rates etcetera. The study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established also the importance of compliance to statutory regulations in the FMCG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industry . Statutory regulations force organisations to invest in new technologies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match the technological changes in the industry and society. Another indication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study is the strong relationship between FMCG industry competition and new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 development. New competitors come to the market with new products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service having the intention to give customers something different from what they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usually obtain from the old products in the market. They offer innovative products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with the intention of changing customer’s perceptions and attitudes towards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existing products in the market.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findings indicated that organisations, in response to the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turbulence adopt strategies such as: diversification of business, corporate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restructuring, new product development and creation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of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new market. Another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important recognition from the study is the assessment of the current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position before setting strategical future direction in times of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turbulence. This statement was supported by 73.7%% of the participant that the type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environmental uncertainty determines the type of survival strategic decisions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make.  </w:t>
      </w:r>
      <w:bookmarkEnd w:id="579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581" w:name="_Toc536546845"/>
      <w:bookmarkStart w:id="582" w:name="_Toc536548525"/>
      <w:bookmarkStart w:id="583" w:name="_Toc826275033"/>
      <w:bookmarkStart w:id="584" w:name="_Toc867692"/>
      <w:bookmarkStart w:id="585" w:name="_Toc86976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5.2 Research discussion of the findings</w:t>
      </w:r>
      <w:bookmarkEnd w:id="581"/>
      <w:bookmarkEnd w:id="582"/>
      <w:bookmarkEnd w:id="583"/>
      <w:bookmarkEnd w:id="584"/>
      <w:bookmarkEnd w:id="58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586" w:name="_Toc536546846"/>
      <w:bookmarkStart w:id="587" w:name="_Toc536548526"/>
      <w:bookmarkStart w:id="588" w:name="_Toc536613409"/>
      <w:bookmarkStart w:id="589" w:name="_Toc826275034"/>
      <w:bookmarkStart w:id="590" w:name="_Toc867693"/>
      <w:bookmarkStart w:id="591" w:name="_Toc86976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5.2.1 Competitive Environment and Organisational Performance</w:t>
      </w:r>
      <w:bookmarkEnd w:id="586"/>
      <w:bookmarkEnd w:id="587"/>
      <w:bookmarkEnd w:id="588"/>
      <w:bookmarkEnd w:id="589"/>
      <w:bookmarkEnd w:id="590"/>
      <w:bookmarkEnd w:id="59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From the findings, 89.5% of the participants agreed that their organisation complies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with government laws. Pearce and Robinson (2009), government laws on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regulations are sometimes restrictive, they have a tendency of reducing potential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profits of organisations. Contrarily, Ireland et al (2013) disagreed and argued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they can improve some society factors like attitudes, customers’ perception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trends including some of the external environmental factors that affect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organisations’ performance. According to Kane (2012), regulations encourages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 confidence  that can turn into customer loyalty resulting to good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 performance.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findings indicated that FMCG industry performance depends on the economic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factors and this was confirmed by </w:t>
      </w:r>
      <w:r>
        <w:rPr>
          <w:color w:val="000000" w:themeColor="text1"/>
          <w:position w:val="0"/>
          <w:sz w:val="24"/>
          <w:szCs w:val="24"/>
          <w:rFonts w:ascii="Arial" w:eastAsia="Times New Roman" w:hAnsi="Times New Roman" w:hint="default"/>
        </w:rPr>
        <w:t xml:space="preserve">63.2%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the participants claiming that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high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interest and inflation rates influence the performance of their organisations.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outcome agrees with Boyd and Champ (2003)‘s argument, that economic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development of a nation is affected by inflation. These findings imply that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performance of FMCG organisations are affected by the country’s economic situation. 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percentage means that the performance of the FMCG industry does not rely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wholly on the economy. FMCG organisations are the producers of essential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commodities for daily consumption and people do not stop eating or using hygiene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products due to a bad economy. 37.8% of their performance depends mainly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other variables such as their capability of making and implementing strategies. From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findings 77% of the participants retained their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capable of aligning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strategies so that it will match the external turbulence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environment. Also, 79%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participants claimed that social factors like the change of consumption pattern,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tastes and lifestyle influence organisation performance. From the study, it emerged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consumers are in control of their buying habit. Since there is no cost to switch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from a brand to another, the consumers demand for improvement in products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services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brand loyalty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>.</w:t>
      </w:r>
      <w:r>
        <w:rPr>
          <w:b w:val="1"/>
          <w:color w:val="FF0000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000000" w:themeColor="text1"/>
          <w:position w:val="0"/>
          <w:sz w:val="24"/>
          <w:szCs w:val="24"/>
          <w:rFonts w:ascii="Arial" w:eastAsia="Times New Roman" w:hAnsi="Times New Roman" w:hint="default"/>
        </w:rPr>
        <w:t xml:space="preserve">Khan (2014)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stated that organisations that offer high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quality services to their customers will gain their loyalty. 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 strong connection exists between legal and technological dimensions as emerged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from the outcomes of this research study. This implies that the FMCG firms invest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technologies and update their systems according to the statutory regulations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survive through technological changes. Technology enables the FMCG organisations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register more profits by reducing certain production costs. Organisations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adopt technological innovations have the benefit of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capturing higher market share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earning high returns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than those that do not (Ireland et al., 2013). According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77% of the participants, organisations should always improve their operation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processes and innovate their systems to attain operational excellence. In support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findings, Pearson and Robinson (2009) stated that continuous scanning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external environment will enable organisations to identify new emerging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technological innovations that would grant them the opportunity to be more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competitive than their rivalries. </w:t>
      </w:r>
      <w:r>
        <w:rPr>
          <w:color w:val="000000" w:themeColor="text1"/>
          <w:position w:val="0"/>
          <w:sz w:val="24"/>
          <w:szCs w:val="24"/>
          <w:rFonts w:ascii="Arial" w:eastAsia="Times New Roman" w:hAnsi="Times New Roman" w:hint="default"/>
        </w:rPr>
        <w:t xml:space="preserve">Buchanan and Huczynski (1997),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improvement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productivity through technical innovation leads to lower prices. The limitation of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technology is employees’ role substitution, the replacement of employees with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technology.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correlation analysis, Kendall's tau and Spearman correlation coefficient were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adopted in measuring the relationship between competition and new products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development. With p value bigger than the set correlation significance p = 0.05. It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implies that there is an association between the dependent and the independent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variables. It means that competition in the industry will push FMCG organisations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 new products to gain competitive edge over other rivalries. This agrees with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Porter (2008), industry rivalry among existing organisations can be in form of new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 development.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592" w:name="_Toc536546847"/>
      <w:bookmarkStart w:id="593" w:name="_Toc536548527"/>
      <w:bookmarkStart w:id="594" w:name="_Toc536613410"/>
      <w:bookmarkStart w:id="595" w:name="_Toc867694"/>
      <w:bookmarkStart w:id="596" w:name="_Toc869767"/>
      <w:bookmarkStart w:id="597" w:name="_Toc82627503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5.2.2 Strategies Adopted by Unilever Nigeria in turbulent Environmental </w:t>
      </w: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periods</w:t>
      </w:r>
      <w:bookmarkEnd w:id="592"/>
      <w:bookmarkEnd w:id="593"/>
      <w:bookmarkEnd w:id="594"/>
      <w:bookmarkEnd w:id="595"/>
      <w:bookmarkEnd w:id="59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59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 response of 98% of the participants, Unilever has adopted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diversification from the conventional method.  This shows that Unilever is ready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risk trading in areas where they lack core competence. Jobber (2011), diversification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one of the riskiest business growth strategy because sometimes it requires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acting outside their core competence. Most of the participants believe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their organisations have achieved success through diversification. While some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claimed that the success obtained was to a moderate extent. Very few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participants said that diversification is not rewarding maybe because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 is doing a business that is unfamiliar and full of inevitable risks. 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fear of business fiasco was confirmed by Wowak and Hambricks (2010) claiming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if an organisation governance mechanism is weak, over diversification might fail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yield average returns.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When asked whether their organisations have undertaken product development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recent times, 100% of the participants responded yes. This implies that there is 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connection between new product development and organisations’ performance.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Product development helps organisations to expand their target market. It also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enables organisations to match the taste of their current customers and increase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customer database. This finding agrees with Etzel et al. (2007)’s theory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develop new products to give the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customers varieties of products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choose from. Organisations increase their business portfolio for more profit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improved performance by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offering new products that fit the market.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findings showed that Unilever through the new market creation has responded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aggressively to the changing environment. 63% of the participants concurred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has undertaken new market creation. Most participants claimed that new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market development helped their organisations to expand their business network by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reaching many customers. This implies that new market development impacts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positively the performance of organisations. New market development helps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to expand their target market by tapping into previously unexploited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markets. This result fits with</w:t>
      </w: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Perreault et al. (2011)’s statement that through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development, organisation push their current products and services to new markets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improve their visibility thereby, increasing their sales. The benefits of new market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creation, it helps in the acquisition of new customers, improve business results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increases product visibility, product range and incomes. The main limitation of new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market development is the uncertainties caused by different national cultures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influence consumers’ behaviours.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Observations from most participants, divestment helped their organisations to save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cost and stabilize financial statements of their organisation, although it is one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strategies less practiced. This outcome agrees with the finding of Bergh and Lim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(2008)’s that divestment   positively impacts the performance of an organisation by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allowing it to concentrate only on its core business.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On the other hand, downsizing helps organisations to maximize business outcome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asset base. Through downsizing, organisations combine units and resources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(lean production process), cost control achieving maximum profit. In contradiction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finding, the theory of Ireland et al (2013) states that organisations do not always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achieve good performance through downsizing.  </w:t>
      </w:r>
    </w:p>
    <w:p>
      <w:pPr>
        <w:numPr>
          <w:ilvl w:val="0"/>
          <w:numId w:val="0"/>
        </w:numPr>
        <w:jc w:val="both"/>
        <w:spacing w:lineRule="auto" w:line="48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598" w:name="_Toc536546848"/>
      <w:bookmarkStart w:id="599" w:name="_Toc536548528"/>
      <w:bookmarkStart w:id="600" w:name="_Toc536613411"/>
      <w:bookmarkStart w:id="601" w:name="_Toc826275036"/>
      <w:bookmarkStart w:id="602" w:name="_Toc867695"/>
      <w:bookmarkStart w:id="603" w:name="_Toc86976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5.2.3 Strategy in Turbulent Environmental Periods</w:t>
      </w:r>
      <w:bookmarkEnd w:id="598"/>
      <w:bookmarkEnd w:id="599"/>
      <w:bookmarkEnd w:id="600"/>
      <w:bookmarkEnd w:id="601"/>
      <w:bookmarkEnd w:id="602"/>
      <w:bookmarkEnd w:id="60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indication from the findings of this research is that it is important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to assess their current position before making any future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decision in times of environmental turbulence and uncertainty. This is confirmed by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74% of the participants, that their organisation assesses their business capability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before setting future projections during the period of environmental turbulence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uncertainty. Perrot (2011) agrees with this finding by claiming that the formulation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implementation of strategy must match the level of the turbulence. The study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also determined the importance of aligning the organisation’s strategies to match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turbulence as claimed by 77% of the participants. This agrees with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Ansoff and McDonnell (1990) postulation that an organisation’s strategy must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aligned to the environmental turbulence to achieve optimal return on its investments.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Hundred percent (100%) of the participants agreed that their organisations match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management/employees’ capability to the environmental changes. According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Ansoff and McDonnell (1990), it is important for organisations to match general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management capability to their strategies in other to achieve optimum return on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investments. The success of any organisation in turbulent times depends on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adequacy of the survival measures adopted to ensure optimum returns.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 tried to establish how the dependent and the independent variables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are related, for example: a dependent variable– Social Factors and independent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variables- Political Instability and Uncertainty. The model summary of the correlation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analysis revealed the relationship between the dependent and the independent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variables. R=0 .037, this infers that 3.7% changes in social welfare in turbulent times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is credited to changes in Political Instability and Uncertainty. 96% of the participants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said that their organisation has good system to mitigate risks and responds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changes according to the level/type of environmental uncertainty. If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organisations do not manage adequately environmental risks, it may lead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business fiasco or huge loss of profits (Burnaby and Hass, 2009). Contrarily, </w:t>
      </w:r>
      <w:r>
        <w:rPr>
          <w:color w:val="000000" w:themeColor="text1"/>
          <w:position w:val="0"/>
          <w:sz w:val="24"/>
          <w:szCs w:val="24"/>
          <w:rFonts w:ascii="Arial" w:eastAsia="Times New Roman" w:hAnsi="Times New Roman" w:hint="default"/>
        </w:rPr>
        <w:t xml:space="preserve">Chavan </w:t>
      </w:r>
      <w:r>
        <w:rPr>
          <w:color w:val="000000" w:themeColor="text1"/>
          <w:position w:val="0"/>
          <w:sz w:val="24"/>
          <w:szCs w:val="24"/>
          <w:rFonts w:ascii="Arial" w:eastAsia="Times New Roman" w:hAnsi="Times New Roman" w:hint="default"/>
        </w:rPr>
        <w:t xml:space="preserve">(2009)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disagreed with this conclusion by arguing that too much dependence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financial measures encourages short-term investments thereby, sacrificing the value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addition of long-term investments to the organisation.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study further established the importance of environmental analysis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organizational success. The study determined the roles played by environmental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analysis tools such as environmental scanning, monitoring, forecasting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assessing.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According to Choo (2001), it is imperative for organisations to understand external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forces of change through environmental scanning. </w:t>
      </w:r>
      <w:bookmarkStart w:id="604" w:name="_Hlk536476200"/>
      <w:r>
        <w:rPr>
          <w:color w:val="000000" w:themeColor="text1"/>
          <w:position w:val="0"/>
          <w:sz w:val="24"/>
          <w:szCs w:val="24"/>
          <w:rFonts w:ascii="Arial" w:eastAsia="Times New Roman" w:hAnsi="Times New Roman" w:hint="default"/>
        </w:rPr>
        <w:t xml:space="preserve">Jelonek (2006) </w:t>
      </w:r>
      <w:bookmarkEnd w:id="604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concurred stating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that organisations enhance performance by using scanning to exploit early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opportunities. On the other hand, Moon et al. (1998) believed that accurate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forecasting enables organisations to offer quality products and services to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customer and consequently ensures organisational success. Ireland at al. (2013)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claim that environmental assessment is significant because it allows the acquisition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data helpful in strategic decision making.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bookmarkStart w:id="605" w:name="_Hlk534661457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following chapter will discuss the conclusion and recommendation for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improvements of future studies.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606" w:name="_Toc535859351"/>
      <w:bookmarkStart w:id="607" w:name="_Toc536009092"/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End w:id="606"/>
      <w:bookmarkEnd w:id="607"/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608" w:name="_Toc536546849"/>
      <w:bookmarkStart w:id="609" w:name="_Toc536548529"/>
      <w:bookmarkStart w:id="610" w:name="_Toc535859352"/>
      <w:bookmarkStart w:id="611" w:name="_Toc536009093"/>
      <w:bookmarkStart w:id="612" w:name="_Toc826275037"/>
      <w:bookmarkStart w:id="613" w:name="_Toc867696"/>
      <w:bookmarkStart w:id="614" w:name="_Toc86976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Chapter six: Conclusion and Recommendation</w:t>
      </w:r>
      <w:bookmarkEnd w:id="608"/>
      <w:bookmarkEnd w:id="609"/>
      <w:bookmarkEnd w:id="610"/>
      <w:bookmarkEnd w:id="611"/>
      <w:bookmarkEnd w:id="612"/>
      <w:bookmarkEnd w:id="613"/>
      <w:bookmarkEnd w:id="614"/>
    </w:p>
    <w:p>
      <w:pPr>
        <w:pStyle w:val="PO7"/>
        <w:numPr>
          <w:ilvl w:val="0"/>
          <w:numId w:val="0"/>
        </w:numPr>
        <w:jc w:val="left"/>
        <w:spacing w:lineRule="auto" w:line="360" w:before="2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615" w:name="_Toc82627503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61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616" w:name="_Toc536009094"/>
      <w:bookmarkStart w:id="617" w:name="_Toc536546850"/>
      <w:bookmarkStart w:id="618" w:name="_Toc536548530"/>
      <w:bookmarkStart w:id="619" w:name="_Toc826275039"/>
      <w:bookmarkStart w:id="620" w:name="_Toc867697"/>
      <w:bookmarkStart w:id="621" w:name="_Toc86977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6.0 Conclusion</w:t>
      </w:r>
      <w:bookmarkEnd w:id="616"/>
      <w:bookmarkEnd w:id="617"/>
      <w:bookmarkEnd w:id="618"/>
      <w:bookmarkEnd w:id="619"/>
      <w:bookmarkEnd w:id="620"/>
      <w:bookmarkEnd w:id="621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this section the researcher presented the conclusion of the findings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recommendations for future studies on similar topics.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study has established that organisations need adequate measures to survive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difficult environmental periods. The research established the relationship between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different key success factors such as building of staff capacity, not relying only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financial measures for its performance and having a well-defined system for risk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>mitigation.</w:t>
      </w:r>
      <w:bookmarkStart w:id="622" w:name="_Toc53585935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623" w:name="_Toc536009095"/>
      <w:bookmarkStart w:id="624" w:name="_Toc536546851"/>
      <w:bookmarkStart w:id="625" w:name="_Toc536548531"/>
      <w:bookmarkStart w:id="626" w:name="_Toc826275040"/>
      <w:bookmarkStart w:id="627" w:name="_Toc867698"/>
      <w:bookmarkStart w:id="628" w:name="_Toc86977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6.1 Linking with Objectives</w:t>
      </w:r>
      <w:bookmarkEnd w:id="622"/>
      <w:bookmarkEnd w:id="623"/>
      <w:bookmarkEnd w:id="624"/>
      <w:bookmarkEnd w:id="625"/>
      <w:bookmarkEnd w:id="626"/>
      <w:bookmarkEnd w:id="627"/>
      <w:bookmarkEnd w:id="62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this section of the conclusion, the researcher will link his practical experience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acquired from the various research methods and the theoretical knowledge gained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from the literature review basing on the objectives of this research.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  <w:r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629" w:name="_Toc535859354"/>
      <w:bookmarkStart w:id="630" w:name="_Toc536009096"/>
      <w:bookmarkStart w:id="631" w:name="_Toc536546852"/>
      <w:bookmarkStart w:id="632" w:name="_Toc536548532"/>
      <w:bookmarkStart w:id="633" w:name="_Toc826275041"/>
      <w:bookmarkStart w:id="634" w:name="_Toc867699"/>
      <w:bookmarkStart w:id="635" w:name="_Toc86977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6.1.1 Objective One: to investigate the external environmental issues that </w:t>
      </w: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affect the performance Unilever Plc.</w:t>
      </w:r>
      <w:bookmarkEnd w:id="629"/>
      <w:bookmarkEnd w:id="630"/>
      <w:bookmarkEnd w:id="631"/>
      <w:bookmarkEnd w:id="632"/>
      <w:bookmarkEnd w:id="633"/>
      <w:bookmarkEnd w:id="634"/>
      <w:bookmarkEnd w:id="63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There are various environmental</w:t>
      </w:r>
      <w:r>
        <w:rPr>
          <w:color w:val="000000" w:themeColor="text1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factors and conditions faced by organisations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some of them are beyond their control, thereby, influencing their strategic choices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including their competitiveness in the industry. </w:t>
      </w:r>
      <w:bookmarkStart w:id="636" w:name="_Hlk536111739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factors such as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compliance to statutory laws, continuous investment in new equipment, anticipated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 of social attitudes due to customer preferences were found to be critical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organisational performance.</w:t>
      </w:r>
      <w:bookmarkEnd w:id="636"/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Other business operating environmental factors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affect performance are political and legal factors. In conclusion of the first objective,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study identified technological changes including threat of new entry to the FMCG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industry as external environmental factors that can impact negatively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performance of industry organisations.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637" w:name="_Toc535859355"/>
      <w:bookmarkStart w:id="638" w:name="_Toc536009097"/>
      <w:bookmarkStart w:id="639" w:name="_Toc536546853"/>
      <w:bookmarkStart w:id="640" w:name="_Toc536548533"/>
      <w:bookmarkStart w:id="641" w:name="_Toc867700"/>
      <w:bookmarkStart w:id="642" w:name="_Toc869773"/>
      <w:bookmarkStart w:id="643" w:name="_Toc82627504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6.1.2 Objective Two: to investigate the strategies adopted by Unilever Nigeria </w:t>
      </w: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in turbulent environment periods</w:t>
      </w:r>
      <w:bookmarkEnd w:id="637"/>
      <w:bookmarkEnd w:id="638"/>
      <w:bookmarkEnd w:id="639"/>
      <w:bookmarkEnd w:id="640"/>
      <w:bookmarkEnd w:id="641"/>
      <w:bookmarkEnd w:id="64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64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the quest to identify the right strategic response suitable for responding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environmental turbulence periods, different types of strategies were analysed.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Among them were new product/market development, diversification and corporate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restructuring were the most used by organisations.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It is a good practice for organisations to develop strategies to cope with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business environment based on continuous forecast and prediction. Apart from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monitoring the environmental changing conditions, managers need to formulate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strategies that can help the organisation to navigate through turbulence in equal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measure.  Environmental factors are not identical in nature and impact organisations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differently. Every level of turbulence is unique, so, there is no formula for one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solution fits all because what functioned previously might not work in a different level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of turbulence.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 </w:t>
      </w:r>
    </w:p>
    <w:p>
      <w:pPr>
        <w:pStyle w:val="PO9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644" w:name="_Toc535859356"/>
      <w:bookmarkStart w:id="645" w:name="_Toc536009098"/>
      <w:bookmarkStart w:id="646" w:name="_Toc536546854"/>
      <w:bookmarkStart w:id="647" w:name="_Toc536548534"/>
      <w:bookmarkStart w:id="648" w:name="_Toc826275043"/>
      <w:bookmarkStart w:id="649" w:name="_Toc867701"/>
      <w:bookmarkStart w:id="650" w:name="_Toc86977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6.1.3 Objectives Three: to establish</w:t>
      </w:r>
      <w:bookmarkStart w:id="651" w:name="_Hlk536545571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best practice suitable for organisations in </w:t>
      </w: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turbulent times.</w:t>
      </w:r>
      <w:bookmarkEnd w:id="644"/>
      <w:bookmarkEnd w:id="645"/>
      <w:bookmarkEnd w:id="651"/>
      <w:bookmarkEnd w:id="646"/>
      <w:bookmarkEnd w:id="647"/>
      <w:bookmarkEnd w:id="648"/>
      <w:bookmarkEnd w:id="649"/>
      <w:bookmarkEnd w:id="65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Through the best practices organisations achieve optimum return on capital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investment, the alignment of organisational strategies and the capability of managing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 in the environment is the key. From the findings, there are other measures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 performance other than financial measures. Organisations must involve their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employees when deciding about their welfare such as training and constantly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motivate them to achieve operational excellence which is vital in process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systems. The study indicates that organisations make a strategic decision of survival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 type and level of environmental business uncertainties.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This study further established that organisational success entirely depends on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following factors: capability to mitigate on risks, adequate financial controls and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capacity of its manpower. Finally, from the findings of the study, emerged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importance of environmental analysis such as scanning, monitoring, assessing and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forecasting.  Before an organisation can forecast accurately, they need to first scan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environment and monitor the variables identified. Then, they can assess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impact of the identified variables will have on the performance of the organisation.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Based on the outcome of the assessment a strategic decision can be made on how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achieve the forecasted objectives.</w:t>
      </w:r>
      <w:bookmarkEnd w:id="60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259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652" w:name="_Toc536546855"/>
      <w:bookmarkStart w:id="653" w:name="_Toc536548535"/>
      <w:bookmarkStart w:id="654" w:name="_Toc867702"/>
      <w:bookmarkStart w:id="655" w:name="_Toc869775"/>
      <w:bookmarkStart w:id="656" w:name="_Toc535859357"/>
      <w:bookmarkStart w:id="657" w:name="_Toc536009099"/>
      <w:bookmarkStart w:id="658" w:name="_Toc826275044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6.2 Recommendations</w:t>
      </w:r>
      <w:bookmarkEnd w:id="652"/>
      <w:bookmarkEnd w:id="653"/>
      <w:bookmarkEnd w:id="654"/>
      <w:bookmarkEnd w:id="65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</w:t>
      </w:r>
      <w:bookmarkEnd w:id="656"/>
      <w:bookmarkEnd w:id="657"/>
      <w:bookmarkEnd w:id="658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659" w:name="_Toc535859358"/>
      <w:bookmarkStart w:id="660" w:name="_Toc536009100"/>
      <w:bookmarkStart w:id="661" w:name="_Toc536546856"/>
      <w:bookmarkStart w:id="662" w:name="_Toc536548536"/>
      <w:bookmarkStart w:id="663" w:name="_Toc826275045"/>
      <w:bookmarkStart w:id="664" w:name="_Toc867703"/>
      <w:bookmarkStart w:id="665" w:name="_Toc869776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6.2.1 </w:t>
      </w:r>
      <w:bookmarkStart w:id="666" w:name="_Hlk53648199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Industry External Competitive Environment and Organisational </w:t>
      </w: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Performance</w:t>
      </w:r>
      <w:bookmarkEnd w:id="659"/>
      <w:bookmarkEnd w:id="660"/>
      <w:bookmarkEnd w:id="666"/>
      <w:bookmarkEnd w:id="661"/>
      <w:bookmarkEnd w:id="662"/>
      <w:bookmarkEnd w:id="663"/>
      <w:bookmarkEnd w:id="664"/>
      <w:bookmarkEnd w:id="66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should concentrate more on the study of how changes in the environment  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affect the performance of the FMCG organisations.</w:t>
      </w:r>
      <w:r>
        <w:rPr>
          <w:color w:val="000000"/>
          <w:position w:val="0"/>
          <w:sz w:val="24"/>
          <w:szCs w:val="24"/>
          <w:rFonts w:ascii="Times New Roman" w:eastAsia="Times New Roman" w:hAnsi="Times New Roman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As one of the largest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manufacturers of consumer goods, Unilever should use this strength to produce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goods that are durable in any economic environment. As a multinational company,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should integrate international employees to enrich their cultural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experience in all processes.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667" w:name="_Toc535859359"/>
      <w:bookmarkStart w:id="668" w:name="_Toc536009101"/>
      <w:bookmarkStart w:id="669" w:name="_Toc536546857"/>
      <w:bookmarkStart w:id="670" w:name="_Toc536548537"/>
      <w:bookmarkStart w:id="671" w:name="_Toc826275046"/>
      <w:bookmarkStart w:id="672" w:name="_Toc867704"/>
      <w:bookmarkStart w:id="673" w:name="_Toc869777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6.2.2 Strategic Responses Employed by Unilever Nigeria</w:t>
      </w:r>
      <w:bookmarkEnd w:id="667"/>
      <w:bookmarkEnd w:id="668"/>
      <w:bookmarkEnd w:id="669"/>
      <w:bookmarkEnd w:id="670"/>
      <w:bookmarkEnd w:id="671"/>
      <w:bookmarkEnd w:id="672"/>
      <w:bookmarkEnd w:id="673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 is need for more research to establish the effects of tactical response adopted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by FMCG organisations and if they are adequate in determining an organisation’s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relevance and profitability during the turbulence periods. Unilever should invest more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in research and development, it has the benefit of improving organisational business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processes by increasing productivity and cutting costs making it possible to gain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more competitive edge over industry rivals.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9"/>
        <w:numPr>
          <w:ilvl w:val="0"/>
          <w:numId w:val="0"/>
        </w:numPr>
        <w:jc w:val="left"/>
        <w:spacing w:lineRule="auto" w:line="36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2"/>
        <w:autoSpaceDE w:val="1"/>
        <w:autoSpaceDN w:val="1"/>
      </w:pPr>
      <w:bookmarkStart w:id="674" w:name="_Toc535859360"/>
      <w:bookmarkStart w:id="675" w:name="_Toc536009102"/>
      <w:bookmarkStart w:id="676" w:name="_Toc536546858"/>
      <w:bookmarkStart w:id="677" w:name="_Toc536548538"/>
      <w:bookmarkStart w:id="678" w:name="_Toc826275047"/>
      <w:bookmarkStart w:id="679" w:name="_Toc867705"/>
      <w:bookmarkStart w:id="680" w:name="_Toc869778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6.2.3 </w:t>
      </w:r>
      <w:bookmarkEnd w:id="674"/>
      <w:bookmarkEnd w:id="675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Best practices suitable for organisations in environmental turbulence </w:t>
      </w:r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>periods.</w:t>
      </w:r>
      <w:bookmarkEnd w:id="676"/>
      <w:bookmarkEnd w:id="677"/>
      <w:bookmarkEnd w:id="678"/>
      <w:bookmarkEnd w:id="679"/>
      <w:bookmarkEnd w:id="680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should invest more to diminish the environmental footprint of their products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to improve the health and wellbeing of the society. They should adopt strategies that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will make their products sustainable not only in their factories but at every stage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their life-cycle. This implies collaborating with all stakeholders to create major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changes that will help in addressing the biggest environmental challenges of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world, ‘Pollution’. They should also create a sustainable living plan for their suppliers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and employees in the developing countries where they operate.  To be able to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measure with rapid environmental changes, Unilever should invest adequately in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software packaging training. Giving their employees the opportunity to acquire more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employability skills that will enhance their performance and make the organisation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achieve competitive advantage. 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681" w:name="_Toc535859361"/>
      <w:bookmarkStart w:id="682" w:name="_Toc536009103"/>
      <w:bookmarkStart w:id="683" w:name="_Toc536546859"/>
      <w:bookmarkStart w:id="684" w:name="_Toc536548539"/>
      <w:bookmarkStart w:id="685" w:name="_Toc826275048"/>
      <w:bookmarkStart w:id="686" w:name="_Toc867706"/>
      <w:bookmarkStart w:id="687" w:name="_Toc869779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7.0 Limitations</w:t>
      </w:r>
      <w:bookmarkEnd w:id="681"/>
      <w:bookmarkEnd w:id="682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 of this Research</w:t>
      </w:r>
      <w:bookmarkEnd w:id="683"/>
      <w:bookmarkEnd w:id="684"/>
      <w:bookmarkEnd w:id="685"/>
      <w:bookmarkEnd w:id="686"/>
      <w:bookmarkEnd w:id="687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There are some circumstances such as lack of fund and time that limited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generalizability of the outcome of this research. This research study can be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considered to be cross sectional; therefore, time was one of the major limitations.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lack of enough time allocated to this study contributed to the small sample size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used in data collection. The questionnaires were distributed to the participant via a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third party, so the researcher cannot give accurate account of how it was done,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although, the responses were directly mailed to the researcher for data analysis. All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participant of the survey were voluntary partakers and the researcher accompanied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questionnaires with an explanation of how it will be used including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destruction of the papers at the conclusion of the research study. This research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study survey was anonymous, and the respondents were not obligated to answer all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questions, so this affected the sample size. The researcher focused only on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Unilever Nigeria due to time factor, convenience and finance, therefore, this impacts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negatively the generalizability of the results obtained. Comprehensive research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needs financial and human resource to complete (Collis and Hussey, 2013).</w:t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8"/>
        <w:numPr>
          <w:ilvl w:val="0"/>
          <w:numId w:val="0"/>
        </w:numPr>
        <w:jc w:val="left"/>
        <w:spacing w:lineRule="auto" w:line="480" w:before="40" w:after="0"/>
        <w:ind w:right="0" w:firstLine="0"/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outlineLvl w:val="1"/>
        <w:autoSpaceDE w:val="1"/>
        <w:autoSpaceDN w:val="1"/>
      </w:pPr>
      <w:bookmarkStart w:id="688" w:name="_Toc535833499"/>
      <w:bookmarkStart w:id="689" w:name="_Toc535859362"/>
      <w:bookmarkStart w:id="690" w:name="_Toc536009104"/>
      <w:bookmarkStart w:id="691" w:name="_Toc536546860"/>
      <w:bookmarkStart w:id="692" w:name="_Toc536548540"/>
      <w:bookmarkStart w:id="693" w:name="_Toc826275049"/>
      <w:bookmarkStart w:id="694" w:name="_Toc867707"/>
      <w:bookmarkStart w:id="695" w:name="_Toc869780"/>
      <w:r>
        <w:rPr>
          <w:b w:val="1"/>
          <w:color w:val="000000" w:themeColor="text1"/>
          <w:position w:val="0"/>
          <w:sz w:val="24"/>
          <w:szCs w:val="24"/>
          <w:rFonts w:ascii="Arial" w:eastAsia="Arial" w:hAnsi="Arial" w:hint="default"/>
        </w:rPr>
        <w:t xml:space="preserve">8.0 Future Scope of the Research</w:t>
      </w:r>
      <w:bookmarkEnd w:id="688"/>
      <w:bookmarkEnd w:id="689"/>
      <w:bookmarkEnd w:id="690"/>
      <w:bookmarkEnd w:id="691"/>
      <w:bookmarkEnd w:id="692"/>
      <w:bookmarkEnd w:id="693"/>
      <w:bookmarkEnd w:id="694"/>
      <w:bookmarkEnd w:id="695"/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The researcher was not able to use ample sample size to conduct this research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because of insufficient time and finance. This research study can give useful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outcome in future if the researcher is given enough time and finance that will enable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using the suitable sample size and enough time to reconduct the study. The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knowledge gained will be beneficial in understanding the effective of strategies in </w:t>
      </w:r>
      <w:r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t xml:space="preserve">turbulent periods.</w:t>
      </w: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bookmarkStart w:id="696" w:name="_Toc535859363"/>
      <w:bookmarkStart w:id="697" w:name="_Toc536009105"/>
      <w:bookmarkStart w:id="698" w:name="_Toc536546861"/>
      <w:bookmarkStart w:id="699" w:name="_Toc536548541"/>
      <w:bookmarkStart w:id="700" w:name="_Toc826275050"/>
      <w:bookmarkStart w:id="701" w:name="_Toc867708"/>
      <w:bookmarkStart w:id="702" w:name="_Toc869781"/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</w:p>
    <w:p>
      <w:pPr>
        <w:pStyle w:val="PO7"/>
        <w:numPr>
          <w:ilvl w:val="0"/>
          <w:numId w:val="0"/>
        </w:numPr>
        <w:jc w:val="left"/>
        <w:spacing w:lineRule="auto" w:line="259" w:before="24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References</w:t>
      </w:r>
      <w:bookmarkEnd w:id="696"/>
      <w:bookmarkEnd w:id="697"/>
      <w:bookmarkEnd w:id="698"/>
      <w:bookmarkEnd w:id="699"/>
      <w:bookmarkEnd w:id="700"/>
      <w:bookmarkEnd w:id="701"/>
      <w:bookmarkEnd w:id="702"/>
    </w:p>
    <w:p>
      <w:pPr>
        <w:numPr>
          <w:ilvl w:val="0"/>
          <w:numId w:val="0"/>
        </w:numPr>
        <w:jc w:val="both"/>
        <w:shd w:val="clear" w:color="000000" w:fill="FFFFFF"/>
        <w:spacing w:lineRule="auto" w:line="276" w:before="0" w:afterAutospacing="1" w:after="28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Ansoff, H. I. &amp; McDonnell, E.J (1990). Implanting Strategic Management. New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York, NY: Prentice Hall.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Banister, P., Bunn, G., Burman, E., &amp; Daniels, J. (2011). Qualitative Methods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in Psychology: A Research Guide. London: McGraw-Hill International.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Bhattacharyya, S. &amp; Nain, A. (2011). Horizontal acquisitions and buying power: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A product market analysis. Journal of Financial Economics, 99(1), pp. 97-115.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Beaulieu, M., Cosset, J. &amp; Essaddam, N., (2005). The Impact of Political risk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on the Volatility of stock Returns: The Case of Canada. Journal of Intenational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Business Studies 36(6); 701-718.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bookmarkStart w:id="703" w:name="_Hlk535502885"/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Bergh, D. D. &amp; Lim, E.N. K (2008). Learning how to restructure: Absorptive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capacity and improvisational views of restructuring actions and performance.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Strategic Management Journal, 29, pp. 593-616.</w:t>
      </w:r>
    </w:p>
    <w:p>
      <w:pPr>
        <w:bidi w:val="0"/>
        <w:numPr>
          <w:ilvl w:val="0"/>
          <w:numId w:val="26"/>
        </w:numPr>
        <w:jc w:val="both"/>
        <w:spacing w:lineRule="auto" w:line="360" w:before="0" w:after="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wordWrap w:val="off"/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Boyd J. And Champ B., (2003). Inflation and Financial Market Performance: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What We Learned in the Last Ten Years? Federal Bank of Cleverland,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Working Paper No. 03/17. </w:t>
      </w:r>
    </w:p>
    <w:p>
      <w:pPr>
        <w:bidi w:val="0"/>
        <w:numPr>
          <w:ilvl w:val="0"/>
          <w:numId w:val="26"/>
        </w:numPr>
        <w:jc w:val="both"/>
        <w:spacing w:lineRule="auto" w:line="360" w:before="0" w:after="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wordWrap w:val="off"/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Boyne, G.A &amp; Meier, K. J (2009). Environmental Turbulence, Organizational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stability and Public Service Performance.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Administration &amp; Society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, 40(8), pp.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799-824.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Bryman, A. (2012). Social research methods (5</w:t>
      </w:r>
      <w:r>
        <w:rPr>
          <w:vertAlign w:val="superscript"/>
          <w:color w:val="auto"/>
          <w:position w:val="0"/>
          <w:sz w:val="24"/>
          <w:szCs w:val="24"/>
          <w:rFonts w:ascii="Arial" w:eastAsia="Arial" w:hAnsi="Arial" w:hint="default"/>
        </w:rPr>
        <w:t>th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 ed.). Oxford: Oxford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University Press.</w:t>
      </w:r>
      <w:bookmarkEnd w:id="703"/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Bryman, A., &amp; Allen, T. (2011). Education Research Methods. Oxford: Oxford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University Press.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Bryman, A., &amp; Bell, E. (2011). Business Research Methods (3</w:t>
      </w:r>
      <w:r>
        <w:rPr>
          <w:vertAlign w:val="superscript"/>
          <w:color w:val="auto"/>
          <w:position w:val="0"/>
          <w:sz w:val="24"/>
          <w:szCs w:val="24"/>
          <w:rFonts w:ascii="Arial" w:eastAsia="Arial" w:hAnsi="Arial" w:hint="default"/>
        </w:rPr>
        <w:t>rd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 ed.) Oxford: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Oxford University Press.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Buchanan, D. and Huczynski, A. (1997). 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Organizational behaviour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. London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[etc.]: Prentice Hall.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Burnaby, P. &amp; Hass, S. (2009). Ten steps to enterprise-wide risk management,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Corporate Governance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, 9 (5): 539-557.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bookmarkStart w:id="704" w:name="_Hlk531772621"/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Burns, N., &amp; Grove, S. K. (1997). </w:t>
      </w:r>
      <w:bookmarkEnd w:id="704"/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The Practice of Nursing Research Conduct,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Critique, &amp; Utilization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. Philadelphia: W.B. Saunders and Co.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Chavan, M. (2009). The balanced scorecard: a new challenge. Journal of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Management Development, 28(5); 396-406.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Choo, C.W. (2001). Environmental Scanning as Information seeking and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Organizational Learning,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Information Research,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7(1).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Collis, J. &amp; Hussey, R. (2013).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Business Research: A practical guide for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undergraduate and postgraduate students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. New York, NY: Palgrave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Macmillan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Cooper, C. R., &amp; Schindler, P. S. (2008). Business research methods (10 ed.).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Boston: McGraw-Hill.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Dess, G.G., Lumpkin, G.T, &amp; Eisner, A.B (2008). Strategic Management: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creating competitive advantages, 4th Ed. New York, NY: McGraw - Hill.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Edwards, C. (2008). How the HP got the Wow! Back, Business Week, 22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December, 60-1.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Euchner, J. (2011). Managing disruption: An interview with Clayton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Christensen. Research Technology Management, 54(1), pp. 1-17.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Etzel, M.J., Walker, B.J., &amp; Stanton, W.J. (2007). Marketing, 14th Edition. New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York, NY: McGraw-Hill.</w:t>
      </w:r>
    </w:p>
    <w:p>
      <w:pPr>
        <w:pStyle w:val="PO26"/>
        <w:bidi w:val="0"/>
        <w:numPr>
          <w:ilvl w:val="0"/>
          <w:numId w:val="26"/>
        </w:numPr>
        <w:jc w:val="both"/>
        <w:spacing w:lineRule="auto" w:line="360" w:before="0" w:after="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Explorable.com. (2009). Convenience Sampling. from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https://explorable.com/convenience-sampling. (Retrieved 18/11/2018).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FIELD, A. P. 2005. Discovering Statistics Using SPSS, Sage Publications Inc.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Flick, U. (2011). Introducing research methodology: A beginner’s guide to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doing a research project. London: Sage.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GHAURI, P. &amp; GRONHAUG, K. 2005. Research Methods in Business Studies,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Harlow, FT/Prentice Hall.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Gill, J. and Johnson, P., (2002). Research Methods for Managers, 3rd edition: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London, UK: Sage.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Goddard, W. &amp; Melville, S. (2004). Research Methodology: An Introduction,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(2</w:t>
      </w:r>
      <w:r>
        <w:rPr>
          <w:vertAlign w:val="superscript"/>
          <w:color w:val="auto"/>
          <w:position w:val="0"/>
          <w:sz w:val="24"/>
          <w:szCs w:val="24"/>
          <w:rFonts w:ascii="Arial" w:eastAsia="Arial" w:hAnsi="Arial" w:hint="default"/>
        </w:rPr>
        <w:t>nd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 ed.) Oxford: Blackwell Publishing.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spacing w:val="0"/>
          <w:i w:val="0"/>
          <w:b w:val="0"/>
          <w:color w:val="000000"/>
          <w:position w:val="0"/>
          <w:sz w:val="19"/>
          <w:szCs w:val="19"/>
          <w:highlight w:val="white"/>
          <w:rFonts w:ascii="Arial" w:eastAsia="&quot;Open Sans&quot;" w:hAnsi="&quot;Open Sans&quot;" w:hint="default"/>
        </w:rPr>
        <w:t xml:space="preserve">GOV.UK. (2019). </w:t>
      </w:r>
      <w:r>
        <w:rPr>
          <w:spacing w:val="0"/>
          <w:i w:val="1"/>
          <w:b w:val="0"/>
          <w:color w:val="000000"/>
          <w:position w:val="0"/>
          <w:sz w:val="19"/>
          <w:szCs w:val="19"/>
          <w:rFonts w:ascii="Arial" w:eastAsia="&quot;Open Sans&quot;" w:hAnsi="&quot;Open Sans&quot;" w:hint="default"/>
        </w:rPr>
        <w:t xml:space="preserve">Check your State Pension age</w:t>
      </w:r>
      <w:r>
        <w:rPr>
          <w:spacing w:val="0"/>
          <w:i w:val="0"/>
          <w:b w:val="0"/>
          <w:color w:val="000000"/>
          <w:position w:val="0"/>
          <w:sz w:val="19"/>
          <w:szCs w:val="19"/>
          <w:highlight w:val="white"/>
          <w:rFonts w:ascii="Arial" w:eastAsia="&quot;Open Sans&quot;" w:hAnsi="&quot;Open Sans&quot;" w:hint="default"/>
        </w:rPr>
        <w:t xml:space="preserve">. [online] Available at: https://www.gov.uk/state-</w:t>
      </w:r>
      <w:r>
        <w:rPr>
          <w:spacing w:val="0"/>
          <w:i w:val="0"/>
          <w:b w:val="0"/>
          <w:color w:val="000000"/>
          <w:position w:val="0"/>
          <w:sz w:val="19"/>
          <w:szCs w:val="19"/>
          <w:highlight w:val="white"/>
          <w:rFonts w:ascii="Arial" w:eastAsia="&quot;Open Sans&quot;" w:hAnsi="&quot;Open Sans&quot;" w:hint="default"/>
        </w:rPr>
        <w:t xml:space="preserve">pension-age [Accessed 22 Feb. 2019].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Hill C. &amp; Jones G. (2004). Strategic management; An integrated Approach,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6th edition New York, NY : Houghton Mifflin Company.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Hofstede, G. (1991). Cultures and organizations: Software of the mind.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London: McGraw-Hill.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Ireland, R.D., Hoskisson, R.E., &amp; Hitt, M.A. (2013). The Management of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Strategy: Concepts and Cases. 8th Ed. Mason, OH: South-Western Cengage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Learning.</w:t>
      </w:r>
    </w:p>
    <w:p>
      <w:pPr>
        <w:bidi w:val="0"/>
        <w:numPr>
          <w:ilvl w:val="0"/>
          <w:numId w:val="26"/>
        </w:numPr>
        <w:jc w:val="both"/>
        <w:overflowPunct w:val="0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Institut Numerique, (2012). Research Methodology, http://www.instut-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numerique.org/chapter-3-research-methodology-4ffbd6e5e3391. (retrieved on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03/12/2019).  </w:t>
      </w:r>
    </w:p>
    <w:p>
      <w:pPr>
        <w:bidi w:val="0"/>
        <w:numPr>
          <w:ilvl w:val="0"/>
          <w:numId w:val="26"/>
        </w:numPr>
        <w:jc w:val="both"/>
        <w:spacing w:lineRule="auto" w:line="360" w:before="0" w:after="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Jobber, D. (2010). Principles and Practice of Marketing. 6th Edition. New York: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McGraw- Hill. </w:t>
      </w:r>
    </w:p>
    <w:p>
      <w:pPr>
        <w:bidi w:val="0"/>
        <w:numPr>
          <w:ilvl w:val="0"/>
          <w:numId w:val="26"/>
        </w:numPr>
        <w:jc w:val="both"/>
        <w:spacing w:lineRule="auto" w:line="360" w:before="0" w:after="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Kane, E. (2012). The Inevitability of Shadowy Banking.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Federal Reserve Bank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of Atlanta.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>Karake,</w:t>
      </w: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Z.A. (1997). Managing Information resources and environmental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turbulence. Information Management &amp; Computer Security, Vol. 5 No.3, pp. 93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-99.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Khan M. T. (2014). Customer Loyalty Programs – Concept, Types, Goals and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Benefits (A Conceptual and Review Paper). International Journal of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Information, Business and Management, 6(1), 74-93.    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>Khandwalla,</w:t>
      </w: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P.N. (1977). The Design of Organizations. New York, NY: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Harcout, Brace, Jovanovich.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Lee, D., &amp; Madhaven, R. (2010). Divesture and firm performance: A meta-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analysis. Journal of Management, 36 pp. 1345-1371.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Lynch, R. (2008). Corporate Strategy. Harlow, Essex, UK: Pearson Education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Lynn, L., Heinrich, C., &amp; Hill, C. (2000). Studying governance and public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management: challenges and prospects. Journal of Public Adminstration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Research and Theory, 10, pp. 236-261.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May, T. (2011). Social research: Issues, methods and research. London: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McGraw-Hill International.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Mitchell, A. (2005). After Some Innovation? Perhaps you Just Need to Ask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Around, Marketing Week, 16 June, 28-9.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>Mintzberg,</w:t>
      </w: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H., Ahlstrand, B., &amp; Lampel, J. (2009). Strategy Safari: The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Complete guide through the wilds of strategic management, 2nd Ed. New York,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NY: Prentice Hall.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Monette, D.R., Sullivan, T. J., &amp; DeJong, C. R. (2005). Applied Social Research: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A Tool for the Human Services, (6</w:t>
      </w:r>
      <w:r>
        <w:rPr>
          <w:vertAlign w:val="superscript"/>
          <w:color w:val="auto"/>
          <w:position w:val="0"/>
          <w:sz w:val="24"/>
          <w:szCs w:val="24"/>
          <w:rFonts w:ascii="Arial" w:eastAsia="Arial" w:hAnsi="Arial" w:hint="default"/>
        </w:rPr>
        <w:t>th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 ed.), London: Brooks Publishing.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Moon, M.A., Mentzer, J.J., Smith, C.D. &amp; Gaver, M.S. (1998). Seven Keys to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Better Forecasting,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Business Horizons,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44-51.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Newman, I. (1998). Qualitative-quantitative research methodology: Exploring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the interactive continuum. Carbondale: Southern Illinois University Press. 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Pearce, J.A. &amp; Robinson Jr, R.B. (2008). Strategic Management; Formulation: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Formulation, Implementation and Control. New York, NY: McGraw-Hill.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Pearce, J.A. &amp; Robinson Jr, R.B. (2009). Strategic Management; Formulation: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Formulation, Implementation and Control. New York, NY: McGraw-Hill.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Perrot, B.E (2011). Strategic Issues Management as a change catalyst.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Strategy &amp; Leadership, Vol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. 39 No. 5, pp. 20-29.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Perreault, W.D, Cannon, J.P &amp; McCarthy, E.J (2011).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Basic Marketing: A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Marketing Strategy Planning Approach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. New York, NY: McGraw-Hill.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Podsakoff, P. M., MacKenzie, S. B., &amp; Podsakoff, N. P. (2012). Sources of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method bias in social science research and recommendations on how to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control it. Annual Review of Psychology, 63, pp.539-569.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Porter, M.E.(2008). The five competitive forces that shape strategy. Harvard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Business Review. January 8, pp. 78 -93.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Porter, M.E (1979). How Competitive Forces Shape Strategy. Harvard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Business Review Book. March – April, pp. 11-25.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Rigby, D.K. (2001). Situational Strategies: A management tool for turbulent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times. Strategy &amp; Leadership, Vol. 29 No. 6, pp.8-12.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bookmarkStart w:id="705" w:name="_Hlk875358"/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Saunders, M., Lewis, P., &amp; Thornhill, A. (2007). </w:t>
      </w:r>
      <w:bookmarkEnd w:id="705"/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Research Methods for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Business Students, (6</w:t>
      </w:r>
      <w:r>
        <w:rPr>
          <w:vertAlign w:val="superscript"/>
          <w:color w:val="auto"/>
          <w:position w:val="0"/>
          <w:sz w:val="24"/>
          <w:szCs w:val="24"/>
          <w:rFonts w:ascii="Arial" w:eastAsia="Arial" w:hAnsi="Arial" w:hint="default"/>
        </w:rPr>
        <w:t>th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 ed.) London: Pearson.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Saunders, M., Lewis, P., &amp; Thornhill, A. (2000) Research Methods for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Business Students, 2</w:t>
      </w:r>
      <w:r>
        <w:rPr>
          <w:vertAlign w:val="superscript"/>
          <w:color w:val="auto"/>
          <w:position w:val="0"/>
          <w:sz w:val="24"/>
          <w:szCs w:val="24"/>
          <w:rFonts w:ascii="Arial" w:eastAsia="Arial" w:hAnsi="Arial" w:hint="default"/>
        </w:rPr>
        <w:t>nd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 edition, London: Prentice Hall.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Saunders, M., Lewis, P., Thornhill, A. (2006). Research Methods for Business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Students (fourth edition), London: Pearson Education Ltd.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Sekaran, U. (2003). Research methods for business (4th ed.). Hoboken, NJ: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John Wiley &amp; Sons.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Silverman, D. (2013). Doing Qualitative Research: A practical handbook.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London: Sage.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Sirmon, D.G., Hitt, M.A, Arregle, J. &amp; Campbell, J. (2010). The dynamic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interplay of capability strengths and weaknesses: Investigating the bases of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temporary competitive advantage. Strategic Management Journal, 31(13),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pp.1386-1409.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Snieder R. &amp; Larner, K. (2009). The Art of Being a Scientist: A Guide for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Graduate Students and their Mentors, Cambridge: Cambridge University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>Press.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000000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Tarzijan, J.J., &amp; Ramirez, C.C. (2011). Firm, industry and corporation effects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revisted: A mixed multilevel analysis for Chilean companies. Applied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Economic Letters, 18(1): 95-100.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000000"/>
          <w:position w:val="0"/>
          <w:sz w:val="24"/>
          <w:szCs w:val="24"/>
          <w:rFonts w:ascii="Arial" w:eastAsia="Arial" w:hAnsi="Arial" w:hint="default"/>
        </w:rPr>
        <w:t xml:space="preserve">Wheelen TL, Hunger JD. 2000. Strategic Management and Business Policy – </w:t>
      </w:r>
      <w:r>
        <w:rPr>
          <w:color w:val="000000"/>
          <w:position w:val="0"/>
          <w:sz w:val="24"/>
          <w:szCs w:val="24"/>
          <w:rFonts w:ascii="Arial" w:eastAsia="Arial" w:hAnsi="Arial" w:hint="default"/>
        </w:rPr>
        <w:t xml:space="preserve">Entering 21st Century Global Society. Seventh Edition. Prentice-Hall: New </w:t>
      </w:r>
      <w:r>
        <w:rPr>
          <w:color w:val="000000"/>
          <w:position w:val="0"/>
          <w:sz w:val="24"/>
          <w:szCs w:val="24"/>
          <w:rFonts w:ascii="Arial" w:eastAsia="Arial" w:hAnsi="Arial" w:hint="default"/>
        </w:rPr>
        <w:t xml:space="preserve">Jersey. 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Wiles, R., Crow, G., &amp; Pain, H. (2011). Innovation in qualitative research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methods: a narrative review. Qualitative Research, 11(5), pp.587-604.</w:t>
      </w:r>
    </w:p>
    <w:p>
      <w:pPr>
        <w:bidi w:val="0"/>
        <w:numPr>
          <w:ilvl w:val="0"/>
          <w:numId w:val="26"/>
        </w:numPr>
        <w:jc w:val="both"/>
        <w:shd w:val="clear" w:color="000000" w:fill="FFFFFF"/>
        <w:spacing w:lineRule="auto" w:line="360" w:before="0" w:afterAutospacing="1" w:after="280"/>
        <w:ind w:left="720" w:right="0" w:hanging="360"/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Wowak, A.J &amp; Hambrick, D.C (2010). A model of person-pay interaction: How </w:t>
      </w:r>
      <w:r>
        <w:rPr>
          <w:color w:val="auto"/>
          <w:position w:val="0"/>
          <w:sz w:val="24"/>
          <w:szCs w:val="24"/>
          <w:rFonts w:ascii="Arial" w:eastAsia="Arial" w:hAnsi="Arial" w:hint="default"/>
        </w:rPr>
        <w:t xml:space="preserve">executives vary their responses to compensation arrangements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. Strategic </w:t>
      </w:r>
      <w:r>
        <w:rPr>
          <w:i w:val="1"/>
          <w:color w:val="auto"/>
          <w:position w:val="0"/>
          <w:sz w:val="24"/>
          <w:szCs w:val="24"/>
          <w:rFonts w:ascii="Arial" w:eastAsia="Arial" w:hAnsi="Arial" w:hint="default"/>
        </w:rPr>
        <w:t xml:space="preserve">Management Journal, 31, pp. 803-821.</w:t>
      </w:r>
    </w:p>
    <w:p>
      <w:pPr>
        <w:bidi w:val="0"/>
        <w:numPr>
          <w:ilvl w:val="0"/>
          <w:numId w:val="26"/>
        </w:numPr>
        <w:jc w:val="both"/>
        <w:spacing w:lineRule="auto" w:line="360" w:before="0" w:after="0"/>
        <w:contextualSpacing w:val="1"/>
        <w:ind w:left="720" w:right="0" w:hanging="360"/>
        <w:rPr>
          <w:color w:val="000000"/>
          <w:position w:val="0"/>
          <w:sz w:val="24"/>
          <w:szCs w:val="24"/>
          <w:rFonts w:ascii="Arial" w:eastAsia="Arial" w:hAnsi="Arial" w:hint="default"/>
        </w:rPr>
        <w:wordWrap w:val="off"/>
        <w:autoSpaceDE w:val="0"/>
        <w:autoSpaceDN w:val="0"/>
      </w:pPr>
      <w:r>
        <w:rPr>
          <w:color w:val="000000"/>
          <w:position w:val="0"/>
          <w:sz w:val="24"/>
          <w:szCs w:val="24"/>
          <w:rFonts w:ascii="Arial" w:eastAsia="Arial" w:hAnsi="Arial" w:hint="default"/>
        </w:rPr>
        <w:t xml:space="preserve">Valentin E. K. (1989) The Missing Link in Decision Support Systems? Journal </w:t>
      </w:r>
      <w:r>
        <w:rPr>
          <w:color w:val="000000"/>
          <w:position w:val="0"/>
          <w:sz w:val="24"/>
          <w:szCs w:val="24"/>
          <w:rFonts w:ascii="Arial" w:eastAsia="Arial" w:hAnsi="Arial" w:hint="default"/>
        </w:rPr>
        <w:t xml:space="preserve">of Computer Information Systems, Volume 29, 1989 - Issue 4 Published </w:t>
      </w:r>
      <w:r>
        <w:rPr>
          <w:color w:val="000000"/>
          <w:position w:val="0"/>
          <w:sz w:val="24"/>
          <w:szCs w:val="24"/>
          <w:rFonts w:ascii="Arial" w:eastAsia="Arial" w:hAnsi="Arial" w:hint="default"/>
        </w:rPr>
        <w:t xml:space="preserve">Online: 01 Feb 2016.</w:t>
      </w:r>
      <w:r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t xml:space="preserve"> </w:t>
      </w:r>
    </w:p>
    <w:p>
      <w:pPr>
        <w:bidi w:val="0"/>
        <w:numPr>
          <w:ilvl w:val="0"/>
          <w:numId w:val="26"/>
        </w:numPr>
        <w:jc w:val="both"/>
        <w:spacing w:lineRule="auto" w:line="360" w:before="0" w:after="0"/>
        <w:contextualSpacing w:val="1"/>
        <w:ind w:left="720" w:right="0" w:hanging="360"/>
        <w:rPr>
          <w:color w:val="000000"/>
          <w:position w:val="0"/>
          <w:sz w:val="24"/>
          <w:szCs w:val="24"/>
          <w:rFonts w:ascii="Arial" w:eastAsia="Arial" w:hAnsi="Arial" w:hint="default"/>
        </w:rPr>
        <w:wordWrap w:val="off"/>
        <w:autoSpaceDE w:val="0"/>
        <w:autoSpaceDN w:val="0"/>
      </w:pPr>
      <w:r>
        <w:rPr>
          <w:color w:val="000000"/>
          <w:position w:val="0"/>
          <w:sz w:val="24"/>
          <w:szCs w:val="24"/>
          <w:rFonts w:ascii="Arial" w:eastAsia="Arial" w:hAnsi="Arial" w:hint="default"/>
        </w:rPr>
        <w:t xml:space="preserve">Zikmund W.G; Babin B.J; Carr J.C and Griffin M. (2013). Business research </w:t>
      </w:r>
      <w:r>
        <w:rPr>
          <w:color w:val="000000"/>
          <w:position w:val="0"/>
          <w:sz w:val="24"/>
          <w:szCs w:val="24"/>
          <w:rFonts w:ascii="Arial" w:eastAsia="Arial" w:hAnsi="Arial" w:hint="default"/>
        </w:rPr>
        <w:t xml:space="preserve">methods. Cengage Learning.</w:t>
      </w:r>
    </w:p>
    <w:p>
      <w:pPr>
        <w:bidi w:val="0"/>
        <w:numPr>
          <w:ilvl w:val="0"/>
          <w:numId w:val="0"/>
        </w:numPr>
        <w:jc w:val="both"/>
        <w:spacing w:lineRule="auto" w:line="360" w:before="0" w:after="0"/>
        <w:contextualSpacing w:val="1"/>
        <w:ind w:left="720" w:right="0" w:firstLine="0"/>
        <w:rPr>
          <w:color w:val="000000"/>
          <w:position w:val="0"/>
          <w:sz w:val="24"/>
          <w:szCs w:val="24"/>
          <w:rFonts w:ascii="Arial" w:eastAsia="Arial" w:hAnsi="Arial" w:hint="default"/>
        </w:rPr>
        <w:wordWrap w:val="off"/>
        <w:autoSpaceDE w:val="0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0"/>
        <w:contextualSpacing w:val="1"/>
        <w:ind w:left="720"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wordWrap w:val="off"/>
        <w:autoSpaceDE w:val="0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pStyle w:val="PO7"/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outlineLvl w:val="0"/>
        <w:autoSpaceDE w:val="1"/>
        <w:autoSpaceDN w:val="1"/>
      </w:pPr>
      <w:r>
        <w:rPr>
          <w:b w:val="1"/>
          <w:color w:val="auto"/>
          <w:position w:val="0"/>
          <w:sz w:val="24"/>
          <w:szCs w:val="24"/>
          <w:rFonts w:ascii="Arial" w:eastAsia="Arial" w:hAnsi="Arial" w:hint="default"/>
        </w:rPr>
        <w:t>Appendices</w:t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5906135" cy="4591685"/>
            <wp:effectExtent l="0" t="0" r="0" b="0"/>
            <wp:docPr id="1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C:/Users/Silvia/AppData/Roaming/PolarisOffice/ETemp/10860_11002864/image48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4592320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1"/>
      </w:pPr>
      <w:r>
        <w:rPr>
          <w:sz w:val="20"/>
        </w:rPr>
        <w:drawing>
          <wp:inline distT="0" distB="0" distL="0" distR="0">
            <wp:extent cx="5668010" cy="3020060"/>
            <wp:effectExtent l="0" t="0" r="9525" b="9525"/>
            <wp:docPr id="19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C:/Users/Silvia/AppData/Roaming/PolarisOffice/ETemp/10860_11002864/image49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8645" cy="3020695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  <w:r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t xml:space="preserve"> </w:t>
      </w:r>
      <w:r>
        <w:rPr>
          <w:sz w:val="20"/>
        </w:rPr>
        <w:drawing>
          <wp:inline distT="0" distB="0" distL="0" distR="0">
            <wp:extent cx="6128385" cy="8622030"/>
            <wp:effectExtent l="0" t="0" r="0" b="8890"/>
            <wp:docPr id="19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C:/Users/Silvia/AppData/Roaming/PolarisOffice/ETemp/10860_11002864/image50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9020" cy="8622665"/>
                    </a:xfrm>
                    <a:prstGeom prst="rect"/>
                    <a:noFill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Calibri" w:eastAsia="Times New Roman" w:hAnsi="Times New Roman" w:hint="default"/>
        </w:rPr>
        <w:autoSpaceDE w:val="0"/>
        <w:autoSpaceDN w:val="0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0"/>
          <w:szCs w:val="20"/>
          <w:rFonts w:ascii="Calibri" w:eastAsia="Times New Roman" w:hAnsi="Times New Roman" w:hint="default"/>
        </w:rPr>
        <w:autoSpaceDE w:val="0"/>
        <w:autoSpaceDN w:val="0"/>
      </w:pPr>
      <w:r>
        <w:rPr>
          <w:sz w:val="20"/>
        </w:rPr>
        <w:drawing>
          <wp:inline distT="0" distB="0" distL="0" distR="0">
            <wp:extent cx="5847715" cy="4490085"/>
            <wp:effectExtent l="0" t="0" r="0" b="0"/>
            <wp:docPr id="213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C:/Users/Silvia/AppData/Roaming/PolarisOffice/ETemp/10860_11002864/fImage13579821341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68" t="30445" r="34457" b="8775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449072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</w:p>
    <w:p>
      <w:pPr>
        <w:numPr>
          <w:ilvl w:val="0"/>
          <w:numId w:val="0"/>
        </w:numPr>
        <w:jc w:val="left"/>
        <w:spacing w:lineRule="auto" w:line="240" w:before="0" w:after="0"/>
        <w:ind w:right="0" w:firstLine="0"/>
        <w:rPr>
          <w:color w:val="auto"/>
          <w:position w:val="0"/>
          <w:sz w:val="24"/>
          <w:szCs w:val="24"/>
          <w:rFonts w:ascii="Arial" w:eastAsia="Arial" w:hAnsi="Arial" w:hint="default"/>
        </w:rPr>
        <w:autoSpaceDE w:val="0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  <w:r>
        <w:rPr>
          <w:sz w:val="20"/>
        </w:rPr>
        <w:drawing>
          <wp:inline distT="0" distB="0" distL="0" distR="0">
            <wp:extent cx="6096635" cy="7134860"/>
            <wp:effectExtent l="0" t="0" r="0" b="9525"/>
            <wp:docPr id="19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C:/Users/Silvia/AppData/Roaming/PolarisOffice/ETemp/10860_11002864/image52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24429" t="8243" r="24718" b="8526"/>
                    <a:stretch>
                      <a:fillRect/>
                    </a:stretch>
                  </pic:blipFill>
                  <pic:spPr>
                    <a:xfrm>
                      <a:off x="0" y="0"/>
                      <a:ext cx="6097270" cy="7135495"/>
                    </a:xfrm>
                    <a:prstGeom prst="rect"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b w:val="1"/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both"/>
        <w:spacing w:lineRule="auto" w:line="360" w:before="0" w:after="159"/>
        <w:ind w:right="0" w:firstLine="0"/>
        <w:rPr>
          <w:color w:val="auto"/>
          <w:position w:val="0"/>
          <w:sz w:val="24"/>
          <w:szCs w:val="24"/>
          <w:rFonts w:ascii="Arial" w:eastAsia="Times New Roman" w:hAnsi="Times New Roman" w:hint="default"/>
        </w:rPr>
        <w:autoSpaceDE w:val="1"/>
        <w:autoSpaceDN w:val="0"/>
      </w:pPr>
    </w:p>
    <w:p>
      <w:pPr>
        <w:numPr>
          <w:ilvl w:val="0"/>
          <w:numId w:val="0"/>
        </w:numPr>
        <w:jc w:val="left"/>
        <w:spacing w:lineRule="auto" w:line="259" w:before="0" w:after="160"/>
        <w:ind w:right="0" w:firstLine="0"/>
        <w:rPr>
          <w:color w:val="auto"/>
          <w:position w:val="0"/>
          <w:sz w:val="22"/>
          <w:szCs w:val="22"/>
          <w:rFonts w:ascii="Calibri" w:eastAsia="Times New Roman" w:hAnsi="Times New Roman" w:hint="default"/>
        </w:rPr>
        <w:autoSpaceDE w:val="1"/>
        <w:autoSpaceDN w:val="1"/>
      </w:pPr>
    </w:p>
    <w:sectPr>
      <w:pgSz w:w="11906" w:h="16838"/>
      <w:pgMar w:top="1440" w:left="1440" w:bottom="1440" w:right="144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Courier New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Symbol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Arial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Calibri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Calibri Light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MS Gothic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Andalu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맑은 고딕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helvetica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&quot;Open Sans&quot;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p>
    <w:pPr>
      <w:pStyle w:val="PO168"/>
      <w:numPr>
        <w:ilvl w:val="0"/>
        <w:numId w:val="0"/>
      </w:numPr>
      <w:jc w:val="right"/>
      <w:spacing w:lineRule="auto" w:line="240" w:before="0" w:after="0"/>
      <w:ind w:right="0" w:firstLine="0"/>
      <w:tabs>
        <w:tab w:val="center" w:pos="4513"/>
        <w:tab w:val="right" w:pos="9026"/>
      </w:tabs>
      <w:rPr>
        <w:color w:val="auto"/>
        <w:position w:val="0"/>
        <w:sz w:val="22"/>
        <w:szCs w:val="22"/>
        <w:rFonts w:ascii="Calibri" w:eastAsia="Times New Roman" w:hAnsi="Times New Roman" w:hint="default"/>
      </w:rPr>
      <w:autoSpaceDE w:val="1"/>
      <w:autoSpaceDN w:val="0"/>
    </w:pPr>
    <w:r>
      <w:rPr>
        <w:color w:val="auto"/>
        <w:position w:val="0"/>
        <w:sz w:val="22"/>
        <w:szCs w:val="22"/>
        <w:rFonts w:ascii="Calibri" w:eastAsia="Calibri" w:hAnsi="Calibri" w:hint="default"/>
      </w:rPr>
      <w:fldChar w:fldCharType="begin"/>
    </w:r>
    <w:r>
      <w:rPr>
        <w:color w:val="auto"/>
        <w:position w:val="0"/>
        <w:sz w:val="22"/>
        <w:szCs w:val="22"/>
        <w:rFonts w:ascii="Calibri" w:eastAsia="Calibri" w:hAnsi="Calibri" w:hint="default"/>
        <w:rFonts w:hint="eastAsia"/>
      </w:rPr>
      <w:instrText>PAGE \* Arabic \* MERGEFORMAT</w:instrText>
    </w:r>
    <w:r>
      <w:fldChar w:fldCharType="separate"/>
    </w:r>
    <w:r>
      <w:rPr>
        <w:color w:val="auto"/>
        <w:position w:val="0"/>
        <w:sz w:val="22"/>
        <w:szCs w:val="22"/>
        <w:rFonts w:ascii="Calibri" w:eastAsia="Calibri" w:hAnsi="Calibri" w:hint="default"/>
      </w:rPr>
      <w:t>53</w:t>
    </w:r>
    <w:r>
      <w:rPr>
        <w:color w:val="auto"/>
        <w:position w:val="0"/>
        <w:sz w:val="22"/>
        <w:szCs w:val="22"/>
        <w:rFonts w:ascii="Calibri" w:eastAsia="Calibri" w:hAnsi="Calibri" w:hint="default"/>
      </w:rPr>
      <w:fldChar w:fldCharType="end"/>
    </w:r>
  </w:p>
  <w:p>
    <w:pPr>
      <w:pStyle w:val="PO168"/>
      <w:numPr>
        <w:ilvl w:val="0"/>
        <w:numId w:val="0"/>
      </w:numPr>
      <w:jc w:val="left"/>
      <w:spacing w:lineRule="auto" w:line="240" w:before="0" w:after="0"/>
      <w:ind w:right="0" w:firstLine="0"/>
      <w:tabs>
        <w:tab w:val="center" w:pos="4513"/>
        <w:tab w:val="right" w:pos="9026"/>
      </w:tabs>
      <w:rPr>
        <w:color w:val="auto"/>
        <w:position w:val="0"/>
        <w:sz w:val="22"/>
        <w:szCs w:val="22"/>
        <w:rFonts w:ascii="Calibri" w:eastAsia="Calibri" w:hAnsi="Calibri" w:hint="default"/>
      </w:rPr>
      <w:autoSpaceDE w:val="1"/>
      <w:autoSpaceDN w:val="0"/>
    </w:pPr>
  </w:p>
</w:ftr>
</file>

<file path=word/footer1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p>
    <w:pPr>
      <w:pStyle w:val="PO168"/>
      <w:numPr>
        <w:ilvl w:val="0"/>
        <w:numId w:val="0"/>
      </w:numPr>
      <w:jc w:val="right"/>
      <w:spacing w:lineRule="auto" w:line="240" w:before="0" w:after="0"/>
      <w:ind w:right="0" w:firstLine="0"/>
      <w:tabs>
        <w:tab w:val="center" w:pos="4513"/>
        <w:tab w:val="right" w:pos="9026"/>
      </w:tabs>
      <w:rPr>
        <w:color w:val="auto"/>
        <w:position w:val="0"/>
        <w:sz w:val="22"/>
        <w:szCs w:val="22"/>
        <w:rFonts w:ascii="Calibri" w:eastAsia="Times New Roman" w:hAnsi="Times New Roman" w:hint="default"/>
      </w:rPr>
      <w:autoSpaceDE w:val="1"/>
      <w:autoSpaceDN w:val="0"/>
    </w:pPr>
    <w:r>
      <w:rPr>
        <w:color w:val="auto"/>
        <w:position w:val="0"/>
        <w:sz w:val="22"/>
        <w:szCs w:val="22"/>
        <w:rFonts w:ascii="Calibri" w:eastAsia="Calibri" w:hAnsi="Calibri" w:hint="default"/>
      </w:rPr>
      <w:fldChar w:fldCharType="begin"/>
    </w:r>
    <w:r>
      <w:rPr>
        <w:color w:val="auto"/>
        <w:position w:val="0"/>
        <w:sz w:val="22"/>
        <w:szCs w:val="22"/>
        <w:rFonts w:ascii="Calibri" w:eastAsia="Calibri" w:hAnsi="Calibri" w:hint="default"/>
        <w:rFonts w:hint="eastAsia"/>
      </w:rPr>
      <w:instrText>PAGE \* Arabic \* MERGEFORMAT</w:instrText>
    </w:r>
    <w:r>
      <w:fldChar w:fldCharType="separate"/>
    </w:r>
    <w:r>
      <w:rPr>
        <w:color w:val="auto"/>
        <w:position w:val="0"/>
        <w:sz w:val="22"/>
        <w:szCs w:val="22"/>
        <w:rFonts w:ascii="Calibri" w:eastAsia="Calibri" w:hAnsi="Calibri" w:hint="default"/>
      </w:rPr>
      <w:t>89</w:t>
    </w:r>
    <w:r>
      <w:rPr>
        <w:color w:val="auto"/>
        <w:position w:val="0"/>
        <w:sz w:val="22"/>
        <w:szCs w:val="22"/>
        <w:rFonts w:ascii="Calibri" w:eastAsia="Calibri" w:hAnsi="Calibri" w:hint="default"/>
      </w:rPr>
      <w:fldChar w:fldCharType="end"/>
    </w:r>
  </w:p>
  <w:p>
    <w:pPr>
      <w:pStyle w:val="PO168"/>
      <w:numPr>
        <w:ilvl w:val="0"/>
        <w:numId w:val="0"/>
      </w:numPr>
      <w:jc w:val="left"/>
      <w:spacing w:lineRule="auto" w:line="240" w:before="0" w:after="0"/>
      <w:ind w:right="0" w:firstLine="0"/>
      <w:tabs>
        <w:tab w:val="center" w:pos="4513"/>
        <w:tab w:val="right" w:pos="9026"/>
      </w:tabs>
      <w:rPr>
        <w:color w:val="auto"/>
        <w:position w:val="0"/>
        <w:sz w:val="22"/>
        <w:szCs w:val="22"/>
        <w:rFonts w:ascii="Calibri" w:eastAsia="Calibri" w:hAnsi="Calibri" w:hint="default"/>
      </w:rPr>
      <w:autoSpaceDE w:val="1"/>
      <w:autoSpaceDN w:val="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abstractNum w:abstractNumId="0">
    <w:multiLevelType w:val="hybridMultilevel"/>
    <w:nsid w:val="2F000000"/>
    <w:tmpl w:val="1F002411"/>
    <w:lvl w:ilvl="0">
      <w:lvlJc w:val="left"/>
      <w:numFmt w:val="decimal"/>
      <w:start w:val="1"/>
      <w:suff w:val="tab"/>
      <w:pPr>
        <w:ind w:left="460" w:hanging="240"/>
        <w:jc w:val="both"/>
      </w:pPr>
      <w:rPr>
        <w:rFonts w:ascii="Times New Roman" w:eastAsia="Times New Roman" w:hAnsi="Times New Roman"/>
        <w:shd w:val="clear" w:color="000000"/>
        <w:spacing w:val="-2"/>
        <w:sz w:val="24"/>
        <w:szCs w:val="24"/>
        <w:w w:val="100"/>
      </w:rPr>
      <w:lvlText w:val="%1."/>
    </w:lvl>
    <w:lvl w:ilvl="1">
      <w:lvlJc w:val="left"/>
      <w:numFmt w:val="lowerRoman"/>
      <w:start w:val="1"/>
      <w:suff w:val="tab"/>
      <w:pPr>
        <w:ind w:left="1300" w:hanging="360"/>
        <w:jc w:val="both"/>
      </w:pPr>
      <w:rPr>
        <w:rFonts w:ascii="Times New Roman" w:eastAsia="Times New Roman" w:hAnsi="Times New Roman"/>
        <w:shd w:val="clear" w:color="000000"/>
        <w:spacing w:val="-15"/>
        <w:sz w:val="24"/>
        <w:szCs w:val="24"/>
        <w:w w:val="99"/>
      </w:rPr>
      <w:lvlText w:val="(%2)"/>
    </w:lvl>
    <w:lvl w:ilvl="2">
      <w:lvlJc w:val="left"/>
      <w:numFmt w:val="bullet"/>
      <w:suff w:val="tab"/>
      <w:pPr>
        <w:ind w:left="1300" w:hanging="360"/>
        <w:jc w:val="both"/>
      </w:pPr>
      <w:rPr>
        <w:shd w:val="clear" w:color="000000"/>
        <w:sz w:val="20"/>
        <w:szCs w:val="20"/>
        <w:w w:val="100"/>
      </w:rPr>
      <w:lvlText w:val="•"/>
    </w:lvl>
    <w:lvl w:ilvl="3">
      <w:lvlJc w:val="left"/>
      <w:numFmt w:val="bullet"/>
      <w:suff w:val="tab"/>
      <w:pPr>
        <w:ind w:left="2366" w:hanging="360"/>
        <w:jc w:val="both"/>
      </w:pPr>
      <w:rPr>
        <w:shd w:val="clear" w:color="000000"/>
        <w:sz w:val="20"/>
        <w:szCs w:val="20"/>
        <w:w w:val="100"/>
      </w:rPr>
      <w:lvlText w:val="•"/>
    </w:lvl>
    <w:lvl w:ilvl="4">
      <w:lvlJc w:val="left"/>
      <w:numFmt w:val="bullet"/>
      <w:suff w:val="tab"/>
      <w:pPr>
        <w:ind w:left="3432" w:hanging="360"/>
        <w:jc w:val="both"/>
      </w:pPr>
      <w:rPr>
        <w:shd w:val="clear" w:color="000000"/>
        <w:sz w:val="20"/>
        <w:szCs w:val="20"/>
        <w:w w:val="100"/>
      </w:rPr>
      <w:lvlText w:val="•"/>
    </w:lvl>
    <w:lvl w:ilvl="5">
      <w:lvlJc w:val="left"/>
      <w:numFmt w:val="bullet"/>
      <w:suff w:val="tab"/>
      <w:pPr>
        <w:ind w:left="4498" w:hanging="360"/>
        <w:jc w:val="both"/>
      </w:pPr>
      <w:rPr>
        <w:shd w:val="clear" w:color="000000"/>
        <w:sz w:val="20"/>
        <w:szCs w:val="20"/>
        <w:w w:val="100"/>
      </w:rPr>
      <w:lvlText w:val="•"/>
    </w:lvl>
    <w:lvl w:ilvl="6">
      <w:lvlJc w:val="left"/>
      <w:numFmt w:val="bullet"/>
      <w:suff w:val="tab"/>
      <w:pPr>
        <w:ind w:left="5564" w:hanging="360"/>
        <w:jc w:val="both"/>
      </w:pPr>
      <w:rPr>
        <w:shd w:val="clear" w:color="000000"/>
        <w:sz w:val="20"/>
        <w:szCs w:val="20"/>
        <w:w w:val="100"/>
      </w:rPr>
      <w:lvlText w:val="•"/>
    </w:lvl>
    <w:lvl w:ilvl="7">
      <w:lvlJc w:val="left"/>
      <w:numFmt w:val="bullet"/>
      <w:suff w:val="tab"/>
      <w:pPr>
        <w:ind w:left="6630" w:hanging="360"/>
        <w:jc w:val="both"/>
      </w:pPr>
      <w:rPr>
        <w:shd w:val="clear" w:color="000000"/>
        <w:sz w:val="20"/>
        <w:szCs w:val="20"/>
        <w:w w:val="100"/>
      </w:rPr>
      <w:lvlText w:val="•"/>
    </w:lvl>
    <w:lvl w:ilvl="8">
      <w:lvlJc w:val="left"/>
      <w:numFmt w:val="bullet"/>
      <w:suff w:val="tab"/>
      <w:pPr>
        <w:ind w:left="7696" w:hanging="360"/>
        <w:jc w:val="both"/>
      </w:pPr>
      <w:rPr>
        <w:shd w:val="clear" w:color="000000"/>
        <w:sz w:val="20"/>
        <w:szCs w:val="20"/>
        <w:w w:val="100"/>
      </w:rPr>
      <w:lvlText w:val="•"/>
    </w:lvl>
  </w:abstractNum>
  <w:abstractNum w:abstractNumId="1">
    <w:multiLevelType w:val="hybridMultilevel"/>
    <w:nsid w:val="2F000001"/>
    <w:tmpl w:val="1F000C5F"/>
    <w:lvl w:ilvl="0">
      <w:lvlJc w:val="left"/>
      <w:numFmt w:val="bullet"/>
      <w:start w:val="1"/>
      <w:suff w:val="tab"/>
      <w:pPr>
        <w:ind w:left="720" w:hanging="360"/>
        <w:jc w:val="both"/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  <w:lvl w:ilvl="1">
      <w:lvlJc w:val="left"/>
      <w:numFmt w:val="bullet"/>
      <w:start w:val="1"/>
      <w:suff w:val="tab"/>
      <w:pPr>
        <w:ind w:left="1440" w:hanging="360"/>
        <w:jc w:val="both"/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2">
      <w:lvlJc w:val="left"/>
      <w:numFmt w:val="bullet"/>
      <w:start w:val="1"/>
      <w:suff w:val="tab"/>
      <w:pPr>
        <w:ind w:left="2160" w:hanging="360"/>
        <w:jc w:val="both"/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  <w:lvl w:ilvl="3">
      <w:lvlJc w:val="left"/>
      <w:numFmt w:val="bullet"/>
      <w:start w:val="1"/>
      <w:suff w:val="tab"/>
      <w:pPr>
        <w:ind w:left="2880" w:hanging="360"/>
        <w:jc w:val="both"/>
      </w:pPr>
      <w:rPr>
        <w:rFonts w:ascii="Symbol" w:eastAsia="Symbol" w:hAnsi="Symbol"/>
        <w:shd w:val="clear" w:color="000000"/>
        <w:sz w:val="20"/>
        <w:szCs w:val="20"/>
        <w:w w:val="100"/>
      </w:rPr>
      <w:lvlText w:val="·"/>
    </w:lvl>
    <w:lvl w:ilvl="4">
      <w:lvlJc w:val="left"/>
      <w:numFmt w:val="bullet"/>
      <w:start w:val="1"/>
      <w:suff w:val="tab"/>
      <w:pPr>
        <w:ind w:left="3600" w:hanging="360"/>
        <w:jc w:val="both"/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5">
      <w:lvlJc w:val="left"/>
      <w:numFmt w:val="bullet"/>
      <w:start w:val="1"/>
      <w:suff w:val="tab"/>
      <w:pPr>
        <w:ind w:left="4320" w:hanging="360"/>
        <w:jc w:val="both"/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  <w:lvl w:ilvl="6">
      <w:lvlJc w:val="left"/>
      <w:numFmt w:val="bullet"/>
      <w:start w:val="1"/>
      <w:suff w:val="tab"/>
      <w:pPr>
        <w:ind w:left="5040" w:hanging="360"/>
        <w:jc w:val="both"/>
      </w:pPr>
      <w:rPr>
        <w:rFonts w:ascii="Symbol" w:eastAsia="Symbol" w:hAnsi="Symbol"/>
        <w:shd w:val="clear" w:color="000000"/>
        <w:sz w:val="20"/>
        <w:szCs w:val="20"/>
        <w:w w:val="100"/>
      </w:rPr>
      <w:lvlText w:val="·"/>
    </w:lvl>
    <w:lvl w:ilvl="7">
      <w:lvlJc w:val="left"/>
      <w:numFmt w:val="bullet"/>
      <w:start w:val="1"/>
      <w:suff w:val="tab"/>
      <w:pPr>
        <w:ind w:left="5760" w:hanging="360"/>
        <w:jc w:val="both"/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8">
      <w:lvlJc w:val="left"/>
      <w:numFmt w:val="bullet"/>
      <w:start w:val="1"/>
      <w:suff w:val="tab"/>
      <w:pPr>
        <w:ind w:left="6480" w:hanging="360"/>
        <w:jc w:val="both"/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</w:abstractNum>
  <w:abstractNum w:abstractNumId="2">
    <w:multiLevelType w:val="hybridMultilevel"/>
    <w:nsid w:val="2F000002"/>
    <w:tmpl w:val="1F0033C2"/>
    <w:lvl w:ilvl="0">
      <w:lvlJc w:val="left"/>
      <w:numFmt w:val="decimal"/>
      <w:start w:val="1"/>
      <w:suff w:val="tab"/>
      <w:pPr>
        <w:ind w:left="720" w:hanging="360"/>
        <w:jc w:val="both"/>
      </w:pPr>
      <w:rPr>
        <w:shd w:val="clear" w:color="000000"/>
        <w:sz w:val="20"/>
        <w:szCs w:val="20"/>
        <w:w w:val="100"/>
      </w:rPr>
      <w:lvlText w:val="%1."/>
    </w:lvl>
    <w:lvl w:ilvl="1">
      <w:lvlJc w:val="left"/>
      <w:numFmt w:val="lowerLetter"/>
      <w:start w:val="1"/>
      <w:suff w:val="tab"/>
      <w:pPr>
        <w:ind w:left="1440" w:hanging="360"/>
        <w:jc w:val="both"/>
      </w:pPr>
      <w:lvlText w:val="%2."/>
    </w:lvl>
    <w:lvl w:ilvl="2">
      <w:lvlJc w:val="right"/>
      <w:numFmt w:val="lowerRoman"/>
      <w:start w:val="1"/>
      <w:suff w:val="tab"/>
      <w:pPr>
        <w:ind w:left="2160" w:hanging="180"/>
        <w:jc w:val="both"/>
      </w:pPr>
      <w:lvlText w:val="%3."/>
    </w:lvl>
    <w:lvl w:ilvl="3">
      <w:lvlJc w:val="left"/>
      <w:numFmt w:val="decimal"/>
      <w:start w:val="1"/>
      <w:suff w:val="tab"/>
      <w:pPr>
        <w:ind w:left="2880" w:hanging="360"/>
        <w:jc w:val="both"/>
      </w:pPr>
      <w:lvlText w:val="%4."/>
    </w:lvl>
    <w:lvl w:ilvl="4">
      <w:lvlJc w:val="left"/>
      <w:numFmt w:val="lowerLetter"/>
      <w:start w:val="1"/>
      <w:suff w:val="tab"/>
      <w:pPr>
        <w:ind w:left="3600" w:hanging="360"/>
        <w:jc w:val="both"/>
      </w:pPr>
      <w:lvlText w:val="%5."/>
    </w:lvl>
    <w:lvl w:ilvl="5">
      <w:lvlJc w:val="right"/>
      <w:numFmt w:val="lowerRoman"/>
      <w:start w:val="1"/>
      <w:suff w:val="tab"/>
      <w:pPr>
        <w:ind w:left="4320" w:hanging="180"/>
        <w:jc w:val="both"/>
      </w:pPr>
      <w:lvlText w:val="%6."/>
    </w:lvl>
    <w:lvl w:ilvl="6">
      <w:lvlJc w:val="left"/>
      <w:numFmt w:val="decimal"/>
      <w:start w:val="1"/>
      <w:suff w:val="tab"/>
      <w:pPr>
        <w:ind w:left="5040" w:hanging="360"/>
        <w:jc w:val="both"/>
      </w:pPr>
      <w:lvlText w:val="%7."/>
    </w:lvl>
    <w:lvl w:ilvl="7">
      <w:lvlJc w:val="left"/>
      <w:numFmt w:val="lowerLetter"/>
      <w:start w:val="1"/>
      <w:suff w:val="tab"/>
      <w:pPr>
        <w:ind w:left="5760" w:hanging="360"/>
        <w:jc w:val="both"/>
      </w:pPr>
      <w:lvlText w:val="%8."/>
    </w:lvl>
    <w:lvl w:ilvl="8">
      <w:lvlJc w:val="right"/>
      <w:numFmt w:val="lowerRoman"/>
      <w:start w:val="1"/>
      <w:suff w:val="tab"/>
      <w:pPr>
        <w:ind w:left="6480" w:hanging="180"/>
        <w:jc w:val="both"/>
      </w:pPr>
      <w:lvlText w:val="%9."/>
    </w:lvl>
  </w:abstractNum>
  <w:abstractNum w:abstractNumId="3">
    <w:multiLevelType w:val="multilevel"/>
    <w:nsid w:val="2F000003"/>
    <w:tmpl w:val="1F002570"/>
    <w:lvl w:ilvl="0">
      <w:lvlJc w:val="left"/>
      <w:numFmt w:val="decimal"/>
      <w:start w:val="1"/>
      <w:suff w:val="tab"/>
      <w:pPr>
        <w:ind w:left="460" w:hanging="240"/>
        <w:jc w:val="both"/>
      </w:pPr>
      <w:rPr>
        <w:color w:val="000000"/>
        <w:rFonts w:ascii="Times New Roman" w:eastAsia="Times New Roman" w:hAnsi="Times New Roman"/>
        <w:b w:val="0"/>
        <w:shd w:val="clear" w:color="000000"/>
        <w:spacing w:val="-15"/>
        <w:sz w:val="24"/>
        <w:szCs w:val="24"/>
        <w:u w:val="none"/>
        <w:vertAlign w:val="subscript"/>
        <w:w w:val="99"/>
      </w:rPr>
      <w:lvlText w:val="%1."/>
    </w:lvl>
    <w:lvl w:ilvl="1">
      <w:lvlJc w:val="left"/>
      <w:numFmt w:val="lowerRoman"/>
      <w:start w:val="3"/>
      <w:suff w:val="tab"/>
      <w:pPr>
        <w:ind w:left="1300" w:hanging="360"/>
        <w:jc w:val="both"/>
      </w:pPr>
      <w:rPr>
        <w:color w:val="000000"/>
        <w:rFonts w:ascii="Times New Roman" w:eastAsia="Times New Roman" w:hAnsi="Times New Roman"/>
        <w:b w:val="0"/>
        <w:shd w:val="clear" w:color="000000"/>
        <w:spacing w:val="-15"/>
        <w:sz w:val="24"/>
        <w:szCs w:val="24"/>
        <w:u w:val="none"/>
        <w:vertAlign w:val="subscript"/>
        <w:w w:val="99"/>
      </w:rPr>
      <w:lvlText w:val="(%2)"/>
    </w:lvl>
    <w:lvl w:ilvl="2">
      <w:lvlJc w:val="left"/>
      <w:numFmt w:val="bullet"/>
      <w:suff w:val="tab"/>
      <w:pPr>
        <w:ind w:left="13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2366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3432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4498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5564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63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696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4">
    <w:multiLevelType w:val="multilevel"/>
    <w:nsid w:val="2F000004"/>
    <w:tmpl w:val="1F001EB6"/>
    <w:lvl w:ilvl="0">
      <w:lvlJc w:val="left"/>
      <w:numFmt w:val="lowerLetter"/>
      <w:start w:val="2"/>
      <w:suff w:val="tab"/>
      <w:pPr>
        <w:ind w:left="1300" w:hanging="360"/>
        <w:jc w:val="both"/>
      </w:pPr>
      <w:rPr>
        <w:color w:val="000000"/>
        <w:rFonts w:ascii="Arial" w:eastAsia="Times New Roman" w:hAnsi="Arial"/>
        <w:b w:val="0"/>
        <w:shd w:val="clear" w:color="000000"/>
        <w:spacing w:val="-6"/>
        <w:sz w:val="24"/>
        <w:szCs w:val="24"/>
        <w:u w:val="none"/>
        <w:vertAlign w:val="subscript"/>
        <w:w w:val="99"/>
      </w:rPr>
      <w:lvlText w:val="%1)"/>
    </w:lvl>
    <w:lvl w:ilvl="1">
      <w:lvlJc w:val="left"/>
      <w:numFmt w:val="bullet"/>
      <w:suff w:val="tab"/>
      <w:pPr>
        <w:ind w:left="2152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2">
      <w:lvlJc w:val="left"/>
      <w:numFmt w:val="bullet"/>
      <w:suff w:val="tab"/>
      <w:pPr>
        <w:ind w:left="3005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3858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4711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5564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6417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727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8123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5">
    <w:multiLevelType w:val="multilevel"/>
    <w:nsid w:val="2F000005"/>
    <w:tmpl w:val="1F00166B"/>
    <w:lvl w:ilvl="0">
      <w:lvlJc w:val="left"/>
      <w:numFmt w:val="decimal"/>
      <w:start w:val="1"/>
      <w:suff w:val="tab"/>
      <w:pPr>
        <w:ind w:left="580" w:hanging="360"/>
        <w:jc w:val="both"/>
      </w:pPr>
      <w:rPr>
        <w:color w:val="000000"/>
        <w:rFonts w:ascii="Wingdings" w:eastAsia="Wingdings" w:hAnsi="Wingdings"/>
        <w:b w:val="0"/>
        <w:shd w:val="clear" w:color="000000"/>
        <w:sz w:val="24"/>
        <w:szCs w:val="24"/>
        <w:u w:val="none"/>
        <w:vertAlign w:val="subscript"/>
        <w:w w:val="100"/>
      </w:rPr>
      <w:lvlText w:val="%1."/>
    </w:lvl>
    <w:lvl w:ilvl="1">
      <w:lvlJc w:val="left"/>
      <w:numFmt w:val="bullet"/>
      <w:suff w:val="tab"/>
      <w:pPr>
        <w:ind w:left="1000" w:hanging="420"/>
        <w:jc w:val="both"/>
      </w:pPr>
      <w:rPr>
        <w:color w:val="000000"/>
        <w:rFonts w:ascii="Wingdings" w:eastAsia="Wingdings" w:hAnsi="Wingdings"/>
        <w:b w:val="0"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2">
      <w:lvlJc w:val="left"/>
      <w:numFmt w:val="bullet"/>
      <w:suff w:val="tab"/>
      <w:pPr>
        <w:ind w:left="1000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2103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3207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4310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5414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518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621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6">
    <w:multiLevelType w:val="multilevel"/>
    <w:nsid w:val="2F000006"/>
    <w:tmpl w:val="1F003957"/>
    <w:lvl w:ilvl="0">
      <w:lvlJc w:val="left"/>
      <w:numFmt w:val="lowerLetter"/>
      <w:start w:val="1"/>
      <w:suff w:val="tab"/>
      <w:pPr>
        <w:ind w:left="1300" w:hanging="360"/>
        <w:jc w:val="both"/>
      </w:pPr>
      <w:rPr>
        <w:color w:val="000000"/>
        <w:rFonts w:ascii="Arial" w:eastAsia="Times New Roman" w:hAnsi="Arial"/>
        <w:b w:val="0"/>
        <w:shd w:val="clear" w:color="000000"/>
        <w:spacing w:val="-6"/>
        <w:sz w:val="24"/>
        <w:szCs w:val="24"/>
        <w:u w:val="none"/>
        <w:vertAlign w:val="subscript"/>
        <w:w w:val="99"/>
      </w:rPr>
      <w:lvlText w:val="%1)"/>
    </w:lvl>
    <w:lvl w:ilvl="1">
      <w:lvlJc w:val="left"/>
      <w:numFmt w:val="bullet"/>
      <w:suff w:val="tab"/>
      <w:pPr>
        <w:ind w:left="2152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2">
      <w:lvlJc w:val="left"/>
      <w:numFmt w:val="bullet"/>
      <w:suff w:val="tab"/>
      <w:pPr>
        <w:ind w:left="3005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3858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4711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5564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6417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727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8123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7">
    <w:multiLevelType w:val="multilevel"/>
    <w:nsid w:val="2F000007"/>
    <w:tmpl w:val="1F0034A9"/>
    <w:lvl w:ilvl="0">
      <w:lvlJc w:val="left"/>
      <w:numFmt w:val="lowerLetter"/>
      <w:start w:val="1"/>
      <w:suff w:val="tab"/>
      <w:pPr>
        <w:ind w:left="720" w:hanging="360"/>
        <w:jc w:val="both"/>
      </w:pPr>
      <w:lvlText w:val="%1."/>
    </w:lvl>
    <w:lvl w:ilvl="1">
      <w:lvlJc w:val="left"/>
      <w:numFmt w:val="lowerLetter"/>
      <w:start w:val="1"/>
      <w:suff w:val="tab"/>
      <w:pPr>
        <w:ind w:left="1440" w:hanging="360"/>
        <w:jc w:val="both"/>
      </w:pPr>
      <w:lvlText w:val="%2."/>
    </w:lvl>
    <w:lvl w:ilvl="2">
      <w:lvlJc w:val="right"/>
      <w:numFmt w:val="lowerRoman"/>
      <w:start w:val="1"/>
      <w:suff w:val="tab"/>
      <w:pPr>
        <w:ind w:left="2160" w:hanging="180"/>
        <w:jc w:val="both"/>
      </w:pPr>
      <w:lvlText w:val="%3."/>
    </w:lvl>
    <w:lvl w:ilvl="3">
      <w:lvlJc w:val="left"/>
      <w:numFmt w:val="decimal"/>
      <w:start w:val="1"/>
      <w:suff w:val="tab"/>
      <w:pPr>
        <w:ind w:left="2880" w:hanging="360"/>
        <w:jc w:val="both"/>
      </w:pPr>
      <w:lvlText w:val="%4."/>
    </w:lvl>
    <w:lvl w:ilvl="4">
      <w:lvlJc w:val="left"/>
      <w:numFmt w:val="lowerLetter"/>
      <w:start w:val="1"/>
      <w:suff w:val="tab"/>
      <w:pPr>
        <w:ind w:left="3600" w:hanging="360"/>
        <w:jc w:val="both"/>
      </w:pPr>
      <w:lvlText w:val="%5."/>
    </w:lvl>
    <w:lvl w:ilvl="5">
      <w:lvlJc w:val="right"/>
      <w:numFmt w:val="lowerRoman"/>
      <w:start w:val="1"/>
      <w:suff w:val="tab"/>
      <w:pPr>
        <w:ind w:left="4320" w:hanging="180"/>
        <w:jc w:val="both"/>
      </w:pPr>
      <w:lvlText w:val="%6."/>
    </w:lvl>
    <w:lvl w:ilvl="6">
      <w:lvlJc w:val="left"/>
      <w:numFmt w:val="decimal"/>
      <w:start w:val="1"/>
      <w:suff w:val="tab"/>
      <w:pPr>
        <w:ind w:left="5040" w:hanging="360"/>
        <w:jc w:val="both"/>
      </w:pPr>
      <w:lvlText w:val="%7."/>
    </w:lvl>
    <w:lvl w:ilvl="7">
      <w:lvlJc w:val="left"/>
      <w:numFmt w:val="lowerLetter"/>
      <w:start w:val="1"/>
      <w:suff w:val="tab"/>
      <w:pPr>
        <w:ind w:left="5760" w:hanging="360"/>
        <w:jc w:val="both"/>
      </w:pPr>
      <w:lvlText w:val="%8."/>
    </w:lvl>
    <w:lvl w:ilvl="8">
      <w:lvlJc w:val="right"/>
      <w:numFmt w:val="lowerRoman"/>
      <w:start w:val="1"/>
      <w:suff w:val="tab"/>
      <w:pPr>
        <w:ind w:left="6480" w:hanging="180"/>
        <w:jc w:val="both"/>
      </w:pPr>
      <w:lvlText w:val="%9."/>
    </w:lvl>
  </w:abstractNum>
  <w:abstractNum w:abstractNumId="8">
    <w:multiLevelType w:val="multilevel"/>
    <w:nsid w:val="2F000008"/>
    <w:tmpl w:val="1F002FC8"/>
    <w:lvl w:ilvl="0">
      <w:lvlJc w:val="left"/>
      <w:numFmt w:val="decimal"/>
      <w:start w:val="1"/>
      <w:suff w:val="tab"/>
      <w:pPr>
        <w:ind w:left="460" w:hanging="240"/>
        <w:jc w:val="both"/>
      </w:pPr>
      <w:rPr>
        <w:color w:val="000000"/>
        <w:rFonts w:ascii="Times New Roman" w:eastAsia="Times New Roman" w:hAnsi="Times New Roman"/>
        <w:b w:val="0"/>
        <w:shd w:val="clear" w:color="000000"/>
        <w:spacing w:val="-15"/>
        <w:sz w:val="24"/>
        <w:szCs w:val="24"/>
        <w:u w:val="none"/>
        <w:vertAlign w:val="subscript"/>
        <w:w w:val="99"/>
      </w:rPr>
      <w:lvlText w:val="%1."/>
    </w:lvl>
    <w:lvl w:ilvl="1">
      <w:lvlJc w:val="left"/>
      <w:numFmt w:val="lowerRoman"/>
      <w:start w:val="1"/>
      <w:suff w:val="tab"/>
      <w:pPr>
        <w:ind w:left="1300" w:hanging="360"/>
        <w:jc w:val="both"/>
      </w:pPr>
      <w:rPr>
        <w:color w:val="000000"/>
        <w:rFonts w:ascii="Times New Roman" w:eastAsia="Times New Roman" w:hAnsi="Times New Roman"/>
        <w:b w:val="0"/>
        <w:shd w:val="clear" w:color="000000"/>
        <w:spacing w:val="-15"/>
        <w:sz w:val="24"/>
        <w:szCs w:val="24"/>
        <w:u w:val="none"/>
        <w:vertAlign w:val="subscript"/>
        <w:w w:val="99"/>
      </w:rPr>
      <w:lvlText w:val="(%2)"/>
    </w:lvl>
    <w:lvl w:ilvl="2">
      <w:lvlJc w:val="left"/>
      <w:numFmt w:val="bullet"/>
      <w:suff w:val="tab"/>
      <w:pPr>
        <w:ind w:left="13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2366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3432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4498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5564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63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696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9">
    <w:multiLevelType w:val="multilevel"/>
    <w:nsid w:val="2F000009"/>
    <w:tmpl w:val="1F000B24"/>
    <w:lvl w:ilvl="0">
      <w:lvlJc w:val="left"/>
      <w:numFmt w:val="decimal"/>
      <w:start w:val="1"/>
      <w:suff w:val="tab"/>
      <w:pPr>
        <w:ind w:left="940" w:hanging="720"/>
        <w:jc w:val="both"/>
      </w:pPr>
      <w:rPr>
        <w:color w:val="000000"/>
        <w:rFonts w:ascii="Arial" w:eastAsia="Times New Roman" w:hAnsi="Arial"/>
        <w:b/>
        <w:shd w:val="clear" w:color="000000"/>
        <w:spacing w:val="-2"/>
        <w:sz w:val="24"/>
        <w:szCs w:val="24"/>
        <w:u w:val="none"/>
        <w:vertAlign w:val="subscript"/>
        <w:w w:val="99"/>
      </w:rPr>
      <w:lvlText w:val="%1"/>
    </w:lvl>
    <w:lvl w:ilvl="1">
      <w:lvlJc w:val="left"/>
      <w:numFmt w:val="decimal"/>
      <w:start w:val="1"/>
      <w:suff w:val="tab"/>
      <w:pPr>
        <w:ind w:left="940" w:hanging="720"/>
        <w:jc w:val="both"/>
      </w:pPr>
      <w:rPr>
        <w:color w:val="000000"/>
        <w:rFonts w:ascii="Arial" w:eastAsia="Times New Roman" w:hAnsi="Arial"/>
        <w:b/>
        <w:shd w:val="clear" w:color="000000"/>
        <w:spacing w:val="-2"/>
        <w:sz w:val="24"/>
        <w:szCs w:val="24"/>
        <w:u w:val="none"/>
        <w:vertAlign w:val="subscript"/>
        <w:w w:val="99"/>
      </w:rPr>
      <w:lvlText w:val="%1.%2"/>
    </w:lvl>
    <w:lvl w:ilvl="2">
      <w:lvlJc w:val="left"/>
      <w:numFmt w:val="decimal"/>
      <w:start w:val="1"/>
      <w:suff w:val="tab"/>
      <w:pPr>
        <w:ind w:left="940" w:hanging="7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"/>
    </w:lvl>
    <w:lvl w:ilvl="3">
      <w:lvlJc w:val="left"/>
      <w:numFmt w:val="decimal"/>
      <w:start w:val="1"/>
      <w:suff w:val="tab"/>
      <w:pPr>
        <w:ind w:left="1000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.%4"/>
    </w:lvl>
    <w:lvl w:ilvl="4">
      <w:lvlJc w:val="left"/>
      <w:numFmt w:val="bullet"/>
      <w:suff w:val="tab"/>
      <w:pPr>
        <w:ind w:left="3942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4923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5904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885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866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10">
    <w:multiLevelType w:val="multilevel"/>
    <w:nsid w:val="2F00000A"/>
    <w:tmpl w:val="1F0036F8"/>
    <w:lvl w:ilvl="0">
      <w:lvlJc w:val="left"/>
      <w:numFmt w:val="decimal"/>
      <w:start w:val="1"/>
      <w:suff w:val="tab"/>
      <w:pPr>
        <w:ind w:left="460" w:hanging="240"/>
        <w:jc w:val="both"/>
      </w:pPr>
      <w:rPr>
        <w:color w:val="000000"/>
        <w:rFonts w:ascii="Times New Roman" w:eastAsia="Times New Roman" w:hAnsi="Times New Roman"/>
        <w:b w:val="0"/>
        <w:shd w:val="clear" w:color="000000"/>
        <w:spacing w:val="-15"/>
        <w:sz w:val="24"/>
        <w:szCs w:val="24"/>
        <w:u w:val="none"/>
        <w:vertAlign w:val="subscript"/>
        <w:w w:val="99"/>
      </w:rPr>
      <w:lvlText w:val="%1."/>
    </w:lvl>
    <w:lvl w:ilvl="1">
      <w:lvlJc w:val="left"/>
      <w:numFmt w:val="lowerRoman"/>
      <w:start w:val="2"/>
      <w:suff w:val="tab"/>
      <w:pPr>
        <w:ind w:left="1300" w:hanging="360"/>
        <w:jc w:val="both"/>
      </w:pPr>
      <w:rPr>
        <w:color w:val="000000"/>
        <w:rFonts w:ascii="Times New Roman" w:eastAsia="Times New Roman" w:hAnsi="Times New Roman"/>
        <w:b w:val="0"/>
        <w:shd w:val="clear" w:color="000000"/>
        <w:spacing w:val="-15"/>
        <w:sz w:val="24"/>
        <w:szCs w:val="24"/>
        <w:u w:val="none"/>
        <w:vertAlign w:val="subscript"/>
        <w:w w:val="99"/>
      </w:rPr>
      <w:lvlText w:val="(%2)"/>
    </w:lvl>
    <w:lvl w:ilvl="2">
      <w:lvlJc w:val="left"/>
      <w:numFmt w:val="bullet"/>
      <w:suff w:val="tab"/>
      <w:pPr>
        <w:ind w:left="13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2366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3432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4498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5564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63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696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11">
    <w:multiLevelType w:val="multilevel"/>
    <w:nsid w:val="2F00000B"/>
    <w:tmpl w:val="1F002D78"/>
    <w:lvl w:ilvl="0">
      <w:lvlJc w:val="left"/>
      <w:numFmt w:val="decimal"/>
      <w:start w:val="1"/>
      <w:suff w:val="tab"/>
      <w:pPr>
        <w:ind w:left="580" w:hanging="360"/>
        <w:jc w:val="both"/>
      </w:pPr>
      <w:rPr>
        <w:color w:val="000000"/>
        <w:rFonts w:ascii="Wingdings" w:eastAsia="Wingdings" w:hAnsi="Wingdings"/>
        <w:b w:val="0"/>
        <w:shd w:val="clear" w:color="000000"/>
        <w:sz w:val="24"/>
        <w:szCs w:val="24"/>
        <w:u w:val="none"/>
        <w:vertAlign w:val="subscript"/>
        <w:w w:val="100"/>
      </w:rPr>
      <w:lvlText w:val="%1."/>
    </w:lvl>
    <w:lvl w:ilvl="1">
      <w:lvlJc w:val="left"/>
      <w:numFmt w:val="bullet"/>
      <w:suff w:val="tab"/>
      <w:pPr>
        <w:ind w:left="1000" w:hanging="420"/>
        <w:jc w:val="both"/>
      </w:pPr>
      <w:rPr>
        <w:color w:val="000000"/>
        <w:rFonts w:ascii="Wingdings" w:eastAsia="Wingdings" w:hAnsi="Wingdings"/>
        <w:b w:val="0"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2">
      <w:lvlJc w:val="left"/>
      <w:numFmt w:val="bullet"/>
      <w:suff w:val="tab"/>
      <w:pPr>
        <w:ind w:left="1000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2103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3207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4310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5414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518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621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12">
    <w:multiLevelType w:val="hybridMultilevel"/>
    <w:nsid w:val="2F00000C"/>
    <w:tmpl w:val="1F0020DD"/>
    <w:lvl w:ilvl="0">
      <w:lvlJc w:val="left"/>
      <w:numFmt w:val="bullet"/>
      <w:suff w:val="tab"/>
      <w:pPr>
        <w:ind w:left="1000" w:hanging="420"/>
        <w:jc w:val="both"/>
      </w:pPr>
      <w:rPr>
        <w:color w:val="000000"/>
        <w:rFonts w:ascii="Wingdings" w:eastAsia="Wingdings" w:hAnsi="Wingdings"/>
        <w:b w:val="0"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1">
      <w:lvlJc w:val="left"/>
      <w:numFmt w:val="bullet"/>
      <w:suff w:val="tab"/>
      <w:pPr>
        <w:ind w:left="14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2">
      <w:lvlJc w:val="left"/>
      <w:numFmt w:val="bullet"/>
      <w:suff w:val="tab"/>
      <w:pPr>
        <w:ind w:left="21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3">
      <w:lvlJc w:val="left"/>
      <w:numFmt w:val="bullet"/>
      <w:suff w:val="tab"/>
      <w:pPr>
        <w:ind w:left="288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·"/>
    </w:lvl>
    <w:lvl w:ilvl="4">
      <w:lvlJc w:val="left"/>
      <w:numFmt w:val="bullet"/>
      <w:suff w:val="tab"/>
      <w:pPr>
        <w:ind w:left="36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5">
      <w:lvlJc w:val="left"/>
      <w:numFmt w:val="bullet"/>
      <w:suff w:val="tab"/>
      <w:pPr>
        <w:ind w:left="432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6">
      <w:lvlJc w:val="left"/>
      <w:numFmt w:val="bullet"/>
      <w:suff w:val="tab"/>
      <w:pPr>
        <w:ind w:left="50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·"/>
    </w:lvl>
    <w:lvl w:ilvl="7">
      <w:lvlJc w:val="left"/>
      <w:numFmt w:val="bullet"/>
      <w:suff w:val="tab"/>
      <w:pPr>
        <w:ind w:left="57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8">
      <w:lvlJc w:val="left"/>
      <w:numFmt w:val="bullet"/>
      <w:suff w:val="tab"/>
      <w:pPr>
        <w:ind w:left="648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</w:abstractNum>
  <w:abstractNum w:abstractNumId="13">
    <w:multiLevelType w:val="multilevel"/>
    <w:nsid w:val="2F00000D"/>
    <w:tmpl w:val="1F001374"/>
    <w:lvl w:ilvl="0">
      <w:lvlJc w:val="left"/>
      <w:numFmt w:val="decimal"/>
      <w:start w:val="1"/>
      <w:suff w:val="tab"/>
      <w:pPr>
        <w:ind w:left="940" w:hanging="720"/>
        <w:jc w:val="both"/>
      </w:pPr>
      <w:rPr>
        <w:color w:val="000000"/>
        <w:rFonts w:ascii="Arial" w:eastAsia="Times New Roman" w:hAnsi="Arial"/>
        <w:b/>
        <w:shd w:val="clear" w:color="000000"/>
        <w:spacing w:val="-2"/>
        <w:sz w:val="24"/>
        <w:szCs w:val="24"/>
        <w:u w:val="none"/>
        <w:vertAlign w:val="subscript"/>
        <w:w w:val="99"/>
      </w:rPr>
      <w:lvlText w:val="%1"/>
    </w:lvl>
    <w:lvl w:ilvl="1">
      <w:lvlJc w:val="left"/>
      <w:numFmt w:val="decimal"/>
      <w:start w:val="1"/>
      <w:suff w:val="tab"/>
      <w:pPr>
        <w:ind w:left="940" w:hanging="720"/>
        <w:jc w:val="both"/>
      </w:pPr>
      <w:rPr>
        <w:color w:val="000000"/>
        <w:rFonts w:ascii="Arial" w:eastAsia="Times New Roman" w:hAnsi="Arial"/>
        <w:b/>
        <w:shd w:val="clear" w:color="000000"/>
        <w:spacing w:val="-2"/>
        <w:sz w:val="24"/>
        <w:szCs w:val="24"/>
        <w:u w:val="none"/>
        <w:vertAlign w:val="subscript"/>
        <w:w w:val="99"/>
      </w:rPr>
      <w:lvlText w:val="%1.%2"/>
    </w:lvl>
    <w:lvl w:ilvl="2">
      <w:lvlJc w:val="left"/>
      <w:numFmt w:val="decimal"/>
      <w:start w:val="1"/>
      <w:suff w:val="tab"/>
      <w:pPr>
        <w:ind w:left="940" w:hanging="720"/>
        <w:jc w:val="both"/>
      </w:pPr>
      <w:rPr>
        <w:color w:val="000000"/>
        <w:rFonts w:ascii="Times New Roman" w:eastAsia="Times New Roman" w:hAnsi="Times New Roman"/>
        <w:b/>
        <w:shd w:val="clear" w:color="000000"/>
        <w:spacing w:val="-4"/>
        <w:sz w:val="24"/>
        <w:szCs w:val="24"/>
        <w:u w:val="none"/>
        <w:vertAlign w:val="subscript"/>
        <w:w w:val="99"/>
      </w:rPr>
      <w:lvlText w:val="%1.%2.%3"/>
    </w:lvl>
    <w:lvl w:ilvl="3">
      <w:lvlJc w:val="left"/>
      <w:numFmt w:val="decimal"/>
      <w:start w:val="1"/>
      <w:suff w:val="tab"/>
      <w:pPr>
        <w:ind w:left="1000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.%4"/>
    </w:lvl>
    <w:lvl w:ilvl="4">
      <w:lvlJc w:val="left"/>
      <w:numFmt w:val="bullet"/>
      <w:suff w:val="tab"/>
      <w:pPr>
        <w:ind w:left="3942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4923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5904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885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866" w:hanging="7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14">
    <w:multiLevelType w:val="multilevel"/>
    <w:nsid w:val="2F00000E"/>
    <w:tmpl w:val="1F0000F5"/>
    <w:lvl w:ilvl="0">
      <w:lvlJc w:val="left"/>
      <w:numFmt w:val="decimal"/>
      <w:start w:val="10"/>
      <w:suff w:val="tab"/>
      <w:pPr>
        <w:ind w:left="580" w:hanging="360"/>
        <w:jc w:val="both"/>
      </w:pPr>
      <w:rPr>
        <w:color w:val="000000"/>
        <w:rFonts w:ascii="Arial" w:eastAsia="Times New Roman" w:hAnsi="Arial"/>
        <w:b/>
        <w:shd w:val="clear" w:color="000000"/>
        <w:sz w:val="24"/>
        <w:szCs w:val="24"/>
        <w:u w:val="none"/>
        <w:vertAlign w:val="subscript"/>
        <w:w w:val="100"/>
      </w:rPr>
      <w:lvlText w:val="%1."/>
    </w:lvl>
    <w:lvl w:ilvl="1">
      <w:lvlJc w:val="left"/>
      <w:numFmt w:val="lowerLetter"/>
      <w:start w:val="1"/>
      <w:suff w:val="tab"/>
      <w:pPr>
        <w:ind w:left="1300" w:hanging="360"/>
        <w:jc w:val="both"/>
      </w:pPr>
      <w:rPr>
        <w:color w:val="000000"/>
        <w:rFonts w:ascii="Arial" w:eastAsia="Times New Roman" w:hAnsi="Arial"/>
        <w:b w:val="0"/>
        <w:shd w:val="clear" w:color="000000"/>
        <w:sz w:val="24"/>
        <w:szCs w:val="24"/>
        <w:u w:val="none"/>
        <w:vertAlign w:val="subscript"/>
        <w:w w:val="100"/>
      </w:rPr>
      <w:lvlText w:val="%2."/>
    </w:lvl>
    <w:lvl w:ilvl="2">
      <w:lvlJc w:val="left"/>
      <w:numFmt w:val="lowerRoman"/>
      <w:start w:val="1"/>
      <w:suff w:val="tab"/>
      <w:pPr>
        <w:ind w:left="202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3."/>
    </w:lvl>
    <w:lvl w:ilvl="3">
      <w:lvlJc w:val="left"/>
      <w:numFmt w:val="decimal"/>
      <w:start w:val="1"/>
      <w:suff w:val="tab"/>
      <w:pPr>
        <w:ind w:left="27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4."/>
    </w:lvl>
    <w:lvl w:ilvl="4">
      <w:lvlJc w:val="left"/>
      <w:numFmt w:val="lowerLetter"/>
      <w:start w:val="1"/>
      <w:suff w:val="tab"/>
      <w:pPr>
        <w:ind w:left="34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5."/>
    </w:lvl>
    <w:lvl w:ilvl="5">
      <w:lvlJc w:val="left"/>
      <w:numFmt w:val="lowerRoman"/>
      <w:start w:val="1"/>
      <w:suff w:val="tab"/>
      <w:pPr>
        <w:ind w:left="418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6."/>
    </w:lvl>
    <w:lvl w:ilvl="6">
      <w:lvlJc w:val="left"/>
      <w:numFmt w:val="decimal"/>
      <w:start w:val="1"/>
      <w:suff w:val="tab"/>
      <w:pPr>
        <w:ind w:left="49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7."/>
    </w:lvl>
    <w:lvl w:ilvl="7">
      <w:lvlJc w:val="left"/>
      <w:numFmt w:val="lowerLetter"/>
      <w:start w:val="1"/>
      <w:suff w:val="tab"/>
      <w:pPr>
        <w:ind w:left="562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8."/>
    </w:lvl>
    <w:lvl w:ilvl="8">
      <w:lvlJc w:val="left"/>
      <w:numFmt w:val="lowerRoman"/>
      <w:start w:val="1"/>
      <w:suff w:val="tab"/>
      <w:pPr>
        <w:ind w:left="634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9."/>
    </w:lvl>
  </w:abstractNum>
  <w:abstractNum w:abstractNumId="15">
    <w:multiLevelType w:val="hybridMultilevel"/>
    <w:nsid w:val="2F00000F"/>
    <w:tmpl w:val="1F0005D9"/>
    <w:lvl w:ilvl="0">
      <w:lvlJc w:val="left"/>
      <w:numFmt w:val="bullet"/>
      <w:suff w:val="tab"/>
      <w:pPr>
        <w:ind w:left="1000" w:hanging="420"/>
        <w:jc w:val="both"/>
      </w:pPr>
      <w:rPr>
        <w:color w:val="000000"/>
        <w:rFonts w:ascii="Wingdings" w:eastAsia="Wingdings" w:hAnsi="Wingdings"/>
        <w:b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1">
      <w:lvlJc w:val="left"/>
      <w:numFmt w:val="bullet"/>
      <w:suff w:val="tab"/>
      <w:pPr>
        <w:ind w:left="14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2">
      <w:lvlJc w:val="left"/>
      <w:numFmt w:val="bullet"/>
      <w:suff w:val="tab"/>
      <w:pPr>
        <w:ind w:left="21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3">
      <w:lvlJc w:val="left"/>
      <w:numFmt w:val="bullet"/>
      <w:suff w:val="tab"/>
      <w:pPr>
        <w:ind w:left="288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·"/>
    </w:lvl>
    <w:lvl w:ilvl="4">
      <w:lvlJc w:val="left"/>
      <w:numFmt w:val="bullet"/>
      <w:suff w:val="tab"/>
      <w:pPr>
        <w:ind w:left="36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5">
      <w:lvlJc w:val="left"/>
      <w:numFmt w:val="bullet"/>
      <w:suff w:val="tab"/>
      <w:pPr>
        <w:ind w:left="432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6">
      <w:lvlJc w:val="left"/>
      <w:numFmt w:val="bullet"/>
      <w:suff w:val="tab"/>
      <w:pPr>
        <w:ind w:left="50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·"/>
    </w:lvl>
    <w:lvl w:ilvl="7">
      <w:lvlJc w:val="left"/>
      <w:numFmt w:val="bullet"/>
      <w:suff w:val="tab"/>
      <w:pPr>
        <w:ind w:left="57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8">
      <w:lvlJc w:val="left"/>
      <w:numFmt w:val="bullet"/>
      <w:suff w:val="tab"/>
      <w:pPr>
        <w:ind w:left="648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</w:abstractNum>
  <w:abstractNum w:abstractNumId="16">
    <w:multiLevelType w:val="multilevel"/>
    <w:nsid w:val="2F000010"/>
    <w:tmpl w:val="1F001753"/>
    <w:lvl w:ilvl="0">
      <w:lvlJc w:val="left"/>
      <w:numFmt w:val="decimal"/>
      <w:start w:val="1"/>
      <w:suff w:val="tab"/>
      <w:pPr>
        <w:ind w:left="580" w:hanging="360"/>
        <w:jc w:val="both"/>
      </w:pPr>
      <w:rPr>
        <w:color w:val="000000"/>
        <w:rFonts w:ascii="Arial" w:eastAsia="Times New Roman" w:hAnsi="Arial"/>
        <w:b/>
        <w:shd w:val="clear" w:color="000000"/>
        <w:sz w:val="24"/>
        <w:szCs w:val="24"/>
        <w:u w:val="none"/>
        <w:vertAlign w:val="subscript"/>
        <w:w w:val="100"/>
      </w:rPr>
      <w:lvlText w:val="%1"/>
    </w:lvl>
    <w:lvl w:ilvl="1">
      <w:lvlJc w:val="left"/>
      <w:numFmt w:val="decimal"/>
      <w:start w:val="1"/>
      <w:suff w:val="tab"/>
      <w:pPr>
        <w:ind w:left="580" w:hanging="360"/>
        <w:jc w:val="both"/>
      </w:pPr>
      <w:rPr>
        <w:color w:val="000000"/>
        <w:rFonts w:ascii="Arial" w:eastAsia="Times New Roman" w:hAnsi="Arial"/>
        <w:b/>
        <w:shd w:val="clear" w:color="000000"/>
        <w:sz w:val="24"/>
        <w:szCs w:val="24"/>
        <w:u w:val="none"/>
        <w:vertAlign w:val="subscript"/>
        <w:w w:val="100"/>
      </w:rPr>
      <w:lvlText w:val="%1.%2"/>
    </w:lvl>
    <w:lvl w:ilvl="2">
      <w:lvlJc w:val="left"/>
      <w:numFmt w:val="decimal"/>
      <w:start w:val="1"/>
      <w:suff w:val="tab"/>
      <w:pPr>
        <w:ind w:left="940" w:hanging="720"/>
        <w:jc w:val="both"/>
      </w:pPr>
      <w:rPr>
        <w:color w:val="010205"/>
        <w:rFonts w:ascii="Times New Roman" w:eastAsia="Times New Roman" w:hAnsi="Times New Roman"/>
        <w:b w:val="0"/>
        <w:shd w:val="clear" w:color="000000"/>
        <w:sz w:val="20"/>
        <w:szCs w:val="20"/>
        <w:u w:val="none"/>
        <w:vertAlign w:val="subscript"/>
        <w:w w:val="99"/>
      </w:rPr>
      <w:lvlText w:val="%1.%2.%3"/>
    </w:lvl>
    <w:lvl w:ilvl="3">
      <w:lvlJc w:val="left"/>
      <w:numFmt w:val="lowerLetter"/>
      <w:start w:val="1"/>
      <w:suff w:val="tab"/>
      <w:pPr>
        <w:ind w:left="1069" w:hanging="190"/>
        <w:jc w:val="both"/>
      </w:pPr>
      <w:rPr>
        <w:color w:val="010205"/>
        <w:rFonts w:ascii="Times New Roman" w:eastAsia="Times New Roman" w:hAnsi="Times New Roman"/>
        <w:b w:val="0"/>
        <w:shd w:val="clear" w:color="000000"/>
        <w:sz w:val="20"/>
        <w:szCs w:val="20"/>
        <w:u w:val="none"/>
        <w:vertAlign w:val="subscript"/>
        <w:w w:val="99"/>
      </w:rPr>
      <w:lvlText w:val="%4."/>
    </w:lvl>
    <w:lvl w:ilvl="4">
      <w:lvlJc w:val="left"/>
      <w:numFmt w:val="bullet"/>
      <w:suff w:val="tab"/>
      <w:pPr>
        <w:ind w:left="2312" w:hanging="19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3565" w:hanging="19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4818" w:hanging="19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070" w:hanging="19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323" w:hanging="19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17">
    <w:multiLevelType w:val="multilevel"/>
    <w:nsid w:val="2F000011"/>
    <w:tmpl w:val="1F00096D"/>
    <w:lvl w:ilvl="0">
      <w:lvlJc w:val="left"/>
      <w:numFmt w:val="decimal"/>
      <w:start w:val="9"/>
      <w:suff w:val="tab"/>
      <w:pPr>
        <w:ind w:left="720" w:hanging="360"/>
        <w:jc w:val="both"/>
      </w:pPr>
      <w:rPr>
        <w:color w:val="000000"/>
        <w:rFonts w:ascii="Arial" w:eastAsia="Times New Roman" w:hAnsi="Arial"/>
        <w:b/>
        <w:shd w:val="clear" w:color="000000"/>
        <w:sz w:val="24"/>
        <w:szCs w:val="24"/>
        <w:u w:val="none"/>
        <w:vertAlign w:val="subscript"/>
        <w:w w:val="100"/>
      </w:rPr>
      <w:lvlText w:val="%1."/>
    </w:lvl>
    <w:lvl w:ilvl="1">
      <w:lvlJc w:val="left"/>
      <w:numFmt w:val="lowerLetter"/>
      <w:start w:val="1"/>
      <w:suff w:val="tab"/>
      <w:pPr>
        <w:ind w:left="14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2."/>
    </w:lvl>
    <w:lvl w:ilvl="2">
      <w:lvlJc w:val="left"/>
      <w:numFmt w:val="lowerRoman"/>
      <w:start w:val="1"/>
      <w:suff w:val="tab"/>
      <w:pPr>
        <w:ind w:left="216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3."/>
    </w:lvl>
    <w:lvl w:ilvl="3">
      <w:lvlJc w:val="left"/>
      <w:numFmt w:val="decimal"/>
      <w:start w:val="1"/>
      <w:suff w:val="tab"/>
      <w:pPr>
        <w:ind w:left="288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4."/>
    </w:lvl>
    <w:lvl w:ilvl="4">
      <w:lvlJc w:val="left"/>
      <w:numFmt w:val="lowerLetter"/>
      <w:start w:val="1"/>
      <w:suff w:val="tab"/>
      <w:pPr>
        <w:ind w:left="36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5."/>
    </w:lvl>
    <w:lvl w:ilvl="5">
      <w:lvlJc w:val="left"/>
      <w:numFmt w:val="lowerRoman"/>
      <w:start w:val="1"/>
      <w:suff w:val="tab"/>
      <w:pPr>
        <w:ind w:left="432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6."/>
    </w:lvl>
    <w:lvl w:ilvl="6">
      <w:lvlJc w:val="left"/>
      <w:numFmt w:val="decimal"/>
      <w:start w:val="1"/>
      <w:suff w:val="tab"/>
      <w:pPr>
        <w:ind w:left="50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7."/>
    </w:lvl>
    <w:lvl w:ilvl="7">
      <w:lvlJc w:val="left"/>
      <w:numFmt w:val="lowerLetter"/>
      <w:start w:val="1"/>
      <w:suff w:val="tab"/>
      <w:pPr>
        <w:ind w:left="57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8."/>
    </w:lvl>
    <w:lvl w:ilvl="8">
      <w:lvlJc w:val="left"/>
      <w:numFmt w:val="lowerRoman"/>
      <w:start w:val="1"/>
      <w:suff w:val="tab"/>
      <w:pPr>
        <w:ind w:left="648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9."/>
    </w:lvl>
  </w:abstractNum>
  <w:abstractNum w:abstractNumId="18">
    <w:multiLevelType w:val="hybridMultilevel"/>
    <w:nsid w:val="2F000012"/>
    <w:tmpl w:val="1F000A9E"/>
    <w:lvl w:ilvl="0">
      <w:lvlJc w:val="left"/>
      <w:numFmt w:val="bullet"/>
      <w:suff w:val="tab"/>
      <w:pPr>
        <w:ind w:left="1000" w:hanging="420"/>
        <w:jc w:val="both"/>
      </w:pPr>
      <w:rPr>
        <w:color w:val="000000"/>
        <w:rFonts w:ascii="Wingdings" w:eastAsia="Wingdings" w:hAnsi="Wingdings"/>
        <w:b w:val="0"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1">
      <w:lvlJc w:val="left"/>
      <w:numFmt w:val="bullet"/>
      <w:suff w:val="tab"/>
      <w:pPr>
        <w:ind w:left="14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2">
      <w:lvlJc w:val="left"/>
      <w:numFmt w:val="bullet"/>
      <w:suff w:val="tab"/>
      <w:pPr>
        <w:ind w:left="21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3">
      <w:lvlJc w:val="left"/>
      <w:numFmt w:val="bullet"/>
      <w:suff w:val="tab"/>
      <w:pPr>
        <w:ind w:left="288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·"/>
    </w:lvl>
    <w:lvl w:ilvl="4">
      <w:lvlJc w:val="left"/>
      <w:numFmt w:val="bullet"/>
      <w:suff w:val="tab"/>
      <w:pPr>
        <w:ind w:left="36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5">
      <w:lvlJc w:val="left"/>
      <w:numFmt w:val="bullet"/>
      <w:suff w:val="tab"/>
      <w:pPr>
        <w:ind w:left="432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6">
      <w:lvlJc w:val="left"/>
      <w:numFmt w:val="bullet"/>
      <w:suff w:val="tab"/>
      <w:pPr>
        <w:ind w:left="50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·"/>
    </w:lvl>
    <w:lvl w:ilvl="7">
      <w:lvlJc w:val="left"/>
      <w:numFmt w:val="bullet"/>
      <w:suff w:val="tab"/>
      <w:pPr>
        <w:ind w:left="57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o"/>
    </w:lvl>
    <w:lvl w:ilvl="8">
      <w:lvlJc w:val="left"/>
      <w:numFmt w:val="bullet"/>
      <w:suff w:val="tab"/>
      <w:pPr>
        <w:ind w:left="648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§"/>
    </w:lvl>
  </w:abstractNum>
  <w:abstractNum w:abstractNumId="19">
    <w:multiLevelType w:val="multilevel"/>
    <w:nsid w:val="2F000013"/>
    <w:tmpl w:val="1F003F43"/>
    <w:lvl w:ilvl="0">
      <w:lvlJc w:val="left"/>
      <w:numFmt w:val="decimal"/>
      <w:start w:val="9"/>
      <w:suff w:val="tab"/>
      <w:pPr>
        <w:ind w:left="580" w:hanging="360"/>
        <w:jc w:val="both"/>
      </w:pPr>
      <w:rPr>
        <w:color w:val="000000"/>
        <w:rFonts w:ascii="Arial" w:eastAsia="Times New Roman" w:hAnsi="Arial"/>
        <w:b/>
        <w:shd w:val="clear" w:color="000000"/>
        <w:sz w:val="24"/>
        <w:szCs w:val="24"/>
        <w:u w:val="none"/>
        <w:vertAlign w:val="subscript"/>
        <w:w w:val="100"/>
      </w:rPr>
      <w:lvlText w:val="%1."/>
    </w:lvl>
    <w:lvl w:ilvl="1">
      <w:lvlJc w:val="left"/>
      <w:numFmt w:val="lowerLetter"/>
      <w:start w:val="1"/>
      <w:suff w:val="tab"/>
      <w:pPr>
        <w:ind w:left="13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2."/>
    </w:lvl>
    <w:lvl w:ilvl="2">
      <w:lvlJc w:val="left"/>
      <w:numFmt w:val="lowerRoman"/>
      <w:start w:val="1"/>
      <w:suff w:val="tab"/>
      <w:pPr>
        <w:ind w:left="202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3."/>
    </w:lvl>
    <w:lvl w:ilvl="3">
      <w:lvlJc w:val="left"/>
      <w:numFmt w:val="decimal"/>
      <w:start w:val="1"/>
      <w:suff w:val="tab"/>
      <w:pPr>
        <w:ind w:left="27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4."/>
    </w:lvl>
    <w:lvl w:ilvl="4">
      <w:lvlJc w:val="left"/>
      <w:numFmt w:val="lowerLetter"/>
      <w:start w:val="1"/>
      <w:suff w:val="tab"/>
      <w:pPr>
        <w:ind w:left="34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5."/>
    </w:lvl>
    <w:lvl w:ilvl="5">
      <w:lvlJc w:val="left"/>
      <w:numFmt w:val="lowerRoman"/>
      <w:start w:val="1"/>
      <w:suff w:val="tab"/>
      <w:pPr>
        <w:ind w:left="418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6."/>
    </w:lvl>
    <w:lvl w:ilvl="6">
      <w:lvlJc w:val="left"/>
      <w:numFmt w:val="decimal"/>
      <w:start w:val="1"/>
      <w:suff w:val="tab"/>
      <w:pPr>
        <w:ind w:left="49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7."/>
    </w:lvl>
    <w:lvl w:ilvl="7">
      <w:lvlJc w:val="left"/>
      <w:numFmt w:val="lowerLetter"/>
      <w:start w:val="1"/>
      <w:suff w:val="tab"/>
      <w:pPr>
        <w:ind w:left="562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8."/>
    </w:lvl>
    <w:lvl w:ilvl="8">
      <w:lvlJc w:val="left"/>
      <w:numFmt w:val="lowerRoman"/>
      <w:start w:val="1"/>
      <w:suff w:val="tab"/>
      <w:pPr>
        <w:ind w:left="634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9."/>
    </w:lvl>
  </w:abstractNum>
  <w:abstractNum w:abstractNumId="20">
    <w:multiLevelType w:val="multilevel"/>
    <w:nsid w:val="2F000014"/>
    <w:tmpl w:val="1F001C86"/>
    <w:lvl w:ilvl="0">
      <w:lvlJc w:val="left"/>
      <w:numFmt w:val="decimal"/>
      <w:start w:val="11"/>
      <w:suff w:val="tab"/>
      <w:pPr>
        <w:ind w:left="580" w:hanging="360"/>
        <w:jc w:val="both"/>
      </w:pPr>
      <w:rPr>
        <w:color w:val="000000"/>
        <w:rFonts w:ascii="Arial" w:eastAsia="Times New Roman" w:hAnsi="Arial"/>
        <w:b/>
        <w:shd w:val="clear" w:color="000000"/>
        <w:sz w:val="24"/>
        <w:szCs w:val="24"/>
        <w:u w:val="none"/>
        <w:vertAlign w:val="subscript"/>
        <w:w w:val="100"/>
      </w:rPr>
      <w:lvlText w:val="%1."/>
    </w:lvl>
    <w:lvl w:ilvl="1">
      <w:lvlJc w:val="left"/>
      <w:numFmt w:val="lowerLetter"/>
      <w:start w:val="1"/>
      <w:suff w:val="tab"/>
      <w:pPr>
        <w:ind w:left="13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2."/>
    </w:lvl>
    <w:lvl w:ilvl="2">
      <w:lvlJc w:val="left"/>
      <w:numFmt w:val="lowerRoman"/>
      <w:start w:val="1"/>
      <w:suff w:val="tab"/>
      <w:pPr>
        <w:ind w:left="202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3."/>
    </w:lvl>
    <w:lvl w:ilvl="3">
      <w:lvlJc w:val="left"/>
      <w:numFmt w:val="decimal"/>
      <w:start w:val="1"/>
      <w:suff w:val="tab"/>
      <w:pPr>
        <w:ind w:left="274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4."/>
    </w:lvl>
    <w:lvl w:ilvl="4">
      <w:lvlJc w:val="left"/>
      <w:numFmt w:val="lowerLetter"/>
      <w:start w:val="1"/>
      <w:suff w:val="tab"/>
      <w:pPr>
        <w:ind w:left="346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5."/>
    </w:lvl>
    <w:lvl w:ilvl="5">
      <w:lvlJc w:val="left"/>
      <w:numFmt w:val="lowerRoman"/>
      <w:start w:val="1"/>
      <w:suff w:val="tab"/>
      <w:pPr>
        <w:ind w:left="418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6."/>
    </w:lvl>
    <w:lvl w:ilvl="6">
      <w:lvlJc w:val="left"/>
      <w:numFmt w:val="decimal"/>
      <w:start w:val="1"/>
      <w:suff w:val="tab"/>
      <w:pPr>
        <w:ind w:left="490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7."/>
    </w:lvl>
    <w:lvl w:ilvl="7">
      <w:lvlJc w:val="left"/>
      <w:numFmt w:val="lowerLetter"/>
      <w:start w:val="1"/>
      <w:suff w:val="tab"/>
      <w:pPr>
        <w:ind w:left="562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8."/>
    </w:lvl>
    <w:lvl w:ilvl="8">
      <w:lvlJc w:val="left"/>
      <w:numFmt w:val="lowerRoman"/>
      <w:start w:val="1"/>
      <w:suff w:val="tab"/>
      <w:pPr>
        <w:ind w:left="6340" w:hanging="1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9."/>
    </w:lvl>
  </w:abstractNum>
  <w:abstractNum w:abstractNumId="21">
    <w:multiLevelType w:val="multilevel"/>
    <w:nsid w:val="2F000015"/>
    <w:tmpl w:val="1F00079F"/>
    <w:lvl w:ilvl="0">
      <w:lvlJc w:val="left"/>
      <w:numFmt w:val="lowerLetter"/>
      <w:start w:val="3"/>
      <w:suff w:val="tab"/>
      <w:pPr>
        <w:ind w:left="1300" w:hanging="360"/>
        <w:jc w:val="both"/>
      </w:pPr>
      <w:rPr>
        <w:color w:val="000000"/>
        <w:rFonts w:ascii="Arial" w:eastAsia="Times New Roman" w:hAnsi="Arial"/>
        <w:b w:val="0"/>
        <w:shd w:val="clear" w:color="000000"/>
        <w:spacing w:val="-6"/>
        <w:sz w:val="24"/>
        <w:szCs w:val="24"/>
        <w:u w:val="none"/>
        <w:vertAlign w:val="subscript"/>
        <w:w w:val="99"/>
      </w:rPr>
      <w:lvlText w:val="%1)"/>
    </w:lvl>
    <w:lvl w:ilvl="1">
      <w:lvlJc w:val="left"/>
      <w:numFmt w:val="bullet"/>
      <w:suff w:val="tab"/>
      <w:pPr>
        <w:ind w:left="2152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2">
      <w:lvlJc w:val="left"/>
      <w:numFmt w:val="bullet"/>
      <w:suff w:val="tab"/>
      <w:pPr>
        <w:ind w:left="3005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3858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4711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5564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6417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7270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8123" w:hanging="36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22">
    <w:multiLevelType w:val="multilevel"/>
    <w:nsid w:val="2F000016"/>
    <w:tmpl w:val="1F00004C"/>
    <w:lvl w:ilvl="0">
      <w:lvlJc w:val="left"/>
      <w:numFmt w:val="decimal"/>
      <w:start w:val="1"/>
      <w:suff w:val="tab"/>
      <w:pPr>
        <w:ind w:left="580" w:hanging="360"/>
        <w:jc w:val="both"/>
      </w:pPr>
      <w:rPr>
        <w:color w:val="000000"/>
        <w:rFonts w:ascii="Wingdings" w:eastAsia="Wingdings" w:hAnsi="Wingdings"/>
        <w:b w:val="0"/>
        <w:shd w:val="clear" w:color="000000"/>
        <w:sz w:val="24"/>
        <w:szCs w:val="24"/>
        <w:u w:val="none"/>
        <w:vertAlign w:val="subscript"/>
        <w:w w:val="100"/>
      </w:rPr>
      <w:lvlText w:val="%1."/>
    </w:lvl>
    <w:lvl w:ilvl="1">
      <w:lvlJc w:val="left"/>
      <w:numFmt w:val="bullet"/>
      <w:suff w:val="tab"/>
      <w:pPr>
        <w:ind w:left="1000" w:hanging="420"/>
        <w:jc w:val="both"/>
      </w:pPr>
      <w:rPr>
        <w:color w:val="000000"/>
        <w:rFonts w:ascii="Wingdings" w:eastAsia="Wingdings" w:hAnsi="Wingdings"/>
        <w:b w:val="0"/>
        <w:shd w:val="clear" w:color="000000"/>
        <w:sz w:val="24"/>
        <w:szCs w:val="24"/>
        <w:u w:val="none"/>
        <w:vertAlign w:val="subscript"/>
        <w:w w:val="100"/>
      </w:rPr>
      <w:lvlText w:val="§"/>
    </w:lvl>
    <w:lvl w:ilvl="2">
      <w:lvlJc w:val="left"/>
      <w:numFmt w:val="bullet"/>
      <w:suff w:val="tab"/>
      <w:pPr>
        <w:ind w:left="1000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3">
      <w:lvlJc w:val="left"/>
      <w:numFmt w:val="bullet"/>
      <w:suff w:val="tab"/>
      <w:pPr>
        <w:ind w:left="2103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4">
      <w:lvlJc w:val="left"/>
      <w:numFmt w:val="bullet"/>
      <w:suff w:val="tab"/>
      <w:pPr>
        <w:ind w:left="3207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5">
      <w:lvlJc w:val="left"/>
      <w:numFmt w:val="bullet"/>
      <w:suff w:val="tab"/>
      <w:pPr>
        <w:ind w:left="4310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6">
      <w:lvlJc w:val="left"/>
      <w:numFmt w:val="bullet"/>
      <w:suff w:val="tab"/>
      <w:pPr>
        <w:ind w:left="5414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7">
      <w:lvlJc w:val="left"/>
      <w:numFmt w:val="bullet"/>
      <w:suff w:val="tab"/>
      <w:pPr>
        <w:ind w:left="6518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  <w:lvl w:ilvl="8">
      <w:lvlJc w:val="left"/>
      <w:numFmt w:val="bullet"/>
      <w:suff w:val="tab"/>
      <w:pPr>
        <w:ind w:left="7621" w:hanging="4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•"/>
    </w:lvl>
  </w:abstractNum>
  <w:abstractNum w:abstractNumId="23">
    <w:multiLevelType w:val="multilevel"/>
    <w:nsid w:val="2F000017"/>
    <w:tmpl w:val="1F000092"/>
    <w:lvl w:ilvl="0">
      <w:lvlJc w:val="left"/>
      <w:numFmt w:val="decimal"/>
      <w:start w:val="1"/>
      <w:suff w:val="tab"/>
      <w:pPr>
        <w:ind w:left="360" w:hanging="360"/>
        <w:jc w:val="both"/>
      </w:pPr>
      <w:rPr>
        <w:color w:val="000000"/>
        <w:rFonts w:ascii="Arial" w:eastAsia="Calibri" w:hAnsi="Arial"/>
        <w:b/>
        <w:shd w:val="clear" w:color="000000"/>
        <w:sz w:val="24"/>
        <w:szCs w:val="24"/>
        <w:u w:val="none"/>
        <w:vertAlign w:val="subscript"/>
        <w:w w:val="100"/>
      </w:rPr>
      <w:lvlText w:val="%1"/>
    </w:lvl>
    <w:lvl w:ilvl="1">
      <w:lvlJc w:val="left"/>
      <w:numFmt w:val="decimal"/>
      <w:start w:val="1"/>
      <w:suff w:val="tab"/>
      <w:pPr>
        <w:ind w:left="360" w:hanging="360"/>
        <w:jc w:val="both"/>
      </w:pPr>
      <w:rPr>
        <w:color w:val="000000"/>
        <w:rFonts w:ascii="Arial" w:eastAsia="Calibri" w:hAnsi="Arial"/>
        <w:b/>
        <w:shd w:val="clear" w:color="000000"/>
        <w:sz w:val="24"/>
        <w:szCs w:val="24"/>
        <w:u w:val="none"/>
        <w:vertAlign w:val="subscript"/>
        <w:w w:val="100"/>
      </w:rPr>
      <w:lvlText w:val="%1.%2"/>
    </w:lvl>
    <w:lvl w:ilvl="2">
      <w:lvlJc w:val="left"/>
      <w:numFmt w:val="decimal"/>
      <w:start w:val="1"/>
      <w:suff w:val="tab"/>
      <w:pPr>
        <w:ind w:left="720" w:hanging="7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"/>
    </w:lvl>
    <w:lvl w:ilvl="3">
      <w:lvlJc w:val="left"/>
      <w:numFmt w:val="decimal"/>
      <w:start w:val="1"/>
      <w:suff w:val="tab"/>
      <w:pPr>
        <w:ind w:left="720" w:hanging="72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.%4"/>
    </w:lvl>
    <w:lvl w:ilvl="4">
      <w:lvlJc w:val="left"/>
      <w:numFmt w:val="decimal"/>
      <w:start w:val="1"/>
      <w:suff w:val="tab"/>
      <w:pPr>
        <w:ind w:left="1080" w:hanging="10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.%4.%5"/>
    </w:lvl>
    <w:lvl w:ilvl="5">
      <w:lvlJc w:val="left"/>
      <w:numFmt w:val="decimal"/>
      <w:start w:val="1"/>
      <w:suff w:val="tab"/>
      <w:pPr>
        <w:ind w:left="1080" w:hanging="108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.%4.%5.%6"/>
    </w:lvl>
    <w:lvl w:ilvl="6">
      <w:lvlJc w:val="left"/>
      <w:numFmt w:val="decimal"/>
      <w:start w:val="1"/>
      <w:suff w:val="tab"/>
      <w:pPr>
        <w:ind w:left="1440" w:hanging="144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.%4.%5.%6.%7"/>
    </w:lvl>
    <w:lvl w:ilvl="7">
      <w:lvlJc w:val="left"/>
      <w:numFmt w:val="decimal"/>
      <w:start w:val="1"/>
      <w:suff w:val="tab"/>
      <w:pPr>
        <w:ind w:left="1440" w:hanging="144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.%4.%5.%6.%7.%8"/>
    </w:lvl>
    <w:lvl w:ilvl="8">
      <w:lvlJc w:val="left"/>
      <w:numFmt w:val="decimal"/>
      <w:start w:val="1"/>
      <w:suff w:val="tab"/>
      <w:pPr>
        <w:ind w:left="1440" w:hanging="1440"/>
        <w:jc w:val="both"/>
      </w:pPr>
      <w:rPr>
        <w:color w:val="000000"/>
        <w:rFonts w:ascii="Arial" w:eastAsia="Arial" w:hAnsi="Arial"/>
        <w:b/>
        <w:shd w:val="clear" w:color="000000"/>
        <w:sz w:val="24"/>
        <w:szCs w:val="24"/>
        <w:u w:val="none"/>
        <w:vertAlign w:val="subscript"/>
        <w:w w:val="100"/>
      </w:rPr>
      <w:lvlText w:val="%1.%2.%3.%4.%5.%6.%7.%8.%9"/>
    </w:lvl>
  </w:abstractNum>
  <w:abstractNum w:abstractNumId="24">
    <w:multiLevelType w:val="multilevel"/>
    <w:nsid w:val="2F000018"/>
    <w:tmpl w:val="1F00182F"/>
    <w:lvl w:ilvl="0">
      <w:lvlJc w:val="left"/>
      <w:numFmt w:val="decimal"/>
      <w:start w:val="1"/>
      <w:suff w:val="tab"/>
      <w:pPr>
        <w:ind w:left="720" w:hanging="360"/>
        <w:jc w:val="both"/>
      </w:pPr>
      <w:lvlText w:val="%1."/>
    </w:lvl>
    <w:lvl w:ilvl="1">
      <w:lvlJc w:val="left"/>
      <w:numFmt w:val="lowerLetter"/>
      <w:start w:val="1"/>
      <w:suff w:val="tab"/>
      <w:pPr>
        <w:ind w:left="144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2."/>
    </w:lvl>
    <w:lvl w:ilvl="2">
      <w:lvlJc w:val="right"/>
      <w:numFmt w:val="lowerRoman"/>
      <w:start w:val="1"/>
      <w:suff w:val="tab"/>
      <w:pPr>
        <w:ind w:left="2160" w:hanging="18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288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360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5."/>
    </w:lvl>
    <w:lvl w:ilvl="5">
      <w:lvlJc w:val="right"/>
      <w:numFmt w:val="lowerRoman"/>
      <w:start w:val="1"/>
      <w:suff w:val="tab"/>
      <w:pPr>
        <w:ind w:left="4320" w:hanging="18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504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576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8."/>
    </w:lvl>
    <w:lvl w:ilvl="8">
      <w:lvlJc w:val="right"/>
      <w:numFmt w:val="lowerRoman"/>
      <w:start w:val="1"/>
      <w:suff w:val="tab"/>
      <w:pPr>
        <w:ind w:left="6480" w:hanging="18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9."/>
    </w:lvl>
  </w:abstractNum>
  <w:abstractNum w:abstractNumId="25">
    <w:multiLevelType w:val="multilevel"/>
    <w:nsid w:val="2F000019"/>
    <w:tmpl w:val="1F002206"/>
    <w:lvl w:ilvl="0">
      <w:lvlJc w:val="left"/>
      <w:numFmt w:val="decimal"/>
      <w:start w:val="1"/>
      <w:suff w:val="tab"/>
      <w:pPr>
        <w:ind w:left="720" w:hanging="360"/>
        <w:jc w:val="both"/>
      </w:pPr>
      <w:rPr>
        <w:color w:val="000000"/>
        <w:rFonts w:ascii="Arial" w:eastAsia="Arial" w:hAnsi="Arial"/>
        <w:shd w:val="clear" w:color="000000"/>
        <w:sz w:val="24"/>
        <w:szCs w:val="24"/>
        <w:u w:val="none"/>
        <w:w w:val="100"/>
      </w:rPr>
      <w:lvlText w:val="%1."/>
    </w:lvl>
    <w:lvl w:ilvl="1">
      <w:lvlJc w:val="left"/>
      <w:numFmt w:val="lowerLetter"/>
      <w:start w:val="1"/>
      <w:suff w:val="tab"/>
      <w:pPr>
        <w:ind w:left="144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2."/>
    </w:lvl>
    <w:lvl w:ilvl="2">
      <w:lvlJc w:val="right"/>
      <w:numFmt w:val="lowerRoman"/>
      <w:start w:val="1"/>
      <w:suff w:val="tab"/>
      <w:pPr>
        <w:ind w:left="2160" w:hanging="18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288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360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5."/>
    </w:lvl>
    <w:lvl w:ilvl="5">
      <w:lvlJc w:val="right"/>
      <w:numFmt w:val="lowerRoman"/>
      <w:start w:val="1"/>
      <w:suff w:val="tab"/>
      <w:pPr>
        <w:ind w:left="4320" w:hanging="18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504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5760" w:hanging="36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8."/>
    </w:lvl>
    <w:lvl w:ilvl="8">
      <w:lvlJc w:val="right"/>
      <w:numFmt w:val="lowerRoman"/>
      <w:start w:val="1"/>
      <w:suff w:val="tab"/>
      <w:pPr>
        <w:ind w:left="6480" w:hanging="180"/>
        <w:jc w:val="both"/>
      </w:pPr>
      <w:rPr>
        <w:rFonts w:ascii="Segoe UI" w:eastAsia="Segoe UI" w:hAnsi="Segoe UI"/>
        <w:shd w:val="clear" w:color="000000"/>
        <w:sz w:val="20"/>
        <w:szCs w:val="20"/>
        <w:w w:val="100"/>
      </w:rPr>
      <w:lvlText w:val="%9."/>
    </w:lvl>
  </w:abstractNum>
  <w:abstractNum w:abstractNumId="26">
    <w:multiLevelType w:val="hybridMultilevel"/>
    <w:nsid w:val="2F00001A"/>
    <w:tmpl w:val="1F00248E"/>
    <w:lvl w:ilvl="0">
      <w:lvlJc w:val="left"/>
      <w:numFmt w:val="bullet"/>
      <w:start w:val="1"/>
      <w:suff w:val="tab"/>
      <w:pPr>
        <w:ind w:left="720" w:hanging="360"/>
        <w:jc w:val="both"/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  <w:lvl w:ilvl="1">
      <w:lvlJc w:val="left"/>
      <w:numFmt w:val="bullet"/>
      <w:start w:val="1"/>
      <w:suff w:val="tab"/>
      <w:pPr>
        <w:ind w:left="1440" w:hanging="360"/>
        <w:jc w:val="both"/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2">
      <w:lvlJc w:val="left"/>
      <w:numFmt w:val="bullet"/>
      <w:start w:val="1"/>
      <w:suff w:val="tab"/>
      <w:pPr>
        <w:ind w:left="2160" w:hanging="360"/>
        <w:jc w:val="both"/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  <w:lvl w:ilvl="3">
      <w:lvlJc w:val="left"/>
      <w:numFmt w:val="bullet"/>
      <w:start w:val="1"/>
      <w:suff w:val="tab"/>
      <w:pPr>
        <w:ind w:left="2880" w:hanging="360"/>
        <w:jc w:val="both"/>
      </w:pPr>
      <w:rPr>
        <w:rFonts w:ascii="Symbol" w:eastAsia="Symbol" w:hAnsi="Symbol"/>
        <w:shd w:val="clear" w:color="000000"/>
        <w:sz w:val="20"/>
        <w:szCs w:val="20"/>
        <w:w w:val="100"/>
      </w:rPr>
      <w:lvlText w:val="·"/>
    </w:lvl>
    <w:lvl w:ilvl="4">
      <w:lvlJc w:val="left"/>
      <w:numFmt w:val="bullet"/>
      <w:start w:val="1"/>
      <w:suff w:val="tab"/>
      <w:pPr>
        <w:ind w:left="3600" w:hanging="360"/>
        <w:jc w:val="both"/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5">
      <w:lvlJc w:val="left"/>
      <w:numFmt w:val="bullet"/>
      <w:start w:val="1"/>
      <w:suff w:val="tab"/>
      <w:pPr>
        <w:ind w:left="4320" w:hanging="360"/>
        <w:jc w:val="both"/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  <w:lvl w:ilvl="6">
      <w:lvlJc w:val="left"/>
      <w:numFmt w:val="bullet"/>
      <w:start w:val="1"/>
      <w:suff w:val="tab"/>
      <w:pPr>
        <w:ind w:left="5040" w:hanging="360"/>
        <w:jc w:val="both"/>
      </w:pPr>
      <w:rPr>
        <w:rFonts w:ascii="Symbol" w:eastAsia="Symbol" w:hAnsi="Symbol"/>
        <w:shd w:val="clear" w:color="000000"/>
        <w:sz w:val="20"/>
        <w:szCs w:val="20"/>
        <w:w w:val="100"/>
      </w:rPr>
      <w:lvlText w:val="·"/>
    </w:lvl>
    <w:lvl w:ilvl="7">
      <w:lvlJc w:val="left"/>
      <w:numFmt w:val="bullet"/>
      <w:start w:val="1"/>
      <w:suff w:val="tab"/>
      <w:pPr>
        <w:ind w:left="5760" w:hanging="360"/>
        <w:jc w:val="both"/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8">
      <w:lvlJc w:val="left"/>
      <w:numFmt w:val="bullet"/>
      <w:start w:val="1"/>
      <w:suff w:val="tab"/>
      <w:pPr>
        <w:ind w:left="6480" w:hanging="360"/>
        <w:jc w:val="both"/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</w:abstractNum>
  <w:abstractNum w:abstractNumId="27">
    <w:multiLevelType w:val="hybridMultilevel"/>
    <w:nsid w:val="2F00001B"/>
    <w:tmpl w:val="1F002683"/>
    <w:lvl w:ilvl="0">
      <w:lvlJc w:val="left"/>
      <w:numFmt w:val="decimal"/>
      <w:start w:val="9"/>
      <w:suff w:val="tab"/>
      <w:pPr>
        <w:ind w:left="580" w:hanging="360"/>
        <w:jc w:val="both"/>
      </w:pPr>
      <w:rPr>
        <w:shd w:val="clear" w:color="000000"/>
        <w:sz w:val="20"/>
        <w:szCs w:val="20"/>
        <w:w w:val="100"/>
      </w:rPr>
      <w:lvlText w:val="%1."/>
    </w:lvl>
    <w:lvl w:ilvl="1">
      <w:lvlJc w:val="left"/>
      <w:numFmt w:val="lowerLetter"/>
      <w:start w:val="1"/>
      <w:suff w:val="tab"/>
      <w:pPr>
        <w:ind w:left="1300" w:hanging="360"/>
        <w:jc w:val="both"/>
      </w:pPr>
      <w:lvlText w:val="%2."/>
    </w:lvl>
    <w:lvl w:ilvl="2">
      <w:lvlJc w:val="right"/>
      <w:numFmt w:val="lowerRoman"/>
      <w:start w:val="1"/>
      <w:suff w:val="tab"/>
      <w:pPr>
        <w:ind w:left="2020" w:hanging="180"/>
        <w:jc w:val="both"/>
      </w:pPr>
      <w:lvlText w:val="%3."/>
    </w:lvl>
    <w:lvl w:ilvl="3">
      <w:lvlJc w:val="left"/>
      <w:numFmt w:val="decimal"/>
      <w:start w:val="1"/>
      <w:suff w:val="tab"/>
      <w:pPr>
        <w:ind w:left="2740" w:hanging="360"/>
        <w:jc w:val="both"/>
      </w:pPr>
      <w:lvlText w:val="%4."/>
    </w:lvl>
    <w:lvl w:ilvl="4">
      <w:lvlJc w:val="left"/>
      <w:numFmt w:val="lowerLetter"/>
      <w:start w:val="1"/>
      <w:suff w:val="tab"/>
      <w:pPr>
        <w:ind w:left="3460" w:hanging="360"/>
        <w:jc w:val="both"/>
      </w:pPr>
      <w:lvlText w:val="%5."/>
    </w:lvl>
    <w:lvl w:ilvl="5">
      <w:lvlJc w:val="right"/>
      <w:numFmt w:val="lowerRoman"/>
      <w:start w:val="1"/>
      <w:suff w:val="tab"/>
      <w:pPr>
        <w:ind w:left="4180" w:hanging="180"/>
        <w:jc w:val="both"/>
      </w:pPr>
      <w:lvlText w:val="%6."/>
    </w:lvl>
    <w:lvl w:ilvl="6">
      <w:lvlJc w:val="left"/>
      <w:numFmt w:val="decimal"/>
      <w:start w:val="1"/>
      <w:suff w:val="tab"/>
      <w:pPr>
        <w:ind w:left="4900" w:hanging="360"/>
        <w:jc w:val="both"/>
      </w:pPr>
      <w:lvlText w:val="%7."/>
    </w:lvl>
    <w:lvl w:ilvl="7">
      <w:lvlJc w:val="left"/>
      <w:numFmt w:val="lowerLetter"/>
      <w:start w:val="1"/>
      <w:suff w:val="tab"/>
      <w:pPr>
        <w:ind w:left="5620" w:hanging="360"/>
        <w:jc w:val="both"/>
      </w:pPr>
      <w:lvlText w:val="%8."/>
    </w:lvl>
    <w:lvl w:ilvl="8">
      <w:lvlJc w:val="right"/>
      <w:numFmt w:val="lowerRoman"/>
      <w:start w:val="1"/>
      <w:suff w:val="tab"/>
      <w:pPr>
        <w:ind w:left="6340" w:hanging="180"/>
        <w:jc w:val="both"/>
      </w:pPr>
      <w:lvlText w:val="%9."/>
    </w:lvl>
  </w:abstractNum>
  <w:abstractNum w:abstractNumId="28">
    <w:multiLevelType w:val="hybridMultilevel"/>
    <w:nsid w:val="2F00001C"/>
    <w:tmpl w:val="1F0026DB"/>
    <w:lvl w:ilvl="0">
      <w:lvlJc w:val="left"/>
      <w:numFmt w:val="decimal"/>
      <w:start w:val="8"/>
      <w:suff w:val="tab"/>
      <w:pPr>
        <w:ind w:left="720" w:hanging="360"/>
        <w:jc w:val="both"/>
      </w:pPr>
      <w:rPr>
        <w:shd w:val="clear" w:color="000000"/>
        <w:sz w:val="20"/>
        <w:szCs w:val="20"/>
        <w:w w:val="100"/>
      </w:rPr>
      <w:lvlText w:val="%1."/>
    </w:lvl>
    <w:lvl w:ilvl="1">
      <w:lvlJc w:val="left"/>
      <w:numFmt w:val="lowerLetter"/>
      <w:start w:val="1"/>
      <w:suff w:val="tab"/>
      <w:pPr>
        <w:ind w:left="1440" w:hanging="360"/>
        <w:jc w:val="both"/>
      </w:pPr>
      <w:lvlText w:val="%2."/>
    </w:lvl>
    <w:lvl w:ilvl="2">
      <w:lvlJc w:val="right"/>
      <w:numFmt w:val="lowerRoman"/>
      <w:start w:val="1"/>
      <w:suff w:val="tab"/>
      <w:pPr>
        <w:ind w:left="2160" w:hanging="180"/>
        <w:jc w:val="both"/>
      </w:pPr>
      <w:lvlText w:val="%3."/>
    </w:lvl>
    <w:lvl w:ilvl="3">
      <w:lvlJc w:val="left"/>
      <w:numFmt w:val="decimal"/>
      <w:start w:val="1"/>
      <w:suff w:val="tab"/>
      <w:pPr>
        <w:ind w:left="2880" w:hanging="360"/>
        <w:jc w:val="both"/>
      </w:pPr>
      <w:lvlText w:val="%4."/>
    </w:lvl>
    <w:lvl w:ilvl="4">
      <w:lvlJc w:val="left"/>
      <w:numFmt w:val="lowerLetter"/>
      <w:start w:val="1"/>
      <w:suff w:val="tab"/>
      <w:pPr>
        <w:ind w:left="3600" w:hanging="360"/>
        <w:jc w:val="both"/>
      </w:pPr>
      <w:lvlText w:val="%5."/>
    </w:lvl>
    <w:lvl w:ilvl="5">
      <w:lvlJc w:val="right"/>
      <w:numFmt w:val="lowerRoman"/>
      <w:start w:val="1"/>
      <w:suff w:val="tab"/>
      <w:pPr>
        <w:ind w:left="4320" w:hanging="180"/>
        <w:jc w:val="both"/>
      </w:pPr>
      <w:lvlText w:val="%6."/>
    </w:lvl>
    <w:lvl w:ilvl="6">
      <w:lvlJc w:val="left"/>
      <w:numFmt w:val="decimal"/>
      <w:start w:val="1"/>
      <w:suff w:val="tab"/>
      <w:pPr>
        <w:ind w:left="5040" w:hanging="360"/>
        <w:jc w:val="both"/>
      </w:pPr>
      <w:lvlText w:val="%7."/>
    </w:lvl>
    <w:lvl w:ilvl="7">
      <w:lvlJc w:val="left"/>
      <w:numFmt w:val="lowerLetter"/>
      <w:start w:val="1"/>
      <w:suff w:val="tab"/>
      <w:pPr>
        <w:ind w:left="5760" w:hanging="360"/>
        <w:jc w:val="both"/>
      </w:pPr>
      <w:lvlText w:val="%8."/>
    </w:lvl>
    <w:lvl w:ilvl="8">
      <w:lvlJc w:val="right"/>
      <w:numFmt w:val="lowerRoman"/>
      <w:start w:val="1"/>
      <w:suff w:val="tab"/>
      <w:pPr>
        <w:ind w:left="6480" w:hanging="180"/>
        <w:jc w:val="both"/>
      </w:pPr>
      <w:lvlText w:val="%9."/>
    </w:lvl>
  </w:abstractNum>
  <w:abstractNum w:abstractNumId="29">
    <w:multiLevelType w:val="hybridMultilevel"/>
    <w:nsid w:val="2F00001D"/>
    <w:tmpl w:val="1F000AA3"/>
    <w:lvl w:ilvl="0">
      <w:lvlJc w:val="left"/>
      <w:numFmt w:val="decimal"/>
      <w:start w:val="1"/>
      <w:suff w:val="tab"/>
      <w:pPr>
        <w:ind w:left="720" w:hanging="360"/>
        <w:jc w:val="both"/>
      </w:pPr>
      <w:rPr>
        <w:rFonts w:ascii="Arial" w:eastAsia="Arial" w:hAnsi="Arial"/>
        <w:shd w:val="clear"/>
        <w:sz w:val="24"/>
        <w:szCs w:val="24"/>
        <w:u w:val="none"/>
        <w:w w:val="100"/>
      </w:rPr>
      <w:lvlText w:val="%1."/>
    </w:lvl>
    <w:lvl w:ilvl="1">
      <w:lvlJc w:val="left"/>
      <w:numFmt w:val="lowerLetter"/>
      <w:start w:val="1"/>
      <w:suff w:val="tab"/>
      <w:pPr>
        <w:ind w:left="1440" w:hanging="360"/>
        <w:jc w:val="both"/>
      </w:pPr>
      <w:rPr>
        <w:rFonts w:ascii="Segoe UI" w:eastAsia="Segoe UI" w:hAnsi="Segoe UI"/>
        <w:shd w:val="clear"/>
        <w:sz w:val="20"/>
        <w:szCs w:val="20"/>
        <w:w w:val="100"/>
      </w:rPr>
      <w:lvlText w:val="%2."/>
    </w:lvl>
    <w:lvl w:ilvl="2">
      <w:lvlJc w:val="right"/>
      <w:numFmt w:val="lowerRoman"/>
      <w:start w:val="1"/>
      <w:suff w:val="tab"/>
      <w:pPr>
        <w:ind w:left="2160" w:hanging="180"/>
        <w:jc w:val="both"/>
      </w:pPr>
      <w:rPr>
        <w:rFonts w:ascii="Segoe UI" w:eastAsia="Segoe UI" w:hAnsi="Segoe UI"/>
        <w:shd w:val="clear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2880" w:hanging="360"/>
        <w:jc w:val="both"/>
      </w:pPr>
      <w:rPr>
        <w:rFonts w:ascii="Segoe UI" w:eastAsia="Segoe UI" w:hAnsi="Segoe UI"/>
        <w:shd w:val="clear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3600" w:hanging="360"/>
        <w:jc w:val="both"/>
      </w:pPr>
      <w:rPr>
        <w:rFonts w:ascii="Segoe UI" w:eastAsia="Segoe UI" w:hAnsi="Segoe UI"/>
        <w:shd w:val="clear"/>
        <w:sz w:val="20"/>
        <w:szCs w:val="20"/>
        <w:w w:val="100"/>
      </w:rPr>
      <w:lvlText w:val="%5."/>
    </w:lvl>
    <w:lvl w:ilvl="5">
      <w:lvlJc w:val="right"/>
      <w:numFmt w:val="lowerRoman"/>
      <w:start w:val="1"/>
      <w:suff w:val="tab"/>
      <w:pPr>
        <w:ind w:left="4320" w:hanging="180"/>
        <w:jc w:val="both"/>
      </w:pPr>
      <w:rPr>
        <w:rFonts w:ascii="Segoe UI" w:eastAsia="Segoe UI" w:hAnsi="Segoe UI"/>
        <w:shd w:val="clear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5040" w:hanging="360"/>
        <w:jc w:val="both"/>
      </w:pPr>
      <w:rPr>
        <w:rFonts w:ascii="Segoe UI" w:eastAsia="Segoe UI" w:hAnsi="Segoe UI"/>
        <w:shd w:val="clear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5760" w:hanging="360"/>
        <w:jc w:val="both"/>
      </w:pPr>
      <w:rPr>
        <w:rFonts w:ascii="Segoe UI" w:eastAsia="Segoe UI" w:hAnsi="Segoe UI"/>
        <w:shd w:val="clear"/>
        <w:sz w:val="20"/>
        <w:szCs w:val="20"/>
        <w:w w:val="100"/>
      </w:rPr>
      <w:lvlText w:val="%8."/>
    </w:lvl>
    <w:lvl w:ilvl="8">
      <w:lvlJc w:val="right"/>
      <w:numFmt w:val="lowerRoman"/>
      <w:start w:val="1"/>
      <w:suff w:val="tab"/>
      <w:pPr>
        <w:ind w:left="6480" w:hanging="180"/>
        <w:jc w:val="both"/>
      </w:pPr>
      <w:rPr>
        <w:rFonts w:ascii="Segoe UI" w:eastAsia="Segoe UI" w:hAnsi="Segoe UI"/>
        <w:shd w:val="clear"/>
        <w:sz w:val="20"/>
        <w:szCs w:val="20"/>
        <w:w w:val="100"/>
      </w:rPr>
      <w:lvlText w:val="%9."/>
    </w:lvl>
  </w:abstractNum>
  <w:abstractNum w:abstractNumId="30">
    <w:multiLevelType w:val="hybridMultilevel"/>
    <w:nsid w:val="2F00001E"/>
    <w:tmpl w:val="1F002A6F"/>
    <w:lvl w:ilvl="0">
      <w:lvlJc w:val="left"/>
      <w:numFmt w:val="decimal"/>
      <w:start w:val="1"/>
      <w:suff w:val="tab"/>
      <w:pPr>
        <w:ind w:left="720" w:hanging="360"/>
        <w:jc w:val="both"/>
        <w:tabs>
          <w:tab w:val="left" w:pos="720"/>
        </w:tabs>
      </w:pPr>
      <w:rPr>
        <w:shd w:val="clear" w:color="000000"/>
        <w:sz w:val="20"/>
        <w:szCs w:val="20"/>
        <w:w w:val="100"/>
      </w:rPr>
      <w:lvlText w:val="%1."/>
    </w:lvl>
    <w:lvl w:ilvl="1">
      <w:lvlJc w:val="left"/>
      <w:numFmt w:val="bullet"/>
      <w:start w:val="1"/>
      <w:suff w:val="tab"/>
      <w:pPr>
        <w:ind w:left="1440" w:hanging="360"/>
        <w:jc w:val="both"/>
        <w:tabs>
          <w:tab w:val="left" w:pos="1440"/>
        </w:tabs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2">
      <w:lvlJc w:val="left"/>
      <w:numFmt w:val="bullet"/>
      <w:start w:val="1"/>
      <w:suff w:val="tab"/>
      <w:pPr>
        <w:ind w:left="2160" w:hanging="360"/>
        <w:jc w:val="both"/>
        <w:tabs>
          <w:tab w:val="left" w:pos="2160"/>
        </w:tabs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  <w:lvl w:ilvl="3">
      <w:lvlJc w:val="left"/>
      <w:numFmt w:val="bullet"/>
      <w:start w:val="1"/>
      <w:suff w:val="tab"/>
      <w:pPr>
        <w:ind w:left="2880" w:hanging="360"/>
        <w:jc w:val="both"/>
        <w:tabs>
          <w:tab w:val="left" w:pos="2880"/>
        </w:tabs>
      </w:pPr>
      <w:rPr>
        <w:rFonts w:ascii="Symbol" w:eastAsia="Symbol" w:hAnsi="Symbol"/>
        <w:shd w:val="clear" w:color="000000"/>
        <w:sz w:val="20"/>
        <w:szCs w:val="20"/>
        <w:w w:val="100"/>
      </w:rPr>
      <w:lvlText w:val="·"/>
    </w:lvl>
    <w:lvl w:ilvl="4">
      <w:lvlJc w:val="left"/>
      <w:numFmt w:val="bullet"/>
      <w:start w:val="1"/>
      <w:suff w:val="tab"/>
      <w:pPr>
        <w:ind w:left="3600" w:hanging="360"/>
        <w:jc w:val="both"/>
        <w:tabs>
          <w:tab w:val="left" w:pos="3600"/>
        </w:tabs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5">
      <w:lvlJc w:val="left"/>
      <w:numFmt w:val="bullet"/>
      <w:start w:val="1"/>
      <w:suff w:val="tab"/>
      <w:pPr>
        <w:ind w:left="4320" w:hanging="360"/>
        <w:jc w:val="both"/>
        <w:tabs>
          <w:tab w:val="left" w:pos="4320"/>
        </w:tabs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  <w:lvl w:ilvl="6">
      <w:lvlJc w:val="left"/>
      <w:numFmt w:val="bullet"/>
      <w:start w:val="1"/>
      <w:suff w:val="tab"/>
      <w:pPr>
        <w:ind w:left="5040" w:hanging="360"/>
        <w:jc w:val="both"/>
        <w:tabs>
          <w:tab w:val="left" w:pos="5040"/>
        </w:tabs>
      </w:pPr>
      <w:rPr>
        <w:rFonts w:ascii="Symbol" w:eastAsia="Symbol" w:hAnsi="Symbol"/>
        <w:shd w:val="clear" w:color="000000"/>
        <w:sz w:val="20"/>
        <w:szCs w:val="20"/>
        <w:w w:val="100"/>
      </w:rPr>
      <w:lvlText w:val="·"/>
    </w:lvl>
    <w:lvl w:ilvl="7">
      <w:lvlJc w:val="left"/>
      <w:numFmt w:val="bullet"/>
      <w:start w:val="1"/>
      <w:suff w:val="tab"/>
      <w:pPr>
        <w:ind w:left="5760" w:hanging="360"/>
        <w:jc w:val="both"/>
        <w:tabs>
          <w:tab w:val="left" w:pos="5760"/>
        </w:tabs>
      </w:pPr>
      <w:rPr>
        <w:rFonts w:ascii="Courier New" w:eastAsia="Courier New" w:hAnsi="Courier New"/>
        <w:shd w:val="clear" w:color="000000"/>
        <w:sz w:val="20"/>
        <w:szCs w:val="20"/>
        <w:w w:val="100"/>
      </w:rPr>
      <w:lvlText w:val="o"/>
    </w:lvl>
    <w:lvl w:ilvl="8">
      <w:lvlJc w:val="left"/>
      <w:numFmt w:val="bullet"/>
      <w:start w:val="1"/>
      <w:suff w:val="tab"/>
      <w:pPr>
        <w:ind w:left="6480" w:hanging="360"/>
        <w:jc w:val="both"/>
        <w:tabs>
          <w:tab w:val="left" w:pos="6480"/>
        </w:tabs>
      </w:pPr>
      <w:rPr>
        <w:rFonts w:ascii="Wingdings" w:eastAsia="Wingdings" w:hAnsi="Wingdings"/>
        <w:shd w:val="clear" w:color="000000"/>
        <w:sz w:val="20"/>
        <w:szCs w:val="20"/>
        <w:w w:val="100"/>
      </w:rPr>
      <w:lvlText w:val="§"/>
    </w:lvl>
  </w:abstractNum>
  <w:num w:numId="1">
    <w:abstractNumId w:val="23"/>
  </w:num>
  <w:num w:numId="2">
    <w:abstractNumId w:val="16"/>
  </w:num>
  <w:num w:numId="3">
    <w:abstractNumId w:val="7"/>
  </w:num>
  <w:num w:numId="4">
    <w:abstractNumId w:val="9"/>
  </w:num>
  <w:num w:numId="5">
    <w:abstractNumId w:val="13"/>
  </w:num>
  <w:num w:numId="6">
    <w:abstractNumId w:val="11"/>
  </w:num>
  <w:num w:numId="7">
    <w:abstractNumId w:val="22"/>
  </w:num>
  <w:num w:numId="8">
    <w:abstractNumId w:val="5"/>
  </w:num>
  <w:num w:numId="9">
    <w:abstractNumId w:val="15"/>
  </w:num>
  <w:num w:numId="10">
    <w:abstractNumId w:val="18"/>
  </w:num>
  <w:num w:numId="11">
    <w:abstractNumId w:val="12"/>
  </w:num>
  <w:num w:numId="12">
    <w:abstractNumId w:val="17"/>
  </w:num>
  <w:num w:numId="13">
    <w:abstractNumId w:val="8"/>
  </w:num>
  <w:num w:numId="14">
    <w:abstractNumId w:val="10"/>
  </w:num>
  <w:num w:numId="15">
    <w:abstractNumId w:val="3"/>
  </w:num>
  <w:num w:numId="16">
    <w:abstractNumId w:val="19"/>
  </w:num>
  <w:num w:numId="17">
    <w:abstractNumId w:val="6"/>
  </w:num>
  <w:num w:numId="18">
    <w:abstractNumId w:val="4"/>
  </w:num>
  <w:num w:numId="19">
    <w:abstractNumId w:val="21"/>
  </w:num>
  <w:num w:numId="20">
    <w:abstractNumId w:val="14"/>
  </w:num>
  <w:num w:numId="21">
    <w:abstractNumId w:val="20"/>
  </w:num>
  <w:num w:numId="22">
    <w:abstractNumId w:val="24"/>
  </w:num>
  <w:num w:numId="23">
    <w:abstractNumId w:val="25"/>
  </w:num>
  <w:num w:numId="24">
    <w:abstractNumId w:val="30"/>
  </w:num>
  <w:num w:numId="25">
    <w:abstractNumId w:val="2"/>
  </w:num>
  <w:num w:numId="26">
    <w:abstractNumId w:val="29"/>
  </w:num>
  <w:num w:numId="27">
    <w:abstractNumId w:val="26"/>
  </w:num>
  <w:num w:numId="28">
    <w:abstractNumId w:val="1"/>
  </w:num>
  <w:num w:numId="29">
    <w:abstractNumId w:val="28"/>
  </w:num>
  <w:num w:numId="30">
    <w:abstractNumId w:val="0"/>
  </w:num>
  <w:num w:numId="3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720"/>
  <w:displayHorizontalDrawingGridEvery w:val="0"/>
  <w:displayVerticalDrawingGridEvery w:val="2"/>
  <w:noPunctuationKerning/>
  <w:characterSpacingControl w:val="doNotCompress"/>
  <w:bordersDoNotSurroundHeader/>
  <w:compat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rFonts w:ascii="Calibri" w:eastAsia="Times New Roman" w:hAnsi="Calibri"/>
        <w:shd w:val="clear"/>
        <w:sz w:val="22"/>
        <w:szCs w:val="22"/>
        <w:w w:val="100"/>
      </w:rPr>
    </w:rPrDefault>
  </w:docDefaults>
  <w:style w:default="1" w:styleId="PO1" w:type="paragraph">
    <w:name w:val="Normal"/>
    <w:qFormat/>
    <w:uiPriority w:val="1"/>
  </w:style>
  <w:style w:default="1" w:styleId="PO2" w:type="character">
    <w:name w:val="Default Paragraph Font"/>
    <w:uiPriority w:val="2"/>
    <w:semiHidden/>
    <w:unhideWhenUsed/>
  </w:style>
  <w:style w:default="1" w:styleId="PO3" w:type="table">
    <w:name w:val="Normal Table"/>
    <w:basedOn w:val="PO3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  <w:style w:styleId="PO5" w:type="paragraph">
    <w:name w:val="No Spacing"/>
    <w:link w:val="PO223"/>
    <w:qFormat/>
    <w:uiPriority w:val="5"/>
    <w:pPr>
      <w:autoSpaceDE w:val="0"/>
      <w:autoSpaceDN w:val="0"/>
      <w:jc w:val="both"/>
      <w:textAlignment w:val="baseline"/>
      <w:widowControl/>
      <w:wordWrap/>
    </w:pPr>
    <w:rPr>
      <w:rFonts w:ascii="Times New Roman" w:eastAsia="Times New Roman" w:hAnsi="Times New Roman"/>
      <w:shd w:val="clear"/>
      <w:sz w:val="20"/>
      <w:szCs w:val="20"/>
      <w:w w:val="100"/>
    </w:rPr>
  </w:style>
  <w:style w:styleId="PO6" w:type="paragraph">
    <w:name w:val="Title"/>
    <w:link w:val="PO164"/>
    <w:qFormat/>
    <w:uiPriority w:val="6"/>
    <w:rPr>
      <w:color w:val="000000"/>
      <w:rFonts w:ascii="Segoe UI" w:eastAsia="Segoe UI" w:hAnsi="Segoe UI"/>
      <w:b/>
      <w:shd w:val="clear"/>
      <w:sz w:val="32"/>
      <w:szCs w:val="32"/>
      <w:w w:val="100"/>
    </w:rPr>
  </w:style>
  <w:style w:styleId="PO7" w:type="paragraph">
    <w:name w:val="heading 1"/>
    <w:basedOn w:val="PO1"/>
    <w:next w:val="PO1"/>
    <w:link w:val="PO152"/>
    <w:qFormat/>
    <w:uiPriority w:val="7"/>
    <w:pPr>
      <w:autoSpaceDE w:val="1"/>
      <w:autoSpaceDN w:val="1"/>
      <w:keepLines/>
      <w:keepNext/>
      <w:widowControl/>
      <w:wordWrap/>
    </w:pPr>
    <w:rPr>
      <w:color w:val="2F5496" w:themeColor="accent1" w:themeShade="BF"/>
      <w:rFonts w:ascii="Calibri Light" w:eastAsia="Calibri Light" w:hAnsi="Calibri Light"/>
      <w:shd w:val="clear"/>
      <w:sz w:val="32"/>
      <w:szCs w:val="32"/>
      <w:w w:val="100"/>
    </w:rPr>
  </w:style>
  <w:style w:styleId="PO8" w:type="paragraph">
    <w:name w:val="heading 2"/>
    <w:basedOn w:val="PO1"/>
    <w:next w:val="PO1"/>
    <w:link w:val="PO153"/>
    <w:qFormat/>
    <w:uiPriority w:val="8"/>
    <w:unhideWhenUsed/>
    <w:pPr>
      <w:autoSpaceDE w:val="1"/>
      <w:autoSpaceDN w:val="1"/>
      <w:keepLines/>
      <w:keepNext/>
      <w:widowControl/>
      <w:wordWrap/>
    </w:pPr>
    <w:rPr>
      <w:color w:val="2F5496" w:themeColor="accent1" w:themeShade="BF"/>
      <w:rFonts w:ascii="Calibri Light" w:eastAsia="Calibri Light" w:hAnsi="Calibri Light"/>
      <w:shd w:val="clear"/>
      <w:sz w:val="26"/>
      <w:szCs w:val="26"/>
      <w:w w:val="100"/>
    </w:rPr>
  </w:style>
  <w:style w:styleId="PO9" w:type="paragraph">
    <w:name w:val="heading 3"/>
    <w:basedOn w:val="PO1"/>
    <w:next w:val="PO1"/>
    <w:link w:val="PO154"/>
    <w:qFormat/>
    <w:uiPriority w:val="9"/>
    <w:unhideWhenUsed/>
    <w:pPr>
      <w:autoSpaceDE w:val="1"/>
      <w:autoSpaceDN w:val="1"/>
      <w:keepLines/>
      <w:keepNext/>
      <w:widowControl/>
      <w:wordWrap/>
    </w:pPr>
    <w:rPr>
      <w:color w:val="1F3863" w:themeColor="accent1" w:themeShade="7F"/>
      <w:rFonts w:ascii="Calibri Light" w:eastAsia="Calibri Light" w:hAnsi="Calibri Light"/>
      <w:shd w:val="clear"/>
      <w:sz w:val="24"/>
      <w:szCs w:val="24"/>
      <w:w w:val="100"/>
    </w:rPr>
  </w:style>
  <w:style w:styleId="PO10" w:type="paragraph">
    <w:name w:val="heading 4"/>
    <w:link w:val="PO156"/>
    <w:qFormat/>
    <w:uiPriority w:val="10"/>
    <w:semiHidden/>
    <w:unhideWhenUsed/>
    <w:pPr>
      <w:autoSpaceDE w:val="1"/>
      <w:autoSpaceDN w:val="1"/>
      <w:ind w:left="1600" w:hanging="400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11" w:type="paragraph">
    <w:name w:val="heading 5"/>
    <w:link w:val="PO157"/>
    <w:qFormat/>
    <w:uiPriority w:val="11"/>
    <w:semiHidden/>
    <w:unhideWhenUsed/>
    <w:pPr>
      <w:autoSpaceDE w:val="1"/>
      <w:autoSpaceDN w:val="1"/>
      <w:ind w:left="1800" w:hanging="400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12" w:type="paragraph">
    <w:name w:val="heading 6"/>
    <w:link w:val="PO158"/>
    <w:qFormat/>
    <w:uiPriority w:val="12"/>
    <w:semiHidden/>
    <w:unhideWhenUsed/>
    <w:pPr>
      <w:autoSpaceDE w:val="1"/>
      <w:autoSpaceDN w:val="1"/>
      <w:ind w:left="2000" w:hanging="400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13" w:type="paragraph">
    <w:name w:val="heading 7"/>
    <w:link w:val="PO159"/>
    <w:uiPriority w:val="13"/>
    <w:pPr>
      <w:autoSpaceDE w:val="1"/>
      <w:autoSpaceDN w:val="1"/>
      <w:ind w:left="2200" w:hanging="400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14" w:type="paragraph">
    <w:name w:val="heading 8"/>
    <w:link w:val="PO160"/>
    <w:uiPriority w:val="14"/>
    <w:pPr>
      <w:autoSpaceDE w:val="1"/>
      <w:autoSpaceDN w:val="1"/>
      <w:ind w:left="2400" w:hanging="400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15" w:type="paragraph">
    <w:name w:val="heading 9"/>
    <w:link w:val="PO161"/>
    <w:uiPriority w:val="15"/>
    <w:pPr>
      <w:autoSpaceDE w:val="1"/>
      <w:autoSpaceDN w:val="1"/>
      <w:ind w:left="2600" w:hanging="400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16" w:type="paragraph">
    <w:name w:val="Subtitle"/>
    <w:link w:val="PO165"/>
    <w:qFormat/>
    <w:uiPriority w:val="16"/>
    <w:pPr>
      <w:autoSpaceDE w:val="0"/>
      <w:autoSpaceDN w:val="0"/>
      <w:jc w:val="center"/>
      <w:textAlignment w:val="baseline"/>
      <w:widowControl/>
      <w:wordWrap/>
    </w:pPr>
    <w:rPr>
      <w:rFonts w:ascii="Segoe UI" w:eastAsia="Times New Roman" w:hAnsi="Segoe UI"/>
      <w:shd w:val="clear"/>
      <w:sz w:val="24"/>
      <w:szCs w:val="24"/>
      <w:w w:val="100"/>
    </w:rPr>
  </w:style>
  <w:style w:styleId="PO17" w:type="character">
    <w:name w:val="Subtle Emphasis"/>
    <w:qFormat/>
    <w:uiPriority w:val="17"/>
    <w:rPr>
      <w:color w:val="404040"/>
      <w:i/>
      <w:shd w:val="clear" w:color="000000"/>
      <w:sz w:val="20"/>
      <w:szCs w:val="20"/>
      <w:w w:val="100"/>
    </w:rPr>
  </w:style>
  <w:style w:styleId="PO18" w:type="character">
    <w:name w:val="Emphasis"/>
    <w:qFormat/>
    <w:uiPriority w:val="18"/>
    <w:rPr>
      <w:i/>
      <w:shd w:val="clear" w:color="000000"/>
      <w:sz w:val="20"/>
      <w:szCs w:val="20"/>
      <w:w w:val="100"/>
    </w:rPr>
  </w:style>
  <w:style w:styleId="PO19" w:type="character">
    <w:name w:val="Intense Emphasis"/>
    <w:qFormat/>
    <w:uiPriority w:val="19"/>
    <w:rPr>
      <w:color w:val="5B9BD5"/>
      <w:i/>
      <w:shd w:val="clear" w:color="000000"/>
      <w:sz w:val="20"/>
      <w:szCs w:val="20"/>
      <w:w w:val="100"/>
    </w:rPr>
  </w:style>
  <w:style w:styleId="PO20" w:type="character">
    <w:name w:val="Strong"/>
    <w:qFormat/>
    <w:uiPriority w:val="20"/>
    <w:rPr>
      <w:b/>
      <w:shd w:val="clear" w:color="000000"/>
      <w:sz w:val="20"/>
      <w:szCs w:val="20"/>
      <w:w w:val="100"/>
    </w:rPr>
  </w:style>
  <w:style w:styleId="PO21" w:type="paragraph">
    <w:name w:val="Quote"/>
    <w:link w:val="PO166"/>
    <w:qFormat/>
    <w:uiPriority w:val="21"/>
    <w:pPr>
      <w:autoSpaceDE w:val="0"/>
      <w:autoSpaceDN w:val="0"/>
      <w:ind w:left="864" w:right="864" w:firstLine="0"/>
      <w:jc w:val="center"/>
      <w:textAlignment w:val="baseline"/>
      <w:widowControl/>
      <w:wordWrap/>
    </w:pPr>
    <w:rPr>
      <w:color w:val="404040"/>
      <w:i/>
      <w:rFonts w:ascii="Segoe UI" w:eastAsia="Times New Roman" w:hAnsi="Segoe UI"/>
      <w:shd w:val="clear"/>
      <w:sz w:val="20"/>
      <w:szCs w:val="20"/>
      <w:w w:val="100"/>
    </w:rPr>
  </w:style>
  <w:style w:styleId="PO22" w:type="paragraph">
    <w:name w:val="Intense Quote"/>
    <w:link w:val="PO167"/>
    <w:qFormat/>
    <w:uiPriority w:val="22"/>
    <w:pPr>
      <w:autoSpaceDE w:val="0"/>
      <w:autoSpaceDN w:val="0"/>
      <w:ind w:left="950" w:right="950" w:firstLine="0"/>
      <w:jc w:val="center"/>
      <w:textAlignment w:val="baseline"/>
      <w:widowControl/>
      <w:wordWrap/>
    </w:pPr>
    <w:rPr>
      <w:color w:val="5B9BD5"/>
      <w:i/>
      <w:rFonts w:ascii="Segoe UI" w:eastAsia="Times New Roman" w:hAnsi="Segoe UI"/>
      <w:shd w:val="clear"/>
      <w:sz w:val="20"/>
      <w:szCs w:val="20"/>
      <w:w w:val="100"/>
    </w:rPr>
  </w:style>
  <w:style w:styleId="PO23" w:type="character">
    <w:name w:val="Subtle Reference"/>
    <w:qFormat/>
    <w:uiPriority w:val="23"/>
    <w:rPr>
      <w:color w:val="5A5A5A"/>
      <w:shd w:val="clear" w:color="000000"/>
      <w:smallCaps/>
      <w:sz w:val="20"/>
      <w:szCs w:val="20"/>
      <w:w w:val="100"/>
    </w:rPr>
  </w:style>
  <w:style w:styleId="PO24" w:type="character">
    <w:name w:val="Intense Reference"/>
    <w:qFormat/>
    <w:uiPriority w:val="24"/>
    <w:rPr>
      <w:color w:val="5B9BD5"/>
      <w:b/>
      <w:shd w:val="clear" w:color="000000"/>
      <w:smallCaps/>
      <w:sz w:val="20"/>
      <w:szCs w:val="20"/>
      <w:w w:val="100"/>
    </w:rPr>
  </w:style>
  <w:style w:styleId="PO25" w:type="character">
    <w:name w:val="Book Title"/>
    <w:qFormat/>
    <w:uiPriority w:val="25"/>
    <w:rPr>
      <w:i/>
      <w:b/>
      <w:shd w:val="clear" w:color="000000"/>
      <w:sz w:val="20"/>
      <w:szCs w:val="20"/>
      <w:w w:val="100"/>
    </w:rPr>
  </w:style>
  <w:style w:styleId="PO26" w:type="paragraph">
    <w:name w:val="List Paragraph"/>
    <w:qFormat/>
    <w:uiPriority w:val="26"/>
    <w:pPr>
      <w:autoSpaceDE w:val="0"/>
      <w:autoSpaceDN w:val="0"/>
      <w:ind w:left="850" w:firstLine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27" w:type="paragraph">
    <w:name w:val="TOC Heading"/>
    <w:basedOn w:val="PO7"/>
    <w:next w:val="PO1"/>
    <w:qFormat/>
    <w:uiPriority w:val="27"/>
    <w:unhideWhenUsed/>
    <w:rPr>
      <w:shd w:val="clear"/>
      <w:sz w:val="20"/>
      <w:szCs w:val="20"/>
      <w:w w:val="100"/>
    </w:rPr>
  </w:style>
  <w:style w:styleId="PO28" w:type="paragraph">
    <w:name w:val="toc 1"/>
    <w:basedOn w:val="PO1"/>
    <w:next w:val="PO1"/>
    <w:qFormat/>
    <w:uiPriority w:val="28"/>
    <w:unhideWhenUsed/>
  </w:style>
  <w:style w:styleId="PO29" w:type="paragraph">
    <w:name w:val="toc 2"/>
    <w:basedOn w:val="PO1"/>
    <w:next w:val="PO1"/>
    <w:qFormat/>
    <w:uiPriority w:val="29"/>
    <w:unhideWhenUsed/>
    <w:pPr>
      <w:autoSpaceDE w:val="1"/>
      <w:autoSpaceDN w:val="1"/>
      <w:ind w:left="220" w:firstLine="0"/>
      <w:widowControl/>
      <w:wordWrap/>
    </w:pPr>
  </w:style>
  <w:style w:styleId="PO30" w:type="paragraph">
    <w:name w:val="toc 3"/>
    <w:basedOn w:val="PO1"/>
    <w:next w:val="PO1"/>
    <w:qFormat/>
    <w:uiPriority w:val="30"/>
    <w:unhideWhenUsed/>
    <w:pPr>
      <w:autoSpaceDE w:val="1"/>
      <w:autoSpaceDN w:val="1"/>
      <w:ind w:left="440" w:firstLine="0"/>
      <w:widowControl/>
      <w:wordWrap/>
    </w:pPr>
  </w:style>
  <w:style w:styleId="PO31" w:type="paragraph">
    <w:name w:val="toc 4"/>
    <w:qFormat/>
    <w:uiPriority w:val="31"/>
    <w:unhideWhenUsed/>
    <w:pPr>
      <w:autoSpaceDE w:val="0"/>
      <w:autoSpaceDN w:val="0"/>
      <w:ind w:left="1275" w:firstLine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32" w:type="paragraph">
    <w:name w:val="toc 5"/>
    <w:qFormat/>
    <w:uiPriority w:val="32"/>
    <w:unhideWhenUsed/>
    <w:pPr>
      <w:autoSpaceDE w:val="0"/>
      <w:autoSpaceDN w:val="0"/>
      <w:ind w:left="1700" w:firstLine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33" w:type="paragraph">
    <w:name w:val="toc 6"/>
    <w:qFormat/>
    <w:uiPriority w:val="33"/>
    <w:unhideWhenUsed/>
    <w:pPr>
      <w:autoSpaceDE w:val="0"/>
      <w:autoSpaceDN w:val="0"/>
      <w:ind w:left="2125" w:firstLine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34" w:type="paragraph">
    <w:name w:val="toc 7"/>
    <w:qFormat/>
    <w:uiPriority w:val="34"/>
    <w:unhideWhenUsed/>
    <w:pPr>
      <w:autoSpaceDE w:val="0"/>
      <w:autoSpaceDN w:val="0"/>
      <w:ind w:left="2550" w:firstLine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35" w:type="paragraph">
    <w:name w:val="toc 8"/>
    <w:qFormat/>
    <w:uiPriority w:val="35"/>
    <w:unhideWhenUsed/>
    <w:pPr>
      <w:autoSpaceDE w:val="0"/>
      <w:autoSpaceDN w:val="0"/>
      <w:ind w:left="2975" w:firstLine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styleId="PO36" w:type="paragraph">
    <w:name w:val="toc 9"/>
    <w:qFormat/>
    <w:uiPriority w:val="36"/>
    <w:unhideWhenUsed/>
    <w:pPr>
      <w:autoSpaceDE w:val="0"/>
      <w:autoSpaceDN w:val="0"/>
      <w:ind w:left="3400" w:firstLine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default="1" w:styleId="PO37" w:type="table">
    <w:name w:val="Normal Table"/>
    <w:basedOn w:val="PO3"/>
    <w:uiPriority w:val="37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38" w:type="table">
    <w:name w:val="Table Grid"/>
    <w:uiPriority w:val="38"/>
    <w:pPr>
      <w:autoSpaceDE w:val="0"/>
      <w:autoSpaceDN w:val="0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uto" w:sz="4"/>
        <w:insideH w:val="single" w:color="auto" w:sz="4"/>
        <w:insideV w:val="single" w:color="auto" w:sz="4"/>
        <w:left w:val="single" w:color="auto" w:sz="4"/>
        <w:right w:val="single" w:color="auto" w:sz="4"/>
        <w:top w:val="single" w:color="auto" w:sz="4"/>
      </w:tblBorders>
    </w:tblPr>
  </w:style>
  <w:style w:styleId="PO39" w:type="table">
    <w:name w:val="Grid Table Light"/>
    <w:uiPriority w:val="39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BEBEBE" w:themeColor="background1" w:themeShade="BE" w:sz="4"/>
        <w:insideH w:val="single" w:color="BEBEBE" w:themeColor="background1" w:themeShade="BE" w:sz="4"/>
        <w:insideV w:val="single" w:color="BEBEBE" w:themeColor="background1" w:themeShade="BE" w:sz="4"/>
        <w:left w:val="single" w:color="BEBEBE" w:themeColor="background1" w:themeShade="BE" w:sz="4"/>
        <w:right w:val="single" w:color="BEBEBE" w:themeColor="background1" w:themeShade="BE" w:sz="4"/>
        <w:top w:val="single" w:color="BEBEBE" w:themeColor="background1" w:themeShade="BE" w:sz="4"/>
      </w:tblBorders>
    </w:tblPr>
  </w:style>
  <w:style w:styleId="PO40" w:type="table">
    <w:name w:val="Plain Table 1"/>
    <w:uiPriority w:val="40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BEBEBE" w:themeColor="background1" w:themeShade="BE" w:sz="4"/>
        <w:insideH w:val="single" w:color="BEBEBE" w:themeColor="background1" w:themeShade="BE" w:sz="4"/>
        <w:insideV w:val="single" w:color="BEBEBE" w:themeColor="background1" w:themeShade="BE" w:sz="4"/>
        <w:left w:val="single" w:color="BEBEBE" w:themeColor="background1" w:themeShade="BE" w:sz="4"/>
        <w:right w:val="single" w:color="BEBEBE" w:themeColor="background1" w:themeShade="BE" w:sz="4"/>
        <w:top w:val="single" w:color="BEBEBE" w:themeColor="background1" w:themeShade="BE" w:sz="4"/>
      </w:tblBorders>
      <w:tblStyleColBandSize w:val="1"/>
      <w:tblStyleRowBandSize w:val="1"/>
    </w:tblPr>
    <w:tblStylePr w:type="band1Horz">
      <w:tblPr/>
      <w:tcPr>
        <w:shd w:fill="F1F1F1" w:themeFill="background1" w:themeFillShade="F1" w:color="000000" w:val="clear"/>
      </w:tcPr>
    </w:tblStylePr>
    <w:tblStylePr w:type="band1Vert">
      <w:tblPr/>
      <w:tcPr>
        <w:shd w:fill="F1F1F1" w:themeFill="background1" w:themeFillShade="F1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BEBEBE" w:themeColor="background1" w:themeShade="BE" w:sz="4"/>
        </w:tcBorders>
      </w:tcPr>
    </w:tblStylePr>
  </w:style>
  <w:style w:styleId="PO41" w:type="table">
    <w:name w:val="Plain Table 2"/>
    <w:uiPriority w:val="41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808080" w:themeColor="text1" w:themeTint="7F" w:sz="4"/>
        <w:top w:val="single" w:color="808080" w:themeColor="text1" w:themeTint="7F" w:sz="4"/>
      </w:tblBorders>
      <w:tblStyleColBandSize w:val="1"/>
      <w:tblStyleRowBandSize w:val="1"/>
    </w:tblPr>
    <w:tblStylePr w:type="band1Horz">
      <w:tblPr/>
      <w:tcPr>
        <w:tcBorders>
          <w:bottom w:val="single" w:color="808080" w:themeColor="text1" w:themeTint="7F" w:sz="4"/>
          <w:top w:val="single" w:color="808080" w:themeColor="text1" w:themeTint="7F" w:sz="4"/>
        </w:tcBorders>
      </w:tcPr>
    </w:tblStylePr>
    <w:tblStylePr w:type="band1Vert">
      <w:tblPr/>
      <w:tcPr>
        <w:tcBorders>
          <w:left w:val="single" w:color="808080" w:themeColor="text1" w:themeTint="7F" w:sz="4"/>
          <w:right w:val="single" w:color="808080" w:themeColor="text1" w:themeTint="7F" w:sz="4"/>
        </w:tcBorders>
      </w:tcPr>
    </w:tblStylePr>
    <w:tblStylePr w:type="band2Vert">
      <w:tblPr/>
      <w:tcPr>
        <w:tcBorders>
          <w:left w:val="single" w:color="808080" w:themeColor="text1" w:themeTint="7F" w:sz="4"/>
          <w:right w:val="single" w:color="808080" w:themeColor="text1" w:themeTint="7F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808080" w:themeColor="text1" w:themeTint="7F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808080" w:themeColor="text1" w:themeTint="7F" w:sz="4"/>
        </w:tcBorders>
      </w:tcPr>
    </w:tblStylePr>
  </w:style>
  <w:style w:styleId="PO42" w:type="table">
    <w:name w:val="Plain Table 3"/>
    <w:uiPriority w:val="42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F1F1F1" w:themeFill="background1" w:themeFillShade="F1" w:color="000000" w:val="clear"/>
      </w:tcPr>
    </w:tblStylePr>
    <w:tblStylePr w:type="band1Vert">
      <w:tblPr/>
      <w:tcPr>
        <w:shd w:fill="F1F1F1" w:themeFill="background1" w:themeFillShade="F1" w:color="000000" w:val="clear"/>
      </w:tcPr>
    </w:tblStylePr>
    <w:tblStylePr w:type="firstCol">
      <w:rPr>
        <w:caps/>
        <w:b/>
        <w:shd w:val="clear" w:color="000000"/>
        <w:sz w:val="20"/>
        <w:szCs w:val="20"/>
        <w:w w:val="100"/>
      </w:rPr>
      <w:tblPr/>
      <w:tcPr>
        <w:tcBorders>
          <w:right w:val="single" w:color="808080" w:themeColor="text1" w:themeTint="7F" w:sz="4"/>
        </w:tcBorders>
      </w:tcPr>
    </w:tblStylePr>
    <w:tblStylePr w:type="firstRow">
      <w:rPr>
        <w:caps/>
        <w:b/>
        <w:shd w:val="clear" w:color="000000"/>
        <w:sz w:val="20"/>
        <w:szCs w:val="20"/>
        <w:w w:val="100"/>
      </w:rPr>
      <w:tblPr/>
      <w:tcPr>
        <w:tcBorders>
          <w:bottom w:val="single" w:color="808080" w:themeColor="text1" w:themeTint="7F" w:sz="4"/>
        </w:tcBorders>
      </w:tcPr>
    </w:tblStylePr>
    <w:tblStylePr w:type="lastCol">
      <w:rPr>
        <w:caps/>
        <w:b/>
        <w:shd w:val="clear" w:color="000000"/>
        <w:sz w:val="20"/>
        <w:szCs w:val="20"/>
        <w:w w:val="100"/>
      </w:rPr>
      <w:tblPr/>
      <w:tcPr>
        <w:tcBorders>
          <w:left w:val="nil"/>
        </w:tcBorders>
      </w:tcPr>
    </w:tblStylePr>
    <w:tblStylePr w:type="lastRow">
      <w:rPr>
        <w:caps/>
        <w:b/>
        <w:shd w:val="clear" w:color="000000"/>
        <w:sz w:val="20"/>
        <w:szCs w:val="20"/>
        <w:w w:val="100"/>
      </w:rPr>
      <w:tblPr/>
      <w:tcPr>
        <w:tcBorders>
          <w:top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styleId="PO43" w:type="table">
    <w:name w:val="Plain Table 4"/>
    <w:uiPriority w:val="43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F1F1F1" w:themeFill="background1" w:themeFillShade="F1" w:color="000000" w:val="clear"/>
      </w:tcPr>
    </w:tblStylePr>
    <w:tblStylePr w:type="band1Vert">
      <w:tblPr/>
      <w:tcPr>
        <w:shd w:fill="F1F1F1" w:themeFill="background1" w:themeFillShade="F1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</w:tblStylePr>
  </w:style>
  <w:style w:styleId="PO44" w:type="table">
    <w:name w:val="Plain Table 5"/>
    <w:uiPriority w:val="44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F1F1F1" w:themeFill="background1" w:themeFillShade="F1" w:color="000000" w:val="clear"/>
      </w:tcPr>
    </w:tblStylePr>
    <w:tblStylePr w:type="band1Vert">
      <w:tblPr/>
      <w:tcPr>
        <w:shd w:fill="F1F1F1" w:themeFill="background1" w:themeFillShade="F1" w:color="000000" w:val="clear"/>
      </w:tcPr>
    </w:tblStylePr>
    <w:tblStylePr w:type="firstCol">
      <w:pPr>
        <w:jc w:val="right"/>
      </w:pPr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right w:val="single" w:color="808080" w:themeColor="text1" w:themeTint="7F" w:sz="4"/>
        </w:tcBorders>
      </w:tcPr>
    </w:tblStylePr>
    <w:tblStylePr w:type="fir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bottom w:val="single" w:color="808080" w:themeColor="text1" w:themeTint="7F" w:sz="4"/>
        </w:tcBorders>
      </w:tcPr>
    </w:tblStylePr>
    <w:tblStylePr w:type="lastCol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left w:val="single" w:color="808080" w:themeColor="text1" w:themeTint="7F" w:sz="4"/>
        </w:tcBorders>
      </w:tcPr>
    </w:tblStylePr>
    <w:tblStylePr w:type="la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top w:val="single" w:color="808080" w:themeColor="text1" w:themeTint="7F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styleId="PO45" w:type="table">
    <w:name w:val="Grid Table 1 Light"/>
    <w:uiPriority w:val="45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999999" w:themeColor="text1" w:themeTint="66" w:sz="4"/>
        <w:insideH w:val="single" w:color="999999" w:themeColor="text1" w:themeTint="66" w:sz="4"/>
        <w:insideV w:val="single" w:color="999999" w:themeColor="text1" w:themeTint="66" w:sz="4"/>
        <w:left w:val="single" w:color="999999" w:themeColor="text1" w:themeTint="66" w:sz="4"/>
        <w:right w:val="single" w:color="999999" w:themeColor="text1" w:themeTint="66" w:sz="4"/>
        <w:top w:val="single" w:color="999999" w:themeColor="text1" w:themeTint="66" w:sz="4"/>
      </w:tblBorders>
      <w:tblStyleColBandSize w:val="1"/>
      <w:tblStyleRowBandSize w:val="1"/>
    </w:tbl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666666" w:themeColor="text1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666666" w:themeColor="text1" w:themeTint="99" w:sz="2"/>
        </w:tcBorders>
      </w:tcPr>
    </w:tblStylePr>
  </w:style>
  <w:style w:styleId="PO46" w:type="table">
    <w:name w:val="Grid Table 1 Light Accent 1"/>
    <w:uiPriority w:val="46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B4C7E7" w:themeColor="accent1" w:themeTint="66" w:sz="4"/>
        <w:insideH w:val="single" w:color="B4C7E7" w:themeColor="accent1" w:themeTint="66" w:sz="4"/>
        <w:insideV w:val="single" w:color="B4C7E7" w:themeColor="accent1" w:themeTint="66" w:sz="4"/>
        <w:left w:val="single" w:color="B4C7E7" w:themeColor="accent1" w:themeTint="66" w:sz="4"/>
        <w:right w:val="single" w:color="B4C7E7" w:themeColor="accent1" w:themeTint="66" w:sz="4"/>
        <w:top w:val="single" w:color="B4C7E7" w:themeColor="accent1" w:themeTint="66" w:sz="4"/>
      </w:tblBorders>
      <w:tblStyleColBandSize w:val="1"/>
      <w:tblStyleRowBandSize w:val="1"/>
    </w:tbl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8FAADC" w:themeColor="accent1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8FAADC" w:themeColor="accent1" w:themeTint="99" w:sz="2"/>
        </w:tcBorders>
      </w:tcPr>
    </w:tblStylePr>
  </w:style>
  <w:style w:styleId="PO47" w:type="table">
    <w:name w:val="Grid Table 1 Light Accent 2"/>
    <w:uiPriority w:val="47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8CBAD" w:themeColor="accent2" w:themeTint="66" w:sz="4"/>
        <w:insideH w:val="single" w:color="F8CBAD" w:themeColor="accent2" w:themeTint="66" w:sz="4"/>
        <w:insideV w:val="single" w:color="F8CBAD" w:themeColor="accent2" w:themeTint="66" w:sz="4"/>
        <w:left w:val="single" w:color="F8CBAD" w:themeColor="accent2" w:themeTint="66" w:sz="4"/>
        <w:right w:val="single" w:color="F8CBAD" w:themeColor="accent2" w:themeTint="66" w:sz="4"/>
        <w:top w:val="single" w:color="F8CBAD" w:themeColor="accent2" w:themeTint="66" w:sz="4"/>
      </w:tblBorders>
      <w:tblStyleColBandSize w:val="1"/>
      <w:tblStyleRowBandSize w:val="1"/>
    </w:tbl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4B183" w:themeColor="accent2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F4B183" w:themeColor="accent2" w:themeTint="99" w:sz="2"/>
        </w:tcBorders>
      </w:tcPr>
    </w:tblStylePr>
  </w:style>
  <w:style w:styleId="PO48" w:type="table">
    <w:name w:val="Grid Table 1 Light Accent 3"/>
    <w:uiPriority w:val="48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DBDBDB" w:themeColor="accent3" w:themeTint="66" w:sz="4"/>
        <w:insideH w:val="single" w:color="DBDBDB" w:themeColor="accent3" w:themeTint="66" w:sz="4"/>
        <w:insideV w:val="single" w:color="DBDBDB" w:themeColor="accent3" w:themeTint="66" w:sz="4"/>
        <w:left w:val="single" w:color="DBDBDB" w:themeColor="accent3" w:themeTint="66" w:sz="4"/>
        <w:right w:val="single" w:color="DBDBDB" w:themeColor="accent3" w:themeTint="66" w:sz="4"/>
        <w:top w:val="single" w:color="DBDBDB" w:themeColor="accent3" w:themeTint="66" w:sz="4"/>
      </w:tblBorders>
      <w:tblStyleColBandSize w:val="1"/>
      <w:tblStyleRowBandSize w:val="1"/>
    </w:tbl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C9C9C9" w:themeColor="accent3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C9C9C9" w:themeColor="accent3" w:themeTint="99" w:sz="2"/>
        </w:tcBorders>
      </w:tcPr>
    </w:tblStylePr>
  </w:style>
  <w:style w:styleId="PO49" w:type="table">
    <w:name w:val="Grid Table 1 Light Accent 4"/>
    <w:uiPriority w:val="49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E699" w:themeColor="accent4" w:themeTint="66" w:sz="4"/>
        <w:insideH w:val="single" w:color="FFE699" w:themeColor="accent4" w:themeTint="66" w:sz="4"/>
        <w:insideV w:val="single" w:color="FFE699" w:themeColor="accent4" w:themeTint="66" w:sz="4"/>
        <w:left w:val="single" w:color="FFE699" w:themeColor="accent4" w:themeTint="66" w:sz="4"/>
        <w:right w:val="single" w:color="FFE699" w:themeColor="accent4" w:themeTint="66" w:sz="4"/>
        <w:top w:val="single" w:color="FFE699" w:themeColor="accent4" w:themeTint="66" w:sz="4"/>
      </w:tblBorders>
      <w:tblStyleColBandSize w:val="1"/>
      <w:tblStyleRowBandSize w:val="1"/>
    </w:tbl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D966" w:themeColor="accent4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FFD966" w:themeColor="accent4" w:themeTint="99" w:sz="2"/>
        </w:tcBorders>
      </w:tcPr>
    </w:tblStylePr>
  </w:style>
  <w:style w:styleId="PO50" w:type="table">
    <w:name w:val="Grid Table 1 Light Accent 5"/>
    <w:uiPriority w:val="50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BDD7EE" w:themeColor="accent5" w:themeTint="66" w:sz="4"/>
        <w:insideH w:val="single" w:color="BDD7EE" w:themeColor="accent5" w:themeTint="66" w:sz="4"/>
        <w:insideV w:val="single" w:color="BDD7EE" w:themeColor="accent5" w:themeTint="66" w:sz="4"/>
        <w:left w:val="single" w:color="BDD7EE" w:themeColor="accent5" w:themeTint="66" w:sz="4"/>
        <w:right w:val="single" w:color="BDD7EE" w:themeColor="accent5" w:themeTint="66" w:sz="4"/>
        <w:top w:val="single" w:color="BDD7EE" w:themeColor="accent5" w:themeTint="66" w:sz="4"/>
      </w:tblBorders>
      <w:tblStyleColBandSize w:val="1"/>
      <w:tblStyleRowBandSize w:val="1"/>
    </w:tbl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9DC3E6" w:themeColor="accent5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9DC3E6" w:themeColor="accent5" w:themeTint="99" w:sz="2"/>
        </w:tcBorders>
      </w:tcPr>
    </w:tblStylePr>
  </w:style>
  <w:style w:styleId="PO51" w:type="table">
    <w:name w:val="Grid Table 1 Light Accent 6"/>
    <w:uiPriority w:val="51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C5E0B4" w:themeColor="accent6" w:themeTint="66" w:sz="4"/>
        <w:insideH w:val="single" w:color="C5E0B4" w:themeColor="accent6" w:themeTint="66" w:sz="4"/>
        <w:insideV w:val="single" w:color="C5E0B4" w:themeColor="accent6" w:themeTint="66" w:sz="4"/>
        <w:left w:val="single" w:color="C5E0B4" w:themeColor="accent6" w:themeTint="66" w:sz="4"/>
        <w:right w:val="single" w:color="C5E0B4" w:themeColor="accent6" w:themeTint="66" w:sz="4"/>
        <w:top w:val="single" w:color="C5E0B4" w:themeColor="accent6" w:themeTint="66" w:sz="4"/>
      </w:tblBorders>
      <w:tblStyleColBandSize w:val="1"/>
      <w:tblStyleRowBandSize w:val="1"/>
    </w:tbl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A9D18E" w:themeColor="accent6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A9D18E" w:themeColor="accent6" w:themeTint="99" w:sz="2"/>
        </w:tcBorders>
      </w:tcPr>
    </w:tblStylePr>
  </w:style>
  <w:style w:styleId="PO52" w:type="table">
    <w:name w:val="Grid Table 2"/>
    <w:uiPriority w:val="52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666666" w:themeColor="text1" w:themeTint="99" w:sz="2"/>
        <w:insideH w:val="single" w:color="666666" w:themeColor="text1" w:themeTint="99" w:sz="2"/>
        <w:insideV w:val="single" w:color="666666" w:themeColor="text1" w:themeTint="99" w:sz="2"/>
        <w:top w:val="single" w:color="666666" w:themeColor="text1" w:themeTint="99" w:sz="2"/>
      </w:tblBorders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single" w:color="666666" w:themeColor="text1" w:themeTint="99" w:sz="12"/>
          <w:insideH w:val="nil"/>
          <w:insideV w:val="nil"/>
          <w:top w:val="nil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top w:val="double" w:color="666666" w:themeColor="text1" w:themeTint="99" w:sz="2"/>
        </w:tcBorders>
      </w:tcPr>
    </w:tblStylePr>
  </w:style>
  <w:style w:styleId="PO53" w:type="table">
    <w:name w:val="Grid Table 2 Accent 1"/>
    <w:uiPriority w:val="53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8FAADC" w:themeColor="accent1" w:themeTint="99" w:sz="2"/>
        <w:insideH w:val="single" w:color="8FAADC" w:themeColor="accent1" w:themeTint="99" w:sz="2"/>
        <w:insideV w:val="single" w:color="8FAADC" w:themeColor="accent1" w:themeTint="99" w:sz="2"/>
        <w:top w:val="single" w:color="8FAADC" w:themeColor="accent1" w:themeTint="99" w:sz="2"/>
      </w:tblBorders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single" w:color="8FAADC" w:themeColor="accent1" w:themeTint="99" w:sz="12"/>
          <w:insideH w:val="nil"/>
          <w:insideV w:val="nil"/>
          <w:top w:val="nil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top w:val="double" w:color="8FAADC" w:themeColor="accent1" w:themeTint="99" w:sz="2"/>
        </w:tcBorders>
      </w:tcPr>
    </w:tblStylePr>
  </w:style>
  <w:style w:styleId="PO54" w:type="table">
    <w:name w:val="Grid Table 2 Accent 2"/>
    <w:uiPriority w:val="54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4B183" w:themeColor="accent2" w:themeTint="99" w:sz="2"/>
        <w:insideH w:val="single" w:color="F4B183" w:themeColor="accent2" w:themeTint="99" w:sz="2"/>
        <w:insideV w:val="single" w:color="F4B183" w:themeColor="accent2" w:themeTint="99" w:sz="2"/>
        <w:top w:val="single" w:color="F4B183" w:themeColor="accent2" w:themeTint="99" w:sz="2"/>
      </w:tblBorders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single" w:color="F4B183" w:themeColor="accent2" w:themeTint="99" w:sz="12"/>
          <w:insideH w:val="nil"/>
          <w:insideV w:val="nil"/>
          <w:top w:val="nil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top w:val="double" w:color="F4B183" w:themeColor="accent2" w:themeTint="99" w:sz="2"/>
        </w:tcBorders>
      </w:tcPr>
    </w:tblStylePr>
  </w:style>
  <w:style w:styleId="PO55" w:type="table">
    <w:name w:val="Grid Table 2 Accent 3"/>
    <w:uiPriority w:val="55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C9C9C9" w:themeColor="accent3" w:themeTint="99" w:sz="2"/>
        <w:insideH w:val="single" w:color="C9C9C9" w:themeColor="accent3" w:themeTint="99" w:sz="2"/>
        <w:insideV w:val="single" w:color="C9C9C9" w:themeColor="accent3" w:themeTint="99" w:sz="2"/>
        <w:top w:val="single" w:color="C9C9C9" w:themeColor="accent3" w:themeTint="99" w:sz="2"/>
      </w:tblBorders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single" w:color="C9C9C9" w:themeColor="accent3" w:themeTint="99" w:sz="12"/>
          <w:insideH w:val="nil"/>
          <w:insideV w:val="nil"/>
          <w:top w:val="nil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top w:val="double" w:color="C9C9C9" w:themeColor="accent3" w:themeTint="99" w:sz="2"/>
        </w:tcBorders>
      </w:tcPr>
    </w:tblStylePr>
  </w:style>
  <w:style w:styleId="PO56" w:type="table">
    <w:name w:val="Grid Table 2 Accent 4"/>
    <w:uiPriority w:val="56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D966" w:themeColor="accent4" w:themeTint="99" w:sz="2"/>
        <w:insideH w:val="single" w:color="FFD966" w:themeColor="accent4" w:themeTint="99" w:sz="2"/>
        <w:insideV w:val="single" w:color="FFD966" w:themeColor="accent4" w:themeTint="99" w:sz="2"/>
        <w:top w:val="single" w:color="FFD966" w:themeColor="accent4" w:themeTint="99" w:sz="2"/>
      </w:tblBorders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single" w:color="FFD966" w:themeColor="accent4" w:themeTint="99" w:sz="12"/>
          <w:insideH w:val="nil"/>
          <w:insideV w:val="nil"/>
          <w:top w:val="nil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top w:val="double" w:color="FFD966" w:themeColor="accent4" w:themeTint="99" w:sz="2"/>
        </w:tcBorders>
      </w:tcPr>
    </w:tblStylePr>
  </w:style>
  <w:style w:styleId="PO57" w:type="table">
    <w:name w:val="Grid Table 2 Accent 5"/>
    <w:uiPriority w:val="57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9DC3E6" w:themeColor="accent5" w:themeTint="99" w:sz="2"/>
        <w:insideH w:val="single" w:color="9DC3E6" w:themeColor="accent5" w:themeTint="99" w:sz="2"/>
        <w:insideV w:val="single" w:color="9DC3E6" w:themeColor="accent5" w:themeTint="99" w:sz="2"/>
        <w:top w:val="single" w:color="9DC3E6" w:themeColor="accent5" w:themeTint="99" w:sz="2"/>
      </w:tblBorders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single" w:color="9DC3E6" w:themeColor="accent5" w:themeTint="99" w:sz="12"/>
          <w:insideH w:val="nil"/>
          <w:insideV w:val="nil"/>
          <w:top w:val="nil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top w:val="double" w:color="9DC3E6" w:themeColor="accent5" w:themeTint="99" w:sz="2"/>
        </w:tcBorders>
      </w:tcPr>
    </w:tblStylePr>
  </w:style>
  <w:style w:styleId="PO58" w:type="table">
    <w:name w:val="Grid Table 2 Accent 6"/>
    <w:uiPriority w:val="58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9D18E" w:themeColor="accent6" w:themeTint="99" w:sz="2"/>
        <w:insideH w:val="single" w:color="A9D18E" w:themeColor="accent6" w:themeTint="99" w:sz="2"/>
        <w:insideV w:val="single" w:color="A9D18E" w:themeColor="accent6" w:themeTint="99" w:sz="2"/>
        <w:top w:val="single" w:color="A9D18E" w:themeColor="accent6" w:themeTint="99" w:sz="2"/>
      </w:tblBorders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single" w:color="A9D18E" w:themeColor="accent6" w:themeTint="99" w:sz="12"/>
          <w:insideH w:val="nil"/>
          <w:insideV w:val="nil"/>
          <w:top w:val="nil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top w:val="double" w:color="A9D18E" w:themeColor="accent6" w:themeTint="99" w:sz="2"/>
        </w:tcBorders>
      </w:tcPr>
    </w:tblStylePr>
  </w:style>
  <w:style w:styleId="PO59" w:type="table">
    <w:name w:val="Grid Table 3"/>
    <w:uiPriority w:val="59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666666" w:themeColor="text1" w:themeTint="99" w:sz="4"/>
        </w:tcBorders>
      </w:tcPr>
    </w:tblStylePr>
    <w:tblStylePr w:type="nwCell">
      <w:tblPr/>
      <w:tcPr>
        <w:tcBorders>
          <w:bottom w:val="single" w:color="666666" w:themeColor="text1" w:themeTint="99" w:sz="4"/>
        </w:tcBorders>
      </w:tcPr>
    </w:tblStylePr>
    <w:tblStylePr w:type="seCell">
      <w:tblPr/>
      <w:tcPr>
        <w:tcBorders>
          <w:top w:val="single" w:color="666666" w:themeColor="text1" w:themeTint="99" w:sz="4"/>
        </w:tcBorders>
      </w:tcPr>
    </w:tblStylePr>
    <w:tblStylePr w:type="swCell">
      <w:tblPr/>
      <w:tcPr>
        <w:tcBorders>
          <w:top w:val="single" w:color="666666" w:themeColor="text1" w:themeTint="99" w:sz="4"/>
        </w:tcBorders>
      </w:tcPr>
    </w:tblStylePr>
  </w:style>
  <w:style w:styleId="PO60" w:type="table">
    <w:name w:val="Grid Table 3 Accent 1"/>
    <w:uiPriority w:val="60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8FAADC" w:themeColor="accent1" w:themeTint="99" w:sz="4"/>
        <w:insideH w:val="single" w:color="8FAADC" w:themeColor="accent1" w:themeTint="99" w:sz="4"/>
        <w:insideV w:val="single" w:color="8FAADC" w:themeColor="accent1" w:themeTint="99" w:sz="4"/>
        <w:left w:val="single" w:color="8FAADC" w:themeColor="accent1" w:themeTint="99" w:sz="4"/>
        <w:right w:val="single" w:color="8FAADC" w:themeColor="accent1" w:themeTint="99" w:sz="4"/>
        <w:top w:val="single" w:color="8FAADC" w:themeColor="accent1" w:themeTint="99" w:sz="4"/>
      </w:tblBorders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8FAADC" w:themeColor="accent1" w:themeTint="99" w:sz="4"/>
        </w:tcBorders>
      </w:tcPr>
    </w:tblStylePr>
    <w:tblStylePr w:type="nwCell">
      <w:tblPr/>
      <w:tcPr>
        <w:tcBorders>
          <w:bottom w:val="single" w:color="8FAADC" w:themeColor="accent1" w:themeTint="99" w:sz="4"/>
        </w:tcBorders>
      </w:tcPr>
    </w:tblStylePr>
    <w:tblStylePr w:type="seCell">
      <w:tblPr/>
      <w:tcPr>
        <w:tcBorders>
          <w:top w:val="single" w:color="8FAADC" w:themeColor="accent1" w:themeTint="99" w:sz="4"/>
        </w:tcBorders>
      </w:tcPr>
    </w:tblStylePr>
    <w:tblStylePr w:type="swCell">
      <w:tblPr/>
      <w:tcPr>
        <w:tcBorders>
          <w:top w:val="single" w:color="8FAADC" w:themeColor="accent1" w:themeTint="99" w:sz="4"/>
        </w:tcBorders>
      </w:tcPr>
    </w:tblStylePr>
  </w:style>
  <w:style w:styleId="PO61" w:type="table">
    <w:name w:val="Grid Table 3 Accent 2"/>
    <w:uiPriority w:val="61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4B183" w:themeColor="accent2" w:themeTint="99" w:sz="4"/>
        <w:insideH w:val="single" w:color="F4B183" w:themeColor="accent2" w:themeTint="99" w:sz="4"/>
        <w:insideV w:val="single" w:color="F4B183" w:themeColor="accent2" w:themeTint="99" w:sz="4"/>
        <w:left w:val="single" w:color="F4B183" w:themeColor="accent2" w:themeTint="99" w:sz="4"/>
        <w:right w:val="single" w:color="F4B183" w:themeColor="accent2" w:themeTint="99" w:sz="4"/>
        <w:top w:val="single" w:color="F4B183" w:themeColor="accent2" w:themeTint="99" w:sz="4"/>
      </w:tblBorders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F4B183" w:themeColor="accent2" w:themeTint="99" w:sz="4"/>
        </w:tcBorders>
      </w:tcPr>
    </w:tblStylePr>
    <w:tblStylePr w:type="nwCell">
      <w:tblPr/>
      <w:tcPr>
        <w:tcBorders>
          <w:bottom w:val="single" w:color="F4B183" w:themeColor="accent2" w:themeTint="99" w:sz="4"/>
        </w:tcBorders>
      </w:tcPr>
    </w:tblStylePr>
    <w:tblStylePr w:type="seCell">
      <w:tblPr/>
      <w:tcPr>
        <w:tcBorders>
          <w:top w:val="single" w:color="F4B183" w:themeColor="accent2" w:themeTint="99" w:sz="4"/>
        </w:tcBorders>
      </w:tcPr>
    </w:tblStylePr>
    <w:tblStylePr w:type="swCell">
      <w:tblPr/>
      <w:tcPr>
        <w:tcBorders>
          <w:top w:val="single" w:color="F4B183" w:themeColor="accent2" w:themeTint="99" w:sz="4"/>
        </w:tcBorders>
      </w:tcPr>
    </w:tblStylePr>
  </w:style>
  <w:style w:styleId="PO62" w:type="table">
    <w:name w:val="Grid Table 3 Accent 3"/>
    <w:uiPriority w:val="62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C9C9C9" w:themeColor="accent3" w:themeTint="99" w:sz="4"/>
        <w:insideH w:val="single" w:color="C9C9C9" w:themeColor="accent3" w:themeTint="99" w:sz="4"/>
        <w:insideV w:val="single" w:color="C9C9C9" w:themeColor="accent3" w:themeTint="99" w:sz="4"/>
        <w:left w:val="single" w:color="C9C9C9" w:themeColor="accent3" w:themeTint="99" w:sz="4"/>
        <w:right w:val="single" w:color="C9C9C9" w:themeColor="accent3" w:themeTint="99" w:sz="4"/>
        <w:top w:val="single" w:color="C9C9C9" w:themeColor="accent3" w:themeTint="99" w:sz="4"/>
      </w:tblBorders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C9C9C9" w:themeColor="accent3" w:themeTint="99" w:sz="4"/>
        </w:tcBorders>
      </w:tcPr>
    </w:tblStylePr>
    <w:tblStylePr w:type="nwCell">
      <w:tblPr/>
      <w:tcPr>
        <w:tcBorders>
          <w:bottom w:val="single" w:color="C9C9C9" w:themeColor="accent3" w:themeTint="99" w:sz="4"/>
        </w:tcBorders>
      </w:tcPr>
    </w:tblStylePr>
    <w:tblStylePr w:type="seCell">
      <w:tblPr/>
      <w:tcPr>
        <w:tcBorders>
          <w:top w:val="single" w:color="C9C9C9" w:themeColor="accent3" w:themeTint="99" w:sz="4"/>
        </w:tcBorders>
      </w:tcPr>
    </w:tblStylePr>
    <w:tblStylePr w:type="swCell">
      <w:tblPr/>
      <w:tcPr>
        <w:tcBorders>
          <w:top w:val="single" w:color="C9C9C9" w:themeColor="accent3" w:themeTint="99" w:sz="4"/>
        </w:tcBorders>
      </w:tcPr>
    </w:tblStylePr>
  </w:style>
  <w:style w:styleId="PO63" w:type="table">
    <w:name w:val="Grid Table 3 Accent 4"/>
    <w:uiPriority w:val="63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D966" w:themeColor="accent4" w:themeTint="99" w:sz="4"/>
        <w:insideH w:val="single" w:color="FFD966" w:themeColor="accent4" w:themeTint="99" w:sz="4"/>
        <w:insideV w:val="single" w:color="FFD966" w:themeColor="accent4" w:themeTint="99" w:sz="4"/>
        <w:left w:val="single" w:color="FFD966" w:themeColor="accent4" w:themeTint="99" w:sz="4"/>
        <w:right w:val="single" w:color="FFD966" w:themeColor="accent4" w:themeTint="99" w:sz="4"/>
        <w:top w:val="single" w:color="FFD966" w:themeColor="accent4" w:themeTint="99" w:sz="4"/>
      </w:tblBorders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FFD966" w:themeColor="accent4" w:themeTint="99" w:sz="4"/>
        </w:tcBorders>
      </w:tcPr>
    </w:tblStylePr>
    <w:tblStylePr w:type="nwCell">
      <w:tblPr/>
      <w:tcPr>
        <w:tcBorders>
          <w:bottom w:val="single" w:color="FFD966" w:themeColor="accent4" w:themeTint="99" w:sz="4"/>
        </w:tcBorders>
      </w:tcPr>
    </w:tblStylePr>
    <w:tblStylePr w:type="seCell">
      <w:tblPr/>
      <w:tcPr>
        <w:tcBorders>
          <w:top w:val="single" w:color="FFD966" w:themeColor="accent4" w:themeTint="99" w:sz="4"/>
        </w:tcBorders>
      </w:tcPr>
    </w:tblStylePr>
    <w:tblStylePr w:type="swCell">
      <w:tblPr/>
      <w:tcPr>
        <w:tcBorders>
          <w:top w:val="single" w:color="FFD966" w:themeColor="accent4" w:themeTint="99" w:sz="4"/>
        </w:tcBorders>
      </w:tcPr>
    </w:tblStylePr>
  </w:style>
  <w:style w:styleId="PO64" w:type="table">
    <w:name w:val="Grid Table 3 Accent 5"/>
    <w:uiPriority w:val="64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9DC3E6" w:themeColor="accent5" w:themeTint="99" w:sz="4"/>
        <w:insideH w:val="single" w:color="9DC3E6" w:themeColor="accent5" w:themeTint="99" w:sz="4"/>
        <w:insideV w:val="single" w:color="9DC3E6" w:themeColor="accent5" w:themeTint="99" w:sz="4"/>
        <w:left w:val="single" w:color="9DC3E6" w:themeColor="accent5" w:themeTint="99" w:sz="4"/>
        <w:right w:val="single" w:color="9DC3E6" w:themeColor="accent5" w:themeTint="99" w:sz="4"/>
        <w:top w:val="single" w:color="9DC3E6" w:themeColor="accent5" w:themeTint="99" w:sz="4"/>
      </w:tblBorders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9DC3E6" w:themeColor="accent5" w:themeTint="99" w:sz="4"/>
        </w:tcBorders>
      </w:tcPr>
    </w:tblStylePr>
    <w:tblStylePr w:type="nwCell">
      <w:tblPr/>
      <w:tcPr>
        <w:tcBorders>
          <w:bottom w:val="single" w:color="9DC3E6" w:themeColor="accent5" w:themeTint="99" w:sz="4"/>
        </w:tcBorders>
      </w:tcPr>
    </w:tblStylePr>
    <w:tblStylePr w:type="seCell">
      <w:tblPr/>
      <w:tcPr>
        <w:tcBorders>
          <w:top w:val="single" w:color="9DC3E6" w:themeColor="accent5" w:themeTint="99" w:sz="4"/>
        </w:tcBorders>
      </w:tcPr>
    </w:tblStylePr>
    <w:tblStylePr w:type="swCell">
      <w:tblPr/>
      <w:tcPr>
        <w:tcBorders>
          <w:top w:val="single" w:color="9DC3E6" w:themeColor="accent5" w:themeTint="99" w:sz="4"/>
        </w:tcBorders>
      </w:tcPr>
    </w:tblStylePr>
  </w:style>
  <w:style w:styleId="PO65" w:type="table">
    <w:name w:val="Grid Table 3 Accent 6"/>
    <w:uiPriority w:val="65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9D18E" w:themeColor="accent6" w:themeTint="99" w:sz="4"/>
        <w:insideH w:val="single" w:color="A9D18E" w:themeColor="accent6" w:themeTint="99" w:sz="4"/>
        <w:insideV w:val="single" w:color="A9D18E" w:themeColor="accent6" w:themeTint="99" w:sz="4"/>
        <w:left w:val="single" w:color="A9D18E" w:themeColor="accent6" w:themeTint="99" w:sz="4"/>
        <w:right w:val="single" w:color="A9D18E" w:themeColor="accent6" w:themeTint="99" w:sz="4"/>
        <w:top w:val="single" w:color="A9D18E" w:themeColor="accent6" w:themeTint="99" w:sz="4"/>
      </w:tblBorders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A9D18E" w:themeColor="accent6" w:themeTint="99" w:sz="4"/>
        </w:tcBorders>
      </w:tcPr>
    </w:tblStylePr>
    <w:tblStylePr w:type="nwCell">
      <w:tblPr/>
      <w:tcPr>
        <w:tcBorders>
          <w:bottom w:val="single" w:color="A9D18E" w:themeColor="accent6" w:themeTint="99" w:sz="4"/>
        </w:tcBorders>
      </w:tcPr>
    </w:tblStylePr>
    <w:tblStylePr w:type="seCell">
      <w:tblPr/>
      <w:tcPr>
        <w:tcBorders>
          <w:top w:val="single" w:color="A9D18E" w:themeColor="accent6" w:themeTint="99" w:sz="4"/>
        </w:tcBorders>
      </w:tcPr>
    </w:tblStylePr>
    <w:tblStylePr w:type="swCell">
      <w:tblPr/>
      <w:tcPr>
        <w:tcBorders>
          <w:top w:val="single" w:color="A9D18E" w:themeColor="accent6" w:themeTint="99" w:sz="4"/>
        </w:tcBorders>
      </w:tcPr>
    </w:tblStylePr>
  </w:style>
  <w:style w:styleId="PO66" w:type="table">
    <w:name w:val="Grid Table 4"/>
    <w:uiPriority w:val="66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000000" w:themeFill="text1" w:color="000000" w:val="clear"/>
        <w:tcBorders>
          <w:bottom w:val="single" w:color="000000" w:themeColor="text1" w:sz="4"/>
          <w:insideH w:val="nil"/>
          <w:insideV w:val="nil"/>
          <w:left w:val="single" w:color="000000" w:themeColor="text1" w:sz="4"/>
          <w:right w:val="single" w:color="000000" w:themeColor="text1" w:sz="4"/>
          <w:top w:val="single" w:color="000000" w:themeColor="text1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000000" w:themeColor="text1" w:sz="4"/>
        </w:tcBorders>
      </w:tcPr>
    </w:tblStylePr>
  </w:style>
  <w:style w:styleId="PO67" w:type="table">
    <w:name w:val="Grid Table 4 Accent 1"/>
    <w:uiPriority w:val="67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8FAADC" w:themeColor="accent1" w:themeTint="99" w:sz="4"/>
        <w:insideH w:val="single" w:color="8FAADC" w:themeColor="accent1" w:themeTint="99" w:sz="4"/>
        <w:insideV w:val="single" w:color="8FAADC" w:themeColor="accent1" w:themeTint="99" w:sz="4"/>
        <w:left w:val="single" w:color="8FAADC" w:themeColor="accent1" w:themeTint="99" w:sz="4"/>
        <w:right w:val="single" w:color="8FAADC" w:themeColor="accent1" w:themeTint="99" w:sz="4"/>
        <w:top w:val="single" w:color="8FAADC" w:themeColor="accent1" w:themeTint="99" w:sz="4"/>
      </w:tblBorders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4472C4" w:themeFill="accent1" w:color="000000" w:val="clear"/>
        <w:tcBorders>
          <w:bottom w:val="single" w:color="4472C4" w:themeColor="accent1" w:sz="4"/>
          <w:insideH w:val="nil"/>
          <w:insideV w:val="nil"/>
          <w:left w:val="single" w:color="4472C4" w:themeColor="accent1" w:sz="4"/>
          <w:right w:val="single" w:color="4472C4" w:themeColor="accent1" w:sz="4"/>
          <w:top w:val="single" w:color="4472C4" w:themeColor="accent1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4472C4" w:themeColor="accent1" w:sz="4"/>
        </w:tcBorders>
      </w:tcPr>
    </w:tblStylePr>
  </w:style>
  <w:style w:styleId="PO68" w:type="table">
    <w:name w:val="Grid Table 4 Accent 2"/>
    <w:uiPriority w:val="68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4B183" w:themeColor="accent2" w:themeTint="99" w:sz="4"/>
        <w:insideH w:val="single" w:color="F4B183" w:themeColor="accent2" w:themeTint="99" w:sz="4"/>
        <w:insideV w:val="single" w:color="F4B183" w:themeColor="accent2" w:themeTint="99" w:sz="4"/>
        <w:left w:val="single" w:color="F4B183" w:themeColor="accent2" w:themeTint="99" w:sz="4"/>
        <w:right w:val="single" w:color="F4B183" w:themeColor="accent2" w:themeTint="99" w:sz="4"/>
        <w:top w:val="single" w:color="F4B183" w:themeColor="accent2" w:themeTint="99" w:sz="4"/>
      </w:tblBorders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ED7D31" w:themeFill="accent2" w:color="000000" w:val="clear"/>
        <w:tcBorders>
          <w:bottom w:val="single" w:color="ED7D31" w:themeColor="accent2" w:sz="4"/>
          <w:insideH w:val="nil"/>
          <w:insideV w:val="nil"/>
          <w:left w:val="single" w:color="ED7D31" w:themeColor="accent2" w:sz="4"/>
          <w:right w:val="single" w:color="ED7D31" w:themeColor="accent2" w:sz="4"/>
          <w:top w:val="single" w:color="ED7D31" w:themeColor="accent2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ED7D31" w:themeColor="accent2" w:sz="4"/>
        </w:tcBorders>
      </w:tcPr>
    </w:tblStylePr>
  </w:style>
  <w:style w:styleId="PO69" w:type="table">
    <w:name w:val="Grid Table 4 Accent 3"/>
    <w:uiPriority w:val="69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C9C9C9" w:themeColor="accent3" w:themeTint="99" w:sz="4"/>
        <w:insideH w:val="single" w:color="C9C9C9" w:themeColor="accent3" w:themeTint="99" w:sz="4"/>
        <w:insideV w:val="single" w:color="C9C9C9" w:themeColor="accent3" w:themeTint="99" w:sz="4"/>
        <w:left w:val="single" w:color="C9C9C9" w:themeColor="accent3" w:themeTint="99" w:sz="4"/>
        <w:right w:val="single" w:color="C9C9C9" w:themeColor="accent3" w:themeTint="99" w:sz="4"/>
        <w:top w:val="single" w:color="C9C9C9" w:themeColor="accent3" w:themeTint="99" w:sz="4"/>
      </w:tblBorders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A5A5A5" w:themeFill="accent3" w:color="000000" w:val="clear"/>
        <w:tcBorders>
          <w:bottom w:val="single" w:color="A5A5A5" w:themeColor="accent3" w:sz="4"/>
          <w:insideH w:val="nil"/>
          <w:insideV w:val="nil"/>
          <w:left w:val="single" w:color="A5A5A5" w:themeColor="accent3" w:sz="4"/>
          <w:right w:val="single" w:color="A5A5A5" w:themeColor="accent3" w:sz="4"/>
          <w:top w:val="single" w:color="A5A5A5" w:themeColor="accent3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A5A5A5" w:themeColor="accent3" w:sz="4"/>
        </w:tcBorders>
      </w:tcPr>
    </w:tblStylePr>
  </w:style>
  <w:style w:styleId="PO70" w:type="table">
    <w:name w:val="Grid Table 4 Accent 4"/>
    <w:uiPriority w:val="70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D966" w:themeColor="accent4" w:themeTint="99" w:sz="4"/>
        <w:insideH w:val="single" w:color="FFD966" w:themeColor="accent4" w:themeTint="99" w:sz="4"/>
        <w:insideV w:val="single" w:color="FFD966" w:themeColor="accent4" w:themeTint="99" w:sz="4"/>
        <w:left w:val="single" w:color="FFD966" w:themeColor="accent4" w:themeTint="99" w:sz="4"/>
        <w:right w:val="single" w:color="FFD966" w:themeColor="accent4" w:themeTint="99" w:sz="4"/>
        <w:top w:val="single" w:color="FFD966" w:themeColor="accent4" w:themeTint="99" w:sz="4"/>
      </w:tblBorders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FFC000" w:themeFill="accent4" w:color="000000" w:val="clear"/>
        <w:tcBorders>
          <w:bottom w:val="single" w:color="FFC000" w:themeColor="accent4" w:sz="4"/>
          <w:insideH w:val="nil"/>
          <w:insideV w:val="nil"/>
          <w:left w:val="single" w:color="FFC000" w:themeColor="accent4" w:sz="4"/>
          <w:right w:val="single" w:color="FFC000" w:themeColor="accent4" w:sz="4"/>
          <w:top w:val="single" w:color="FFC000" w:themeColor="accent4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FFC000" w:themeColor="accent4" w:sz="4"/>
        </w:tcBorders>
      </w:tcPr>
    </w:tblStylePr>
  </w:style>
  <w:style w:styleId="PO71" w:type="table">
    <w:name w:val="Grid Table 4 Accent 5"/>
    <w:uiPriority w:val="71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9DC3E6" w:themeColor="accent5" w:themeTint="99" w:sz="4"/>
        <w:insideH w:val="single" w:color="9DC3E6" w:themeColor="accent5" w:themeTint="99" w:sz="4"/>
        <w:insideV w:val="single" w:color="9DC3E6" w:themeColor="accent5" w:themeTint="99" w:sz="4"/>
        <w:left w:val="single" w:color="9DC3E6" w:themeColor="accent5" w:themeTint="99" w:sz="4"/>
        <w:right w:val="single" w:color="9DC3E6" w:themeColor="accent5" w:themeTint="99" w:sz="4"/>
        <w:top w:val="single" w:color="9DC3E6" w:themeColor="accent5" w:themeTint="99" w:sz="4"/>
      </w:tblBorders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5B9BD5" w:themeFill="accent5" w:color="000000" w:val="clear"/>
        <w:tcBorders>
          <w:bottom w:val="single" w:color="5B9BD5" w:themeColor="accent5" w:sz="4"/>
          <w:insideH w:val="nil"/>
          <w:insideV w:val="nil"/>
          <w:left w:val="single" w:color="5B9BD5" w:themeColor="accent5" w:sz="4"/>
          <w:right w:val="single" w:color="5B9BD5" w:themeColor="accent5" w:sz="4"/>
          <w:top w:val="single" w:color="5B9BD5" w:themeColor="accent5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5B9BD5" w:themeColor="accent5" w:sz="4"/>
        </w:tcBorders>
      </w:tcPr>
    </w:tblStylePr>
  </w:style>
  <w:style w:styleId="PO72" w:type="table">
    <w:name w:val="Grid Table 4 Accent 6"/>
    <w:uiPriority w:val="72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9D18E" w:themeColor="accent6" w:themeTint="99" w:sz="4"/>
        <w:insideH w:val="single" w:color="A9D18E" w:themeColor="accent6" w:themeTint="99" w:sz="4"/>
        <w:insideV w:val="single" w:color="A9D18E" w:themeColor="accent6" w:themeTint="99" w:sz="4"/>
        <w:left w:val="single" w:color="A9D18E" w:themeColor="accent6" w:themeTint="99" w:sz="4"/>
        <w:right w:val="single" w:color="A9D18E" w:themeColor="accent6" w:themeTint="99" w:sz="4"/>
        <w:top w:val="single" w:color="A9D18E" w:themeColor="accent6" w:themeTint="99" w:sz="4"/>
      </w:tblBorders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70AD47" w:themeFill="accent6" w:color="000000" w:val="clear"/>
        <w:tcBorders>
          <w:bottom w:val="single" w:color="70AD47" w:themeColor="accent6" w:sz="4"/>
          <w:insideH w:val="nil"/>
          <w:insideV w:val="nil"/>
          <w:left w:val="single" w:color="70AD47" w:themeColor="accent6" w:sz="4"/>
          <w:right w:val="single" w:color="70AD47" w:themeColor="accent6" w:sz="4"/>
          <w:top w:val="single" w:color="70AD47" w:themeColor="accent6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70AD47" w:themeColor="accent6" w:sz="4"/>
        </w:tcBorders>
      </w:tcPr>
    </w:tblStylePr>
  </w:style>
  <w:style w:styleId="PO73" w:type="table">
    <w:name w:val="Grid Table 5 Dark"/>
    <w:uiPriority w:val="73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StyleColBandSize w:val="1"/>
      <w:tblStyleRowBandSize w:val="1"/>
    </w:tblPr>
    <w:tcPr>
      <w:shd w:fill="CCCCCC" w:themeFill="text1" w:themeFillTint="33" w:color="000000" w:val="clear"/>
    </w:tcPr>
    <w:tblStylePr w:type="band1Horz">
      <w:tblPr/>
      <w:tcPr>
        <w:shd w:fill="999999" w:themeFill="text1" w:themeFillTint="66" w:color="000000" w:val="clear"/>
      </w:tcPr>
    </w:tblStylePr>
    <w:tblStylePr w:type="band1Vert">
      <w:tblPr/>
      <w:tcPr>
        <w:shd w:fill="999999" w:themeFill="text1" w:themeFillTint="66" w:color="000000" w:val="clear"/>
      </w:tcPr>
    </w:tblStylePr>
    <w:tblStylePr w:type="fir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000000" w:themeFill="text1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000000" w:themeFill="text1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000000" w:themeFill="text1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000000" w:themeFill="text1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4" w:type="table">
    <w:name w:val="Grid Table 5 Dark Accent 1"/>
    <w:uiPriority w:val="74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StyleColBandSize w:val="1"/>
      <w:tblStyleRowBandSize w:val="1"/>
    </w:tblPr>
    <w:tcPr>
      <w:shd w:fill="DAE3F3" w:themeFill="accent1" w:themeFillTint="33" w:color="000000" w:val="clear"/>
    </w:tcPr>
    <w:tblStylePr w:type="band1Horz">
      <w:tblPr/>
      <w:tcPr>
        <w:shd w:fill="B4C7E7" w:themeFill="accent1" w:themeFillTint="66" w:color="000000" w:val="clear"/>
      </w:tcPr>
    </w:tblStylePr>
    <w:tblStylePr w:type="band1Vert">
      <w:tblPr/>
      <w:tcPr>
        <w:shd w:fill="B4C7E7" w:themeFill="accent1" w:themeFillTint="66" w:color="000000" w:val="clear"/>
      </w:tcPr>
    </w:tblStylePr>
    <w:tblStylePr w:type="fir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4472C4" w:themeFill="accent1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4472C4" w:themeFill="accent1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4472C4" w:themeFill="accent1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4472C4" w:themeFill="accent1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5" w:type="table">
    <w:name w:val="Grid Table 5 Dark Accent 2"/>
    <w:uiPriority w:val="75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StyleColBandSize w:val="1"/>
      <w:tblStyleRowBandSize w:val="1"/>
    </w:tblPr>
    <w:tcPr>
      <w:shd w:fill="FBE5D6" w:themeFill="accent2" w:themeFillTint="33" w:color="000000" w:val="clear"/>
    </w:tcPr>
    <w:tblStylePr w:type="band1Horz">
      <w:tblPr/>
      <w:tcPr>
        <w:shd w:fill="F8CBAD" w:themeFill="accent2" w:themeFillTint="66" w:color="000000" w:val="clear"/>
      </w:tcPr>
    </w:tblStylePr>
    <w:tblStylePr w:type="band1Vert">
      <w:tblPr/>
      <w:tcPr>
        <w:shd w:fill="F8CBAD" w:themeFill="accent2" w:themeFillTint="66" w:color="000000" w:val="clear"/>
      </w:tcPr>
    </w:tblStylePr>
    <w:tblStylePr w:type="fir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ED7D31" w:themeFill="accent2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ED7D31" w:themeFill="accent2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ED7D31" w:themeFill="accent2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ED7D31" w:themeFill="accent2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6" w:type="table">
    <w:name w:val="Grid Table 5 Dark Accent 3"/>
    <w:uiPriority w:val="76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StyleColBandSize w:val="1"/>
      <w:tblStyleRowBandSize w:val="1"/>
    </w:tblPr>
    <w:tcPr>
      <w:shd w:fill="EDEDED" w:themeFill="accent3" w:themeFillTint="33" w:color="000000" w:val="clear"/>
    </w:tcPr>
    <w:tblStylePr w:type="band1Horz">
      <w:tblPr/>
      <w:tcPr>
        <w:shd w:fill="DBDBDB" w:themeFill="accent3" w:themeFillTint="66" w:color="000000" w:val="clear"/>
      </w:tcPr>
    </w:tblStylePr>
    <w:tblStylePr w:type="band1Vert">
      <w:tblPr/>
      <w:tcPr>
        <w:shd w:fill="DBDBDB" w:themeFill="accent3" w:themeFillTint="66" w:color="000000" w:val="clear"/>
      </w:tcPr>
    </w:tblStylePr>
    <w:tblStylePr w:type="fir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A5A5A5" w:themeFill="accent3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A5A5A5" w:themeFill="accent3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A5A5A5" w:themeFill="accent3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A5A5A5" w:themeFill="accent3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7" w:type="table">
    <w:name w:val="Grid Table 5 Dark Accent 4"/>
    <w:uiPriority w:val="77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StyleColBandSize w:val="1"/>
      <w:tblStyleRowBandSize w:val="1"/>
    </w:tblPr>
    <w:tcPr>
      <w:shd w:fill="FFF2CC" w:themeFill="accent4" w:themeFillTint="33" w:color="000000" w:val="clear"/>
    </w:tcPr>
    <w:tblStylePr w:type="band1Horz">
      <w:tblPr/>
      <w:tcPr>
        <w:shd w:fill="FFE699" w:themeFill="accent4" w:themeFillTint="66" w:color="000000" w:val="clear"/>
      </w:tcPr>
    </w:tblStylePr>
    <w:tblStylePr w:type="band1Vert">
      <w:tblPr/>
      <w:tcPr>
        <w:shd w:fill="FFE699" w:themeFill="accent4" w:themeFillTint="66" w:color="000000" w:val="clear"/>
      </w:tcPr>
    </w:tblStylePr>
    <w:tblStylePr w:type="fir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FFC000" w:themeFill="accent4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FFC000" w:themeFill="accent4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FFC000" w:themeFill="accent4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FFC000" w:themeFill="accent4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8" w:type="table">
    <w:name w:val="Grid Table 5 Dark Accent 5"/>
    <w:uiPriority w:val="78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StyleColBandSize w:val="1"/>
      <w:tblStyleRowBandSize w:val="1"/>
    </w:tblPr>
    <w:tcPr>
      <w:shd w:fill="DEEBF7" w:themeFill="accent5" w:themeFillTint="33" w:color="000000" w:val="clear"/>
    </w:tcPr>
    <w:tblStylePr w:type="band1Horz">
      <w:tblPr/>
      <w:tcPr>
        <w:shd w:fill="BDD7EE" w:themeFill="accent5" w:themeFillTint="66" w:color="000000" w:val="clear"/>
      </w:tcPr>
    </w:tblStylePr>
    <w:tblStylePr w:type="band1Vert">
      <w:tblPr/>
      <w:tcPr>
        <w:shd w:fill="BDD7EE" w:themeFill="accent5" w:themeFillTint="66" w:color="000000" w:val="clear"/>
      </w:tcPr>
    </w:tblStylePr>
    <w:tblStylePr w:type="fir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5B9BD5" w:themeFill="accent5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5B9BD5" w:themeFill="accent5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5B9BD5" w:themeFill="accent5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5B9BD5" w:themeFill="accent5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9" w:type="table">
    <w:name w:val="Grid Table 5 Dark Accent 6"/>
    <w:uiPriority w:val="79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StyleColBandSize w:val="1"/>
      <w:tblStyleRowBandSize w:val="1"/>
    </w:tblPr>
    <w:tcPr>
      <w:shd w:fill="E2F0D9" w:themeFill="accent6" w:themeFillTint="33" w:color="000000" w:val="clear"/>
    </w:tcPr>
    <w:tblStylePr w:type="band1Horz">
      <w:tblPr/>
      <w:tcPr>
        <w:shd w:fill="C5E0B4" w:themeFill="accent6" w:themeFillTint="66" w:color="000000" w:val="clear"/>
      </w:tcPr>
    </w:tblStylePr>
    <w:tblStylePr w:type="band1Vert">
      <w:tblPr/>
      <w:tcPr>
        <w:shd w:fill="C5E0B4" w:themeFill="accent6" w:themeFillTint="66" w:color="000000" w:val="clear"/>
      </w:tcPr>
    </w:tblStylePr>
    <w:tblStylePr w:type="fir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70AD47" w:themeFill="accent6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70AD47" w:themeFill="accent6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70AD47" w:themeFill="accent6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70AD47" w:themeFill="accent6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80" w:type="table">
    <w:name w:val="Grid Table 6 Colorful"/>
    <w:uiPriority w:val="80"/>
    <w:pPr>
      <w:autoSpaceDE w:val="0"/>
      <w:autoSpaceDN w:val="0"/>
      <w:jc w:val="both"/>
      <w:textAlignment w:val="baseline"/>
      <w:widowControl/>
      <w:wordWrap/>
    </w:pPr>
    <w:rPr>
      <w:color w:val="000000" w:themeColor="text1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666666" w:themeColor="text1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666666" w:themeColor="text1" w:themeTint="99" w:sz="4"/>
        </w:tcBorders>
      </w:tcPr>
    </w:tblStylePr>
  </w:style>
  <w:style w:styleId="PO81" w:type="table">
    <w:name w:val="Grid Table 6 Colorful Accent 1"/>
    <w:uiPriority w:val="81"/>
    <w:pPr>
      <w:autoSpaceDE w:val="0"/>
      <w:autoSpaceDN w:val="0"/>
      <w:jc w:val="both"/>
      <w:textAlignment w:val="baseline"/>
      <w:widowControl/>
      <w:wordWrap/>
    </w:pPr>
    <w:rPr>
      <w:color w:val="2F5395" w:themeColor="accent1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8FAADC" w:themeColor="accent1" w:themeTint="99" w:sz="4"/>
        <w:insideH w:val="single" w:color="8FAADC" w:themeColor="accent1" w:themeTint="99" w:sz="4"/>
        <w:insideV w:val="single" w:color="8FAADC" w:themeColor="accent1" w:themeTint="99" w:sz="4"/>
        <w:left w:val="single" w:color="8FAADC" w:themeColor="accent1" w:themeTint="99" w:sz="4"/>
        <w:right w:val="single" w:color="8FAADC" w:themeColor="accent1" w:themeTint="99" w:sz="4"/>
        <w:top w:val="single" w:color="8FAADC" w:themeColor="accent1" w:themeTint="99" w:sz="4"/>
      </w:tblBorders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8FAADC" w:themeColor="accent1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8FAADC" w:themeColor="accent1" w:themeTint="99" w:sz="4"/>
        </w:tcBorders>
      </w:tcPr>
    </w:tblStylePr>
  </w:style>
  <w:style w:styleId="PO82" w:type="table">
    <w:name w:val="Grid Table 6 Colorful Accent 2"/>
    <w:uiPriority w:val="82"/>
    <w:pPr>
      <w:autoSpaceDE w:val="0"/>
      <w:autoSpaceDN w:val="0"/>
      <w:jc w:val="both"/>
      <w:textAlignment w:val="baseline"/>
      <w:widowControl/>
      <w:wordWrap/>
    </w:pPr>
    <w:rPr>
      <w:color w:val="C35911" w:themeColor="accent2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4B183" w:themeColor="accent2" w:themeTint="99" w:sz="4"/>
        <w:insideH w:val="single" w:color="F4B183" w:themeColor="accent2" w:themeTint="99" w:sz="4"/>
        <w:insideV w:val="single" w:color="F4B183" w:themeColor="accent2" w:themeTint="99" w:sz="4"/>
        <w:left w:val="single" w:color="F4B183" w:themeColor="accent2" w:themeTint="99" w:sz="4"/>
        <w:right w:val="single" w:color="F4B183" w:themeColor="accent2" w:themeTint="99" w:sz="4"/>
        <w:top w:val="single" w:color="F4B183" w:themeColor="accent2" w:themeTint="99" w:sz="4"/>
      </w:tblBorders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4B183" w:themeColor="accent2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F4B183" w:themeColor="accent2" w:themeTint="99" w:sz="4"/>
        </w:tcBorders>
      </w:tcPr>
    </w:tblStylePr>
  </w:style>
  <w:style w:styleId="PO83" w:type="table">
    <w:name w:val="Grid Table 6 Colorful Accent 3"/>
    <w:uiPriority w:val="83"/>
    <w:pPr>
      <w:autoSpaceDE w:val="0"/>
      <w:autoSpaceDN w:val="0"/>
      <w:jc w:val="both"/>
      <w:textAlignment w:val="baseline"/>
      <w:widowControl/>
      <w:wordWrap/>
    </w:pPr>
    <w:rPr>
      <w:color w:val="7A7A7A" w:themeColor="accent3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C9C9C9" w:themeColor="accent3" w:themeTint="99" w:sz="4"/>
        <w:insideH w:val="single" w:color="C9C9C9" w:themeColor="accent3" w:themeTint="99" w:sz="4"/>
        <w:insideV w:val="single" w:color="C9C9C9" w:themeColor="accent3" w:themeTint="99" w:sz="4"/>
        <w:left w:val="single" w:color="C9C9C9" w:themeColor="accent3" w:themeTint="99" w:sz="4"/>
        <w:right w:val="single" w:color="C9C9C9" w:themeColor="accent3" w:themeTint="99" w:sz="4"/>
        <w:top w:val="single" w:color="C9C9C9" w:themeColor="accent3" w:themeTint="99" w:sz="4"/>
      </w:tblBorders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C9C9C9" w:themeColor="accent3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C9C9C9" w:themeColor="accent3" w:themeTint="99" w:sz="4"/>
        </w:tcBorders>
      </w:tcPr>
    </w:tblStylePr>
  </w:style>
  <w:style w:styleId="PO84" w:type="table">
    <w:name w:val="Grid Table 6 Colorful Accent 4"/>
    <w:uiPriority w:val="84"/>
    <w:pPr>
      <w:autoSpaceDE w:val="0"/>
      <w:autoSpaceDN w:val="0"/>
      <w:jc w:val="both"/>
      <w:textAlignment w:val="baseline"/>
      <w:widowControl/>
      <w:wordWrap/>
    </w:pPr>
    <w:rPr>
      <w:color w:val="BE8F00" w:themeColor="accent4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D966" w:themeColor="accent4" w:themeTint="99" w:sz="4"/>
        <w:insideH w:val="single" w:color="FFD966" w:themeColor="accent4" w:themeTint="99" w:sz="4"/>
        <w:insideV w:val="single" w:color="FFD966" w:themeColor="accent4" w:themeTint="99" w:sz="4"/>
        <w:left w:val="single" w:color="FFD966" w:themeColor="accent4" w:themeTint="99" w:sz="4"/>
        <w:right w:val="single" w:color="FFD966" w:themeColor="accent4" w:themeTint="99" w:sz="4"/>
        <w:top w:val="single" w:color="FFD966" w:themeColor="accent4" w:themeTint="99" w:sz="4"/>
      </w:tblBorders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D966" w:themeColor="accent4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FFD966" w:themeColor="accent4" w:themeTint="99" w:sz="4"/>
        </w:tcBorders>
      </w:tcPr>
    </w:tblStylePr>
  </w:style>
  <w:style w:styleId="PO85" w:type="table">
    <w:name w:val="Grid Table 6 Colorful Accent 5"/>
    <w:uiPriority w:val="85"/>
    <w:pPr>
      <w:autoSpaceDE w:val="0"/>
      <w:autoSpaceDN w:val="0"/>
      <w:jc w:val="both"/>
      <w:textAlignment w:val="baseline"/>
      <w:widowControl/>
      <w:wordWrap/>
    </w:pPr>
    <w:rPr>
      <w:color w:val="2E74B4" w:themeColor="accent5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9DC3E6" w:themeColor="accent5" w:themeTint="99" w:sz="4"/>
        <w:insideH w:val="single" w:color="9DC3E6" w:themeColor="accent5" w:themeTint="99" w:sz="4"/>
        <w:insideV w:val="single" w:color="9DC3E6" w:themeColor="accent5" w:themeTint="99" w:sz="4"/>
        <w:left w:val="single" w:color="9DC3E6" w:themeColor="accent5" w:themeTint="99" w:sz="4"/>
        <w:right w:val="single" w:color="9DC3E6" w:themeColor="accent5" w:themeTint="99" w:sz="4"/>
        <w:top w:val="single" w:color="9DC3E6" w:themeColor="accent5" w:themeTint="99" w:sz="4"/>
      </w:tblBorders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9DC3E6" w:themeColor="accent5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9DC3E6" w:themeColor="accent5" w:themeTint="99" w:sz="4"/>
        </w:tcBorders>
      </w:tcPr>
    </w:tblStylePr>
  </w:style>
  <w:style w:styleId="PO86" w:type="table">
    <w:name w:val="Grid Table 6 Colorful Accent 6"/>
    <w:uiPriority w:val="86"/>
    <w:pPr>
      <w:autoSpaceDE w:val="0"/>
      <w:autoSpaceDN w:val="0"/>
      <w:jc w:val="both"/>
      <w:textAlignment w:val="baseline"/>
      <w:widowControl/>
      <w:wordWrap/>
    </w:pPr>
    <w:rPr>
      <w:color w:val="538034" w:themeColor="accent6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9D18E" w:themeColor="accent6" w:themeTint="99" w:sz="4"/>
        <w:insideH w:val="single" w:color="A9D18E" w:themeColor="accent6" w:themeTint="99" w:sz="4"/>
        <w:insideV w:val="single" w:color="A9D18E" w:themeColor="accent6" w:themeTint="99" w:sz="4"/>
        <w:left w:val="single" w:color="A9D18E" w:themeColor="accent6" w:themeTint="99" w:sz="4"/>
        <w:right w:val="single" w:color="A9D18E" w:themeColor="accent6" w:themeTint="99" w:sz="4"/>
        <w:top w:val="single" w:color="A9D18E" w:themeColor="accent6" w:themeTint="99" w:sz="4"/>
      </w:tblBorders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A9D18E" w:themeColor="accent6" w:themeTint="99" w:sz="12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A9D18E" w:themeColor="accent6" w:themeTint="99" w:sz="4"/>
        </w:tcBorders>
      </w:tcPr>
    </w:tblStylePr>
  </w:style>
  <w:style w:styleId="PO87" w:type="table">
    <w:name w:val="Grid Table 7 Colorful"/>
    <w:uiPriority w:val="87"/>
    <w:pPr>
      <w:autoSpaceDE w:val="0"/>
      <w:autoSpaceDN w:val="0"/>
      <w:jc w:val="both"/>
      <w:textAlignment w:val="baseline"/>
      <w:widowControl/>
      <w:wordWrap/>
    </w:pPr>
    <w:rPr>
      <w:color w:val="000000" w:themeColor="text1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666666" w:themeColor="text1" w:themeTint="99" w:sz="4"/>
        </w:tcBorders>
      </w:tcPr>
    </w:tblStylePr>
    <w:tblStylePr w:type="nwCell">
      <w:tblPr/>
      <w:tcPr>
        <w:tcBorders>
          <w:bottom w:val="single" w:color="666666" w:themeColor="text1" w:themeTint="99" w:sz="4"/>
        </w:tcBorders>
      </w:tcPr>
    </w:tblStylePr>
    <w:tblStylePr w:type="seCell">
      <w:tblPr/>
      <w:tcPr>
        <w:tcBorders>
          <w:top w:val="single" w:color="666666" w:themeColor="text1" w:themeTint="99" w:sz="4"/>
        </w:tcBorders>
      </w:tcPr>
    </w:tblStylePr>
    <w:tblStylePr w:type="swCell">
      <w:tblPr/>
      <w:tcPr>
        <w:tcBorders>
          <w:top w:val="single" w:color="666666" w:themeColor="text1" w:themeTint="99" w:sz="4"/>
        </w:tcBorders>
      </w:tcPr>
    </w:tblStylePr>
  </w:style>
  <w:style w:styleId="PO88" w:type="table">
    <w:name w:val="Grid Table 7 Colorful Accent 1"/>
    <w:uiPriority w:val="88"/>
    <w:pPr>
      <w:autoSpaceDE w:val="0"/>
      <w:autoSpaceDN w:val="0"/>
      <w:jc w:val="both"/>
      <w:textAlignment w:val="baseline"/>
      <w:widowControl/>
      <w:wordWrap/>
    </w:pPr>
    <w:rPr>
      <w:color w:val="2F5395" w:themeColor="accent1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8FAADC" w:themeColor="accent1" w:themeTint="99" w:sz="4"/>
        <w:insideH w:val="single" w:color="8FAADC" w:themeColor="accent1" w:themeTint="99" w:sz="4"/>
        <w:insideV w:val="single" w:color="8FAADC" w:themeColor="accent1" w:themeTint="99" w:sz="4"/>
        <w:left w:val="single" w:color="8FAADC" w:themeColor="accent1" w:themeTint="99" w:sz="4"/>
        <w:right w:val="single" w:color="8FAADC" w:themeColor="accent1" w:themeTint="99" w:sz="4"/>
        <w:top w:val="single" w:color="8FAADC" w:themeColor="accent1" w:themeTint="99" w:sz="4"/>
      </w:tblBorders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8FAADC" w:themeColor="accent1" w:themeTint="99" w:sz="4"/>
        </w:tcBorders>
      </w:tcPr>
    </w:tblStylePr>
    <w:tblStylePr w:type="nwCell">
      <w:tblPr/>
      <w:tcPr>
        <w:tcBorders>
          <w:bottom w:val="single" w:color="8FAADC" w:themeColor="accent1" w:themeTint="99" w:sz="4"/>
        </w:tcBorders>
      </w:tcPr>
    </w:tblStylePr>
    <w:tblStylePr w:type="seCell">
      <w:tblPr/>
      <w:tcPr>
        <w:tcBorders>
          <w:top w:val="single" w:color="8FAADC" w:themeColor="accent1" w:themeTint="99" w:sz="4"/>
        </w:tcBorders>
      </w:tcPr>
    </w:tblStylePr>
    <w:tblStylePr w:type="swCell">
      <w:tblPr/>
      <w:tcPr>
        <w:tcBorders>
          <w:top w:val="single" w:color="8FAADC" w:themeColor="accent1" w:themeTint="99" w:sz="4"/>
        </w:tcBorders>
      </w:tcPr>
    </w:tblStylePr>
  </w:style>
  <w:style w:styleId="PO89" w:type="table">
    <w:name w:val="Grid Table 7 Colorful Accent 2"/>
    <w:uiPriority w:val="89"/>
    <w:pPr>
      <w:autoSpaceDE w:val="0"/>
      <w:autoSpaceDN w:val="0"/>
      <w:jc w:val="both"/>
      <w:textAlignment w:val="baseline"/>
      <w:widowControl/>
      <w:wordWrap/>
    </w:pPr>
    <w:rPr>
      <w:color w:val="C35911" w:themeColor="accent2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4B183" w:themeColor="accent2" w:themeTint="99" w:sz="4"/>
        <w:insideH w:val="single" w:color="F4B183" w:themeColor="accent2" w:themeTint="99" w:sz="4"/>
        <w:insideV w:val="single" w:color="F4B183" w:themeColor="accent2" w:themeTint="99" w:sz="4"/>
        <w:left w:val="single" w:color="F4B183" w:themeColor="accent2" w:themeTint="99" w:sz="4"/>
        <w:right w:val="single" w:color="F4B183" w:themeColor="accent2" w:themeTint="99" w:sz="4"/>
        <w:top w:val="single" w:color="F4B183" w:themeColor="accent2" w:themeTint="99" w:sz="4"/>
      </w:tblBorders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F4B183" w:themeColor="accent2" w:themeTint="99" w:sz="4"/>
        </w:tcBorders>
      </w:tcPr>
    </w:tblStylePr>
    <w:tblStylePr w:type="nwCell">
      <w:tblPr/>
      <w:tcPr>
        <w:tcBorders>
          <w:bottom w:val="single" w:color="F4B183" w:themeColor="accent2" w:themeTint="99" w:sz="4"/>
        </w:tcBorders>
      </w:tcPr>
    </w:tblStylePr>
    <w:tblStylePr w:type="seCell">
      <w:tblPr/>
      <w:tcPr>
        <w:tcBorders>
          <w:top w:val="single" w:color="F4B183" w:themeColor="accent2" w:themeTint="99" w:sz="4"/>
        </w:tcBorders>
      </w:tcPr>
    </w:tblStylePr>
    <w:tblStylePr w:type="swCell">
      <w:tblPr/>
      <w:tcPr>
        <w:tcBorders>
          <w:top w:val="single" w:color="F4B183" w:themeColor="accent2" w:themeTint="99" w:sz="4"/>
        </w:tcBorders>
      </w:tcPr>
    </w:tblStylePr>
  </w:style>
  <w:style w:styleId="PO90" w:type="table">
    <w:name w:val="Grid Table 7 Colorful Accent 3"/>
    <w:uiPriority w:val="90"/>
    <w:pPr>
      <w:autoSpaceDE w:val="0"/>
      <w:autoSpaceDN w:val="0"/>
      <w:jc w:val="both"/>
      <w:textAlignment w:val="baseline"/>
      <w:widowControl/>
      <w:wordWrap/>
    </w:pPr>
    <w:rPr>
      <w:color w:val="7A7A7A" w:themeColor="accent3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C9C9C9" w:themeColor="accent3" w:themeTint="99" w:sz="4"/>
        <w:insideH w:val="single" w:color="C9C9C9" w:themeColor="accent3" w:themeTint="99" w:sz="4"/>
        <w:insideV w:val="single" w:color="C9C9C9" w:themeColor="accent3" w:themeTint="99" w:sz="4"/>
        <w:left w:val="single" w:color="C9C9C9" w:themeColor="accent3" w:themeTint="99" w:sz="4"/>
        <w:right w:val="single" w:color="C9C9C9" w:themeColor="accent3" w:themeTint="99" w:sz="4"/>
        <w:top w:val="single" w:color="C9C9C9" w:themeColor="accent3" w:themeTint="99" w:sz="4"/>
      </w:tblBorders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C9C9C9" w:themeColor="accent3" w:themeTint="99" w:sz="4"/>
        </w:tcBorders>
      </w:tcPr>
    </w:tblStylePr>
    <w:tblStylePr w:type="nwCell">
      <w:tblPr/>
      <w:tcPr>
        <w:tcBorders>
          <w:bottom w:val="single" w:color="C9C9C9" w:themeColor="accent3" w:themeTint="99" w:sz="4"/>
        </w:tcBorders>
      </w:tcPr>
    </w:tblStylePr>
    <w:tblStylePr w:type="seCell">
      <w:tblPr/>
      <w:tcPr>
        <w:tcBorders>
          <w:top w:val="single" w:color="C9C9C9" w:themeColor="accent3" w:themeTint="99" w:sz="4"/>
        </w:tcBorders>
      </w:tcPr>
    </w:tblStylePr>
    <w:tblStylePr w:type="swCell">
      <w:tblPr/>
      <w:tcPr>
        <w:tcBorders>
          <w:top w:val="single" w:color="C9C9C9" w:themeColor="accent3" w:themeTint="99" w:sz="4"/>
        </w:tcBorders>
      </w:tcPr>
    </w:tblStylePr>
  </w:style>
  <w:style w:styleId="PO91" w:type="table">
    <w:name w:val="Grid Table 7 Colorful Accent 4"/>
    <w:uiPriority w:val="91"/>
    <w:pPr>
      <w:autoSpaceDE w:val="0"/>
      <w:autoSpaceDN w:val="0"/>
      <w:jc w:val="both"/>
      <w:textAlignment w:val="baseline"/>
      <w:widowControl/>
      <w:wordWrap/>
    </w:pPr>
    <w:rPr>
      <w:color w:val="BE8F00" w:themeColor="accent4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D966" w:themeColor="accent4" w:themeTint="99" w:sz="4"/>
        <w:insideH w:val="single" w:color="FFD966" w:themeColor="accent4" w:themeTint="99" w:sz="4"/>
        <w:insideV w:val="single" w:color="FFD966" w:themeColor="accent4" w:themeTint="99" w:sz="4"/>
        <w:left w:val="single" w:color="FFD966" w:themeColor="accent4" w:themeTint="99" w:sz="4"/>
        <w:right w:val="single" w:color="FFD966" w:themeColor="accent4" w:themeTint="99" w:sz="4"/>
        <w:top w:val="single" w:color="FFD966" w:themeColor="accent4" w:themeTint="99" w:sz="4"/>
      </w:tblBorders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FFD966" w:themeColor="accent4" w:themeTint="99" w:sz="4"/>
        </w:tcBorders>
      </w:tcPr>
    </w:tblStylePr>
    <w:tblStylePr w:type="nwCell">
      <w:tblPr/>
      <w:tcPr>
        <w:tcBorders>
          <w:bottom w:val="single" w:color="FFD966" w:themeColor="accent4" w:themeTint="99" w:sz="4"/>
        </w:tcBorders>
      </w:tcPr>
    </w:tblStylePr>
    <w:tblStylePr w:type="seCell">
      <w:tblPr/>
      <w:tcPr>
        <w:tcBorders>
          <w:top w:val="single" w:color="FFD966" w:themeColor="accent4" w:themeTint="99" w:sz="4"/>
        </w:tcBorders>
      </w:tcPr>
    </w:tblStylePr>
    <w:tblStylePr w:type="swCell">
      <w:tblPr/>
      <w:tcPr>
        <w:tcBorders>
          <w:top w:val="single" w:color="FFD966" w:themeColor="accent4" w:themeTint="99" w:sz="4"/>
        </w:tcBorders>
      </w:tcPr>
    </w:tblStylePr>
  </w:style>
  <w:style w:styleId="PO92" w:type="table">
    <w:name w:val="Grid Table 7 Colorful Accent 5"/>
    <w:uiPriority w:val="92"/>
    <w:pPr>
      <w:autoSpaceDE w:val="0"/>
      <w:autoSpaceDN w:val="0"/>
      <w:jc w:val="both"/>
      <w:textAlignment w:val="baseline"/>
      <w:widowControl/>
      <w:wordWrap/>
    </w:pPr>
    <w:rPr>
      <w:color w:val="2E74B4" w:themeColor="accent5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9DC3E6" w:themeColor="accent5" w:themeTint="99" w:sz="4"/>
        <w:insideH w:val="single" w:color="9DC3E6" w:themeColor="accent5" w:themeTint="99" w:sz="4"/>
        <w:insideV w:val="single" w:color="9DC3E6" w:themeColor="accent5" w:themeTint="99" w:sz="4"/>
        <w:left w:val="single" w:color="9DC3E6" w:themeColor="accent5" w:themeTint="99" w:sz="4"/>
        <w:right w:val="single" w:color="9DC3E6" w:themeColor="accent5" w:themeTint="99" w:sz="4"/>
        <w:top w:val="single" w:color="9DC3E6" w:themeColor="accent5" w:themeTint="99" w:sz="4"/>
      </w:tblBorders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9DC3E6" w:themeColor="accent5" w:themeTint="99" w:sz="4"/>
        </w:tcBorders>
      </w:tcPr>
    </w:tblStylePr>
    <w:tblStylePr w:type="nwCell">
      <w:tblPr/>
      <w:tcPr>
        <w:tcBorders>
          <w:bottom w:val="single" w:color="9DC3E6" w:themeColor="accent5" w:themeTint="99" w:sz="4"/>
        </w:tcBorders>
      </w:tcPr>
    </w:tblStylePr>
    <w:tblStylePr w:type="seCell">
      <w:tblPr/>
      <w:tcPr>
        <w:tcBorders>
          <w:top w:val="single" w:color="9DC3E6" w:themeColor="accent5" w:themeTint="99" w:sz="4"/>
        </w:tcBorders>
      </w:tcPr>
    </w:tblStylePr>
    <w:tblStylePr w:type="swCell">
      <w:tblPr/>
      <w:tcPr>
        <w:tcBorders>
          <w:top w:val="single" w:color="9DC3E6" w:themeColor="accent5" w:themeTint="99" w:sz="4"/>
        </w:tcBorders>
      </w:tcPr>
    </w:tblStylePr>
  </w:style>
  <w:style w:styleId="PO93" w:type="table">
    <w:name w:val="Grid Table 7 Colorful Accent 6"/>
    <w:uiPriority w:val="93"/>
    <w:pPr>
      <w:autoSpaceDE w:val="0"/>
      <w:autoSpaceDN w:val="0"/>
      <w:jc w:val="both"/>
      <w:textAlignment w:val="baseline"/>
      <w:widowControl/>
      <w:wordWrap/>
    </w:pPr>
    <w:rPr>
      <w:color w:val="538034" w:themeColor="accent6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9D18E" w:themeColor="accent6" w:themeTint="99" w:sz="4"/>
        <w:insideH w:val="single" w:color="A9D18E" w:themeColor="accent6" w:themeTint="99" w:sz="4"/>
        <w:insideV w:val="single" w:color="A9D18E" w:themeColor="accent6" w:themeTint="99" w:sz="4"/>
        <w:left w:val="single" w:color="A9D18E" w:themeColor="accent6" w:themeTint="99" w:sz="4"/>
        <w:right w:val="single" w:color="A9D18E" w:themeColor="accent6" w:themeTint="99" w:sz="4"/>
        <w:top w:val="single" w:color="A9D18E" w:themeColor="accent6" w:themeTint="99" w:sz="4"/>
      </w:tblBorders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blPr/>
      <w:tcPr>
        <w:tcBorders>
          <w:bottom w:val="single" w:color="A9D18E" w:themeColor="accent6" w:themeTint="99" w:sz="4"/>
        </w:tcBorders>
      </w:tcPr>
    </w:tblStylePr>
    <w:tblStylePr w:type="nwCell">
      <w:tblPr/>
      <w:tcPr>
        <w:tcBorders>
          <w:bottom w:val="single" w:color="A9D18E" w:themeColor="accent6" w:themeTint="99" w:sz="4"/>
        </w:tcBorders>
      </w:tcPr>
    </w:tblStylePr>
    <w:tblStylePr w:type="seCell">
      <w:tblPr/>
      <w:tcPr>
        <w:tcBorders>
          <w:top w:val="single" w:color="A9D18E" w:themeColor="accent6" w:themeTint="99" w:sz="4"/>
        </w:tcBorders>
      </w:tcPr>
    </w:tblStylePr>
    <w:tblStylePr w:type="swCell">
      <w:tblPr/>
      <w:tcPr>
        <w:tcBorders>
          <w:top w:val="single" w:color="A9D18E" w:themeColor="accent6" w:themeTint="99" w:sz="4"/>
        </w:tcBorders>
      </w:tcPr>
    </w:tblStylePr>
  </w:style>
  <w:style w:styleId="PO94" w:type="table">
    <w:name w:val="List Table 1 Light"/>
    <w:uiPriority w:val="94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666666" w:themeColor="text1" w:themeTint="99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666666" w:themeColor="text1" w:themeTint="99" w:sz="4"/>
        </w:tcBorders>
      </w:tcPr>
    </w:tblStylePr>
  </w:style>
  <w:style w:styleId="PO95" w:type="table">
    <w:name w:val="List Table 1 Light Accent 1"/>
    <w:uiPriority w:val="95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8FAADC" w:themeColor="accent1" w:themeTint="99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8FAADC" w:themeColor="accent1" w:themeTint="99" w:sz="4"/>
        </w:tcBorders>
      </w:tcPr>
    </w:tblStylePr>
  </w:style>
  <w:style w:styleId="PO96" w:type="table">
    <w:name w:val="List Table 1 Light Accent 2"/>
    <w:uiPriority w:val="96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4B183" w:themeColor="accent2" w:themeTint="99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4B183" w:themeColor="accent2" w:themeTint="99" w:sz="4"/>
        </w:tcBorders>
      </w:tcPr>
    </w:tblStylePr>
  </w:style>
  <w:style w:styleId="PO97" w:type="table">
    <w:name w:val="List Table 1 Light Accent 3"/>
    <w:uiPriority w:val="97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C9C9C9" w:themeColor="accent3" w:themeTint="99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C9C9C9" w:themeColor="accent3" w:themeTint="99" w:sz="4"/>
        </w:tcBorders>
      </w:tcPr>
    </w:tblStylePr>
  </w:style>
  <w:style w:styleId="PO98" w:type="table">
    <w:name w:val="List Table 1 Light Accent 4"/>
    <w:uiPriority w:val="98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D966" w:themeColor="accent4" w:themeTint="99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FD966" w:themeColor="accent4" w:themeTint="99" w:sz="4"/>
        </w:tcBorders>
      </w:tcPr>
    </w:tblStylePr>
  </w:style>
  <w:style w:styleId="PO99" w:type="table">
    <w:name w:val="List Table 1 Light Accent 5"/>
    <w:uiPriority w:val="99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9DC3E6" w:themeColor="accent5" w:themeTint="99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9DC3E6" w:themeColor="accent5" w:themeTint="99" w:sz="4"/>
        </w:tcBorders>
      </w:tcPr>
    </w:tblStylePr>
  </w:style>
  <w:style w:styleId="PO100" w:type="table">
    <w:name w:val="List Table 1 Light Accent 6"/>
    <w:uiPriority w:val="100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A9D18E" w:themeColor="accent6" w:themeTint="99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A9D18E" w:themeColor="accent6" w:themeTint="99" w:sz="4"/>
        </w:tcBorders>
      </w:tcPr>
    </w:tblStylePr>
  </w:style>
  <w:style w:styleId="PO101" w:type="table">
    <w:name w:val="List Table 2"/>
    <w:uiPriority w:val="101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666666" w:themeColor="text1" w:themeTint="99" w:sz="4"/>
        <w:insideH w:val="single" w:color="666666" w:themeColor="text1" w:themeTint="99" w:sz="4"/>
        <w:top w:val="single" w:color="666666" w:themeColor="text1" w:themeTint="99" w:sz="4"/>
      </w:tblBorders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</w:tblStylePr>
  </w:style>
  <w:style w:styleId="PO102" w:type="table">
    <w:name w:val="List Table 2 Accent 1"/>
    <w:uiPriority w:val="102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8FAADC" w:themeColor="accent1" w:themeTint="99" w:sz="4"/>
        <w:insideH w:val="single" w:color="8FAADC" w:themeColor="accent1" w:themeTint="99" w:sz="4"/>
        <w:top w:val="single" w:color="8FAADC" w:themeColor="accent1" w:themeTint="99" w:sz="4"/>
      </w:tblBorders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</w:tblStylePr>
  </w:style>
  <w:style w:styleId="PO103" w:type="table">
    <w:name w:val="List Table 2 Accent 2"/>
    <w:uiPriority w:val="103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4B183" w:themeColor="accent2" w:themeTint="99" w:sz="4"/>
        <w:insideH w:val="single" w:color="F4B183" w:themeColor="accent2" w:themeTint="99" w:sz="4"/>
        <w:top w:val="single" w:color="F4B183" w:themeColor="accent2" w:themeTint="99" w:sz="4"/>
      </w:tblBorders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</w:tblStylePr>
  </w:style>
  <w:style w:styleId="PO104" w:type="table">
    <w:name w:val="List Table 2 Accent 3"/>
    <w:uiPriority w:val="104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C9C9C9" w:themeColor="accent3" w:themeTint="99" w:sz="4"/>
        <w:insideH w:val="single" w:color="C9C9C9" w:themeColor="accent3" w:themeTint="99" w:sz="4"/>
        <w:top w:val="single" w:color="C9C9C9" w:themeColor="accent3" w:themeTint="99" w:sz="4"/>
      </w:tblBorders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</w:tblStylePr>
  </w:style>
  <w:style w:styleId="PO105" w:type="table">
    <w:name w:val="List Table 2 Accent 4"/>
    <w:uiPriority w:val="105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D966" w:themeColor="accent4" w:themeTint="99" w:sz="4"/>
        <w:insideH w:val="single" w:color="FFD966" w:themeColor="accent4" w:themeTint="99" w:sz="4"/>
        <w:top w:val="single" w:color="FFD966" w:themeColor="accent4" w:themeTint="99" w:sz="4"/>
      </w:tblBorders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</w:tblStylePr>
  </w:style>
  <w:style w:styleId="PO106" w:type="table">
    <w:name w:val="List Table 2 Accent 5"/>
    <w:uiPriority w:val="106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9DC3E6" w:themeColor="accent5" w:themeTint="99" w:sz="4"/>
        <w:insideH w:val="single" w:color="9DC3E6" w:themeColor="accent5" w:themeTint="99" w:sz="4"/>
        <w:top w:val="single" w:color="9DC3E6" w:themeColor="accent5" w:themeTint="99" w:sz="4"/>
      </w:tblBorders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</w:tblStylePr>
  </w:style>
  <w:style w:styleId="PO107" w:type="table">
    <w:name w:val="List Table 2 Accent 6"/>
    <w:uiPriority w:val="107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9D18E" w:themeColor="accent6" w:themeTint="99" w:sz="4"/>
        <w:insideH w:val="single" w:color="A9D18E" w:themeColor="accent6" w:themeTint="99" w:sz="4"/>
        <w:top w:val="single" w:color="A9D18E" w:themeColor="accent6" w:themeTint="99" w:sz="4"/>
      </w:tblBorders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</w:tblStylePr>
  </w:style>
  <w:style w:styleId="PO108" w:type="table">
    <w:name w:val="List Table 3"/>
    <w:uiPriority w:val="108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000000" w:themeColor="text1" w:sz="4"/>
        <w:left w:val="single" w:color="000000" w:themeColor="text1" w:sz="4"/>
        <w:right w:val="single" w:color="000000" w:themeColor="text1" w:sz="4"/>
        <w:top w:val="single" w:color="000000" w:themeColor="text1" w:sz="4"/>
      </w:tblBorders>
      <w:tblStyleColBandSize w:val="1"/>
      <w:tblStyleRowBandSize w:val="1"/>
    </w:tblPr>
    <w:tblStylePr w:type="band1Horz">
      <w:tblPr/>
      <w:tcPr>
        <w:tcBorders>
          <w:bottom w:val="single" w:color="000000" w:themeColor="text1" w:sz="4"/>
          <w:insideH w:val="nil"/>
          <w:top w:val="single" w:color="000000" w:themeColor="text1" w:sz="4"/>
        </w:tcBorders>
      </w:tcPr>
    </w:tblStylePr>
    <w:tblStylePr w:type="band1Vert">
      <w:tblPr/>
      <w:tcPr>
        <w:tcBorders>
          <w:left w:val="single" w:color="000000" w:themeColor="text1" w:sz="4"/>
          <w:right w:val="single" w:color="000000" w:themeColor="text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000000" w:themeFill="text1" w:color="000000" w:val="clear"/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top w:val="double" w:color="000000" w:themeColor="text1" w:sz="4"/>
        </w:tcBorders>
      </w:tcPr>
    </w:tblStylePr>
    <w:tblStylePr w:type="neCell">
      <w:tblPr/>
      <w:tcPr>
        <w:tcBorders>
          <w:bottom w:val="nil"/>
          <w:left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left w:val="nil"/>
          <w:top w:val="double" w:color="000000" w:themeColor="text1" w:sz="4"/>
        </w:tcBorders>
      </w:tcPr>
    </w:tblStylePr>
    <w:tblStylePr w:type="swCell">
      <w:tblPr/>
      <w:tcPr>
        <w:tcBorders>
          <w:right w:val="nil"/>
          <w:top w:val="double" w:color="000000" w:themeColor="text1" w:sz="4"/>
        </w:tcBorders>
      </w:tcPr>
    </w:tblStylePr>
  </w:style>
  <w:style w:styleId="PO109" w:type="table">
    <w:name w:val="List Table 3 Accent 1"/>
    <w:uiPriority w:val="109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4472C4" w:themeColor="accent1" w:sz="4"/>
        <w:left w:val="single" w:color="4472C4" w:themeColor="accent1" w:sz="4"/>
        <w:right w:val="single" w:color="4472C4" w:themeColor="accent1" w:sz="4"/>
        <w:top w:val="single" w:color="4472C4" w:themeColor="accent1" w:sz="4"/>
      </w:tblBorders>
      <w:tblStyleColBandSize w:val="1"/>
      <w:tblStyleRowBandSize w:val="1"/>
    </w:tblPr>
    <w:tblStylePr w:type="band1Horz">
      <w:tblPr/>
      <w:tcPr>
        <w:tcBorders>
          <w:bottom w:val="single" w:color="4472C4" w:themeColor="accent1" w:sz="4"/>
          <w:insideH w:val="nil"/>
          <w:top w:val="single" w:color="4472C4" w:themeColor="accent1" w:sz="4"/>
        </w:tcBorders>
      </w:tcPr>
    </w:tblStylePr>
    <w:tblStylePr w:type="band1Vert">
      <w:tblPr/>
      <w:tcPr>
        <w:tcBorders>
          <w:left w:val="single" w:color="4472C4" w:themeColor="accent1" w:sz="4"/>
          <w:right w:val="single" w:color="4472C4" w:themeColor="accent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4472C4" w:themeFill="accent1" w:color="000000" w:val="clear"/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top w:val="double" w:color="4472C4" w:themeColor="accent1" w:sz="4"/>
        </w:tcBorders>
      </w:tcPr>
    </w:tblStylePr>
    <w:tblStylePr w:type="neCell">
      <w:tblPr/>
      <w:tcPr>
        <w:tcBorders>
          <w:bottom w:val="nil"/>
          <w:left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left w:val="nil"/>
          <w:top w:val="double" w:color="4472C4" w:themeColor="accent1" w:sz="4"/>
        </w:tcBorders>
      </w:tcPr>
    </w:tblStylePr>
    <w:tblStylePr w:type="swCell">
      <w:tblPr/>
      <w:tcPr>
        <w:tcBorders>
          <w:right w:val="nil"/>
          <w:top w:val="double" w:color="4472C4" w:themeColor="accent1" w:sz="4"/>
        </w:tcBorders>
      </w:tcPr>
    </w:tblStylePr>
  </w:style>
  <w:style w:styleId="PO110" w:type="table">
    <w:name w:val="List Table 3 Accent 2"/>
    <w:uiPriority w:val="110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ED7D31" w:themeColor="accent2" w:sz="4"/>
        <w:left w:val="single" w:color="ED7D31" w:themeColor="accent2" w:sz="4"/>
        <w:right w:val="single" w:color="ED7D31" w:themeColor="accent2" w:sz="4"/>
        <w:top w:val="single" w:color="ED7D31" w:themeColor="accent2" w:sz="4"/>
      </w:tblBorders>
      <w:tblStyleColBandSize w:val="1"/>
      <w:tblStyleRowBandSize w:val="1"/>
    </w:tblPr>
    <w:tblStylePr w:type="band1Horz">
      <w:tblPr/>
      <w:tcPr>
        <w:tcBorders>
          <w:bottom w:val="single" w:color="ED7D31" w:themeColor="accent2" w:sz="4"/>
          <w:insideH w:val="nil"/>
          <w:top w:val="single" w:color="ED7D31" w:themeColor="accent2" w:sz="4"/>
        </w:tcBorders>
      </w:tcPr>
    </w:tblStylePr>
    <w:tblStylePr w:type="band1Vert">
      <w:tblPr/>
      <w:tcPr>
        <w:tcBorders>
          <w:left w:val="single" w:color="ED7D31" w:themeColor="accent2" w:sz="4"/>
          <w:right w:val="single" w:color="ED7D31" w:themeColor="accent2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ED7D31" w:themeFill="accent2" w:color="000000" w:val="clear"/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top w:val="double" w:color="ED7D31" w:themeColor="accent2" w:sz="4"/>
        </w:tcBorders>
      </w:tcPr>
    </w:tblStylePr>
    <w:tblStylePr w:type="neCell">
      <w:tblPr/>
      <w:tcPr>
        <w:tcBorders>
          <w:bottom w:val="nil"/>
          <w:left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left w:val="nil"/>
          <w:top w:val="double" w:color="ED7D31" w:themeColor="accent2" w:sz="4"/>
        </w:tcBorders>
      </w:tcPr>
    </w:tblStylePr>
    <w:tblStylePr w:type="swCell">
      <w:tblPr/>
      <w:tcPr>
        <w:tcBorders>
          <w:right w:val="nil"/>
          <w:top w:val="double" w:color="ED7D31" w:themeColor="accent2" w:sz="4"/>
        </w:tcBorders>
      </w:tcPr>
    </w:tblStylePr>
  </w:style>
  <w:style w:styleId="PO111" w:type="table">
    <w:name w:val="List Table 3 Accent 3"/>
    <w:uiPriority w:val="111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5A5A5" w:themeColor="accent3" w:sz="4"/>
        <w:left w:val="single" w:color="A5A5A5" w:themeColor="accent3" w:sz="4"/>
        <w:right w:val="single" w:color="A5A5A5" w:themeColor="accent3" w:sz="4"/>
        <w:top w:val="single" w:color="A5A5A5" w:themeColor="accent3" w:sz="4"/>
      </w:tblBorders>
      <w:tblStyleColBandSize w:val="1"/>
      <w:tblStyleRowBandSize w:val="1"/>
    </w:tblPr>
    <w:tblStylePr w:type="band1Horz">
      <w:tblPr/>
      <w:tcPr>
        <w:tcBorders>
          <w:bottom w:val="single" w:color="A5A5A5" w:themeColor="accent3" w:sz="4"/>
          <w:insideH w:val="nil"/>
          <w:top w:val="single" w:color="A5A5A5" w:themeColor="accent3" w:sz="4"/>
        </w:tcBorders>
      </w:tcPr>
    </w:tblStylePr>
    <w:tblStylePr w:type="band1Vert">
      <w:tblPr/>
      <w:tcPr>
        <w:tcBorders>
          <w:left w:val="single" w:color="A5A5A5" w:themeColor="accent3" w:sz="4"/>
          <w:right w:val="single" w:color="A5A5A5" w:themeColor="accent3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A5A5A5" w:themeFill="accent3" w:color="000000" w:val="clear"/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top w:val="double" w:color="A5A5A5" w:themeColor="accent3" w:sz="4"/>
        </w:tcBorders>
      </w:tcPr>
    </w:tblStylePr>
    <w:tblStylePr w:type="neCell">
      <w:tblPr/>
      <w:tcPr>
        <w:tcBorders>
          <w:bottom w:val="nil"/>
          <w:left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left w:val="nil"/>
          <w:top w:val="double" w:color="A5A5A5" w:themeColor="accent3" w:sz="4"/>
        </w:tcBorders>
      </w:tcPr>
    </w:tblStylePr>
    <w:tblStylePr w:type="swCell">
      <w:tblPr/>
      <w:tcPr>
        <w:tcBorders>
          <w:right w:val="nil"/>
          <w:top w:val="double" w:color="A5A5A5" w:themeColor="accent3" w:sz="4"/>
        </w:tcBorders>
      </w:tcPr>
    </w:tblStylePr>
  </w:style>
  <w:style w:styleId="PO112" w:type="table">
    <w:name w:val="List Table 3 Accent 4"/>
    <w:uiPriority w:val="112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C000" w:themeColor="accent4" w:sz="4"/>
        <w:left w:val="single" w:color="FFC000" w:themeColor="accent4" w:sz="4"/>
        <w:right w:val="single" w:color="FFC000" w:themeColor="accent4" w:sz="4"/>
        <w:top w:val="single" w:color="FFC000" w:themeColor="accent4" w:sz="4"/>
      </w:tblBorders>
      <w:tblStyleColBandSize w:val="1"/>
      <w:tblStyleRowBandSize w:val="1"/>
    </w:tblPr>
    <w:tblStylePr w:type="band1Horz">
      <w:tblPr/>
      <w:tcPr>
        <w:tcBorders>
          <w:bottom w:val="single" w:color="FFC000" w:themeColor="accent4" w:sz="4"/>
          <w:insideH w:val="nil"/>
          <w:top w:val="single" w:color="FFC000" w:themeColor="accent4" w:sz="4"/>
        </w:tcBorders>
      </w:tcPr>
    </w:tblStylePr>
    <w:tblStylePr w:type="band1Vert">
      <w:tblPr/>
      <w:tcPr>
        <w:tcBorders>
          <w:left w:val="single" w:color="FFC000" w:themeColor="accent4" w:sz="4"/>
          <w:right w:val="single" w:color="FFC000" w:themeColor="accent4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FFC000" w:themeFill="accent4" w:color="000000" w:val="clear"/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top w:val="double" w:color="FFC000" w:themeColor="accent4" w:sz="4"/>
        </w:tcBorders>
      </w:tcPr>
    </w:tblStylePr>
    <w:tblStylePr w:type="neCell">
      <w:tblPr/>
      <w:tcPr>
        <w:tcBorders>
          <w:bottom w:val="nil"/>
          <w:left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left w:val="nil"/>
          <w:top w:val="double" w:color="FFC000" w:themeColor="accent4" w:sz="4"/>
        </w:tcBorders>
      </w:tcPr>
    </w:tblStylePr>
    <w:tblStylePr w:type="swCell">
      <w:tblPr/>
      <w:tcPr>
        <w:tcBorders>
          <w:right w:val="nil"/>
          <w:top w:val="double" w:color="FFC000" w:themeColor="accent4" w:sz="4"/>
        </w:tcBorders>
      </w:tcPr>
    </w:tblStylePr>
  </w:style>
  <w:style w:styleId="PO113" w:type="table">
    <w:name w:val="List Table 3 Accent 5"/>
    <w:uiPriority w:val="113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5B9BD5" w:themeColor="accent5" w:sz="4"/>
        <w:left w:val="single" w:color="5B9BD5" w:themeColor="accent5" w:sz="4"/>
        <w:right w:val="single" w:color="5B9BD5" w:themeColor="accent5" w:sz="4"/>
        <w:top w:val="single" w:color="5B9BD5" w:themeColor="accent5" w:sz="4"/>
      </w:tblBorders>
      <w:tblStyleColBandSize w:val="1"/>
      <w:tblStyleRowBandSize w:val="1"/>
    </w:tblPr>
    <w:tblStylePr w:type="band1Horz">
      <w:tblPr/>
      <w:tcPr>
        <w:tcBorders>
          <w:bottom w:val="single" w:color="5B9BD5" w:themeColor="accent5" w:sz="4"/>
          <w:insideH w:val="nil"/>
          <w:top w:val="single" w:color="5B9BD5" w:themeColor="accent5" w:sz="4"/>
        </w:tcBorders>
      </w:tcPr>
    </w:tblStylePr>
    <w:tblStylePr w:type="band1Vert">
      <w:tblPr/>
      <w:tcPr>
        <w:tcBorders>
          <w:left w:val="single" w:color="5B9BD5" w:themeColor="accent5" w:sz="4"/>
          <w:right w:val="single" w:color="5B9BD5" w:themeColor="accent5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5B9BD5" w:themeFill="accent5" w:color="000000" w:val="clear"/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top w:val="double" w:color="5B9BD5" w:themeColor="accent5" w:sz="4"/>
        </w:tcBorders>
      </w:tcPr>
    </w:tblStylePr>
    <w:tblStylePr w:type="neCell">
      <w:tblPr/>
      <w:tcPr>
        <w:tcBorders>
          <w:bottom w:val="nil"/>
          <w:left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left w:val="nil"/>
          <w:top w:val="double" w:color="5B9BD5" w:themeColor="accent5" w:sz="4"/>
        </w:tcBorders>
      </w:tcPr>
    </w:tblStylePr>
    <w:tblStylePr w:type="swCell">
      <w:tblPr/>
      <w:tcPr>
        <w:tcBorders>
          <w:right w:val="nil"/>
          <w:top w:val="double" w:color="5B9BD5" w:themeColor="accent5" w:sz="4"/>
        </w:tcBorders>
      </w:tcPr>
    </w:tblStylePr>
  </w:style>
  <w:style w:styleId="PO114" w:type="table">
    <w:name w:val="List Table 3 Accent 6"/>
    <w:uiPriority w:val="114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70AD47" w:themeColor="accent6" w:sz="4"/>
        <w:left w:val="single" w:color="70AD47" w:themeColor="accent6" w:sz="4"/>
        <w:right w:val="single" w:color="70AD47" w:themeColor="accent6" w:sz="4"/>
        <w:top w:val="single" w:color="70AD47" w:themeColor="accent6" w:sz="4"/>
      </w:tblBorders>
      <w:tblStyleColBandSize w:val="1"/>
      <w:tblStyleRowBandSize w:val="1"/>
    </w:tblPr>
    <w:tblStylePr w:type="band1Horz">
      <w:tblPr/>
      <w:tcPr>
        <w:tcBorders>
          <w:bottom w:val="single" w:color="70AD47" w:themeColor="accent6" w:sz="4"/>
          <w:insideH w:val="nil"/>
          <w:top w:val="single" w:color="70AD47" w:themeColor="accent6" w:sz="4"/>
        </w:tcBorders>
      </w:tcPr>
    </w:tblStylePr>
    <w:tblStylePr w:type="band1Vert">
      <w:tblPr/>
      <w:tcPr>
        <w:tcBorders>
          <w:left w:val="single" w:color="70AD47" w:themeColor="accent6" w:sz="4"/>
          <w:right w:val="single" w:color="70AD47" w:themeColor="accent6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70AD47" w:themeFill="accent6" w:color="000000" w:val="clear"/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shd w:fill="FFFFFF" w:themeFill="background1" w:color="000000" w:val="clear"/>
        <w:tcBorders>
          <w:top w:val="double" w:color="70AD47" w:themeColor="accent6" w:sz="4"/>
        </w:tcBorders>
      </w:tcPr>
    </w:tblStylePr>
    <w:tblStylePr w:type="neCell">
      <w:tblPr/>
      <w:tcPr>
        <w:tcBorders>
          <w:bottom w:val="nil"/>
          <w:left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left w:val="nil"/>
          <w:top w:val="double" w:color="70AD47" w:themeColor="accent6" w:sz="4"/>
        </w:tcBorders>
      </w:tcPr>
    </w:tblStylePr>
    <w:tblStylePr w:type="swCell">
      <w:tblPr/>
      <w:tcPr>
        <w:tcBorders>
          <w:right w:val="nil"/>
          <w:top w:val="double" w:color="70AD47" w:themeColor="accent6" w:sz="4"/>
        </w:tcBorders>
      </w:tcPr>
    </w:tblStylePr>
  </w:style>
  <w:style w:styleId="PO115" w:type="table">
    <w:name w:val="List Table 4"/>
    <w:uiPriority w:val="115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666666" w:themeColor="text1" w:themeTint="99" w:sz="4"/>
        <w:insideH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000000" w:themeFill="text1" w:color="000000" w:val="clear"/>
        <w:tcBorders>
          <w:bottom w:val="single" w:color="000000" w:themeColor="text1" w:sz="4"/>
          <w:insideH w:val="nil"/>
          <w:left w:val="single" w:color="000000" w:themeColor="text1" w:sz="4"/>
          <w:right w:val="single" w:color="000000" w:themeColor="text1" w:sz="4"/>
          <w:top w:val="single" w:color="000000" w:themeColor="text1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666666" w:themeColor="text1" w:themeTint="99" w:sz="4"/>
        </w:tcBorders>
      </w:tcPr>
    </w:tblStylePr>
  </w:style>
  <w:style w:styleId="PO116" w:type="table">
    <w:name w:val="List Table 4 Accent 1"/>
    <w:uiPriority w:val="116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8FAADC" w:themeColor="accent1" w:themeTint="99" w:sz="4"/>
        <w:insideH w:val="single" w:color="8FAADC" w:themeColor="accent1" w:themeTint="99" w:sz="4"/>
        <w:left w:val="single" w:color="8FAADC" w:themeColor="accent1" w:themeTint="99" w:sz="4"/>
        <w:right w:val="single" w:color="8FAADC" w:themeColor="accent1" w:themeTint="99" w:sz="4"/>
        <w:top w:val="single" w:color="8FAADC" w:themeColor="accent1" w:themeTint="99" w:sz="4"/>
      </w:tblBorders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4472C4" w:themeFill="accent1" w:color="000000" w:val="clear"/>
        <w:tcBorders>
          <w:bottom w:val="single" w:color="4472C4" w:themeColor="accent1" w:sz="4"/>
          <w:insideH w:val="nil"/>
          <w:left w:val="single" w:color="4472C4" w:themeColor="accent1" w:sz="4"/>
          <w:right w:val="single" w:color="4472C4" w:themeColor="accent1" w:sz="4"/>
          <w:top w:val="single" w:color="4472C4" w:themeColor="accent1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8FAADC" w:themeColor="accent1" w:themeTint="99" w:sz="4"/>
        </w:tcBorders>
      </w:tcPr>
    </w:tblStylePr>
  </w:style>
  <w:style w:styleId="PO117" w:type="table">
    <w:name w:val="List Table 4 Accent 2"/>
    <w:uiPriority w:val="117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4B183" w:themeColor="accent2" w:themeTint="99" w:sz="4"/>
        <w:insideH w:val="single" w:color="F4B183" w:themeColor="accent2" w:themeTint="99" w:sz="4"/>
        <w:left w:val="single" w:color="F4B183" w:themeColor="accent2" w:themeTint="99" w:sz="4"/>
        <w:right w:val="single" w:color="F4B183" w:themeColor="accent2" w:themeTint="99" w:sz="4"/>
        <w:top w:val="single" w:color="F4B183" w:themeColor="accent2" w:themeTint="99" w:sz="4"/>
      </w:tblBorders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ED7D31" w:themeFill="accent2" w:color="000000" w:val="clear"/>
        <w:tcBorders>
          <w:bottom w:val="single" w:color="ED7D31" w:themeColor="accent2" w:sz="4"/>
          <w:insideH w:val="nil"/>
          <w:left w:val="single" w:color="ED7D31" w:themeColor="accent2" w:sz="4"/>
          <w:right w:val="single" w:color="ED7D31" w:themeColor="accent2" w:sz="4"/>
          <w:top w:val="single" w:color="ED7D31" w:themeColor="accent2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F4B183" w:themeColor="accent2" w:themeTint="99" w:sz="4"/>
        </w:tcBorders>
      </w:tcPr>
    </w:tblStylePr>
  </w:style>
  <w:style w:styleId="PO118" w:type="table">
    <w:name w:val="List Table 4 Accent 3"/>
    <w:uiPriority w:val="118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C9C9C9" w:themeColor="accent3" w:themeTint="99" w:sz="4"/>
        <w:insideH w:val="single" w:color="C9C9C9" w:themeColor="accent3" w:themeTint="99" w:sz="4"/>
        <w:left w:val="single" w:color="C9C9C9" w:themeColor="accent3" w:themeTint="99" w:sz="4"/>
        <w:right w:val="single" w:color="C9C9C9" w:themeColor="accent3" w:themeTint="99" w:sz="4"/>
        <w:top w:val="single" w:color="C9C9C9" w:themeColor="accent3" w:themeTint="99" w:sz="4"/>
      </w:tblBorders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A5A5A5" w:themeFill="accent3" w:color="000000" w:val="clear"/>
        <w:tcBorders>
          <w:bottom w:val="single" w:color="A5A5A5" w:themeColor="accent3" w:sz="4"/>
          <w:insideH w:val="nil"/>
          <w:left w:val="single" w:color="A5A5A5" w:themeColor="accent3" w:sz="4"/>
          <w:right w:val="single" w:color="A5A5A5" w:themeColor="accent3" w:sz="4"/>
          <w:top w:val="single" w:color="A5A5A5" w:themeColor="accent3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C9C9C9" w:themeColor="accent3" w:themeTint="99" w:sz="4"/>
        </w:tcBorders>
      </w:tcPr>
    </w:tblStylePr>
  </w:style>
  <w:style w:styleId="PO119" w:type="table">
    <w:name w:val="List Table 4 Accent 4"/>
    <w:uiPriority w:val="119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D966" w:themeColor="accent4" w:themeTint="99" w:sz="4"/>
        <w:insideH w:val="single" w:color="FFD966" w:themeColor="accent4" w:themeTint="99" w:sz="4"/>
        <w:left w:val="single" w:color="FFD966" w:themeColor="accent4" w:themeTint="99" w:sz="4"/>
        <w:right w:val="single" w:color="FFD966" w:themeColor="accent4" w:themeTint="99" w:sz="4"/>
        <w:top w:val="single" w:color="FFD966" w:themeColor="accent4" w:themeTint="99" w:sz="4"/>
      </w:tblBorders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FFC000" w:themeFill="accent4" w:color="000000" w:val="clear"/>
        <w:tcBorders>
          <w:bottom w:val="single" w:color="FFC000" w:themeColor="accent4" w:sz="4"/>
          <w:insideH w:val="nil"/>
          <w:left w:val="single" w:color="FFC000" w:themeColor="accent4" w:sz="4"/>
          <w:right w:val="single" w:color="FFC000" w:themeColor="accent4" w:sz="4"/>
          <w:top w:val="single" w:color="FFC000" w:themeColor="accent4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FFD966" w:themeColor="accent4" w:themeTint="99" w:sz="4"/>
        </w:tcBorders>
      </w:tcPr>
    </w:tblStylePr>
  </w:style>
  <w:style w:styleId="PO120" w:type="table">
    <w:name w:val="List Table 4 Accent 5"/>
    <w:uiPriority w:val="120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9DC3E6" w:themeColor="accent5" w:themeTint="99" w:sz="4"/>
        <w:insideH w:val="single" w:color="9DC3E6" w:themeColor="accent5" w:themeTint="99" w:sz="4"/>
        <w:left w:val="single" w:color="9DC3E6" w:themeColor="accent5" w:themeTint="99" w:sz="4"/>
        <w:right w:val="single" w:color="9DC3E6" w:themeColor="accent5" w:themeTint="99" w:sz="4"/>
        <w:top w:val="single" w:color="9DC3E6" w:themeColor="accent5" w:themeTint="99" w:sz="4"/>
      </w:tblBorders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5B9BD5" w:themeFill="accent5" w:color="000000" w:val="clear"/>
        <w:tcBorders>
          <w:bottom w:val="single" w:color="5B9BD5" w:themeColor="accent5" w:sz="4"/>
          <w:insideH w:val="nil"/>
          <w:left w:val="single" w:color="5B9BD5" w:themeColor="accent5" w:sz="4"/>
          <w:right w:val="single" w:color="5B9BD5" w:themeColor="accent5" w:sz="4"/>
          <w:top w:val="single" w:color="5B9BD5" w:themeColor="accent5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9DC3E6" w:themeColor="accent5" w:themeTint="99" w:sz="4"/>
        </w:tcBorders>
      </w:tcPr>
    </w:tblStylePr>
  </w:style>
  <w:style w:styleId="PO121" w:type="table">
    <w:name w:val="List Table 4 Accent 6"/>
    <w:uiPriority w:val="121"/>
    <w:pPr>
      <w:autoSpaceDE w:val="0"/>
      <w:autoSpaceDN w:val="0"/>
      <w:jc w:val="both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9D18E" w:themeColor="accent6" w:themeTint="99" w:sz="4"/>
        <w:insideH w:val="single" w:color="A9D18E" w:themeColor="accent6" w:themeTint="99" w:sz="4"/>
        <w:left w:val="single" w:color="A9D18E" w:themeColor="accent6" w:themeTint="99" w:sz="4"/>
        <w:right w:val="single" w:color="A9D18E" w:themeColor="accent6" w:themeTint="99" w:sz="4"/>
        <w:top w:val="single" w:color="A9D18E" w:themeColor="accent6" w:themeTint="99" w:sz="4"/>
      </w:tblBorders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color w:val="FFFFFF" w:themeColor="background1"/>
        <w:b/>
        <w:shd w:val="clear" w:color="000000"/>
        <w:sz w:val="20"/>
        <w:szCs w:val="20"/>
        <w:w w:val="100"/>
      </w:rPr>
      <w:tblPr/>
      <w:tcPr>
        <w:shd w:fill="70AD47" w:themeFill="accent6" w:color="000000" w:val="clear"/>
        <w:tcBorders>
          <w:bottom w:val="single" w:color="70AD47" w:themeColor="accent6" w:sz="4"/>
          <w:insideH w:val="nil"/>
          <w:left w:val="single" w:color="70AD47" w:themeColor="accent6" w:sz="4"/>
          <w:right w:val="single" w:color="70AD47" w:themeColor="accent6" w:sz="4"/>
          <w:top w:val="single" w:color="70AD47" w:themeColor="accent6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A9D18E" w:themeColor="accent6" w:themeTint="99" w:sz="4"/>
        </w:tcBorders>
      </w:tcPr>
    </w:tblStylePr>
  </w:style>
  <w:style w:customStyle="1" w:styleId="PO122" w:type="table">
    <w:name w:val="List Table 5"/>
    <w:uiPriority w:val="122"/>
    <w:pPr>
      <w:autoSpaceDE w:val="0"/>
      <w:autoSpaceDN w:val="0"/>
      <w:jc w:val="both"/>
      <w:textAlignment w:val="baseline"/>
      <w:widowControl/>
      <w:wordWrap/>
    </w:pPr>
    <w:rPr>
      <w:color w:val="FFFFFF" w:themeColor="background1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000000" w:themeColor="text1" w:sz="24"/>
        <w:left w:val="single" w:color="000000" w:themeColor="text1" w:sz="24"/>
        <w:right w:val="single" w:color="000000" w:themeColor="text1" w:sz="24"/>
        <w:top w:val="single" w:color="000000" w:themeColor="text1" w:sz="24"/>
      </w:tblBorders>
      <w:tblStyleColBandSize w:val="1"/>
      <w:tblStyleRowBandSize w:val="1"/>
    </w:tblPr>
    <w:tcPr>
      <w:shd w:fill="000000" w:themeFill="text1" w:color="000000" w:val="clear"/>
    </w:tcPr>
    <w:tblStylePr w:type="band1Horz">
      <w:tblPr/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tcBorders>
          <w:right w:val="single" w:color="FFFFFF" w:themeColor="background1" w:sz="4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FFFF" w:themeColor="background1" w:sz="18"/>
        </w:tcBorders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tcBorders>
          <w:left w:val="single" w:color="FFFFFF" w:themeColor="background1" w:sz="4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FFFFF" w:themeColor="background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  <w:top w:val="nil"/>
        </w:tcBorders>
      </w:tcPr>
    </w:tblStylePr>
    <w:tblStylePr w:type="swCell">
      <w:tblPr/>
      <w:tcPr>
        <w:tcBorders>
          <w:right w:val="nil"/>
          <w:top w:val="nil"/>
        </w:tcBorders>
      </w:tcPr>
    </w:tblStylePr>
  </w:style>
  <w:style w:customStyle="1" w:styleId="PO123" w:type="table">
    <w:name w:val="List Table 5 Accent 1"/>
    <w:uiPriority w:val="123"/>
    <w:pPr>
      <w:autoSpaceDE w:val="0"/>
      <w:autoSpaceDN w:val="0"/>
      <w:jc w:val="both"/>
      <w:textAlignment w:val="baseline"/>
      <w:widowControl/>
      <w:wordWrap/>
    </w:pPr>
    <w:rPr>
      <w:color w:val="FFFFFF" w:themeColor="background1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4472C4" w:themeColor="accent1" w:sz="24"/>
        <w:left w:val="single" w:color="4472C4" w:themeColor="accent1" w:sz="24"/>
        <w:right w:val="single" w:color="4472C4" w:themeColor="accent1" w:sz="24"/>
        <w:top w:val="single" w:color="4472C4" w:themeColor="accent1" w:sz="24"/>
      </w:tblBorders>
      <w:tblStyleColBandSize w:val="1"/>
      <w:tblStyleRowBandSize w:val="1"/>
    </w:tblPr>
    <w:tcPr>
      <w:shd w:fill="4472C4" w:themeFill="accent1" w:color="000000" w:val="clear"/>
    </w:tcPr>
    <w:tblStylePr w:type="band1Horz">
      <w:tblPr/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tcBorders>
          <w:right w:val="single" w:color="FFFFFF" w:themeColor="background1" w:sz="4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FFFF" w:themeColor="background1" w:sz="18"/>
        </w:tcBorders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tcBorders>
          <w:left w:val="single" w:color="FFFFFF" w:themeColor="background1" w:sz="4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FFFFF" w:themeColor="background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  <w:top w:val="nil"/>
        </w:tcBorders>
      </w:tcPr>
    </w:tblStylePr>
    <w:tblStylePr w:type="swCell">
      <w:tblPr/>
      <w:tcPr>
        <w:tcBorders>
          <w:right w:val="nil"/>
          <w:top w:val="nil"/>
        </w:tcBorders>
      </w:tcPr>
    </w:tblStylePr>
  </w:style>
  <w:style w:customStyle="1" w:styleId="PO124" w:type="table">
    <w:name w:val="List Table 5 Accent 2"/>
    <w:uiPriority w:val="124"/>
    <w:pPr>
      <w:autoSpaceDE w:val="0"/>
      <w:autoSpaceDN w:val="0"/>
      <w:jc w:val="both"/>
      <w:textAlignment w:val="baseline"/>
      <w:widowControl/>
      <w:wordWrap/>
    </w:pPr>
    <w:rPr>
      <w:color w:val="FFFFFF" w:themeColor="background1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ED7D31" w:themeColor="accent2" w:sz="24"/>
        <w:left w:val="single" w:color="ED7D31" w:themeColor="accent2" w:sz="24"/>
        <w:right w:val="single" w:color="ED7D31" w:themeColor="accent2" w:sz="24"/>
        <w:top w:val="single" w:color="ED7D31" w:themeColor="accent2" w:sz="24"/>
      </w:tblBorders>
      <w:tblStyleColBandSize w:val="1"/>
      <w:tblStyleRowBandSize w:val="1"/>
    </w:tblPr>
    <w:tcPr>
      <w:shd w:fill="ED7D31" w:themeFill="accent2" w:color="000000" w:val="clear"/>
    </w:tcPr>
    <w:tblStylePr w:type="band1Horz">
      <w:tblPr/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tcBorders>
          <w:right w:val="single" w:color="FFFFFF" w:themeColor="background1" w:sz="4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FFFF" w:themeColor="background1" w:sz="18"/>
        </w:tcBorders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tcBorders>
          <w:left w:val="single" w:color="FFFFFF" w:themeColor="background1" w:sz="4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FFFFF" w:themeColor="background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  <w:top w:val="nil"/>
        </w:tcBorders>
      </w:tcPr>
    </w:tblStylePr>
    <w:tblStylePr w:type="swCell">
      <w:tblPr/>
      <w:tcPr>
        <w:tcBorders>
          <w:right w:val="nil"/>
          <w:top w:val="nil"/>
        </w:tcBorders>
      </w:tcPr>
    </w:tblStylePr>
  </w:style>
  <w:style w:customStyle="1" w:styleId="PO125" w:type="table">
    <w:name w:val="List Table 5 Accent 3"/>
    <w:uiPriority w:val="125"/>
    <w:pPr>
      <w:autoSpaceDE w:val="0"/>
      <w:autoSpaceDN w:val="0"/>
      <w:jc w:val="both"/>
      <w:textAlignment w:val="baseline"/>
      <w:widowControl/>
      <w:wordWrap/>
    </w:pPr>
    <w:rPr>
      <w:color w:val="FFFFFF" w:themeColor="background1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5A5A5" w:themeColor="accent3" w:sz="24"/>
        <w:left w:val="single" w:color="A5A5A5" w:themeColor="accent3" w:sz="24"/>
        <w:right w:val="single" w:color="A5A5A5" w:themeColor="accent3" w:sz="24"/>
        <w:top w:val="single" w:color="A5A5A5" w:themeColor="accent3" w:sz="24"/>
      </w:tblBorders>
      <w:tblStyleColBandSize w:val="1"/>
      <w:tblStyleRowBandSize w:val="1"/>
    </w:tblPr>
    <w:tcPr>
      <w:shd w:fill="A5A5A5" w:themeFill="accent3" w:color="000000" w:val="clear"/>
    </w:tcPr>
    <w:tblStylePr w:type="band1Horz">
      <w:tblPr/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tcBorders>
          <w:right w:val="single" w:color="FFFFFF" w:themeColor="background1" w:sz="4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FFFF" w:themeColor="background1" w:sz="18"/>
        </w:tcBorders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tcBorders>
          <w:left w:val="single" w:color="FFFFFF" w:themeColor="background1" w:sz="4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FFFFF" w:themeColor="background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  <w:top w:val="nil"/>
        </w:tcBorders>
      </w:tcPr>
    </w:tblStylePr>
    <w:tblStylePr w:type="swCell">
      <w:tblPr/>
      <w:tcPr>
        <w:tcBorders>
          <w:right w:val="nil"/>
          <w:top w:val="nil"/>
        </w:tcBorders>
      </w:tcPr>
    </w:tblStylePr>
  </w:style>
  <w:style w:customStyle="1" w:styleId="PO126" w:type="table">
    <w:name w:val="List Table 5 Accent 4"/>
    <w:uiPriority w:val="126"/>
    <w:pPr>
      <w:autoSpaceDE w:val="0"/>
      <w:autoSpaceDN w:val="0"/>
      <w:jc w:val="both"/>
      <w:textAlignment w:val="baseline"/>
      <w:widowControl/>
      <w:wordWrap/>
    </w:pPr>
    <w:rPr>
      <w:color w:val="FFFFFF" w:themeColor="background1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C000" w:themeColor="accent4" w:sz="24"/>
        <w:left w:val="single" w:color="FFC000" w:themeColor="accent4" w:sz="24"/>
        <w:right w:val="single" w:color="FFC000" w:themeColor="accent4" w:sz="24"/>
        <w:top w:val="single" w:color="FFC000" w:themeColor="accent4" w:sz="24"/>
      </w:tblBorders>
      <w:tblStyleColBandSize w:val="1"/>
      <w:tblStyleRowBandSize w:val="1"/>
    </w:tblPr>
    <w:tcPr>
      <w:shd w:fill="FFC000" w:themeFill="accent4" w:color="000000" w:val="clear"/>
    </w:tcPr>
    <w:tblStylePr w:type="band1Horz">
      <w:tblPr/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tcBorders>
          <w:right w:val="single" w:color="FFFFFF" w:themeColor="background1" w:sz="4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FFFF" w:themeColor="background1" w:sz="18"/>
        </w:tcBorders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tcBorders>
          <w:left w:val="single" w:color="FFFFFF" w:themeColor="background1" w:sz="4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FFFFF" w:themeColor="background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  <w:top w:val="nil"/>
        </w:tcBorders>
      </w:tcPr>
    </w:tblStylePr>
    <w:tblStylePr w:type="swCell">
      <w:tblPr/>
      <w:tcPr>
        <w:tcBorders>
          <w:right w:val="nil"/>
          <w:top w:val="nil"/>
        </w:tcBorders>
      </w:tcPr>
    </w:tblStylePr>
  </w:style>
  <w:style w:customStyle="1" w:styleId="PO127" w:type="table">
    <w:name w:val="List Table 5 Accent 5"/>
    <w:uiPriority w:val="127"/>
    <w:pPr>
      <w:autoSpaceDE w:val="0"/>
      <w:autoSpaceDN w:val="0"/>
      <w:jc w:val="both"/>
      <w:textAlignment w:val="baseline"/>
      <w:widowControl/>
      <w:wordWrap/>
    </w:pPr>
    <w:rPr>
      <w:color w:val="FFFFFF" w:themeColor="background1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5B9BD5" w:themeColor="accent5" w:sz="24"/>
        <w:left w:val="single" w:color="5B9BD5" w:themeColor="accent5" w:sz="24"/>
        <w:right w:val="single" w:color="5B9BD5" w:themeColor="accent5" w:sz="24"/>
        <w:top w:val="single" w:color="5B9BD5" w:themeColor="accent5" w:sz="24"/>
      </w:tblBorders>
      <w:tblStyleColBandSize w:val="1"/>
      <w:tblStyleRowBandSize w:val="1"/>
    </w:tblPr>
    <w:tcPr>
      <w:shd w:fill="5B9BD5" w:themeFill="accent5" w:color="000000" w:val="clear"/>
    </w:tcPr>
    <w:tblStylePr w:type="band1Horz">
      <w:tblPr/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tcBorders>
          <w:right w:val="single" w:color="FFFFFF" w:themeColor="background1" w:sz="4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FFFF" w:themeColor="background1" w:sz="18"/>
        </w:tcBorders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tcBorders>
          <w:left w:val="single" w:color="FFFFFF" w:themeColor="background1" w:sz="4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FFFFF" w:themeColor="background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  <w:top w:val="nil"/>
        </w:tcBorders>
      </w:tcPr>
    </w:tblStylePr>
    <w:tblStylePr w:type="swCell">
      <w:tblPr/>
      <w:tcPr>
        <w:tcBorders>
          <w:right w:val="nil"/>
          <w:top w:val="nil"/>
        </w:tcBorders>
      </w:tcPr>
    </w:tblStylePr>
  </w:style>
  <w:style w:customStyle="1" w:styleId="PO128" w:type="table">
    <w:name w:val="List Table 5 Accent 6"/>
    <w:uiPriority w:val="128"/>
    <w:pPr>
      <w:autoSpaceDE w:val="0"/>
      <w:autoSpaceDN w:val="0"/>
      <w:jc w:val="both"/>
      <w:textAlignment w:val="baseline"/>
      <w:widowControl/>
      <w:wordWrap/>
    </w:pPr>
    <w:rPr>
      <w:color w:val="FFFFFF" w:themeColor="background1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70AD47" w:themeColor="accent6" w:sz="24"/>
        <w:left w:val="single" w:color="70AD47" w:themeColor="accent6" w:sz="24"/>
        <w:right w:val="single" w:color="70AD47" w:themeColor="accent6" w:sz="24"/>
        <w:top w:val="single" w:color="70AD47" w:themeColor="accent6" w:sz="24"/>
      </w:tblBorders>
      <w:tblStyleColBandSize w:val="1"/>
      <w:tblStyleRowBandSize w:val="1"/>
    </w:tblPr>
    <w:tcPr>
      <w:shd w:fill="70AD47" w:themeFill="accent6" w:color="000000" w:val="clear"/>
    </w:tcPr>
    <w:tblStylePr w:type="band1Horz">
      <w:tblPr/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blPr/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/>
        <w:shd w:val="clear" w:color="000000"/>
        <w:sz w:val="20"/>
        <w:szCs w:val="20"/>
        <w:w w:val="100"/>
      </w:rPr>
      <w:tblPr/>
      <w:tcPr>
        <w:tcBorders>
          <w:right w:val="single" w:color="FFFFFF" w:themeColor="background1" w:sz="4"/>
        </w:tcBorders>
      </w:tc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FFFF" w:themeColor="background1" w:sz="18"/>
        </w:tcBorders>
      </w:tcPr>
    </w:tblStylePr>
    <w:tblStylePr w:type="lastCol">
      <w:rPr>
        <w:b/>
        <w:shd w:val="clear" w:color="000000"/>
        <w:sz w:val="20"/>
        <w:szCs w:val="20"/>
        <w:w w:val="100"/>
      </w:rPr>
      <w:tblPr/>
      <w:tcPr>
        <w:tcBorders>
          <w:left w:val="single" w:color="FFFFFF" w:themeColor="background1" w:sz="4"/>
        </w:tcBorders>
      </w:tc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single" w:color="FFFFFF" w:themeColor="background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  <w:top w:val="nil"/>
        </w:tcBorders>
      </w:tcPr>
    </w:tblStylePr>
    <w:tblStylePr w:type="swCell">
      <w:tblPr/>
      <w:tcPr>
        <w:tcBorders>
          <w:right w:val="nil"/>
          <w:top w:val="nil"/>
        </w:tcBorders>
      </w:tcPr>
    </w:tblStylePr>
  </w:style>
  <w:style w:styleId="PO129" w:type="table">
    <w:name w:val="List Table 6 Colorful"/>
    <w:uiPriority w:val="129"/>
    <w:pPr>
      <w:autoSpaceDE w:val="0"/>
      <w:autoSpaceDN w:val="0"/>
      <w:jc w:val="both"/>
      <w:textAlignment w:val="baseline"/>
      <w:widowControl/>
      <w:wordWrap/>
    </w:pPr>
    <w:rPr>
      <w:color w:val="000000" w:themeColor="text1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000000" w:themeColor="text1" w:sz="4"/>
        <w:top w:val="single" w:color="000000" w:themeColor="text1" w:sz="4"/>
      </w:tblBorders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000000" w:themeColor="text1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000000" w:themeColor="text1" w:sz="4"/>
        </w:tcBorders>
      </w:tcPr>
    </w:tblStylePr>
  </w:style>
  <w:style w:styleId="PO130" w:type="table">
    <w:name w:val="List Table 6 Colorful Accent 1"/>
    <w:uiPriority w:val="130"/>
    <w:pPr>
      <w:autoSpaceDE w:val="0"/>
      <w:autoSpaceDN w:val="0"/>
      <w:jc w:val="both"/>
      <w:textAlignment w:val="baseline"/>
      <w:widowControl/>
      <w:wordWrap/>
    </w:pPr>
    <w:rPr>
      <w:color w:val="2F5395" w:themeColor="accent1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4472C4" w:themeColor="accent1" w:sz="4"/>
        <w:top w:val="single" w:color="4472C4" w:themeColor="accent1" w:sz="4"/>
      </w:tblBorders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4472C4" w:themeColor="accent1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4472C4" w:themeColor="accent1" w:sz="4"/>
        </w:tcBorders>
      </w:tcPr>
    </w:tblStylePr>
  </w:style>
  <w:style w:styleId="PO131" w:type="table">
    <w:name w:val="List Table 6 Colorful Accent 2"/>
    <w:uiPriority w:val="131"/>
    <w:pPr>
      <w:autoSpaceDE w:val="0"/>
      <w:autoSpaceDN w:val="0"/>
      <w:jc w:val="both"/>
      <w:textAlignment w:val="baseline"/>
      <w:widowControl/>
      <w:wordWrap/>
    </w:pPr>
    <w:rPr>
      <w:color w:val="C35911" w:themeColor="accent2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ED7D31" w:themeColor="accent2" w:sz="4"/>
        <w:top w:val="single" w:color="ED7D31" w:themeColor="accent2" w:sz="4"/>
      </w:tblBorders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ED7D31" w:themeColor="accent2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ED7D31" w:themeColor="accent2" w:sz="4"/>
        </w:tcBorders>
      </w:tcPr>
    </w:tblStylePr>
  </w:style>
  <w:style w:styleId="PO132" w:type="table">
    <w:name w:val="List Table 6 Colorful Accent 3"/>
    <w:uiPriority w:val="132"/>
    <w:pPr>
      <w:autoSpaceDE w:val="0"/>
      <w:autoSpaceDN w:val="0"/>
      <w:jc w:val="both"/>
      <w:textAlignment w:val="baseline"/>
      <w:widowControl/>
      <w:wordWrap/>
    </w:pPr>
    <w:rPr>
      <w:color w:val="7A7A7A" w:themeColor="accent3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A5A5A5" w:themeColor="accent3" w:sz="4"/>
        <w:top w:val="single" w:color="A5A5A5" w:themeColor="accent3" w:sz="4"/>
      </w:tblBorders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A5A5A5" w:themeColor="accent3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A5A5A5" w:themeColor="accent3" w:sz="4"/>
        </w:tcBorders>
      </w:tcPr>
    </w:tblStylePr>
  </w:style>
  <w:style w:styleId="PO133" w:type="table">
    <w:name w:val="List Table 6 Colorful Accent 4"/>
    <w:uiPriority w:val="133"/>
    <w:pPr>
      <w:autoSpaceDE w:val="0"/>
      <w:autoSpaceDN w:val="0"/>
      <w:jc w:val="both"/>
      <w:textAlignment w:val="baseline"/>
      <w:widowControl/>
      <w:wordWrap/>
    </w:pPr>
    <w:rPr>
      <w:color w:val="BE8F00" w:themeColor="accent4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FFC000" w:themeColor="accent4" w:sz="4"/>
        <w:top w:val="single" w:color="FFC000" w:themeColor="accent4" w:sz="4"/>
      </w:tblBorders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FFC000" w:themeColor="accent4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FFC000" w:themeColor="accent4" w:sz="4"/>
        </w:tcBorders>
      </w:tcPr>
    </w:tblStylePr>
  </w:style>
  <w:style w:styleId="PO134" w:type="table">
    <w:name w:val="List Table 6 Colorful Accent 5"/>
    <w:uiPriority w:val="134"/>
    <w:pPr>
      <w:autoSpaceDE w:val="0"/>
      <w:autoSpaceDN w:val="0"/>
      <w:jc w:val="both"/>
      <w:textAlignment w:val="baseline"/>
      <w:widowControl/>
      <w:wordWrap/>
    </w:pPr>
    <w:rPr>
      <w:color w:val="2E74B4" w:themeColor="accent5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5B9BD5" w:themeColor="accent5" w:sz="4"/>
        <w:top w:val="single" w:color="5B9BD5" w:themeColor="accent5" w:sz="4"/>
      </w:tblBorders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5B9BD5" w:themeColor="accent5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5B9BD5" w:themeColor="accent5" w:sz="4"/>
        </w:tcBorders>
      </w:tcPr>
    </w:tblStylePr>
  </w:style>
  <w:style w:styleId="PO135" w:type="table">
    <w:name w:val="List Table 6 Colorful Accent 6"/>
    <w:uiPriority w:val="135"/>
    <w:pPr>
      <w:autoSpaceDE w:val="0"/>
      <w:autoSpaceDN w:val="0"/>
      <w:jc w:val="both"/>
      <w:textAlignment w:val="baseline"/>
      <w:widowControl/>
      <w:wordWrap/>
    </w:pPr>
    <w:rPr>
      <w:color w:val="538034" w:themeColor="accent6" w:themeShade="BE"/>
      <w:rFonts w:ascii="Segoe UI" w:eastAsia="Times New Roman" w:hAnsi="Segoe UI"/>
      <w:shd w:val="clear"/>
      <w:sz w:val="20"/>
      <w:szCs w:val="20"/>
      <w:w w:val="100"/>
    </w:rPr>
    <w:tblPr>
      <w:tblBorders>
        <w:bottom w:val="single" w:color="70AD47" w:themeColor="accent6" w:sz="4"/>
        <w:top w:val="single" w:color="70AD47" w:themeColor="accent6" w:sz="4"/>
      </w:tblBorders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rPr>
        <w:b/>
        <w:shd w:val="clear" w:color="000000"/>
        <w:sz w:val="20"/>
        <w:szCs w:val="20"/>
        <w:w w:val="100"/>
      </w:rPr>
    </w:tblStylePr>
    <w:tblStylePr w:type="firstRow">
      <w:rPr>
        <w:b/>
        <w:shd w:val="clear" w:color="000000"/>
        <w:sz w:val="20"/>
        <w:szCs w:val="20"/>
        <w:w w:val="100"/>
      </w:rPr>
      <w:tblPr/>
      <w:tcPr>
        <w:tcBorders>
          <w:bottom w:val="single" w:color="70AD47" w:themeColor="accent6" w:sz="4"/>
        </w:tcBorders>
      </w:tcPr>
    </w:tblStylePr>
    <w:tblStylePr w:type="lastCol">
      <w:rPr>
        <w:b/>
        <w:shd w:val="clear" w:color="000000"/>
        <w:sz w:val="20"/>
        <w:szCs w:val="20"/>
        <w:w w:val="100"/>
      </w:rPr>
    </w:tblStylePr>
    <w:tblStylePr w:type="lastRow">
      <w:rPr>
        <w:b/>
        <w:shd w:val="clear" w:color="000000"/>
        <w:sz w:val="20"/>
        <w:szCs w:val="20"/>
        <w:w w:val="100"/>
      </w:rPr>
      <w:tblPr/>
      <w:tcPr>
        <w:tcBorders>
          <w:top w:val="double" w:color="70AD47" w:themeColor="accent6" w:sz="4"/>
        </w:tcBorders>
      </w:tcPr>
    </w:tblStylePr>
  </w:style>
  <w:style w:styleId="PO136" w:type="table">
    <w:name w:val="List Table 7 Colorful"/>
    <w:uiPriority w:val="136"/>
    <w:pPr>
      <w:autoSpaceDE w:val="0"/>
      <w:autoSpaceDN w:val="0"/>
      <w:jc w:val="both"/>
      <w:textAlignment w:val="baseline"/>
      <w:widowControl/>
      <w:wordWrap/>
    </w:pPr>
    <w:rPr>
      <w:color w:val="000000" w:themeColor="text1" w:themeShade="BE"/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CCCCC" w:themeFill="text1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right w:val="single" w:color="000000" w:themeColor="text1" w:sz="4"/>
        </w:tcBorders>
      </w:tcPr>
    </w:tblStylePr>
    <w:tblStylePr w:type="fir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bottom w:val="single" w:color="000000" w:themeColor="text1" w:sz="4"/>
        </w:tcBorders>
      </w:tcPr>
    </w:tblStylePr>
    <w:tblStylePr w:type="lastCol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left w:val="single" w:color="000000" w:themeColor="text1" w:sz="4"/>
        </w:tcBorders>
      </w:tcPr>
    </w:tblStylePr>
    <w:tblStylePr w:type="la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top w:val="single" w:color="000000" w:themeColor="text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styleId="PO137" w:type="table">
    <w:name w:val="List Table 7 Colorful Accent 1"/>
    <w:uiPriority w:val="137"/>
    <w:pPr>
      <w:autoSpaceDE w:val="0"/>
      <w:autoSpaceDN w:val="0"/>
      <w:jc w:val="both"/>
      <w:textAlignment w:val="baseline"/>
      <w:widowControl/>
      <w:wordWrap/>
    </w:pPr>
    <w:rPr>
      <w:color w:val="2F5395" w:themeColor="accent1" w:themeShade="BE"/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DAE3F3" w:themeFill="accent1" w:themeFillTint="33" w:color="000000" w:val="clear"/>
      </w:tcPr>
    </w:tblStylePr>
    <w:tblStylePr w:type="band1Vert">
      <w:tblPr/>
      <w:tcPr>
        <w:shd w:fill="DAE3F3" w:themeFill="accent1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right w:val="single" w:color="4472C4" w:themeColor="accent1" w:sz="4"/>
        </w:tcBorders>
      </w:tcPr>
    </w:tblStylePr>
    <w:tblStylePr w:type="fir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bottom w:val="single" w:color="4472C4" w:themeColor="accent1" w:sz="4"/>
        </w:tcBorders>
      </w:tcPr>
    </w:tblStylePr>
    <w:tblStylePr w:type="lastCol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left w:val="single" w:color="4472C4" w:themeColor="accent1" w:sz="4"/>
        </w:tcBorders>
      </w:tcPr>
    </w:tblStylePr>
    <w:tblStylePr w:type="la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top w:val="single" w:color="4472C4" w:themeColor="accent1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styleId="PO138" w:type="table">
    <w:name w:val="List Table 7 Colorful Accent 2"/>
    <w:uiPriority w:val="138"/>
    <w:pPr>
      <w:autoSpaceDE w:val="0"/>
      <w:autoSpaceDN w:val="0"/>
      <w:jc w:val="both"/>
      <w:textAlignment w:val="baseline"/>
      <w:widowControl/>
      <w:wordWrap/>
    </w:pPr>
    <w:rPr>
      <w:color w:val="C35911" w:themeColor="accent2" w:themeShade="BE"/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FBE5D6" w:themeFill="accent2" w:themeFillTint="33" w:color="000000" w:val="clear"/>
      </w:tcPr>
    </w:tblStylePr>
    <w:tblStylePr w:type="band1Vert">
      <w:tblPr/>
      <w:tcPr>
        <w:shd w:fill="FBE5D6" w:themeFill="accent2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right w:val="single" w:color="ED7D31" w:themeColor="accent2" w:sz="4"/>
        </w:tcBorders>
      </w:tcPr>
    </w:tblStylePr>
    <w:tblStylePr w:type="fir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bottom w:val="single" w:color="ED7D31" w:themeColor="accent2" w:sz="4"/>
        </w:tcBorders>
      </w:tcPr>
    </w:tblStylePr>
    <w:tblStylePr w:type="lastCol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left w:val="single" w:color="ED7D31" w:themeColor="accent2" w:sz="4"/>
        </w:tcBorders>
      </w:tcPr>
    </w:tblStylePr>
    <w:tblStylePr w:type="la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top w:val="single" w:color="ED7D31" w:themeColor="accent2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styleId="PO139" w:type="table">
    <w:name w:val="List Table 7 Colorful Accent 3"/>
    <w:uiPriority w:val="139"/>
    <w:pPr>
      <w:autoSpaceDE w:val="0"/>
      <w:autoSpaceDN w:val="0"/>
      <w:jc w:val="both"/>
      <w:textAlignment w:val="baseline"/>
      <w:widowControl/>
      <w:wordWrap/>
    </w:pPr>
    <w:rPr>
      <w:color w:val="7A7A7A" w:themeColor="accent3" w:themeShade="BE"/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EDEDED" w:themeFill="accent3" w:themeFillTint="33" w:color="000000" w:val="clear"/>
      </w:tcPr>
    </w:tblStylePr>
    <w:tblStylePr w:type="band1Vert">
      <w:tblPr/>
      <w:tcPr>
        <w:shd w:fill="EDEDED" w:themeFill="accent3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right w:val="single" w:color="A5A5A5" w:themeColor="accent3" w:sz="4"/>
        </w:tcBorders>
      </w:tcPr>
    </w:tblStylePr>
    <w:tblStylePr w:type="fir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bottom w:val="single" w:color="A5A5A5" w:themeColor="accent3" w:sz="4"/>
        </w:tcBorders>
      </w:tcPr>
    </w:tblStylePr>
    <w:tblStylePr w:type="lastCol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left w:val="single" w:color="A5A5A5" w:themeColor="accent3" w:sz="4"/>
        </w:tcBorders>
      </w:tcPr>
    </w:tblStylePr>
    <w:tblStylePr w:type="la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top w:val="single" w:color="A5A5A5" w:themeColor="accent3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styleId="PO140" w:type="table">
    <w:name w:val="List Table 7 Colorful Accent 4"/>
    <w:uiPriority w:val="140"/>
    <w:pPr>
      <w:autoSpaceDE w:val="0"/>
      <w:autoSpaceDN w:val="0"/>
      <w:jc w:val="both"/>
      <w:textAlignment w:val="baseline"/>
      <w:widowControl/>
      <w:wordWrap/>
    </w:pPr>
    <w:rPr>
      <w:color w:val="BE8F00" w:themeColor="accent4" w:themeShade="BE"/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FFF2CC" w:themeFill="accent4" w:themeFillTint="33" w:color="000000" w:val="clear"/>
      </w:tcPr>
    </w:tblStylePr>
    <w:tblStylePr w:type="band1Vert">
      <w:tblPr/>
      <w:tcPr>
        <w:shd w:fill="FFF2CC" w:themeFill="accent4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right w:val="single" w:color="FFC000" w:themeColor="accent4" w:sz="4"/>
        </w:tcBorders>
      </w:tcPr>
    </w:tblStylePr>
    <w:tblStylePr w:type="fir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bottom w:val="single" w:color="FFC000" w:themeColor="accent4" w:sz="4"/>
        </w:tcBorders>
      </w:tcPr>
    </w:tblStylePr>
    <w:tblStylePr w:type="lastCol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left w:val="single" w:color="FFC000" w:themeColor="accent4" w:sz="4"/>
        </w:tcBorders>
      </w:tcPr>
    </w:tblStylePr>
    <w:tblStylePr w:type="la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top w:val="single" w:color="FFC000" w:themeColor="accent4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styleId="PO141" w:type="table">
    <w:name w:val="List Table 7 Colorful Accent 5"/>
    <w:uiPriority w:val="141"/>
    <w:pPr>
      <w:autoSpaceDE w:val="0"/>
      <w:autoSpaceDN w:val="0"/>
      <w:jc w:val="both"/>
      <w:textAlignment w:val="baseline"/>
      <w:widowControl/>
      <w:wordWrap/>
    </w:pPr>
    <w:rPr>
      <w:color w:val="2E74B4" w:themeColor="accent5" w:themeShade="BE"/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DEEBF7" w:themeFill="accent5" w:themeFillTint="33" w:color="000000" w:val="clear"/>
      </w:tcPr>
    </w:tblStylePr>
    <w:tblStylePr w:type="band1Vert">
      <w:tblPr/>
      <w:tcPr>
        <w:shd w:fill="DEEBF7" w:themeFill="accent5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right w:val="single" w:color="5B9BD5" w:themeColor="accent5" w:sz="4"/>
        </w:tcBorders>
      </w:tcPr>
    </w:tblStylePr>
    <w:tblStylePr w:type="fir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bottom w:val="single" w:color="5B9BD5" w:themeColor="accent5" w:sz="4"/>
        </w:tcBorders>
      </w:tcPr>
    </w:tblStylePr>
    <w:tblStylePr w:type="lastCol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left w:val="single" w:color="5B9BD5" w:themeColor="accent5" w:sz="4"/>
        </w:tcBorders>
      </w:tcPr>
    </w:tblStylePr>
    <w:tblStylePr w:type="la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top w:val="single" w:color="5B9BD5" w:themeColor="accent5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styleId="PO142" w:type="table">
    <w:name w:val="List Table 7 Colorful Accent 6"/>
    <w:uiPriority w:val="142"/>
    <w:pPr>
      <w:autoSpaceDE w:val="0"/>
      <w:autoSpaceDN w:val="0"/>
      <w:jc w:val="both"/>
      <w:textAlignment w:val="baseline"/>
      <w:widowControl/>
      <w:wordWrap/>
    </w:pPr>
    <w:rPr>
      <w:color w:val="538034" w:themeColor="accent6" w:themeShade="BE"/>
      <w:rFonts w:ascii="Segoe UI" w:eastAsia="Times New Roman" w:hAnsi="Segoe UI"/>
      <w:shd w:val="clear"/>
      <w:sz w:val="20"/>
      <w:szCs w:val="20"/>
      <w:w w:val="100"/>
    </w:rPr>
    <w:tblPr>
      <w:tblStyleColBandSize w:val="1"/>
      <w:tblStyleRowBandSize w:val="1"/>
    </w:tblPr>
    <w:tblStylePr w:type="band1Horz">
      <w:tblPr/>
      <w:tcPr>
        <w:shd w:fill="E2F0D9" w:themeFill="accent6" w:themeFillTint="33" w:color="000000" w:val="clear"/>
      </w:tcPr>
    </w:tblStylePr>
    <w:tblStylePr w:type="band1Vert">
      <w:tblPr/>
      <w:tcPr>
        <w:shd w:fill="E2F0D9" w:themeFill="accent6" w:themeFillTint="33" w:color="000000" w:val="clear"/>
      </w:tcPr>
    </w:tblStylePr>
    <w:tblStylePr w:type="firstCol">
      <w:pPr>
        <w:jc w:val="right"/>
      </w:pPr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right w:val="single" w:color="70AD47" w:themeColor="accent6" w:sz="4"/>
        </w:tcBorders>
      </w:tcPr>
    </w:tblStylePr>
    <w:tblStylePr w:type="fir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bottom w:val="single" w:color="70AD47" w:themeColor="accent6" w:sz="4"/>
        </w:tcBorders>
      </w:tcPr>
    </w:tblStylePr>
    <w:tblStylePr w:type="lastCol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left w:val="single" w:color="70AD47" w:themeColor="accent6" w:sz="4"/>
        </w:tcBorders>
      </w:tcPr>
    </w:tblStylePr>
    <w:tblStylePr w:type="lastRow">
      <w:rPr>
        <w:i/>
        <w:shd w:val="clear" w:color="000000"/>
        <w:sz w:val="26"/>
        <w:szCs w:val="26"/>
        <w:w w:val="100"/>
      </w:rPr>
      <w:tblPr/>
      <w:tcPr>
        <w:shd w:fill="FFFFFF" w:themeFill="background1" w:color="000000" w:val="clear"/>
        <w:tcBorders>
          <w:top w:val="single" w:color="70AD47" w:themeColor="accent6" w:sz="4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customStyle="1" w:styleId="PO152" w:type="character">
    <w:name w:val="Heading 1 Char"/>
    <w:basedOn w:val="PO2"/>
    <w:link w:val="PO7"/>
    <w:uiPriority w:val="152"/>
    <w:rPr>
      <w:color w:val="2F5496" w:themeColor="accent1" w:themeShade="BF"/>
      <w:rFonts w:ascii="Calibri Light" w:eastAsia="Calibri Light" w:hAnsi="Calibri Light"/>
      <w:shd w:val="clear" w:color="000000"/>
      <w:sz w:val="32"/>
      <w:szCs w:val="32"/>
      <w:w w:val="100"/>
    </w:rPr>
  </w:style>
  <w:style w:customStyle="1" w:styleId="PO153" w:type="character">
    <w:name w:val="Heading 2 Char"/>
    <w:basedOn w:val="PO2"/>
    <w:link w:val="PO8"/>
    <w:uiPriority w:val="153"/>
    <w:rPr>
      <w:color w:val="2F5496" w:themeColor="accent1" w:themeShade="BF"/>
      <w:rFonts w:ascii="Calibri Light" w:eastAsia="Calibri Light" w:hAnsi="Calibri Light"/>
      <w:shd w:val="clear" w:color="000000"/>
      <w:sz w:val="26"/>
      <w:szCs w:val="26"/>
      <w:w w:val="100"/>
    </w:rPr>
  </w:style>
  <w:style w:customStyle="1" w:styleId="PO154" w:type="character">
    <w:name w:val="Heading 3 Char"/>
    <w:basedOn w:val="PO2"/>
    <w:link w:val="PO9"/>
    <w:uiPriority w:val="154"/>
    <w:rPr>
      <w:color w:val="1F3863" w:themeColor="accent1" w:themeShade="7F"/>
      <w:rFonts w:ascii="Calibri Light" w:eastAsia="Calibri Light" w:hAnsi="Calibri Light"/>
      <w:shd w:val="clear" w:color="000000"/>
      <w:sz w:val="24"/>
      <w:szCs w:val="24"/>
      <w:w w:val="100"/>
    </w:rPr>
  </w:style>
  <w:style w:styleId="PO155" w:type="character">
    <w:name w:val="Hyperlink"/>
    <w:basedOn w:val="PO2"/>
    <w:uiPriority w:val="155"/>
    <w:unhideWhenUsed/>
    <w:rPr>
      <w:color w:val="0563C1" w:themeColor="hyperlink"/>
      <w:shd w:val="clear" w:color="000000"/>
      <w:sz w:val="20"/>
      <w:szCs w:val="20"/>
      <w:u w:val="single"/>
      <w:w w:val="100"/>
    </w:rPr>
  </w:style>
  <w:style w:customStyle="1" w:styleId="PO156" w:type="character">
    <w:name w:val="Heading 4 Char"/>
    <w:basedOn w:val="PO2"/>
    <w:link w:val="PO10"/>
    <w:uiPriority w:val="156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157" w:type="character">
    <w:name w:val="Heading 5 Char"/>
    <w:basedOn w:val="PO2"/>
    <w:link w:val="PO11"/>
    <w:uiPriority w:val="157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158" w:type="character">
    <w:name w:val="Heading 6 Char"/>
    <w:basedOn w:val="PO2"/>
    <w:link w:val="PO12"/>
    <w:uiPriority w:val="158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159" w:type="character">
    <w:name w:val="Heading 7 Char"/>
    <w:basedOn w:val="PO2"/>
    <w:link w:val="PO13"/>
    <w:uiPriority w:val="159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160" w:type="character">
    <w:name w:val="Heading 8 Char"/>
    <w:basedOn w:val="PO2"/>
    <w:link w:val="PO14"/>
    <w:uiPriority w:val="160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161" w:type="character">
    <w:name w:val="Heading 9 Char"/>
    <w:basedOn w:val="PO2"/>
    <w:link w:val="PO15"/>
    <w:uiPriority w:val="161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162" w:type="numbering">
    <w:name w:val="No List1"/>
    <w:next w:val="PO4"/>
    <w:uiPriority w:val="162"/>
    <w:semiHidden/>
    <w:unhideWhenUsed/>
  </w:style>
  <w:style w:customStyle="1" w:styleId="PO163" w:type="numbering">
    <w:name w:val="No List11"/>
    <w:next w:val="PO4"/>
    <w:uiPriority w:val="163"/>
    <w:semiHidden/>
    <w:unhideWhenUsed/>
  </w:style>
  <w:style w:customStyle="1" w:styleId="PO164" w:type="character">
    <w:name w:val="Title Char"/>
    <w:basedOn w:val="PO2"/>
    <w:link w:val="PO6"/>
    <w:uiPriority w:val="164"/>
    <w:rPr>
      <w:color w:val="000000"/>
      <w:rFonts w:ascii="Segoe UI" w:eastAsia="Times New Roman" w:hAnsi="Segoe UI"/>
      <w:b/>
      <w:shd w:val="clear" w:color="000000"/>
      <w:sz w:val="32"/>
      <w:szCs w:val="32"/>
      <w:w w:val="100"/>
    </w:rPr>
  </w:style>
  <w:style w:customStyle="1" w:styleId="PO165" w:type="character">
    <w:name w:val="Subtitle Char"/>
    <w:basedOn w:val="PO2"/>
    <w:link w:val="PO16"/>
    <w:uiPriority w:val="165"/>
    <w:rPr>
      <w:rFonts w:ascii="Calibri" w:eastAsia="Times New Roman" w:hAnsi="Calibri"/>
      <w:shd w:val="clear" w:color="000000"/>
      <w:sz w:val="24"/>
      <w:szCs w:val="24"/>
      <w:w w:val="100"/>
    </w:rPr>
  </w:style>
  <w:style w:customStyle="1" w:styleId="PO166" w:type="character">
    <w:name w:val="Quote Char"/>
    <w:basedOn w:val="PO2"/>
    <w:link w:val="PO21"/>
    <w:uiPriority w:val="166"/>
    <w:rPr>
      <w:color w:val="404040"/>
      <w:i/>
      <w:rFonts w:ascii="Calibri" w:eastAsia="Times New Roman" w:hAnsi="Calibri"/>
      <w:shd w:val="clear" w:color="000000"/>
      <w:sz w:val="20"/>
      <w:szCs w:val="20"/>
      <w:w w:val="100"/>
    </w:rPr>
  </w:style>
  <w:style w:customStyle="1" w:styleId="PO167" w:type="character">
    <w:name w:val="Intense Quote Char"/>
    <w:basedOn w:val="PO2"/>
    <w:link w:val="PO22"/>
    <w:uiPriority w:val="167"/>
    <w:rPr>
      <w:color w:val="5B9BD5"/>
      <w:i/>
      <w:rFonts w:ascii="Calibri" w:eastAsia="Times New Roman" w:hAnsi="Calibri"/>
      <w:shd w:val="clear" w:color="000000"/>
      <w:sz w:val="20"/>
      <w:szCs w:val="20"/>
      <w:w w:val="100"/>
    </w:rPr>
  </w:style>
  <w:style w:customStyle="1" w:styleId="PO168" w:type="paragraph">
    <w:name w:val="Standard"/>
    <w:uiPriority w:val="168"/>
    <w:pPr>
      <w:autoSpaceDE w:val="1"/>
      <w:autoSpaceDN w:val="1"/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customStyle="1" w:styleId="PO169" w:type="character">
    <w:name w:val="PO_T24"/>
    <w:uiPriority w:val="169"/>
    <w:rPr>
      <w:color w:val="000000"/>
      <w:rFonts w:ascii="Arial" w:eastAsia="Arial" w:hAnsi="Arial"/>
      <w:b/>
      <w:shd w:val="clear" w:color="000000"/>
      <w:sz w:val="24"/>
      <w:szCs w:val="24"/>
      <w:u w:val="none"/>
      <w:vertAlign w:val="subscript"/>
      <w:w w:val="100"/>
    </w:rPr>
  </w:style>
  <w:style w:customStyle="1" w:styleId="PO170" w:type="character">
    <w:name w:val="PO_T25"/>
    <w:uiPriority w:val="170"/>
    <w:rPr>
      <w:color w:val="000000"/>
      <w:rFonts w:ascii="Arial" w:eastAsia="Arial" w:hAnsi="Arial"/>
      <w:b/>
      <w:shd w:val="clear" w:color="000000"/>
      <w:sz w:val="24"/>
      <w:szCs w:val="24"/>
      <w:u w:val="none"/>
      <w:vertAlign w:val="subscript"/>
      <w:w w:val="100"/>
    </w:rPr>
  </w:style>
  <w:style w:customStyle="1" w:styleId="PO171" w:type="character">
    <w:name w:val="PO_T26"/>
    <w:uiPriority w:val="171"/>
    <w:rPr>
      <w:color w:val="000000"/>
      <w:rFonts w:ascii="Arial" w:eastAsia="Arial" w:hAnsi="Arial"/>
      <w:b/>
      <w:shd w:val="clear" w:color="000000"/>
      <w:sz w:val="24"/>
      <w:szCs w:val="24"/>
      <w:u w:val="none"/>
      <w:vertAlign w:val="subscript"/>
      <w:w w:val="100"/>
    </w:rPr>
  </w:style>
  <w:style w:customStyle="1" w:styleId="PO172" w:type="character">
    <w:name w:val="PO_T27"/>
    <w:uiPriority w:val="172"/>
    <w:rPr>
      <w:color w:val="010205"/>
      <w:rFonts w:ascii="Times New Roman" w:eastAsia="Times New Roman" w:hAnsi="Times New Roman"/>
      <w:b w:val="0"/>
      <w:shd w:val="clear" w:color="000000"/>
      <w:sz w:val="20"/>
      <w:szCs w:val="20"/>
      <w:u w:val="none"/>
      <w:vertAlign w:val="subscript"/>
      <w:w w:val="99"/>
    </w:rPr>
  </w:style>
  <w:style w:customStyle="1" w:styleId="PO173" w:type="character">
    <w:name w:val="PO_T28"/>
    <w:uiPriority w:val="173"/>
    <w:rPr>
      <w:color w:val="000000"/>
      <w:rFonts w:ascii="Arial" w:eastAsia="Arial" w:hAnsi="Arial"/>
      <w:b/>
      <w:shd w:val="clear" w:color="000000"/>
      <w:spacing w:val="-2"/>
      <w:sz w:val="24"/>
      <w:szCs w:val="24"/>
      <w:u w:val="none"/>
      <w:vertAlign w:val="subscript"/>
      <w:w w:val="99"/>
    </w:rPr>
  </w:style>
  <w:style w:customStyle="1" w:styleId="PO174" w:type="character">
    <w:name w:val="PO_T29"/>
    <w:uiPriority w:val="174"/>
    <w:rPr>
      <w:color w:val="000000"/>
      <w:rFonts w:ascii="Times New Roman" w:eastAsia="Times New Roman" w:hAnsi="Times New Roman"/>
      <w:b/>
      <w:shd w:val="clear" w:color="000000"/>
      <w:spacing w:val="-4"/>
      <w:sz w:val="24"/>
      <w:szCs w:val="24"/>
      <w:u w:val="none"/>
      <w:vertAlign w:val="subscript"/>
      <w:w w:val="99"/>
    </w:rPr>
  </w:style>
  <w:style w:customStyle="1" w:styleId="PO175" w:type="character">
    <w:name w:val="PO_T30"/>
    <w:uiPriority w:val="175"/>
    <w:rPr>
      <w:color w:val="000000"/>
      <w:rFonts w:ascii="Wingdings" w:eastAsia="Wingdings" w:hAnsi="Wingdings"/>
      <w:b w:val="0"/>
      <w:shd w:val="clear" w:color="000000"/>
      <w:sz w:val="24"/>
      <w:szCs w:val="24"/>
      <w:u w:val="none"/>
      <w:vertAlign w:val="subscript"/>
      <w:w w:val="100"/>
    </w:rPr>
  </w:style>
  <w:style w:customStyle="1" w:styleId="PO176" w:type="character">
    <w:name w:val="PO_T31"/>
    <w:uiPriority w:val="176"/>
    <w:rPr>
      <w:color w:val="000000"/>
      <w:rFonts w:ascii="Wingdings" w:eastAsia="Wingdings" w:hAnsi="Wingdings"/>
      <w:b/>
      <w:shd w:val="clear" w:color="000000"/>
      <w:sz w:val="24"/>
      <w:szCs w:val="24"/>
      <w:u w:val="none"/>
      <w:vertAlign w:val="subscript"/>
      <w:w w:val="100"/>
    </w:rPr>
  </w:style>
  <w:style w:customStyle="1" w:styleId="PO177" w:type="character">
    <w:name w:val="PO_T32"/>
    <w:uiPriority w:val="177"/>
    <w:rPr>
      <w:color w:val="000000"/>
      <w:rFonts w:ascii="Times New Roman" w:eastAsia="Times New Roman" w:hAnsi="Times New Roman"/>
      <w:b w:val="0"/>
      <w:shd w:val="clear" w:color="000000"/>
      <w:spacing w:val="-15"/>
      <w:sz w:val="24"/>
      <w:szCs w:val="24"/>
      <w:u w:val="none"/>
      <w:vertAlign w:val="subscript"/>
      <w:w w:val="99"/>
    </w:rPr>
  </w:style>
  <w:style w:customStyle="1" w:styleId="PO178" w:type="character">
    <w:name w:val="PO_T33"/>
    <w:uiPriority w:val="178"/>
    <w:rPr>
      <w:color w:val="000000"/>
      <w:rFonts w:ascii="Arial" w:eastAsia="Arial" w:hAnsi="Arial"/>
      <w:b w:val="0"/>
      <w:shd w:val="clear" w:color="000000"/>
      <w:spacing w:val="-6"/>
      <w:sz w:val="24"/>
      <w:szCs w:val="24"/>
      <w:u w:val="none"/>
      <w:vertAlign w:val="subscript"/>
      <w:w w:val="99"/>
    </w:rPr>
  </w:style>
  <w:style w:customStyle="1" w:styleId="PO179" w:type="character">
    <w:name w:val="PO_T34"/>
    <w:uiPriority w:val="179"/>
    <w:rPr>
      <w:color w:val="000000"/>
      <w:rFonts w:ascii="Arial" w:eastAsia="Arial" w:hAnsi="Arial"/>
      <w:b w:val="0"/>
      <w:shd w:val="clear" w:color="000000"/>
      <w:sz w:val="24"/>
      <w:szCs w:val="24"/>
      <w:u w:val="none"/>
      <w:vertAlign w:val="subscript"/>
      <w:w w:val="100"/>
    </w:rPr>
  </w:style>
  <w:style w:customStyle="1" w:styleId="PO180" w:type="paragraph">
    <w:name w:val="Contents Heading"/>
    <w:basedOn w:val="PO6"/>
    <w:uiPriority w:val="180"/>
    <w:rPr>
      <w:color w:val="2E74B5"/>
      <w:b w:val="0"/>
      <w:shd w:val="clear"/>
      <w:sz w:val="20"/>
      <w:szCs w:val="20"/>
      <w:w w:val="100"/>
    </w:rPr>
  </w:style>
  <w:style w:customStyle="1" w:styleId="PO181" w:type="paragraph">
    <w:name w:val="Contents 1"/>
    <w:uiPriority w:val="181"/>
    <w:pPr>
      <w:autoSpaceDE w:val="1"/>
      <w:autoSpaceDN w:val="1"/>
      <w:textAlignment w:val="baseline"/>
      <w:widowControl/>
      <w:wordWrap/>
    </w:pPr>
    <w:rPr>
      <w:color w:val="000000" w:themeColor="text1"/>
      <w:rFonts w:ascii="Arial" w:eastAsia="Times New Roman" w:hAnsi="Arial"/>
      <w:shd w:val="clear"/>
      <w:sz w:val="24"/>
      <w:szCs w:val="24"/>
      <w:w w:val="100"/>
    </w:rPr>
  </w:style>
  <w:style w:customStyle="1" w:styleId="PO182" w:type="paragraph">
    <w:name w:val="Contents 2"/>
    <w:qFormat/>
    <w:uiPriority w:val="182"/>
    <w:pPr>
      <w:autoSpaceDE w:val="1"/>
      <w:autoSpaceDN w:val="1"/>
      <w:ind w:left="425" w:firstLine="0"/>
      <w:textAlignment w:val="baseline"/>
      <w:widowControl/>
      <w:wordWrap/>
    </w:pPr>
    <w:rPr>
      <w:color w:val="000000"/>
      <w:rFonts w:ascii="Arial" w:eastAsia="Times New Roman" w:hAnsi="Arial"/>
      <w:shd w:val="clear"/>
      <w:sz w:val="24"/>
      <w:szCs w:val="24"/>
      <w:w w:val="100"/>
    </w:rPr>
  </w:style>
  <w:style w:customStyle="1" w:styleId="PO183" w:type="paragraph">
    <w:name w:val="Contents 3"/>
    <w:uiPriority w:val="183"/>
    <w:pPr>
      <w:autoSpaceDE w:val="1"/>
      <w:autoSpaceDN w:val="1"/>
      <w:ind w:left="850" w:firstLine="0"/>
      <w:textAlignment w:val="baseline"/>
      <w:widowControl/>
      <w:wordWrap/>
    </w:pPr>
    <w:rPr>
      <w:color w:val="000000"/>
      <w:rFonts w:ascii="Arial" w:eastAsia="Times New Roman" w:hAnsi="Arial"/>
      <w:shd w:val="clear"/>
      <w:sz w:val="24"/>
      <w:szCs w:val="24"/>
      <w:w w:val="100"/>
    </w:rPr>
  </w:style>
  <w:style w:customStyle="1" w:styleId="PO184" w:type="paragraph">
    <w:name w:val="Contents 4"/>
    <w:uiPriority w:val="184"/>
    <w:pPr>
      <w:autoSpaceDE w:val="1"/>
      <w:autoSpaceDN w:val="1"/>
      <w:ind w:left="1275" w:firstLine="0"/>
      <w:textAlignment w:val="baseline"/>
      <w:widowControl/>
      <w:wordWrap/>
    </w:pPr>
    <w:rPr>
      <w:color w:val="000000"/>
      <w:rFonts w:ascii="Segoe UI" w:eastAsia="Times New Roman" w:hAnsi="Segoe UI"/>
      <w:shd w:val="clear"/>
      <w:sz w:val="20"/>
      <w:szCs w:val="20"/>
      <w:w w:val="100"/>
    </w:rPr>
  </w:style>
  <w:style w:customStyle="1" w:styleId="PO185" w:type="paragraph">
    <w:name w:val="Contents 5"/>
    <w:uiPriority w:val="185"/>
    <w:pPr>
      <w:autoSpaceDE w:val="1"/>
      <w:autoSpaceDN w:val="1"/>
      <w:ind w:left="1700" w:firstLine="0"/>
      <w:textAlignment w:val="baseline"/>
      <w:widowControl/>
      <w:wordWrap/>
    </w:pPr>
    <w:rPr>
      <w:color w:val="000000"/>
      <w:rFonts w:ascii="Segoe UI" w:eastAsia="Times New Roman" w:hAnsi="Segoe UI"/>
      <w:shd w:val="clear"/>
      <w:sz w:val="20"/>
      <w:szCs w:val="20"/>
      <w:w w:val="100"/>
    </w:rPr>
  </w:style>
  <w:style w:customStyle="1" w:styleId="PO186" w:type="paragraph">
    <w:name w:val="Contents 6"/>
    <w:uiPriority w:val="186"/>
    <w:pPr>
      <w:autoSpaceDE w:val="1"/>
      <w:autoSpaceDN w:val="1"/>
      <w:ind w:left="2125" w:firstLine="0"/>
      <w:textAlignment w:val="baseline"/>
      <w:widowControl/>
      <w:wordWrap/>
    </w:pPr>
    <w:rPr>
      <w:color w:val="000000"/>
      <w:rFonts w:ascii="Segoe UI" w:eastAsia="Times New Roman" w:hAnsi="Segoe UI"/>
      <w:shd w:val="clear"/>
      <w:sz w:val="20"/>
      <w:szCs w:val="20"/>
      <w:w w:val="100"/>
    </w:rPr>
  </w:style>
  <w:style w:customStyle="1" w:styleId="PO187" w:type="paragraph">
    <w:name w:val="Contents 7"/>
    <w:uiPriority w:val="187"/>
    <w:pPr>
      <w:autoSpaceDE w:val="1"/>
      <w:autoSpaceDN w:val="1"/>
      <w:ind w:left="2550" w:firstLine="0"/>
      <w:textAlignment w:val="baseline"/>
      <w:widowControl/>
      <w:wordWrap/>
    </w:pPr>
    <w:rPr>
      <w:color w:val="000000"/>
      <w:rFonts w:ascii="Segoe UI" w:eastAsia="Times New Roman" w:hAnsi="Segoe UI"/>
      <w:shd w:val="clear"/>
      <w:sz w:val="20"/>
      <w:szCs w:val="20"/>
      <w:w w:val="100"/>
    </w:rPr>
  </w:style>
  <w:style w:customStyle="1" w:styleId="PO188" w:type="paragraph">
    <w:name w:val="Contents 8"/>
    <w:uiPriority w:val="188"/>
    <w:pPr>
      <w:autoSpaceDE w:val="1"/>
      <w:autoSpaceDN w:val="1"/>
      <w:ind w:left="2975" w:firstLine="0"/>
      <w:textAlignment w:val="baseline"/>
      <w:widowControl/>
      <w:wordWrap/>
    </w:pPr>
    <w:rPr>
      <w:color w:val="000000"/>
      <w:rFonts w:ascii="Segoe UI" w:eastAsia="Times New Roman" w:hAnsi="Segoe UI"/>
      <w:shd w:val="clear"/>
      <w:sz w:val="20"/>
      <w:szCs w:val="20"/>
      <w:w w:val="100"/>
    </w:rPr>
  </w:style>
  <w:style w:customStyle="1" w:styleId="PO189" w:type="paragraph">
    <w:name w:val="Contents 9"/>
    <w:uiPriority w:val="189"/>
    <w:pPr>
      <w:autoSpaceDE w:val="1"/>
      <w:autoSpaceDN w:val="1"/>
      <w:ind w:left="3400" w:firstLine="0"/>
      <w:textAlignment w:val="baseline"/>
      <w:widowControl/>
      <w:wordWrap/>
    </w:pPr>
    <w:rPr>
      <w:color w:val="000000"/>
      <w:rFonts w:ascii="Segoe UI" w:eastAsia="Times New Roman" w:hAnsi="Segoe UI"/>
      <w:shd w:val="clear"/>
      <w:sz w:val="20"/>
      <w:szCs w:val="20"/>
      <w:w w:val="100"/>
    </w:rPr>
  </w:style>
  <w:style w:customStyle="1" w:styleId="PO190" w:type="character">
    <w:name w:val="Footnote anchor"/>
    <w:uiPriority w:val="190"/>
    <w:rPr>
      <w:shd w:val="clear" w:color="000000"/>
      <w:sz w:val="20"/>
      <w:szCs w:val="20"/>
      <w:vertAlign w:val="superscript"/>
      <w:w w:val="100"/>
    </w:rPr>
  </w:style>
  <w:style w:customStyle="1" w:styleId="PO191" w:type="character">
    <w:name w:val="Footnote Symbol"/>
    <w:uiPriority w:val="191"/>
  </w:style>
  <w:style w:customStyle="1" w:styleId="PO192" w:type="character">
    <w:name w:val="Endnote anchor"/>
    <w:uiPriority w:val="192"/>
    <w:rPr>
      <w:shd w:val="clear" w:color="000000"/>
      <w:sz w:val="20"/>
      <w:szCs w:val="20"/>
      <w:vertAlign w:val="superscript"/>
      <w:w w:val="100"/>
    </w:rPr>
  </w:style>
  <w:style w:customStyle="1" w:styleId="PO193" w:type="character">
    <w:name w:val="Endnote Symbol"/>
    <w:uiPriority w:val="193"/>
  </w:style>
  <w:style w:styleId="PO194" w:type="character">
    <w:name w:val="Unresolved Mention"/>
    <w:basedOn w:val="PO2"/>
    <w:uiPriority w:val="194"/>
    <w:semiHidden/>
    <w:unhideWhenUsed/>
    <w:rPr>
      <w:color w:val="808080"/>
      <w:shd w:val="clear" w:color="000000" w:fill="E6E6E6"/>
      <w:sz w:val="20"/>
      <w:szCs w:val="20"/>
      <w:w w:val="100"/>
    </w:rPr>
  </w:style>
  <w:style w:styleId="PO195" w:type="paragraph">
    <w:name w:val="header"/>
    <w:basedOn w:val="PO1"/>
    <w:link w:val="PO196"/>
    <w:uiPriority w:val="195"/>
    <w:unhideWhenUsed/>
    <w:pPr>
      <w:autoSpaceDE w:val="1"/>
      <w:autoSpaceDN w:val="1"/>
      <w:tabs>
        <w:tab w:val="center" w:pos="4513"/>
        <w:tab w:val="right" w:pos="9026"/>
      </w:tabs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customStyle="1" w:styleId="PO196" w:type="character">
    <w:name w:val="Header Char"/>
    <w:basedOn w:val="PO2"/>
    <w:link w:val="PO195"/>
    <w:uiPriority w:val="196"/>
    <w:rPr>
      <w:rFonts w:ascii="Calibri" w:eastAsia="Times New Roman" w:hAnsi="Calibri"/>
      <w:shd w:val="clear" w:color="000000"/>
      <w:sz w:val="20"/>
      <w:szCs w:val="20"/>
      <w:w w:val="100"/>
    </w:rPr>
  </w:style>
  <w:style w:styleId="PO197" w:type="paragraph">
    <w:name w:val="footer"/>
    <w:basedOn w:val="PO1"/>
    <w:link w:val="PO198"/>
    <w:uiPriority w:val="197"/>
    <w:pPr>
      <w:autoSpaceDE w:val="1"/>
      <w:autoSpaceDN w:val="1"/>
      <w:tabs>
        <w:tab w:val="center" w:pos="4513"/>
        <w:tab w:val="right" w:pos="9026"/>
      </w:tabs>
      <w:textAlignment w:val="baseline"/>
      <w:widowControl/>
      <w:wordWrap/>
    </w:pPr>
    <w:rPr>
      <w:rFonts w:ascii="Segoe UI" w:eastAsia="Times New Roman" w:hAnsi="Segoe UI"/>
      <w:shd w:val="clear"/>
      <w:sz w:val="20"/>
      <w:szCs w:val="20"/>
      <w:w w:val="100"/>
    </w:rPr>
  </w:style>
  <w:style w:customStyle="1" w:styleId="PO198" w:type="character">
    <w:name w:val="Footer Char"/>
    <w:basedOn w:val="PO2"/>
    <w:link w:val="PO197"/>
    <w:uiPriority w:val="198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199" w:type="numbering">
    <w:name w:val="PO_L1"/>
    <w:basedOn w:val="PO4"/>
    <w:uiPriority w:val="199"/>
  </w:style>
  <w:style w:customStyle="1" w:styleId="PO200" w:type="numbering">
    <w:name w:val="PO_L2"/>
    <w:basedOn w:val="PO4"/>
    <w:uiPriority w:val="200"/>
  </w:style>
  <w:style w:customStyle="1" w:styleId="PO201" w:type="numbering">
    <w:name w:val="PO_L3"/>
    <w:basedOn w:val="PO4"/>
    <w:uiPriority w:val="201"/>
  </w:style>
  <w:style w:customStyle="1" w:styleId="PO202" w:type="numbering">
    <w:name w:val="PO_L4"/>
    <w:basedOn w:val="PO4"/>
    <w:uiPriority w:val="202"/>
  </w:style>
  <w:style w:customStyle="1" w:styleId="PO203" w:type="numbering">
    <w:name w:val="PO_L5"/>
    <w:basedOn w:val="PO4"/>
    <w:uiPriority w:val="203"/>
  </w:style>
  <w:style w:customStyle="1" w:styleId="PO204" w:type="numbering">
    <w:name w:val="PO_L6"/>
    <w:basedOn w:val="PO4"/>
    <w:uiPriority w:val="204"/>
  </w:style>
  <w:style w:customStyle="1" w:styleId="PO205" w:type="numbering">
    <w:name w:val="PO_L7"/>
    <w:basedOn w:val="PO4"/>
    <w:uiPriority w:val="205"/>
  </w:style>
  <w:style w:customStyle="1" w:styleId="PO206" w:type="numbering">
    <w:name w:val="PO_L8"/>
    <w:basedOn w:val="PO4"/>
    <w:uiPriority w:val="206"/>
  </w:style>
  <w:style w:customStyle="1" w:styleId="PO207" w:type="numbering">
    <w:name w:val="PO_L9"/>
    <w:basedOn w:val="PO4"/>
    <w:uiPriority w:val="207"/>
  </w:style>
  <w:style w:customStyle="1" w:styleId="PO208" w:type="numbering">
    <w:name w:val="PO_L10"/>
    <w:basedOn w:val="PO4"/>
    <w:uiPriority w:val="208"/>
  </w:style>
  <w:style w:customStyle="1" w:styleId="PO209" w:type="numbering">
    <w:name w:val="PO_L11"/>
    <w:basedOn w:val="PO4"/>
    <w:uiPriority w:val="209"/>
  </w:style>
  <w:style w:customStyle="1" w:styleId="PO210" w:type="numbering">
    <w:name w:val="PO_L12"/>
    <w:basedOn w:val="PO4"/>
    <w:uiPriority w:val="210"/>
  </w:style>
  <w:style w:customStyle="1" w:styleId="PO211" w:type="numbering">
    <w:name w:val="PO_L13"/>
    <w:basedOn w:val="PO4"/>
    <w:uiPriority w:val="211"/>
  </w:style>
  <w:style w:customStyle="1" w:styleId="PO212" w:type="numbering">
    <w:name w:val="PO_L14"/>
    <w:basedOn w:val="PO4"/>
    <w:uiPriority w:val="212"/>
  </w:style>
  <w:style w:customStyle="1" w:styleId="PO213" w:type="numbering">
    <w:name w:val="PO_L15"/>
    <w:basedOn w:val="PO4"/>
    <w:uiPriority w:val="213"/>
  </w:style>
  <w:style w:customStyle="1" w:styleId="PO214" w:type="numbering">
    <w:name w:val="PO_L16"/>
    <w:basedOn w:val="PO4"/>
    <w:uiPriority w:val="214"/>
  </w:style>
  <w:style w:customStyle="1" w:styleId="PO215" w:type="numbering">
    <w:name w:val="PO_L17"/>
    <w:basedOn w:val="PO4"/>
    <w:uiPriority w:val="215"/>
  </w:style>
  <w:style w:customStyle="1" w:styleId="PO216" w:type="numbering">
    <w:name w:val="PO_L18"/>
    <w:basedOn w:val="PO4"/>
    <w:uiPriority w:val="216"/>
  </w:style>
  <w:style w:customStyle="1" w:styleId="PO217" w:type="numbering">
    <w:name w:val="PO_L19"/>
    <w:basedOn w:val="PO4"/>
    <w:uiPriority w:val="217"/>
  </w:style>
  <w:style w:customStyle="1" w:styleId="PO218" w:type="numbering">
    <w:name w:val="PO_L20"/>
    <w:basedOn w:val="PO4"/>
    <w:uiPriority w:val="218"/>
  </w:style>
  <w:style w:customStyle="1" w:styleId="PO219" w:type="numbering">
    <w:name w:val="PO_L21"/>
    <w:basedOn w:val="PO4"/>
    <w:uiPriority w:val="219"/>
  </w:style>
  <w:style w:customStyle="1" w:styleId="PO220" w:type="paragraph">
    <w:name w:val="Title 1"/>
    <w:basedOn w:val="PO1"/>
    <w:link w:val="PO222"/>
    <w:qFormat/>
    <w:uiPriority w:val="220"/>
    <w:rPr>
      <w:rFonts w:ascii="Arial" w:eastAsia="Times New Roman" w:hAnsi="Arial"/>
      <w:b/>
      <w:shd w:val="clear"/>
      <w:sz w:val="24"/>
      <w:szCs w:val="24"/>
      <w:w w:val="100"/>
    </w:rPr>
  </w:style>
  <w:style w:customStyle="1" w:styleId="PO221" w:type="paragraph">
    <w:name w:val="Style2"/>
    <w:basedOn w:val="PO5"/>
    <w:link w:val="PO224"/>
    <w:qFormat/>
    <w:uiPriority w:val="221"/>
    <w:rPr>
      <w:rFonts w:ascii="Segoe UI" w:eastAsia="Arial" w:hAnsi="Segoe UI"/>
      <w:shd w:val="clear"/>
      <w:sz w:val="20"/>
      <w:szCs w:val="20"/>
      <w:w w:val="100"/>
    </w:rPr>
  </w:style>
  <w:style w:customStyle="1" w:styleId="PO222" w:type="character">
    <w:name w:val="Title 1 Char"/>
    <w:basedOn w:val="PO2"/>
    <w:link w:val="PO220"/>
    <w:uiPriority w:val="222"/>
    <w:rPr>
      <w:rFonts w:ascii="Arial" w:eastAsia="Times New Roman" w:hAnsi="Arial"/>
      <w:b/>
      <w:shd w:val="clear" w:color="000000"/>
      <w:sz w:val="24"/>
      <w:szCs w:val="24"/>
      <w:w w:val="100"/>
    </w:rPr>
  </w:style>
  <w:style w:customStyle="1" w:styleId="PO223" w:type="character">
    <w:name w:val="No Spacing Char"/>
    <w:basedOn w:val="PO2"/>
    <w:link w:val="PO5"/>
    <w:uiPriority w:val="223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224" w:type="character">
    <w:name w:val="Style2 Char"/>
    <w:basedOn w:val="PO223"/>
    <w:link w:val="PO221"/>
    <w:uiPriority w:val="224"/>
    <w:rPr>
      <w:rFonts w:ascii="Calibri" w:eastAsia="Times New Roman" w:hAnsi="Calibri"/>
      <w:shd w:val="clear" w:color="000000"/>
      <w:sz w:val="20"/>
      <w:szCs w:val="20"/>
      <w:w w:val="100"/>
    </w:rPr>
  </w:style>
  <w:style w:customStyle="1" w:styleId="PO225" w:type="table">
    <w:name w:val="Table Grid1"/>
    <w:next w:val="PO38"/>
    <w:uiPriority w:val="225"/>
    <w:tblPr>
      <w:tblBorders>
        <w:bottom w:val="single" w:color="auto" w:sz="4"/>
        <w:insideH w:val="single" w:color="auto" w:sz="4"/>
        <w:insideV w:val="single" w:color="auto" w:sz="4"/>
        <w:left w:val="single" w:color="auto" w:sz="4"/>
        <w:right w:val="single" w:color="auto" w:sz="4"/>
        <w:top w:val="single" w:color="auto" w:sz="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image" Target="media/image1.png"></Relationship><Relationship Id="rId6" Type="http://schemas.openxmlformats.org/officeDocument/2006/relationships/image" Target="media/image2.png"></Relationship><Relationship Id="rId7" Type="http://schemas.openxmlformats.org/officeDocument/2006/relationships/image" Target="media/image3.png"></Relationship><Relationship Id="rId8" Type="http://schemas.openxmlformats.org/officeDocument/2006/relationships/image" Target="media/image4.png"></Relationship><Relationship Id="rId9" Type="http://schemas.openxmlformats.org/officeDocument/2006/relationships/image" Target="media/image5.png"></Relationship><Relationship Id="rId10" Type="http://schemas.openxmlformats.org/officeDocument/2006/relationships/image" Target="media/image6.png"></Relationship><Relationship Id="rId11" Type="http://schemas.openxmlformats.org/officeDocument/2006/relationships/image" Target="media/image7.png"></Relationship><Relationship Id="rId12" Type="http://schemas.openxmlformats.org/officeDocument/2006/relationships/image" Target="media/image8.png"></Relationship><Relationship Id="rId13" Type="http://schemas.openxmlformats.org/officeDocument/2006/relationships/image" Target="media/image9.png"></Relationship><Relationship Id="rId14" Type="http://schemas.openxmlformats.org/officeDocument/2006/relationships/image" Target="media/image10.png"></Relationship><Relationship Id="rId15" Type="http://schemas.openxmlformats.org/officeDocument/2006/relationships/image" Target="media/image11.png"></Relationship><Relationship Id="rId16" Type="http://schemas.openxmlformats.org/officeDocument/2006/relationships/image" Target="media/image12.png"></Relationship><Relationship Id="rId17" Type="http://schemas.openxmlformats.org/officeDocument/2006/relationships/image" Target="media/image13.png"></Relationship><Relationship Id="rId18" Type="http://schemas.openxmlformats.org/officeDocument/2006/relationships/image" Target="media/image14.png"></Relationship><Relationship Id="rId19" Type="http://schemas.openxmlformats.org/officeDocument/2006/relationships/image" Target="media/image15.png"></Relationship><Relationship Id="rId20" Type="http://schemas.openxmlformats.org/officeDocument/2006/relationships/image" Target="media/image16.png"></Relationship><Relationship Id="rId21" Type="http://schemas.openxmlformats.org/officeDocument/2006/relationships/image" Target="media/image17.png"></Relationship><Relationship Id="rId22" Type="http://schemas.openxmlformats.org/officeDocument/2006/relationships/image" Target="media/image18.jpeg"></Relationship><Relationship Id="rId23" Type="http://schemas.openxmlformats.org/officeDocument/2006/relationships/image" Target="media/image19.png"></Relationship><Relationship Id="rId24" Type="http://schemas.openxmlformats.org/officeDocument/2006/relationships/image" Target="media/image20.png"></Relationship><Relationship Id="rId25" Type="http://schemas.openxmlformats.org/officeDocument/2006/relationships/image" Target="media/image21.png"></Relationship><Relationship Id="rId26" Type="http://schemas.openxmlformats.org/officeDocument/2006/relationships/image" Target="media/image22.png"></Relationship><Relationship Id="rId27" Type="http://schemas.openxmlformats.org/officeDocument/2006/relationships/image" Target="media/image23.png"></Relationship><Relationship Id="rId28" Type="http://schemas.openxmlformats.org/officeDocument/2006/relationships/image" Target="media/image24.png"></Relationship><Relationship Id="rId29" Type="http://schemas.openxmlformats.org/officeDocument/2006/relationships/image" Target="media/image25.png"></Relationship><Relationship Id="rId30" Type="http://schemas.openxmlformats.org/officeDocument/2006/relationships/image" Target="media/image26.png"></Relationship><Relationship Id="rId31" Type="http://schemas.openxmlformats.org/officeDocument/2006/relationships/image" Target="media/image27.png"></Relationship><Relationship Id="rId32" Type="http://schemas.openxmlformats.org/officeDocument/2006/relationships/image" Target="media/image28.png"></Relationship><Relationship Id="rId33" Type="http://schemas.openxmlformats.org/officeDocument/2006/relationships/image" Target="media/image29.png"></Relationship><Relationship Id="rId34" Type="http://schemas.openxmlformats.org/officeDocument/2006/relationships/image" Target="media/image30.png"></Relationship><Relationship Id="rId35" Type="http://schemas.openxmlformats.org/officeDocument/2006/relationships/footer" Target="footer2.xml"></Relationship><Relationship Id="rId36" Type="http://schemas.openxmlformats.org/officeDocument/2006/relationships/image" Target="media/image31.png"></Relationship><Relationship Id="rId37" Type="http://schemas.openxmlformats.org/officeDocument/2006/relationships/image" Target="media/image32.png"></Relationship><Relationship Id="rId38" Type="http://schemas.openxmlformats.org/officeDocument/2006/relationships/image" Target="media/image33.png"></Relationship><Relationship Id="rId39" Type="http://schemas.openxmlformats.org/officeDocument/2006/relationships/image" Target="media/image34.png"></Relationship><Relationship Id="rId40" Type="http://schemas.openxmlformats.org/officeDocument/2006/relationships/image" Target="media/image35.png"></Relationship><Relationship Id="rId41" Type="http://schemas.openxmlformats.org/officeDocument/2006/relationships/image" Target="media/fImage13311323741.png"></Relationship><Relationship Id="rId42" Type="http://schemas.openxmlformats.org/officeDocument/2006/relationships/image" Target="media/image37.png"></Relationship><Relationship Id="rId43" Type="http://schemas.openxmlformats.org/officeDocument/2006/relationships/image" Target="media/image38.png"></Relationship><Relationship Id="rId44" Type="http://schemas.openxmlformats.org/officeDocument/2006/relationships/image" Target="media/image39.png"></Relationship><Relationship Id="rId45" Type="http://schemas.openxmlformats.org/officeDocument/2006/relationships/image" Target="media/image40.png"></Relationship><Relationship Id="rId46" Type="http://schemas.openxmlformats.org/officeDocument/2006/relationships/image" Target="media/image41.png"></Relationship><Relationship Id="rId47" Type="http://schemas.openxmlformats.org/officeDocument/2006/relationships/image" Target="media/image42.png"></Relationship><Relationship Id="rId48" Type="http://schemas.openxmlformats.org/officeDocument/2006/relationships/image" Target="media/image43.png"></Relationship><Relationship Id="rId49" Type="http://schemas.openxmlformats.org/officeDocument/2006/relationships/image" Target="media/image44.png"></Relationship><Relationship Id="rId50" Type="http://schemas.openxmlformats.org/officeDocument/2006/relationships/image" Target="media/image45.png"></Relationship><Relationship Id="rId51" Type="http://schemas.openxmlformats.org/officeDocument/2006/relationships/footer" Target="footer120.xml"></Relationship><Relationship Id="rId52" Type="http://schemas.openxmlformats.org/officeDocument/2006/relationships/image" Target="media/image46.png"></Relationship><Relationship Id="rId53" Type="http://schemas.openxmlformats.org/officeDocument/2006/relationships/image" Target="media/image47.png"></Relationship><Relationship Id="rId54" Type="http://schemas.openxmlformats.org/officeDocument/2006/relationships/image" Target="media/image48.png"></Relationship><Relationship Id="rId55" Type="http://schemas.openxmlformats.org/officeDocument/2006/relationships/image" Target="media/image49.png"></Relationship><Relationship Id="rId56" Type="http://schemas.openxmlformats.org/officeDocument/2006/relationships/image" Target="media/image50.png"></Relationship><Relationship Id="rId57" Type="http://schemas.openxmlformats.org/officeDocument/2006/relationships/image" Target="media/fImage13579821341.png"></Relationship><Relationship Id="rId58" Type="http://schemas.openxmlformats.org/officeDocument/2006/relationships/image" Target="media/image52.png"></Relationship><Relationship Id="rId59" Type="http://schemas.openxmlformats.org/officeDocument/2006/relationships/numbering" Target="numbering.xml"></Relationship><Relationship Id="rId60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Company>mba dissertation</Company>
  <DocSecurity>0</DocSecurity>
  <HyperlinksChanged>false</HyperlinksChanged>
  <Lines>947</Lines>
  <LinksUpToDate>false</LinksUpToDate>
  <Pages>96</Pages>
  <Paragraphs>261</Paragraphs>
  <Words>17500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Chibueze Duru</dc:creator>
  <cp:lastModifiedBy/>
  <dc:subject>C</dc:subject>
  <dcterms:modified xsi:type="dcterms:W3CDTF">2019-02-19T12:11:00Z</dcterms:modified>
</cp:coreProperties>
</file>