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F917A" w14:textId="77777777" w:rsidR="007B0418" w:rsidRDefault="007B0418" w:rsidP="007B0418">
      <w:pPr>
        <w:spacing w:before="2400"/>
      </w:pPr>
    </w:p>
    <w:p w14:paraId="4B2CE351" w14:textId="77777777" w:rsidR="007B0418" w:rsidRPr="0066593D" w:rsidRDefault="007B0418" w:rsidP="007B0418">
      <w:pPr>
        <w:spacing w:line="360" w:lineRule="auto"/>
        <w:jc w:val="center"/>
        <w:rPr>
          <w:sz w:val="40"/>
          <w:szCs w:val="40"/>
        </w:rPr>
      </w:pPr>
      <w:r w:rsidRPr="0066593D">
        <w:rPr>
          <w:b/>
          <w:bCs/>
          <w:sz w:val="40"/>
          <w:szCs w:val="40"/>
        </w:rPr>
        <w:t>Simona Elisabeta Brendea</w:t>
      </w:r>
    </w:p>
    <w:p w14:paraId="141966C8" w14:textId="77777777" w:rsidR="007B0418" w:rsidRPr="0066593D" w:rsidRDefault="007B0418" w:rsidP="007B0418">
      <w:pPr>
        <w:spacing w:line="360" w:lineRule="auto"/>
        <w:jc w:val="center"/>
        <w:rPr>
          <w:sz w:val="40"/>
          <w:szCs w:val="40"/>
        </w:rPr>
      </w:pPr>
      <w:r w:rsidRPr="0066593D">
        <w:rPr>
          <w:sz w:val="40"/>
          <w:szCs w:val="40"/>
        </w:rPr>
        <w:t>Student ID: 2322799</w:t>
      </w:r>
    </w:p>
    <w:p w14:paraId="2D88BDA8" w14:textId="77777777" w:rsidR="007B0418" w:rsidRPr="0066593D" w:rsidRDefault="007B0418" w:rsidP="007B0418">
      <w:pPr>
        <w:spacing w:line="360" w:lineRule="auto"/>
        <w:jc w:val="center"/>
        <w:rPr>
          <w:sz w:val="40"/>
          <w:szCs w:val="40"/>
        </w:rPr>
      </w:pPr>
      <w:r w:rsidRPr="0066593D">
        <w:rPr>
          <w:sz w:val="40"/>
          <w:szCs w:val="40"/>
        </w:rPr>
        <w:t>Module Code: BMHP6020</w:t>
      </w:r>
    </w:p>
    <w:p w14:paraId="71E095F1" w14:textId="77777777" w:rsidR="007B0418" w:rsidRDefault="007B0418" w:rsidP="007B0418">
      <w:pPr>
        <w:spacing w:line="360" w:lineRule="auto"/>
        <w:jc w:val="center"/>
        <w:rPr>
          <w:sz w:val="40"/>
          <w:szCs w:val="40"/>
        </w:rPr>
      </w:pPr>
      <w:r w:rsidRPr="0066593D">
        <w:rPr>
          <w:sz w:val="40"/>
          <w:szCs w:val="40"/>
        </w:rPr>
        <w:t>Module Title: Independent Project</w:t>
      </w:r>
    </w:p>
    <w:p w14:paraId="22F2C165" w14:textId="26828C6D" w:rsidR="00D12D79" w:rsidRPr="0066593D" w:rsidRDefault="00D12D79" w:rsidP="007B0418">
      <w:pPr>
        <w:spacing w:line="360" w:lineRule="auto"/>
        <w:jc w:val="center"/>
        <w:rPr>
          <w:sz w:val="40"/>
          <w:szCs w:val="40"/>
        </w:rPr>
      </w:pPr>
      <w:r>
        <w:rPr>
          <w:sz w:val="40"/>
          <w:szCs w:val="40"/>
        </w:rPr>
        <w:t>Lecturer: Danielle Dunne</w:t>
      </w:r>
    </w:p>
    <w:p w14:paraId="4FE53C6E" w14:textId="77777777" w:rsidR="007B0418" w:rsidRDefault="007B0418" w:rsidP="007B0418">
      <w:pPr>
        <w:spacing w:before="720"/>
      </w:pPr>
    </w:p>
    <w:p w14:paraId="284C27CC" w14:textId="77777777" w:rsidR="007B0418" w:rsidRDefault="007B0418" w:rsidP="007B0418">
      <w:pPr>
        <w:spacing w:line="360" w:lineRule="auto"/>
        <w:jc w:val="center"/>
      </w:pPr>
      <w:r>
        <w:rPr>
          <w:b/>
          <w:bCs/>
          <w:sz w:val="32"/>
          <w:szCs w:val="32"/>
        </w:rPr>
        <w:t>Barriers and Facilitators to Delivering Person-Centred Care for People Living with Dementia in UK Care Homes: A Systematic Literature Review</w:t>
      </w:r>
    </w:p>
    <w:p w14:paraId="0C9F7CCD" w14:textId="77777777" w:rsidR="007B0418" w:rsidRDefault="007B0418" w:rsidP="007B0418">
      <w:r>
        <w:br w:type="page"/>
      </w:r>
    </w:p>
    <w:p w14:paraId="5D838715" w14:textId="77777777" w:rsidR="007B0418" w:rsidRDefault="007B0418" w:rsidP="007B0418">
      <w:pPr>
        <w:spacing w:after="120" w:line="360" w:lineRule="auto"/>
      </w:pPr>
      <w:r>
        <w:rPr>
          <w:b/>
          <w:bCs/>
          <w:sz w:val="32"/>
          <w:szCs w:val="32"/>
        </w:rPr>
        <w:lastRenderedPageBreak/>
        <w:t>Table of Contents</w:t>
      </w:r>
    </w:p>
    <w:sdt>
      <w:sdtPr>
        <w:alias w:val="Table of Contents"/>
        <w:id w:val="-2094230541"/>
      </w:sdtPr>
      <w:sdtContent>
        <w:p w14:paraId="3DD08BE9" w14:textId="13E493EE" w:rsidR="006F1BB1" w:rsidRDefault="007B0418">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\h \o "1-1"</w:instrText>
          </w:r>
          <w:r>
            <w:fldChar w:fldCharType="separate"/>
          </w:r>
          <w:hyperlink w:anchor="_Toc242741594" w:history="1">
            <w:r w:rsidR="006F1BB1" w:rsidRPr="00804E7F">
              <w:rPr>
                <w:rStyle w:val="Hyperlink"/>
                <w:noProof/>
              </w:rPr>
              <w:t>1. Rationale and Background</w:t>
            </w:r>
            <w:r w:rsidR="006F1BB1">
              <w:rPr>
                <w:noProof/>
              </w:rPr>
              <w:tab/>
            </w:r>
            <w:r w:rsidR="006F1BB1">
              <w:rPr>
                <w:noProof/>
              </w:rPr>
              <w:fldChar w:fldCharType="begin"/>
            </w:r>
            <w:r w:rsidR="006F1BB1">
              <w:rPr>
                <w:noProof/>
              </w:rPr>
              <w:instrText xml:space="preserve"> PAGEREF _Toc242741594 \h </w:instrText>
            </w:r>
            <w:r w:rsidR="006F1BB1">
              <w:rPr>
                <w:noProof/>
              </w:rPr>
            </w:r>
            <w:r w:rsidR="006F1BB1">
              <w:rPr>
                <w:noProof/>
              </w:rPr>
              <w:fldChar w:fldCharType="separate"/>
            </w:r>
            <w:r w:rsidR="006F1BB1">
              <w:rPr>
                <w:noProof/>
              </w:rPr>
              <w:t>3</w:t>
            </w:r>
            <w:r w:rsidR="006F1BB1">
              <w:rPr>
                <w:noProof/>
              </w:rPr>
              <w:fldChar w:fldCharType="end"/>
            </w:r>
          </w:hyperlink>
        </w:p>
        <w:p w14:paraId="04944283" w14:textId="3826FEFC" w:rsidR="006F1BB1" w:rsidRDefault="006F1BB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2741595" w:history="1">
            <w:r w:rsidRPr="00804E7F">
              <w:rPr>
                <w:rStyle w:val="Hyperlink"/>
                <w:noProof/>
              </w:rPr>
              <w:t>2. Research Question, Aim and Objectives</w:t>
            </w:r>
            <w:r>
              <w:rPr>
                <w:noProof/>
              </w:rPr>
              <w:tab/>
            </w:r>
            <w:r>
              <w:rPr>
                <w:noProof/>
              </w:rPr>
              <w:fldChar w:fldCharType="begin"/>
            </w:r>
            <w:r>
              <w:rPr>
                <w:noProof/>
              </w:rPr>
              <w:instrText xml:space="preserve"> PAGEREF _Toc242741595 \h </w:instrText>
            </w:r>
            <w:r>
              <w:rPr>
                <w:noProof/>
              </w:rPr>
            </w:r>
            <w:r>
              <w:rPr>
                <w:noProof/>
              </w:rPr>
              <w:fldChar w:fldCharType="separate"/>
            </w:r>
            <w:r>
              <w:rPr>
                <w:noProof/>
              </w:rPr>
              <w:t>3</w:t>
            </w:r>
            <w:r>
              <w:rPr>
                <w:noProof/>
              </w:rPr>
              <w:fldChar w:fldCharType="end"/>
            </w:r>
          </w:hyperlink>
        </w:p>
        <w:p w14:paraId="46C85F66" w14:textId="62EFF320" w:rsidR="006F1BB1" w:rsidRDefault="006F1BB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2741596" w:history="1">
            <w:r w:rsidRPr="00804E7F">
              <w:rPr>
                <w:rStyle w:val="Hyperlink"/>
                <w:noProof/>
              </w:rPr>
              <w:t>3. Proposed Methodology</w:t>
            </w:r>
            <w:r>
              <w:rPr>
                <w:noProof/>
              </w:rPr>
              <w:tab/>
            </w:r>
            <w:r>
              <w:rPr>
                <w:noProof/>
              </w:rPr>
              <w:fldChar w:fldCharType="begin"/>
            </w:r>
            <w:r>
              <w:rPr>
                <w:noProof/>
              </w:rPr>
              <w:instrText xml:space="preserve"> PAGEREF _Toc242741596 \h </w:instrText>
            </w:r>
            <w:r>
              <w:rPr>
                <w:noProof/>
              </w:rPr>
            </w:r>
            <w:r>
              <w:rPr>
                <w:noProof/>
              </w:rPr>
              <w:fldChar w:fldCharType="separate"/>
            </w:r>
            <w:r>
              <w:rPr>
                <w:noProof/>
              </w:rPr>
              <w:t>3</w:t>
            </w:r>
            <w:r>
              <w:rPr>
                <w:noProof/>
              </w:rPr>
              <w:fldChar w:fldCharType="end"/>
            </w:r>
          </w:hyperlink>
        </w:p>
        <w:p w14:paraId="1000B4A8" w14:textId="3347E695" w:rsidR="006F1BB1" w:rsidRDefault="006F1BB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2741597" w:history="1">
            <w:r w:rsidRPr="00804E7F">
              <w:rPr>
                <w:rStyle w:val="Hyperlink"/>
                <w:noProof/>
              </w:rPr>
              <w:t>4. Ethical Considerations</w:t>
            </w:r>
            <w:r>
              <w:rPr>
                <w:noProof/>
              </w:rPr>
              <w:tab/>
            </w:r>
            <w:r>
              <w:rPr>
                <w:noProof/>
              </w:rPr>
              <w:fldChar w:fldCharType="begin"/>
            </w:r>
            <w:r>
              <w:rPr>
                <w:noProof/>
              </w:rPr>
              <w:instrText xml:space="preserve"> PAGEREF _Toc242741597 \h </w:instrText>
            </w:r>
            <w:r>
              <w:rPr>
                <w:noProof/>
              </w:rPr>
            </w:r>
            <w:r>
              <w:rPr>
                <w:noProof/>
              </w:rPr>
              <w:fldChar w:fldCharType="separate"/>
            </w:r>
            <w:r>
              <w:rPr>
                <w:noProof/>
              </w:rPr>
              <w:t>4</w:t>
            </w:r>
            <w:r>
              <w:rPr>
                <w:noProof/>
              </w:rPr>
              <w:fldChar w:fldCharType="end"/>
            </w:r>
          </w:hyperlink>
        </w:p>
        <w:p w14:paraId="061F5A64" w14:textId="1ED26E55" w:rsidR="006F1BB1" w:rsidRDefault="006F1BB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2741598" w:history="1">
            <w:r w:rsidRPr="00804E7F">
              <w:rPr>
                <w:rStyle w:val="Hyperlink"/>
                <w:noProof/>
              </w:rPr>
              <w:t>5. Feasibility and Timescale</w:t>
            </w:r>
            <w:r>
              <w:rPr>
                <w:noProof/>
              </w:rPr>
              <w:tab/>
            </w:r>
            <w:r>
              <w:rPr>
                <w:noProof/>
              </w:rPr>
              <w:fldChar w:fldCharType="begin"/>
            </w:r>
            <w:r>
              <w:rPr>
                <w:noProof/>
              </w:rPr>
              <w:instrText xml:space="preserve"> PAGEREF _Toc242741598 \h </w:instrText>
            </w:r>
            <w:r>
              <w:rPr>
                <w:noProof/>
              </w:rPr>
            </w:r>
            <w:r>
              <w:rPr>
                <w:noProof/>
              </w:rPr>
              <w:fldChar w:fldCharType="separate"/>
            </w:r>
            <w:r>
              <w:rPr>
                <w:noProof/>
              </w:rPr>
              <w:t>4</w:t>
            </w:r>
            <w:r>
              <w:rPr>
                <w:noProof/>
              </w:rPr>
              <w:fldChar w:fldCharType="end"/>
            </w:r>
          </w:hyperlink>
        </w:p>
        <w:p w14:paraId="7BDB5B22" w14:textId="5D717FAF" w:rsidR="006F1BB1" w:rsidRDefault="006F1BB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2741599" w:history="1">
            <w:r w:rsidRPr="00804E7F">
              <w:rPr>
                <w:rStyle w:val="Hyperlink"/>
                <w:noProof/>
              </w:rPr>
              <w:t>6. Anticipated Contribution to Practice</w:t>
            </w:r>
            <w:r>
              <w:rPr>
                <w:noProof/>
              </w:rPr>
              <w:tab/>
            </w:r>
            <w:r>
              <w:rPr>
                <w:noProof/>
              </w:rPr>
              <w:fldChar w:fldCharType="begin"/>
            </w:r>
            <w:r>
              <w:rPr>
                <w:noProof/>
              </w:rPr>
              <w:instrText xml:space="preserve"> PAGEREF _Toc242741599 \h </w:instrText>
            </w:r>
            <w:r>
              <w:rPr>
                <w:noProof/>
              </w:rPr>
            </w:r>
            <w:r>
              <w:rPr>
                <w:noProof/>
              </w:rPr>
              <w:fldChar w:fldCharType="separate"/>
            </w:r>
            <w:r>
              <w:rPr>
                <w:noProof/>
              </w:rPr>
              <w:t>4</w:t>
            </w:r>
            <w:r>
              <w:rPr>
                <w:noProof/>
              </w:rPr>
              <w:fldChar w:fldCharType="end"/>
            </w:r>
          </w:hyperlink>
        </w:p>
        <w:p w14:paraId="29441905" w14:textId="2E4B3A54" w:rsidR="006F1BB1" w:rsidRDefault="006F1BB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42741600" w:history="1">
            <w:r w:rsidRPr="00804E7F">
              <w:rPr>
                <w:rStyle w:val="Hyperlink"/>
                <w:noProof/>
              </w:rPr>
              <w:t>References</w:t>
            </w:r>
            <w:r>
              <w:rPr>
                <w:noProof/>
              </w:rPr>
              <w:tab/>
            </w:r>
            <w:r>
              <w:rPr>
                <w:noProof/>
              </w:rPr>
              <w:fldChar w:fldCharType="begin"/>
            </w:r>
            <w:r>
              <w:rPr>
                <w:noProof/>
              </w:rPr>
              <w:instrText xml:space="preserve"> PAGEREF _Toc242741600 \h </w:instrText>
            </w:r>
            <w:r>
              <w:rPr>
                <w:noProof/>
              </w:rPr>
            </w:r>
            <w:r>
              <w:rPr>
                <w:noProof/>
              </w:rPr>
              <w:fldChar w:fldCharType="separate"/>
            </w:r>
            <w:r>
              <w:rPr>
                <w:noProof/>
              </w:rPr>
              <w:t>5</w:t>
            </w:r>
            <w:r>
              <w:rPr>
                <w:noProof/>
              </w:rPr>
              <w:fldChar w:fldCharType="end"/>
            </w:r>
          </w:hyperlink>
        </w:p>
        <w:p w14:paraId="04B68F6A" w14:textId="34809D6C" w:rsidR="007B0418" w:rsidRDefault="007B0418" w:rsidP="007B0418">
          <w:r>
            <w:fldChar w:fldCharType="end"/>
          </w:r>
        </w:p>
      </w:sdtContent>
    </w:sdt>
    <w:p w14:paraId="6AA8865C" w14:textId="77777777" w:rsidR="007B0418" w:rsidRDefault="007B0418" w:rsidP="007B0418">
      <w:r>
        <w:br w:type="page"/>
      </w:r>
    </w:p>
    <w:p w14:paraId="5E3761BE" w14:textId="77777777" w:rsidR="007B0418" w:rsidRDefault="007B0418" w:rsidP="007B0418">
      <w:pPr>
        <w:pStyle w:val="Heading1"/>
      </w:pPr>
      <w:bookmarkStart w:id="0" w:name="_Toc242741594"/>
      <w:r>
        <w:lastRenderedPageBreak/>
        <w:t>1. Rationale and Background</w:t>
      </w:r>
      <w:bookmarkEnd w:id="0"/>
    </w:p>
    <w:p w14:paraId="0DADAC90" w14:textId="77777777" w:rsidR="007B0418" w:rsidRDefault="007B0418" w:rsidP="007B0418">
      <w:pPr>
        <w:spacing w:line="360" w:lineRule="auto"/>
        <w:jc w:val="both"/>
      </w:pPr>
      <w:r>
        <w:t>An estimated 982,000 people in the UK have dementia, a number expected to rise to 1.4 million by 2040 (Alzheimer’s Society, 2024). In care homes, around four in five residents have dementia or severe memory problems (Alzheimer’s Society, 2013). National guidance recommends person-centred care (NICE, 2018), an approach based on Kitwood’s (1997) argument that the personhood of people with dementia should be respected despite their cognitive impairments. Trial and meta-analytic evidence suggests that it reduces agitation amongst residents (Chenoweth et al., 2009; Kim and Park, 2017). However, a wide gap remains between its principles and everyday practice (Guan et al., 2025).</w:t>
      </w:r>
    </w:p>
    <w:p w14:paraId="5AC1D16D" w14:textId="77777777" w:rsidR="007B0418" w:rsidRDefault="007B0418" w:rsidP="007B0418">
      <w:pPr>
        <w:spacing w:line="360" w:lineRule="auto"/>
        <w:jc w:val="both"/>
      </w:pPr>
      <w:r>
        <w:t>Pressure on the workforce may also play a role, as adult social care in England reported a 7% vacancy rate in 2024/25 (Skills for Care, 2025). Existing reviews have either compared long-term care in Western and Asian countries (Guan et al., 2025) or focused specifically on leadership by care home managers (Moenke, Handley and Goodman, 2023). A review focused on UK care homes and interpreted against UK policy is therefore needed.</w:t>
      </w:r>
    </w:p>
    <w:p w14:paraId="588C1684" w14:textId="77777777" w:rsidR="007B0418" w:rsidRDefault="007B0418" w:rsidP="007B0418">
      <w:pPr>
        <w:pStyle w:val="Heading1"/>
      </w:pPr>
      <w:bookmarkStart w:id="1" w:name="_Toc242741595"/>
      <w:r>
        <w:t>2. Research Question, Aim and Objectives</w:t>
      </w:r>
      <w:bookmarkEnd w:id="1"/>
    </w:p>
    <w:p w14:paraId="1148B094" w14:textId="77777777" w:rsidR="007B0418" w:rsidRDefault="007B0418" w:rsidP="007B0418">
      <w:pPr>
        <w:spacing w:line="360" w:lineRule="auto"/>
        <w:jc w:val="both"/>
      </w:pPr>
      <w:r>
        <w:t>The research question is: what are the barriers and facilitators to delivering person-centred care for people living with dementia in UK care homes? The aim is to critically synthesise evidence on the factors that hinder or enable person-centred dementia care in this setting.</w:t>
      </w:r>
    </w:p>
    <w:p w14:paraId="2CAAE373" w14:textId="77777777" w:rsidR="007B0418" w:rsidRDefault="007B0418" w:rsidP="007B0418">
      <w:pPr>
        <w:spacing w:line="360" w:lineRule="auto"/>
        <w:jc w:val="both"/>
      </w:pPr>
      <w:r>
        <w:t>The objectives are to identify and critically appraise primary studies published between 2015 and 2026, to synthesise reported barriers and facilitators at individual and organisational levels, to compare these findings with national guidance and to propose evidence-based recommendations for care home practice.</w:t>
      </w:r>
    </w:p>
    <w:p w14:paraId="32E489C5" w14:textId="77777777" w:rsidR="007B0418" w:rsidRDefault="007B0418" w:rsidP="007B0418">
      <w:pPr>
        <w:pStyle w:val="Heading1"/>
      </w:pPr>
      <w:bookmarkStart w:id="2" w:name="_Toc242741596"/>
      <w:r>
        <w:t>3. Proposed Methodology</w:t>
      </w:r>
      <w:bookmarkEnd w:id="2"/>
    </w:p>
    <w:p w14:paraId="04861FFD" w14:textId="77777777" w:rsidR="007B0418" w:rsidRPr="00D546AC" w:rsidRDefault="007B0418" w:rsidP="007B0418">
      <w:pPr>
        <w:spacing w:line="360" w:lineRule="auto"/>
        <w:jc w:val="both"/>
      </w:pPr>
      <w:r w:rsidRPr="00D546AC">
        <w:t>A systematic literature review has been chosen because it allows experiences from many care homes to be compared without involving residents who may lack capacity to consent. Interpretivism fits this emphasis on experience. The PEO framework (population: people living with dementia, relatives and care home staff; exposure: person-centred care; outcome: barriers and facilitators) will guide searches of CINAHL, MEDLINE, PsycINFO and Scopus, using terms such as “dementia” AND “person-centred care” AND (“care home*” OR “nursing home*”) to identify peer-reviewed UK studies in English. The 2015 start date reflects implementation of the Care Act 2014.</w:t>
      </w:r>
    </w:p>
    <w:p w14:paraId="2885E316" w14:textId="77777777" w:rsidR="007B0418" w:rsidRDefault="007B0418" w:rsidP="007B0418">
      <w:pPr>
        <w:spacing w:line="360" w:lineRule="auto"/>
        <w:jc w:val="both"/>
      </w:pPr>
      <w:r>
        <w:t xml:space="preserve">The PRISMA 2020 flow diagram will be used to report study selection (Page et al., 2021). Because the included studies are likely to use qualitative, quantitative and mixed-methods </w:t>
      </w:r>
      <w:r>
        <w:lastRenderedPageBreak/>
        <w:t>designs, the Mixed Methods Appraisal Tool will assess their quality (Hong et al., 2018). Results will then be integrated through thematic synthesis (Thomas and Harden, 2008).</w:t>
      </w:r>
    </w:p>
    <w:p w14:paraId="336582FB" w14:textId="77777777" w:rsidR="007B0418" w:rsidRDefault="007B0418" w:rsidP="007B0418">
      <w:pPr>
        <w:pStyle w:val="Heading1"/>
      </w:pPr>
      <w:bookmarkStart w:id="3" w:name="_Toc242741597"/>
      <w:r>
        <w:t>4. Ethical Considerations</w:t>
      </w:r>
      <w:bookmarkEnd w:id="3"/>
    </w:p>
    <w:p w14:paraId="585EB5AB" w14:textId="77777777" w:rsidR="007B0418" w:rsidRDefault="007B0418" w:rsidP="007B0418">
      <w:pPr>
        <w:spacing w:line="360" w:lineRule="auto"/>
        <w:jc w:val="both"/>
      </w:pPr>
      <w:r>
        <w:t>Only published data will be used for this review. Ethical confirmation will nevertheless be sought through the university’s ethics process. The main ethical focus is to represent authors’ findings accurately and to report the search so that it can be replicated. The researcher will keep reflexive notes so that personal assumptions about dementia care are identified.</w:t>
      </w:r>
    </w:p>
    <w:p w14:paraId="446C3CD5" w14:textId="77777777" w:rsidR="007B0418" w:rsidRDefault="007B0418" w:rsidP="007B0418">
      <w:pPr>
        <w:pStyle w:val="Heading1"/>
      </w:pPr>
      <w:bookmarkStart w:id="4" w:name="_Toc242741598"/>
      <w:r>
        <w:t>5. Feasibility and Timescale</w:t>
      </w:r>
      <w:bookmarkEnd w:id="4"/>
    </w:p>
    <w:p w14:paraId="07669DCF" w14:textId="77777777" w:rsidR="007B0418" w:rsidRDefault="007B0418" w:rsidP="007B0418">
      <w:pPr>
        <w:spacing w:line="360" w:lineRule="auto"/>
        <w:jc w:val="both"/>
      </w:pPr>
      <w:r>
        <w:t>The review is feasible because of access to databases via the UWTSD library. Searching and screening will be completed first, followed by appraisal and synthesis, leaving the final weeks of Term 3 for writing and supervisor feedback.</w:t>
      </w:r>
    </w:p>
    <w:p w14:paraId="06C0CD4B" w14:textId="77777777" w:rsidR="007B0418" w:rsidRDefault="007B0418" w:rsidP="007B0418">
      <w:pPr>
        <w:pStyle w:val="Heading1"/>
      </w:pPr>
      <w:bookmarkStart w:id="5" w:name="_Toc242741599"/>
      <w:r>
        <w:t>6. Anticipated Contribution to Practice</w:t>
      </w:r>
      <w:bookmarkEnd w:id="5"/>
    </w:p>
    <w:p w14:paraId="2D90677A" w14:textId="77777777" w:rsidR="007B0418" w:rsidRDefault="007B0418" w:rsidP="007B0418">
      <w:pPr>
        <w:spacing w:line="360" w:lineRule="auto"/>
        <w:jc w:val="both"/>
      </w:pPr>
      <w:r>
        <w:t>The findings should show care home managers and commissioners which conditions support person-centred dementia care and identify gaps for future primary research in UK settings.</w:t>
      </w:r>
    </w:p>
    <w:p w14:paraId="17DE73C3" w14:textId="77777777" w:rsidR="007B0418" w:rsidRDefault="007B0418" w:rsidP="007B0418">
      <w:r>
        <w:br w:type="page"/>
      </w:r>
    </w:p>
    <w:p w14:paraId="4C0BBB68" w14:textId="77777777" w:rsidR="007B0418" w:rsidRDefault="007B0418" w:rsidP="007B0418">
      <w:pPr>
        <w:pStyle w:val="Heading1"/>
      </w:pPr>
      <w:bookmarkStart w:id="6" w:name="_Toc242741600"/>
      <w:r>
        <w:lastRenderedPageBreak/>
        <w:t>References</w:t>
      </w:r>
      <w:bookmarkEnd w:id="6"/>
    </w:p>
    <w:p w14:paraId="79216E21" w14:textId="77777777" w:rsidR="007B0418" w:rsidRDefault="007B0418" w:rsidP="007B0418">
      <w:pPr>
        <w:spacing w:line="360" w:lineRule="auto"/>
        <w:ind w:left="567" w:hanging="567"/>
      </w:pPr>
      <w:r>
        <w:t xml:space="preserve">Alzheimer’s Society (2013) </w:t>
      </w:r>
      <w:r>
        <w:rPr>
          <w:i/>
          <w:iCs/>
        </w:rPr>
        <w:t>Low expectations: attitudes on choice, care and community for people with dementia in care homes</w:t>
      </w:r>
      <w:r>
        <w:t>. London: Alzheimer’s Society.</w:t>
      </w:r>
    </w:p>
    <w:p w14:paraId="128AD0AB" w14:textId="77777777" w:rsidR="007B0418" w:rsidRDefault="007B0418" w:rsidP="007B0418">
      <w:pPr>
        <w:spacing w:line="360" w:lineRule="auto"/>
        <w:ind w:left="567" w:hanging="567"/>
      </w:pPr>
      <w:r>
        <w:t xml:space="preserve">Alzheimer’s Society (2024) </w:t>
      </w:r>
      <w:r>
        <w:rPr>
          <w:i/>
          <w:iCs/>
        </w:rPr>
        <w:t>The economic impact of dementia: module 1, annual costs of dementia</w:t>
      </w:r>
      <w:r>
        <w:t>. London: Alzheimer’s Society. Available at: https://www.alzheimers.org.uk/about-us/policy-and-influencing/economic-impact-of-dementia (Accessed: 10 October 2026).</w:t>
      </w:r>
    </w:p>
    <w:p w14:paraId="7273DA27" w14:textId="77777777" w:rsidR="007B0418" w:rsidRDefault="007B0418" w:rsidP="007B0418">
      <w:pPr>
        <w:spacing w:line="360" w:lineRule="auto"/>
        <w:ind w:left="567" w:hanging="567"/>
      </w:pPr>
      <w:r>
        <w:t xml:space="preserve">Chenoweth, L. et al. (2009) ‘Caring for Aged Dementia Care Resident Study (CADRES) of person-centred care, dementia-care mapping and usual care in dementia: a cluster-randomised trial’, </w:t>
      </w:r>
      <w:r>
        <w:rPr>
          <w:i/>
          <w:iCs/>
        </w:rPr>
        <w:t>The Lancet Neurology</w:t>
      </w:r>
      <w:r>
        <w:t>, 8(4), pp. 317–325. doi: 10.1016/S1474-4422(09)70045-6.</w:t>
      </w:r>
    </w:p>
    <w:p w14:paraId="6185068C" w14:textId="77777777" w:rsidR="007B0418" w:rsidRDefault="007B0418" w:rsidP="007B0418">
      <w:pPr>
        <w:spacing w:line="360" w:lineRule="auto"/>
        <w:ind w:left="567" w:hanging="567"/>
      </w:pPr>
      <w:r>
        <w:t xml:space="preserve">Guan, X. et al. (2025) ‘Barriers and facilitators to implementing person-centred dementia care in long-term care facilities in Western and Asian countries: a scoping review’, </w:t>
      </w:r>
      <w:r>
        <w:rPr>
          <w:i/>
          <w:iCs/>
        </w:rPr>
        <w:t>Frontiers in Psychiatry</w:t>
      </w:r>
      <w:r>
        <w:t>, 15, article 1523501. doi: 10.3389/fpsyt.2024.1523501.</w:t>
      </w:r>
    </w:p>
    <w:p w14:paraId="475916C7" w14:textId="77777777" w:rsidR="007B0418" w:rsidRDefault="007B0418" w:rsidP="007B0418">
      <w:pPr>
        <w:spacing w:line="360" w:lineRule="auto"/>
        <w:ind w:left="567" w:hanging="567"/>
      </w:pPr>
      <w:r>
        <w:t xml:space="preserve">Hong, Q.N. et al. (2018) ‘The Mixed Methods Appraisal Tool (MMAT) version 2018 for information professionals and researchers’, </w:t>
      </w:r>
      <w:r>
        <w:rPr>
          <w:i/>
          <w:iCs/>
        </w:rPr>
        <w:t>Education for Information</w:t>
      </w:r>
      <w:r>
        <w:t>, 34(4), pp. 285–291. doi: 10.3233/EFI-180221.</w:t>
      </w:r>
    </w:p>
    <w:p w14:paraId="3FCBBC0A" w14:textId="77777777" w:rsidR="007B0418" w:rsidRDefault="007B0418" w:rsidP="007B0418">
      <w:pPr>
        <w:spacing w:line="360" w:lineRule="auto"/>
        <w:ind w:left="567" w:hanging="567"/>
      </w:pPr>
      <w:r>
        <w:t xml:space="preserve">Kim, S.K. and Park, M. (2017) ‘Effectiveness of person-centered care on people with dementia: a systematic review and meta-analysis’, </w:t>
      </w:r>
      <w:r>
        <w:rPr>
          <w:i/>
          <w:iCs/>
        </w:rPr>
        <w:t>Clinical Interventions in Aging</w:t>
      </w:r>
      <w:r>
        <w:t>, 12, pp. 381–397. doi: 10.2147/CIA.S117637.</w:t>
      </w:r>
    </w:p>
    <w:p w14:paraId="05F9AD1E" w14:textId="77777777" w:rsidR="007B0418" w:rsidRDefault="007B0418" w:rsidP="007B0418">
      <w:pPr>
        <w:spacing w:line="360" w:lineRule="auto"/>
        <w:ind w:left="567" w:hanging="567"/>
      </w:pPr>
      <w:r>
        <w:t xml:space="preserve">Kitwood, T. (1997) </w:t>
      </w:r>
      <w:r>
        <w:rPr>
          <w:i/>
          <w:iCs/>
        </w:rPr>
        <w:t>Dementia reconsidered: the person comes first</w:t>
      </w:r>
      <w:r>
        <w:t>. Buckingham: Open University Press.</w:t>
      </w:r>
    </w:p>
    <w:p w14:paraId="56731770" w14:textId="77777777" w:rsidR="007B0418" w:rsidRDefault="007B0418" w:rsidP="007B0418">
      <w:pPr>
        <w:spacing w:line="360" w:lineRule="auto"/>
        <w:ind w:left="567" w:hanging="567"/>
      </w:pPr>
      <w:r>
        <w:t xml:space="preserve">Moenke, L., Handley, M. and Goodman, C. (2023) ‘The influence of care home managers’ leadership on the delivery of person-centred care for people living with dementia: a systematic review’, </w:t>
      </w:r>
      <w:r>
        <w:rPr>
          <w:i/>
          <w:iCs/>
        </w:rPr>
        <w:t>Journal of Nursing Management</w:t>
      </w:r>
      <w:r>
        <w:t>, 2023, article 9872272. doi: 10.1155/2023/9872272.</w:t>
      </w:r>
    </w:p>
    <w:p w14:paraId="1856FEBA" w14:textId="77777777" w:rsidR="007B0418" w:rsidRDefault="007B0418" w:rsidP="007B0418">
      <w:pPr>
        <w:spacing w:line="360" w:lineRule="auto"/>
        <w:ind w:left="567" w:hanging="567"/>
      </w:pPr>
      <w:r>
        <w:t xml:space="preserve">National Institute for Health and Care Excellence (NICE) (2018) </w:t>
      </w:r>
      <w:r>
        <w:rPr>
          <w:i/>
          <w:iCs/>
        </w:rPr>
        <w:t>Dementia: assessment, management and support for people living with dementia and their carers</w:t>
      </w:r>
      <w:r>
        <w:t xml:space="preserve"> (NICE guideline NG97). Available at: https://www.nice.org.uk/guidance/ng97 (Accessed: 10 October 2026).</w:t>
      </w:r>
    </w:p>
    <w:p w14:paraId="5C76F3A5" w14:textId="77777777" w:rsidR="007B0418" w:rsidRDefault="007B0418" w:rsidP="007B0418">
      <w:pPr>
        <w:spacing w:line="360" w:lineRule="auto"/>
        <w:ind w:left="567" w:hanging="567"/>
      </w:pPr>
      <w:r>
        <w:t xml:space="preserve">Page, M.J. et al. (2021) ‘The PRISMA 2020 statement: an updated guideline for reporting systematic reviews’, </w:t>
      </w:r>
      <w:r>
        <w:rPr>
          <w:i/>
          <w:iCs/>
        </w:rPr>
        <w:t>BMJ</w:t>
      </w:r>
      <w:r>
        <w:t>, 372, n71. doi: 10.1136/bmj.n71.</w:t>
      </w:r>
    </w:p>
    <w:p w14:paraId="5A6DE51F" w14:textId="77777777" w:rsidR="007B0418" w:rsidRDefault="007B0418" w:rsidP="007B0418">
      <w:pPr>
        <w:spacing w:line="360" w:lineRule="auto"/>
        <w:ind w:left="567" w:hanging="567"/>
      </w:pPr>
      <w:r>
        <w:t xml:space="preserve">Skills for Care (2025) </w:t>
      </w:r>
      <w:r>
        <w:rPr>
          <w:i/>
          <w:iCs/>
        </w:rPr>
        <w:t>The state of the adult social care sector and workforce in England</w:t>
      </w:r>
      <w:r>
        <w:t>. Leeds: Skills for Care. Available at: https://www.skillsforcare.org.uk/Adult-Social-Care-Workforce-Data/Workforce-intelligence/publications/national-information/The-state-of-</w:t>
      </w:r>
      <w:r>
        <w:lastRenderedPageBreak/>
        <w:t>the-adult-social-care-sector-and-workforce-in-England.aspx (Accessed: 12 October 2026).</w:t>
      </w:r>
    </w:p>
    <w:p w14:paraId="44FBAA7B" w14:textId="77777777" w:rsidR="007B0418" w:rsidRDefault="007B0418" w:rsidP="007B0418">
      <w:pPr>
        <w:spacing w:line="360" w:lineRule="auto"/>
        <w:ind w:left="567" w:hanging="567"/>
      </w:pPr>
      <w:r>
        <w:t xml:space="preserve">Thomas, J. and Harden, A. (2008) ‘Methods for the thematic synthesis of qualitative research in systematic reviews’, </w:t>
      </w:r>
      <w:r>
        <w:rPr>
          <w:i/>
          <w:iCs/>
        </w:rPr>
        <w:t>BMC Medical Research Methodology</w:t>
      </w:r>
      <w:r>
        <w:t>, 8, article 45. doi: 10.1186/1471-2288-8-45.</w:t>
      </w:r>
    </w:p>
    <w:p w14:paraId="7BDE872E" w14:textId="77777777" w:rsidR="00350536" w:rsidRDefault="00350536"/>
    <w:sectPr w:rsidR="00350536" w:rsidSect="007B0418">
      <w:footerReference w:type="default" r:id="rId6"/>
      <w:footerReference w:type="first" r:id="rId7"/>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5C31F" w14:textId="77777777" w:rsidR="00713086" w:rsidRDefault="00713086">
      <w:r>
        <w:separator/>
      </w:r>
    </w:p>
  </w:endnote>
  <w:endnote w:type="continuationSeparator" w:id="0">
    <w:p w14:paraId="4502682F" w14:textId="77777777" w:rsidR="00713086" w:rsidRDefault="007130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810D2" w14:textId="77777777" w:rsidR="007B0418" w:rsidRDefault="007B0418">
    <w:pPr>
      <w:jc w:val="center"/>
    </w:pPr>
    <w:r>
      <w:rPr>
        <w:sz w:val="20"/>
        <w:szCs w:val="20"/>
      </w:rPr>
      <w:fldChar w:fldCharType="begin"/>
    </w:r>
    <w:r>
      <w:rPr>
        <w:sz w:val="20"/>
        <w:szCs w:val="20"/>
      </w:rPr>
      <w:instrText>PAGE</w:instrText>
    </w:r>
    <w:r>
      <w:rPr>
        <w:sz w:val="20"/>
        <w:szCs w:val="20"/>
      </w:rPr>
      <w:fldChar w:fldCharType="separate"/>
    </w:r>
    <w:r>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BE7CE7" w14:textId="77777777" w:rsidR="007B0418" w:rsidRDefault="007B0418">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CD4E6" w14:textId="77777777" w:rsidR="00713086" w:rsidRDefault="00713086">
      <w:r>
        <w:separator/>
      </w:r>
    </w:p>
  </w:footnote>
  <w:footnote w:type="continuationSeparator" w:id="0">
    <w:p w14:paraId="33F4A08D" w14:textId="77777777" w:rsidR="00713086" w:rsidRDefault="0071308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951"/>
    <w:rsid w:val="000A3A6A"/>
    <w:rsid w:val="001A41B5"/>
    <w:rsid w:val="00254DC1"/>
    <w:rsid w:val="00350536"/>
    <w:rsid w:val="004B1588"/>
    <w:rsid w:val="0052643A"/>
    <w:rsid w:val="00667B57"/>
    <w:rsid w:val="006C14B2"/>
    <w:rsid w:val="006F1BB1"/>
    <w:rsid w:val="00713086"/>
    <w:rsid w:val="007B0418"/>
    <w:rsid w:val="008B19CE"/>
    <w:rsid w:val="00A46ED4"/>
    <w:rsid w:val="00B6043B"/>
    <w:rsid w:val="00D12D79"/>
    <w:rsid w:val="00D150E4"/>
    <w:rsid w:val="00D20827"/>
    <w:rsid w:val="00D546AC"/>
    <w:rsid w:val="00DF4510"/>
    <w:rsid w:val="00E12722"/>
    <w:rsid w:val="00F42951"/>
    <w:rsid w:val="00F64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28F635"/>
  <w15:chartTrackingRefBased/>
  <w15:docId w15:val="{8EEF3FB4-BE3B-4C07-A2B6-4D4A11659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0418"/>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F4295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F4295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4295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4295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F4295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F42951"/>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F42951"/>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F42951"/>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F42951"/>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9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29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9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9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9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9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9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9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951"/>
    <w:rPr>
      <w:rFonts w:eastAsiaTheme="majorEastAsia" w:cstheme="majorBidi"/>
      <w:color w:val="272727" w:themeColor="text1" w:themeTint="D8"/>
    </w:rPr>
  </w:style>
  <w:style w:type="paragraph" w:styleId="Title">
    <w:name w:val="Title"/>
    <w:basedOn w:val="Normal"/>
    <w:next w:val="Normal"/>
    <w:link w:val="TitleChar"/>
    <w:uiPriority w:val="10"/>
    <w:qFormat/>
    <w:rsid w:val="00F4295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429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95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429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951"/>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F42951"/>
    <w:rPr>
      <w:i/>
      <w:iCs/>
      <w:color w:val="404040" w:themeColor="text1" w:themeTint="BF"/>
    </w:rPr>
  </w:style>
  <w:style w:type="paragraph" w:styleId="ListParagraph">
    <w:name w:val="List Paragraph"/>
    <w:basedOn w:val="Normal"/>
    <w:uiPriority w:val="34"/>
    <w:qFormat/>
    <w:rsid w:val="00F42951"/>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F42951"/>
    <w:rPr>
      <w:i/>
      <w:iCs/>
      <w:color w:val="0F4761" w:themeColor="accent1" w:themeShade="BF"/>
    </w:rPr>
  </w:style>
  <w:style w:type="paragraph" w:styleId="IntenseQuote">
    <w:name w:val="Intense Quote"/>
    <w:basedOn w:val="Normal"/>
    <w:next w:val="Normal"/>
    <w:link w:val="IntenseQuoteChar"/>
    <w:uiPriority w:val="30"/>
    <w:qFormat/>
    <w:rsid w:val="00F4295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F42951"/>
    <w:rPr>
      <w:i/>
      <w:iCs/>
      <w:color w:val="0F4761" w:themeColor="accent1" w:themeShade="BF"/>
    </w:rPr>
  </w:style>
  <w:style w:type="character" w:styleId="IntenseReference">
    <w:name w:val="Intense Reference"/>
    <w:basedOn w:val="DefaultParagraphFont"/>
    <w:uiPriority w:val="32"/>
    <w:qFormat/>
    <w:rsid w:val="00F42951"/>
    <w:rPr>
      <w:b/>
      <w:bCs/>
      <w:smallCaps/>
      <w:color w:val="0F4761" w:themeColor="accent1" w:themeShade="BF"/>
      <w:spacing w:val="5"/>
    </w:rPr>
  </w:style>
  <w:style w:type="character" w:styleId="Hyperlink">
    <w:name w:val="Hyperlink"/>
    <w:uiPriority w:val="99"/>
    <w:unhideWhenUsed/>
    <w:rsid w:val="007B0418"/>
    <w:rPr>
      <w:color w:val="0563C1"/>
      <w:u w:val="single"/>
    </w:rPr>
  </w:style>
  <w:style w:type="paragraph" w:styleId="TOC1">
    <w:name w:val="toc 1"/>
    <w:basedOn w:val="Normal"/>
    <w:next w:val="Normal"/>
    <w:autoRedefine/>
    <w:uiPriority w:val="39"/>
    <w:unhideWhenUsed/>
    <w:rsid w:val="007B04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523</TotalTime>
  <Pages>6</Pages>
  <Words>1092</Words>
  <Characters>6229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Elisabeta Brendea</dc:creator>
  <cp:keywords/>
  <dc:description/>
  <cp:revision>11</cp:revision>
  <dcterms:created xsi:type="dcterms:W3CDTF">2026-10-12T22:34:00Z</dcterms:created>
  <dcterms:modified xsi:type="dcterms:W3CDTF">2026-10-13T09:09:00Z</dcterms:modified>
</cp:coreProperties>
</file>