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4A303" w14:textId="77777777" w:rsidR="0034700F" w:rsidRDefault="00000000">
      <w:pPr>
        <w:jc w:val="center"/>
      </w:pPr>
      <w:r>
        <w:rPr>
          <w:noProof/>
        </w:rPr>
        <w:drawing>
          <wp:inline distT="0" distB="0" distL="0" distR="0" wp14:anchorId="42E9020A" wp14:editId="000008D6">
            <wp:extent cx="2139952" cy="2139952"/>
            <wp:effectExtent l="0" t="0" r="0" b="0"/>
            <wp:docPr id="60811079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139952" cy="2139952"/>
                    </a:xfrm>
                    <a:prstGeom prst="rect">
                      <a:avLst/>
                    </a:prstGeom>
                    <a:noFill/>
                    <a:ln>
                      <a:noFill/>
                      <a:prstDash/>
                    </a:ln>
                  </pic:spPr>
                </pic:pic>
              </a:graphicData>
            </a:graphic>
          </wp:inline>
        </w:drawing>
      </w:r>
    </w:p>
    <w:p w14:paraId="49DE9097" w14:textId="77777777" w:rsidR="0034700F" w:rsidRDefault="00000000">
      <w:pPr>
        <w:pStyle w:val="Title"/>
        <w:jc w:val="center"/>
      </w:pPr>
      <w:r>
        <w:t>Programme: BA Business Management</w:t>
      </w:r>
    </w:p>
    <w:p w14:paraId="7A5DDD46" w14:textId="77777777" w:rsidR="0034700F" w:rsidRDefault="0034700F"/>
    <w:p w14:paraId="7DFEC042" w14:textId="77777777" w:rsidR="0034700F" w:rsidRDefault="00000000">
      <w:pPr>
        <w:pStyle w:val="Subtitle"/>
        <w:jc w:val="center"/>
      </w:pPr>
      <w:r>
        <w:rPr>
          <w:sz w:val="36"/>
          <w:szCs w:val="36"/>
        </w:rPr>
        <w:t xml:space="preserve">Module: Strategic Management and Sustainability </w:t>
      </w:r>
    </w:p>
    <w:p w14:paraId="3122B1AB" w14:textId="559A4A64" w:rsidR="0034700F" w:rsidRDefault="00000000">
      <w:pPr>
        <w:pStyle w:val="Subtitle"/>
        <w:jc w:val="center"/>
        <w:rPr>
          <w:sz w:val="36"/>
          <w:szCs w:val="36"/>
        </w:rPr>
      </w:pPr>
      <w:r>
        <w:rPr>
          <w:sz w:val="36"/>
          <w:szCs w:val="36"/>
        </w:rPr>
        <w:t>Module code: LC</w:t>
      </w:r>
      <w:r w:rsidR="003248B8">
        <w:rPr>
          <w:sz w:val="36"/>
          <w:szCs w:val="36"/>
        </w:rPr>
        <w:t>B</w:t>
      </w:r>
      <w:r>
        <w:rPr>
          <w:sz w:val="36"/>
          <w:szCs w:val="36"/>
        </w:rPr>
        <w:t>B6004</w:t>
      </w:r>
    </w:p>
    <w:p w14:paraId="6B14BF2E" w14:textId="77777777" w:rsidR="0034700F" w:rsidRDefault="0034700F">
      <w:pPr>
        <w:pBdr>
          <w:bottom w:val="single" w:sz="12" w:space="1" w:color="000000"/>
        </w:pBdr>
      </w:pPr>
    </w:p>
    <w:p w14:paraId="15F72EE4" w14:textId="77777777" w:rsidR="0034700F" w:rsidRDefault="0034700F"/>
    <w:p w14:paraId="009AAAD3" w14:textId="77777777" w:rsidR="00A306E8" w:rsidRDefault="00A306E8">
      <w:pPr>
        <w:jc w:val="center"/>
        <w:rPr>
          <w:b/>
        </w:rPr>
      </w:pPr>
    </w:p>
    <w:p w14:paraId="0C77311B" w14:textId="77777777" w:rsidR="00A306E8" w:rsidRDefault="00A306E8">
      <w:pPr>
        <w:jc w:val="center"/>
        <w:rPr>
          <w:b/>
        </w:rPr>
      </w:pPr>
    </w:p>
    <w:p w14:paraId="52C43956" w14:textId="48980EA8" w:rsidR="0034700F" w:rsidRDefault="00000000">
      <w:pPr>
        <w:jc w:val="center"/>
        <w:rPr>
          <w:b/>
        </w:rPr>
      </w:pPr>
      <w:r>
        <w:rPr>
          <w:b/>
        </w:rPr>
        <w:t>Student Name: Maria Boscanean</w:t>
      </w:r>
    </w:p>
    <w:p w14:paraId="4CD87DC5" w14:textId="77777777" w:rsidR="0034700F" w:rsidRDefault="00000000">
      <w:pPr>
        <w:jc w:val="center"/>
        <w:rPr>
          <w:b/>
        </w:rPr>
      </w:pPr>
      <w:r>
        <w:rPr>
          <w:b/>
        </w:rPr>
        <w:t>Student ID: 2021937</w:t>
      </w:r>
    </w:p>
    <w:p w14:paraId="285DCD21" w14:textId="77777777" w:rsidR="0034700F" w:rsidRDefault="0034700F">
      <w:pPr>
        <w:pStyle w:val="Title"/>
      </w:pPr>
    </w:p>
    <w:p w14:paraId="3193274F" w14:textId="77777777" w:rsidR="0034700F" w:rsidRDefault="0034700F">
      <w:pPr>
        <w:pStyle w:val="Title"/>
      </w:pPr>
    </w:p>
    <w:p w14:paraId="7557BDA4" w14:textId="77777777" w:rsidR="0034700F" w:rsidRDefault="0034700F">
      <w:pPr>
        <w:pStyle w:val="Title"/>
      </w:pPr>
    </w:p>
    <w:p w14:paraId="42132268" w14:textId="77777777" w:rsidR="0034700F" w:rsidRDefault="0034700F">
      <w:pPr>
        <w:pStyle w:val="Title"/>
      </w:pPr>
    </w:p>
    <w:p w14:paraId="7CC856E4" w14:textId="77777777" w:rsidR="00C06156" w:rsidRDefault="00C06156" w:rsidP="00C06156"/>
    <w:p w14:paraId="03BE67DD" w14:textId="77777777" w:rsidR="00C06156" w:rsidRPr="00C06156" w:rsidRDefault="00C06156" w:rsidP="00C06156"/>
    <w:p w14:paraId="731BC3EC" w14:textId="77777777" w:rsidR="0034700F" w:rsidRDefault="0034700F">
      <w:pPr>
        <w:pStyle w:val="Title"/>
      </w:pPr>
    </w:p>
    <w:p w14:paraId="0B383444" w14:textId="77777777" w:rsidR="0034700F" w:rsidRDefault="00000000">
      <w:pPr>
        <w:pStyle w:val="TOCHeading"/>
        <w:jc w:val="center"/>
        <w:outlineLvl w:val="9"/>
      </w:pPr>
      <w:r>
        <w:rPr>
          <w:b/>
        </w:rPr>
        <w:lastRenderedPageBreak/>
        <w:t>Table of Contents</w:t>
      </w:r>
    </w:p>
    <w:p w14:paraId="0639CE2D" w14:textId="77777777" w:rsidR="0034700F" w:rsidRDefault="0034700F">
      <w:pPr>
        <w:rPr>
          <w:lang w:val="en-US"/>
        </w:rPr>
      </w:pPr>
    </w:p>
    <w:p w14:paraId="72A75409" w14:textId="77777777" w:rsidR="0034700F" w:rsidRDefault="0034700F">
      <w:pPr>
        <w:rPr>
          <w:rFonts w:cs="Calibri"/>
          <w:szCs w:val="24"/>
          <w:lang w:val="en-US"/>
        </w:rPr>
      </w:pPr>
    </w:p>
    <w:p w14:paraId="184FC63F" w14:textId="77777777" w:rsidR="0034700F" w:rsidRDefault="00000000">
      <w:pPr>
        <w:pStyle w:val="TOC1"/>
        <w:tabs>
          <w:tab w:val="right" w:leader="dot" w:pos="9016"/>
        </w:tabs>
      </w:pPr>
      <w:r>
        <w:rPr>
          <w:rFonts w:ascii="Calibri" w:hAnsi="Calibri"/>
          <w:kern w:val="3"/>
          <w:sz w:val="22"/>
        </w:rPr>
        <w:fldChar w:fldCharType="begin"/>
      </w:r>
      <w:r>
        <w:instrText xml:space="preserve"> TOC \o "1-3" \u \h </w:instrText>
      </w:r>
      <w:r>
        <w:rPr>
          <w:rFonts w:ascii="Calibri" w:hAnsi="Calibri"/>
          <w:kern w:val="3"/>
          <w:sz w:val="22"/>
        </w:rPr>
        <w:fldChar w:fldCharType="separate"/>
      </w:r>
      <w:hyperlink w:anchor="_Toc140567177" w:history="1">
        <w:r>
          <w:rPr>
            <w:rStyle w:val="Hyperlink"/>
          </w:rPr>
          <w:t>Introduction</w:t>
        </w:r>
        <w:r>
          <w:tab/>
          <w:t>4</w:t>
        </w:r>
      </w:hyperlink>
    </w:p>
    <w:p w14:paraId="477524CB" w14:textId="77777777" w:rsidR="0034700F" w:rsidRDefault="00000000">
      <w:pPr>
        <w:pStyle w:val="TOC1"/>
        <w:tabs>
          <w:tab w:val="right" w:leader="dot" w:pos="9016"/>
        </w:tabs>
      </w:pPr>
      <w:hyperlink w:anchor="_Toc140567178" w:history="1">
        <w:r>
          <w:rPr>
            <w:rStyle w:val="Hyperlink"/>
          </w:rPr>
          <w:t>Overview of the company</w:t>
        </w:r>
        <w:r>
          <w:tab/>
          <w:t>4</w:t>
        </w:r>
      </w:hyperlink>
    </w:p>
    <w:p w14:paraId="74116BA4" w14:textId="77777777" w:rsidR="0034700F" w:rsidRDefault="00000000">
      <w:pPr>
        <w:pStyle w:val="TOC1"/>
        <w:tabs>
          <w:tab w:val="right" w:leader="dot" w:pos="9016"/>
        </w:tabs>
      </w:pPr>
      <w:hyperlink w:anchor="_Toc140567179" w:history="1">
        <w:r>
          <w:rPr>
            <w:rStyle w:val="Hyperlink"/>
          </w:rPr>
          <w:t>Strategic Objectives</w:t>
        </w:r>
        <w:r>
          <w:tab/>
          <w:t>5</w:t>
        </w:r>
      </w:hyperlink>
    </w:p>
    <w:p w14:paraId="5B5B61FF" w14:textId="77777777" w:rsidR="0034700F" w:rsidRDefault="00000000">
      <w:pPr>
        <w:pStyle w:val="TOC1"/>
        <w:tabs>
          <w:tab w:val="right" w:leader="dot" w:pos="9016"/>
        </w:tabs>
      </w:pPr>
      <w:hyperlink w:anchor="_Toc140567180" w:history="1">
        <w:r>
          <w:rPr>
            <w:rStyle w:val="Hyperlink"/>
            <w:rFonts w:eastAsia="Times New Roman"/>
            <w:lang w:eastAsia="en-GB"/>
          </w:rPr>
          <w:t>The impact of the emissions scandal on Volkswagen</w:t>
        </w:r>
        <w:r>
          <w:tab/>
          <w:t>7</w:t>
        </w:r>
      </w:hyperlink>
    </w:p>
    <w:p w14:paraId="5BCB515F" w14:textId="77777777" w:rsidR="0034700F" w:rsidRDefault="00000000">
      <w:pPr>
        <w:pStyle w:val="TOC1"/>
        <w:tabs>
          <w:tab w:val="right" w:leader="dot" w:pos="9016"/>
        </w:tabs>
      </w:pPr>
      <w:hyperlink w:anchor="_Toc140567181" w:history="1">
        <w:r>
          <w:rPr>
            <w:rStyle w:val="Hyperlink"/>
            <w:rFonts w:eastAsia="Times New Roman"/>
            <w:lang w:eastAsia="en-GB"/>
          </w:rPr>
          <w:t>PESTLE Analysis of Volkswagen</w:t>
        </w:r>
        <w:r>
          <w:tab/>
          <w:t>8</w:t>
        </w:r>
      </w:hyperlink>
    </w:p>
    <w:p w14:paraId="21FD8C45" w14:textId="77777777" w:rsidR="0034700F" w:rsidRDefault="00000000">
      <w:pPr>
        <w:pStyle w:val="TOC1"/>
        <w:tabs>
          <w:tab w:val="right" w:leader="dot" w:pos="9016"/>
        </w:tabs>
      </w:pPr>
      <w:hyperlink w:anchor="_Toc140567182" w:history="1">
        <w:r>
          <w:rPr>
            <w:rStyle w:val="Hyperlink"/>
          </w:rPr>
          <w:t>SWOT Analysis of Volkswagen</w:t>
        </w:r>
        <w:r>
          <w:tab/>
          <w:t>9</w:t>
        </w:r>
      </w:hyperlink>
    </w:p>
    <w:p w14:paraId="16FAF5FB" w14:textId="77777777" w:rsidR="0034700F" w:rsidRDefault="00000000">
      <w:pPr>
        <w:pStyle w:val="TOC1"/>
        <w:tabs>
          <w:tab w:val="right" w:leader="dot" w:pos="9016"/>
        </w:tabs>
      </w:pPr>
      <w:hyperlink w:anchor="_Toc140567183" w:history="1">
        <w:r>
          <w:rPr>
            <w:rStyle w:val="Hyperlink"/>
          </w:rPr>
          <w:t>Enhancing Competitiveness through Sustainability</w:t>
        </w:r>
        <w:r>
          <w:tab/>
          <w:t>11</w:t>
        </w:r>
      </w:hyperlink>
    </w:p>
    <w:p w14:paraId="34BB5987" w14:textId="77777777" w:rsidR="0034700F" w:rsidRDefault="00000000">
      <w:pPr>
        <w:pStyle w:val="TOC1"/>
        <w:tabs>
          <w:tab w:val="right" w:leader="dot" w:pos="9016"/>
        </w:tabs>
      </w:pPr>
      <w:hyperlink w:anchor="_Toc140567184" w:history="1">
        <w:r>
          <w:rPr>
            <w:rStyle w:val="Hyperlink"/>
          </w:rPr>
          <w:t>Conclusion</w:t>
        </w:r>
        <w:r>
          <w:tab/>
          <w:t>11</w:t>
        </w:r>
      </w:hyperlink>
    </w:p>
    <w:p w14:paraId="1266647E" w14:textId="77777777" w:rsidR="0034700F" w:rsidRDefault="00000000">
      <w:pPr>
        <w:pStyle w:val="TOC1"/>
        <w:tabs>
          <w:tab w:val="right" w:leader="dot" w:pos="9016"/>
        </w:tabs>
      </w:pPr>
      <w:hyperlink w:anchor="_Toc140567185" w:history="1">
        <w:r>
          <w:rPr>
            <w:rStyle w:val="Hyperlink"/>
          </w:rPr>
          <w:t>References</w:t>
        </w:r>
        <w:r>
          <w:tab/>
          <w:t>12</w:t>
        </w:r>
      </w:hyperlink>
    </w:p>
    <w:p w14:paraId="7D29DE15" w14:textId="77777777" w:rsidR="0034700F" w:rsidRDefault="00000000">
      <w:r>
        <w:rPr>
          <w:rFonts w:ascii="Arial" w:hAnsi="Arial"/>
          <w:kern w:val="0"/>
          <w:sz w:val="24"/>
        </w:rPr>
        <w:fldChar w:fldCharType="end"/>
      </w:r>
    </w:p>
    <w:p w14:paraId="4A39C131" w14:textId="77777777" w:rsidR="0034700F" w:rsidRDefault="0034700F">
      <w:pPr>
        <w:pStyle w:val="Title"/>
      </w:pPr>
    </w:p>
    <w:p w14:paraId="24B54E7E" w14:textId="77777777" w:rsidR="0034700F" w:rsidRDefault="0034700F">
      <w:pPr>
        <w:pStyle w:val="Title"/>
      </w:pPr>
    </w:p>
    <w:p w14:paraId="5A90FB82" w14:textId="77777777" w:rsidR="0034700F" w:rsidRDefault="0034700F">
      <w:pPr>
        <w:pStyle w:val="Title"/>
      </w:pPr>
    </w:p>
    <w:p w14:paraId="070D8BDD" w14:textId="77777777" w:rsidR="0034700F" w:rsidRDefault="0034700F">
      <w:pPr>
        <w:pStyle w:val="Title"/>
      </w:pPr>
    </w:p>
    <w:p w14:paraId="2DBB4466" w14:textId="77777777" w:rsidR="0034700F" w:rsidRDefault="0034700F">
      <w:pPr>
        <w:pStyle w:val="Title"/>
      </w:pPr>
    </w:p>
    <w:p w14:paraId="043BCFDB" w14:textId="77777777" w:rsidR="0034700F" w:rsidRDefault="0034700F">
      <w:pPr>
        <w:pStyle w:val="Title"/>
      </w:pPr>
    </w:p>
    <w:p w14:paraId="05A1AD06" w14:textId="77777777" w:rsidR="0034700F" w:rsidRDefault="0034700F">
      <w:pPr>
        <w:pStyle w:val="Title"/>
      </w:pPr>
    </w:p>
    <w:p w14:paraId="267775F4" w14:textId="77777777" w:rsidR="0034700F" w:rsidRDefault="0034700F">
      <w:pPr>
        <w:pStyle w:val="Title"/>
      </w:pPr>
    </w:p>
    <w:p w14:paraId="4FF4E303" w14:textId="77777777" w:rsidR="0034700F" w:rsidRDefault="0034700F">
      <w:pPr>
        <w:pStyle w:val="Title"/>
      </w:pPr>
    </w:p>
    <w:p w14:paraId="00B5CDF9" w14:textId="77777777" w:rsidR="0034700F" w:rsidRDefault="0034700F">
      <w:pPr>
        <w:pStyle w:val="Title"/>
      </w:pPr>
    </w:p>
    <w:p w14:paraId="59AB81CD" w14:textId="77777777" w:rsidR="0034700F" w:rsidRDefault="0034700F">
      <w:pPr>
        <w:pStyle w:val="Title"/>
      </w:pPr>
    </w:p>
    <w:p w14:paraId="239F8618" w14:textId="77777777" w:rsidR="0034700F" w:rsidRPr="00A306E8" w:rsidRDefault="00000000" w:rsidP="00A306E8">
      <w:pPr>
        <w:pStyle w:val="Title"/>
      </w:pPr>
      <w:r w:rsidRPr="00A306E8">
        <w:lastRenderedPageBreak/>
        <w:t>Report – Investigating the Impacts of the "</w:t>
      </w:r>
      <w:proofErr w:type="spellStart"/>
      <w:r w:rsidRPr="00A306E8">
        <w:t>Dieselgate</w:t>
      </w:r>
      <w:proofErr w:type="spellEnd"/>
      <w:r w:rsidRPr="00A306E8">
        <w:t>" Scandal on Volkswagen</w:t>
      </w:r>
    </w:p>
    <w:p w14:paraId="39E805E2" w14:textId="77777777" w:rsidR="0034700F" w:rsidRDefault="0034700F"/>
    <w:p w14:paraId="15368DAA" w14:textId="77777777" w:rsidR="0034700F" w:rsidRDefault="0034700F"/>
    <w:p w14:paraId="68E56F13" w14:textId="77777777" w:rsidR="0034700F" w:rsidRDefault="0034700F"/>
    <w:p w14:paraId="44E30E35" w14:textId="77777777" w:rsidR="0034700F" w:rsidRDefault="0034700F"/>
    <w:p w14:paraId="55A4ED15" w14:textId="77777777" w:rsidR="0034700F" w:rsidRDefault="0034700F"/>
    <w:p w14:paraId="332812B3" w14:textId="77777777" w:rsidR="0034700F" w:rsidRDefault="00000000">
      <w:r>
        <w:rPr>
          <w:noProof/>
        </w:rPr>
        <w:drawing>
          <wp:inline distT="0" distB="0" distL="0" distR="0" wp14:anchorId="1C5FACFF" wp14:editId="1D7C6F68">
            <wp:extent cx="5731514" cy="3225161"/>
            <wp:effectExtent l="0" t="0" r="2536" b="0"/>
            <wp:docPr id="955076412" name="Picture 2" descr="VW to launch €1bn Chinese innovation centre 100%TechCo | Financial Tim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1514" cy="3225161"/>
                    </a:xfrm>
                    <a:prstGeom prst="rect">
                      <a:avLst/>
                    </a:prstGeom>
                    <a:noFill/>
                    <a:ln>
                      <a:noFill/>
                      <a:prstDash/>
                    </a:ln>
                  </pic:spPr>
                </pic:pic>
              </a:graphicData>
            </a:graphic>
          </wp:inline>
        </w:drawing>
      </w:r>
    </w:p>
    <w:p w14:paraId="23622F3A" w14:textId="77777777" w:rsidR="0034700F" w:rsidRDefault="0034700F"/>
    <w:p w14:paraId="08BA8184" w14:textId="77777777" w:rsidR="0034700F" w:rsidRDefault="0034700F"/>
    <w:p w14:paraId="76075654" w14:textId="77777777" w:rsidR="0034700F" w:rsidRDefault="0034700F"/>
    <w:p w14:paraId="1287C942" w14:textId="77777777" w:rsidR="0034700F" w:rsidRDefault="0034700F"/>
    <w:p w14:paraId="7E409C73" w14:textId="77777777" w:rsidR="0034700F" w:rsidRDefault="0034700F"/>
    <w:p w14:paraId="0FBEDFD1" w14:textId="77777777" w:rsidR="0034700F" w:rsidRDefault="0034700F"/>
    <w:p w14:paraId="289D081B" w14:textId="77777777" w:rsidR="0034700F" w:rsidRDefault="0034700F"/>
    <w:p w14:paraId="2B4CA99C" w14:textId="77777777" w:rsidR="0034700F" w:rsidRDefault="0034700F"/>
    <w:p w14:paraId="3713892F" w14:textId="77777777" w:rsidR="0034700F" w:rsidRDefault="0034700F"/>
    <w:p w14:paraId="03829CCE" w14:textId="77777777" w:rsidR="0034700F" w:rsidRDefault="0034700F">
      <w:pPr>
        <w:rPr>
          <w:rFonts w:ascii="Arial" w:hAnsi="Arial" w:cs="Arial"/>
          <w:sz w:val="24"/>
          <w:szCs w:val="24"/>
          <w:shd w:val="clear" w:color="auto" w:fill="F7F7F8"/>
        </w:rPr>
      </w:pPr>
    </w:p>
    <w:p w14:paraId="44C63E50" w14:textId="77777777" w:rsidR="0034700F" w:rsidRDefault="0034700F">
      <w:pPr>
        <w:pStyle w:val="Heading1"/>
      </w:pPr>
    </w:p>
    <w:p w14:paraId="045154BD" w14:textId="77777777" w:rsidR="0034700F" w:rsidRDefault="00000000">
      <w:pPr>
        <w:pStyle w:val="Heading1"/>
        <w:jc w:val="both"/>
      </w:pPr>
      <w:bookmarkStart w:id="0" w:name="_Toc140567177"/>
      <w:r>
        <w:t>Introduction</w:t>
      </w:r>
      <w:bookmarkEnd w:id="0"/>
      <w:r>
        <w:t xml:space="preserve"> </w:t>
      </w:r>
    </w:p>
    <w:p w14:paraId="3F2C89B0" w14:textId="77777777" w:rsidR="0034700F" w:rsidRDefault="0034700F">
      <w:pPr>
        <w:jc w:val="both"/>
      </w:pPr>
    </w:p>
    <w:p w14:paraId="2AAAF32A" w14:textId="5287EE5A" w:rsidR="0034700F" w:rsidRDefault="00000000">
      <w:pPr>
        <w:jc w:val="both"/>
      </w:pPr>
      <w:r>
        <w:rPr>
          <w:rFonts w:ascii="Arial" w:hAnsi="Arial" w:cs="Arial"/>
          <w:sz w:val="24"/>
          <w:szCs w:val="24"/>
        </w:rPr>
        <w:t xml:space="preserve">This essay aims to analyse Volkswagen (VW) and its competitive environment, focusing on key business strategies, resources and capabilities, sustainability efforts, and recommendations for future competitive advantages. In the follow, this study will be analysing the impact of the recent case in the environment on Volkswagen, a player of the automotive industry, with reference </w:t>
      </w:r>
      <w:proofErr w:type="gramStart"/>
      <w:r w:rsidR="00C06156">
        <w:rPr>
          <w:rFonts w:ascii="Arial" w:hAnsi="Arial" w:cs="Arial"/>
          <w:sz w:val="24"/>
          <w:szCs w:val="24"/>
        </w:rPr>
        <w:t>to ,,</w:t>
      </w:r>
      <w:proofErr w:type="spellStart"/>
      <w:r w:rsidR="00C06156">
        <w:rPr>
          <w:rFonts w:ascii="Arial" w:hAnsi="Arial" w:cs="Arial"/>
          <w:sz w:val="24"/>
          <w:szCs w:val="24"/>
        </w:rPr>
        <w:t>Dieselgate</w:t>
      </w:r>
      <w:proofErr w:type="spellEnd"/>
      <w:proofErr w:type="gramEnd"/>
      <w:r>
        <w:rPr>
          <w:rFonts w:ascii="Arial" w:hAnsi="Arial" w:cs="Arial"/>
          <w:sz w:val="24"/>
          <w:szCs w:val="24"/>
        </w:rPr>
        <w:t>” scandal by utilizing environment analysis tools, such as SWOT and PESTLE and Industry Five Forces Models.</w:t>
      </w:r>
    </w:p>
    <w:p w14:paraId="7B3F5E02" w14:textId="77777777" w:rsidR="0034700F" w:rsidRDefault="0034700F">
      <w:pPr>
        <w:jc w:val="both"/>
        <w:rPr>
          <w:rFonts w:ascii="Arial" w:hAnsi="Arial" w:cs="Arial"/>
          <w:sz w:val="24"/>
          <w:szCs w:val="24"/>
        </w:rPr>
      </w:pPr>
    </w:p>
    <w:p w14:paraId="49066511" w14:textId="77777777" w:rsidR="0034700F" w:rsidRDefault="0034700F">
      <w:pPr>
        <w:jc w:val="both"/>
        <w:rPr>
          <w:rFonts w:ascii="Arial" w:hAnsi="Arial" w:cs="Arial"/>
          <w:sz w:val="24"/>
          <w:szCs w:val="24"/>
        </w:rPr>
      </w:pPr>
    </w:p>
    <w:p w14:paraId="15601E36" w14:textId="77777777" w:rsidR="0034700F" w:rsidRDefault="00000000">
      <w:pPr>
        <w:pStyle w:val="Heading1"/>
        <w:jc w:val="both"/>
      </w:pPr>
      <w:bookmarkStart w:id="1" w:name="_Toc140567178"/>
      <w:r>
        <w:t>Overview of the company</w:t>
      </w:r>
      <w:bookmarkEnd w:id="1"/>
    </w:p>
    <w:p w14:paraId="2373B9B6" w14:textId="77777777" w:rsidR="0034700F" w:rsidRDefault="0034700F">
      <w:pPr>
        <w:jc w:val="both"/>
      </w:pPr>
    </w:p>
    <w:p w14:paraId="29A84885" w14:textId="6987A237" w:rsidR="0034700F" w:rsidRDefault="00000000">
      <w:pPr>
        <w:jc w:val="both"/>
        <w:rPr>
          <w:rFonts w:ascii="Arial" w:hAnsi="Arial" w:cs="Arial"/>
          <w:sz w:val="24"/>
          <w:szCs w:val="24"/>
        </w:rPr>
      </w:pPr>
      <w:r>
        <w:rPr>
          <w:rFonts w:ascii="Arial" w:hAnsi="Arial" w:cs="Arial"/>
          <w:sz w:val="24"/>
          <w:szCs w:val="24"/>
        </w:rPr>
        <w:t>Volkswagen (VW) is a renowned German automotive company that has established itself as a prominent player in the global automobile industry. With a rich history, VW has become synonymous with quality engineering, innovative design, and advanced technology (Volkswagen Group, 2021</w:t>
      </w:r>
      <w:r w:rsidRPr="00047885">
        <w:rPr>
          <w:rFonts w:ascii="Arial" w:hAnsi="Arial" w:cs="Arial"/>
          <w:sz w:val="24"/>
          <w:szCs w:val="24"/>
        </w:rPr>
        <w:t xml:space="preserve">). </w:t>
      </w:r>
      <w:r w:rsidR="00047885" w:rsidRPr="00047885">
        <w:rPr>
          <w:rFonts w:ascii="Arial" w:hAnsi="Arial" w:cs="Arial"/>
          <w:sz w:val="24"/>
          <w:szCs w:val="24"/>
        </w:rPr>
        <w:t>The company is remarkable for its various cars, such as Audi, SEAT, ŠKODA, Bentley, Bugatti, Lamborghini, and Porsche. These brands, unitedly, address a wide spectrum of consumer requirements (Volkswagen Group, 2021). Apart from its automobile manufacturing endeavours, VW provides a range of financial services, which cover customer loans, insurance, lease options, and corporate vehicle oversight.</w:t>
      </w:r>
    </w:p>
    <w:p w14:paraId="37F2E225" w14:textId="696325C7" w:rsidR="0034700F" w:rsidRDefault="00000000">
      <w:pPr>
        <w:jc w:val="both"/>
        <w:rPr>
          <w:rFonts w:ascii="Arial" w:hAnsi="Arial" w:cs="Arial"/>
          <w:sz w:val="24"/>
          <w:szCs w:val="24"/>
        </w:rPr>
      </w:pPr>
      <w:r>
        <w:rPr>
          <w:rFonts w:ascii="Arial" w:hAnsi="Arial" w:cs="Arial"/>
          <w:sz w:val="24"/>
          <w:szCs w:val="24"/>
        </w:rPr>
        <w:t xml:space="preserve">In 2022, Volkswagen Group </w:t>
      </w:r>
      <w:r w:rsidR="00E0505F">
        <w:rPr>
          <w:rFonts w:ascii="Arial" w:hAnsi="Arial" w:cs="Arial"/>
          <w:sz w:val="24"/>
          <w:szCs w:val="24"/>
        </w:rPr>
        <w:t>sold</w:t>
      </w:r>
      <w:r>
        <w:rPr>
          <w:rFonts w:ascii="Arial" w:hAnsi="Arial" w:cs="Arial"/>
          <w:sz w:val="24"/>
          <w:szCs w:val="24"/>
        </w:rPr>
        <w:t xml:space="preserve"> 8.26 million motor vehicles worldwide, reflecting a seven percent decrease from the previous year's figure of just over 8.88 million (source: Volkswagen Group, 2023). This decline in deliveries highlights the challenges faced by the company, potentially influenced by various factors such as market dynamics, supply chain disruptions, and global economic conditions. Despite this decrease, Volkswagen remains committed to adapting and navigating the evolving automotive landscape, continuing to invest in new technologies and sustainable mobility solutions to regain momentum and drive future growth.</w:t>
      </w:r>
    </w:p>
    <w:p w14:paraId="7BDA7862" w14:textId="22DF5B43" w:rsidR="0034700F" w:rsidRDefault="00000000">
      <w:pPr>
        <w:jc w:val="both"/>
        <w:rPr>
          <w:rFonts w:ascii="Arial" w:hAnsi="Arial" w:cs="Arial"/>
          <w:sz w:val="24"/>
          <w:szCs w:val="24"/>
        </w:rPr>
      </w:pPr>
      <w:r>
        <w:rPr>
          <w:rFonts w:ascii="Arial" w:hAnsi="Arial" w:cs="Arial"/>
          <w:sz w:val="24"/>
          <w:szCs w:val="24"/>
        </w:rPr>
        <w:t xml:space="preserve">Volkswagen remains committed to sustainability and has set ambitious goals through its "Together Strategy 2025". </w:t>
      </w:r>
      <w:r w:rsidR="00E0505F" w:rsidRPr="00E0505F">
        <w:rPr>
          <w:rFonts w:ascii="Arial" w:hAnsi="Arial" w:cs="Arial"/>
          <w:sz w:val="24"/>
          <w:szCs w:val="24"/>
        </w:rPr>
        <w:t>As a component of this plan, the corporation intends to launch a minimum of 30 entirely electric automobiles and notably enhance its self-driving and battery technology competencies (Volkswagen Group, 2022).</w:t>
      </w:r>
      <w:r w:rsidR="00E0505F">
        <w:rPr>
          <w:rFonts w:ascii="Arial" w:hAnsi="Arial" w:cs="Arial"/>
          <w:sz w:val="24"/>
          <w:szCs w:val="24"/>
        </w:rPr>
        <w:t xml:space="preserve"> </w:t>
      </w:r>
      <w:r>
        <w:rPr>
          <w:rFonts w:ascii="Arial" w:hAnsi="Arial" w:cs="Arial"/>
          <w:sz w:val="24"/>
          <w:szCs w:val="24"/>
        </w:rPr>
        <w:t>By focusing on sustainable mobility solutions, the company is actively contributing to the global transition towards a greener and more environmentally friendly transportation system.</w:t>
      </w:r>
    </w:p>
    <w:p w14:paraId="07494ABB" w14:textId="77777777" w:rsidR="0034700F" w:rsidRDefault="0034700F">
      <w:pPr>
        <w:jc w:val="both"/>
        <w:rPr>
          <w:rFonts w:ascii="Arial" w:hAnsi="Arial" w:cs="Arial"/>
          <w:sz w:val="24"/>
          <w:szCs w:val="24"/>
          <w:shd w:val="clear" w:color="auto" w:fill="F7F7F8"/>
        </w:rPr>
      </w:pPr>
    </w:p>
    <w:p w14:paraId="21C4969E" w14:textId="77777777" w:rsidR="0034700F" w:rsidRDefault="00000000">
      <w:pPr>
        <w:pStyle w:val="Heading1"/>
        <w:jc w:val="both"/>
      </w:pPr>
      <w:bookmarkStart w:id="2" w:name="_Toc140567179"/>
      <w:r>
        <w:lastRenderedPageBreak/>
        <w:t>Evaluation of Volkswagen Group's Strategic Objectives in Line with Current Goals</w:t>
      </w:r>
      <w:bookmarkEnd w:id="2"/>
    </w:p>
    <w:p w14:paraId="0DD2E519" w14:textId="77777777" w:rsidR="0034700F" w:rsidRDefault="0034700F">
      <w:pPr>
        <w:jc w:val="both"/>
        <w:rPr>
          <w:rFonts w:ascii="Arial" w:hAnsi="Arial" w:cs="Arial"/>
          <w:sz w:val="24"/>
          <w:szCs w:val="24"/>
        </w:rPr>
      </w:pPr>
    </w:p>
    <w:p w14:paraId="6EAB9E4F" w14:textId="178742B1" w:rsidR="0034700F" w:rsidRDefault="00000000">
      <w:pPr>
        <w:jc w:val="both"/>
        <w:rPr>
          <w:rFonts w:ascii="Arial" w:hAnsi="Arial" w:cs="Arial"/>
          <w:sz w:val="24"/>
          <w:szCs w:val="24"/>
        </w:rPr>
      </w:pPr>
      <w:r>
        <w:rPr>
          <w:rFonts w:ascii="Arial" w:hAnsi="Arial" w:cs="Arial"/>
          <w:sz w:val="24"/>
          <w:szCs w:val="24"/>
        </w:rPr>
        <w:t xml:space="preserve">Volkswagen Group has defined five strategic modules that outline their vision of sustainable mobility for present and future generations. The strategy revolves around four target dimensions: excited customers, excellent employer, role model for environment, safety, and integrity, and competitive profitability. By consistently pursuing these objectives, the company aspires to exceed customer expectations, generate maximum customer benefit, and ensure flawless quality and an outstanding </w:t>
      </w:r>
      <w:r w:rsidR="00C06156">
        <w:rPr>
          <w:rFonts w:ascii="Arial" w:hAnsi="Arial" w:cs="Arial"/>
          <w:sz w:val="24"/>
          <w:szCs w:val="24"/>
        </w:rPr>
        <w:t>image.</w:t>
      </w:r>
      <w:r>
        <w:rPr>
          <w:rFonts w:ascii="Arial" w:hAnsi="Arial" w:cs="Arial"/>
          <w:sz w:val="24"/>
          <w:szCs w:val="24"/>
        </w:rPr>
        <w:t xml:space="preserve"> This commitment to customer satisfaction is evident in the strategic key performance indicators (KPIs) of conquest rate, loyalty, customer satisfaction, and quality (Dumitrescu &amp; Scalera, 2012).</w:t>
      </w:r>
    </w:p>
    <w:p w14:paraId="48E53FAC" w14:textId="77777777" w:rsidR="0034700F" w:rsidRDefault="0034700F">
      <w:pPr>
        <w:jc w:val="both"/>
        <w:rPr>
          <w:rFonts w:ascii="Arial" w:hAnsi="Arial" w:cs="Arial"/>
          <w:sz w:val="24"/>
          <w:szCs w:val="24"/>
        </w:rPr>
      </w:pPr>
    </w:p>
    <w:p w14:paraId="1DC896CF" w14:textId="77777777" w:rsidR="0034700F" w:rsidRDefault="00000000">
      <w:pPr>
        <w:jc w:val="both"/>
        <w:rPr>
          <w:rFonts w:ascii="Arial" w:hAnsi="Arial" w:cs="Arial"/>
          <w:sz w:val="24"/>
          <w:szCs w:val="24"/>
        </w:rPr>
      </w:pPr>
      <w:r>
        <w:rPr>
          <w:rFonts w:ascii="Arial" w:hAnsi="Arial" w:cs="Arial"/>
          <w:sz w:val="24"/>
          <w:szCs w:val="24"/>
        </w:rPr>
        <w:t>Each target dimension applies to the entire Group, although the specific strategic key performance indicators (KPIs) may vary based on the respective business models within the Group. While the KPIs for competitive profitability have been defined and standardized, the content of strategic KPIs in other target dimensions is still being determined as the Group strategy undergoes revision and detailed specification. The relevance and focus of the KPIs are continuously monitored and adjusted as needed. Non-financial strategic KPIs are reported in the "Corporate Governance Report" and "Sustainable Value Enhancement" sections of the Group's publications (Volkswagen Group, 2022).</w:t>
      </w:r>
    </w:p>
    <w:p w14:paraId="334E3733" w14:textId="77777777" w:rsidR="0034700F" w:rsidRDefault="0034700F">
      <w:pPr>
        <w:jc w:val="both"/>
        <w:rPr>
          <w:rFonts w:ascii="Arial" w:hAnsi="Arial" w:cs="Arial"/>
          <w:sz w:val="24"/>
          <w:szCs w:val="24"/>
        </w:rPr>
      </w:pPr>
    </w:p>
    <w:p w14:paraId="5AA87B9D" w14:textId="549CB489" w:rsidR="0034700F" w:rsidRDefault="00000000">
      <w:pPr>
        <w:jc w:val="both"/>
        <w:rPr>
          <w:rFonts w:ascii="Arial" w:hAnsi="Arial" w:cs="Arial"/>
          <w:sz w:val="24"/>
          <w:szCs w:val="24"/>
        </w:rPr>
      </w:pPr>
      <w:r>
        <w:rPr>
          <w:rFonts w:ascii="Arial" w:hAnsi="Arial" w:cs="Arial"/>
          <w:sz w:val="24"/>
          <w:szCs w:val="24"/>
        </w:rPr>
        <w:t xml:space="preserve">To achieve sustainable success, Volkswagen recognizes the importance of skilled and dedicated </w:t>
      </w:r>
      <w:r w:rsidR="00057EF6">
        <w:rPr>
          <w:rFonts w:ascii="Arial" w:hAnsi="Arial" w:cs="Arial"/>
          <w:sz w:val="24"/>
          <w:szCs w:val="24"/>
        </w:rPr>
        <w:t>employees</w:t>
      </w:r>
      <w:r w:rsidR="00057EF6" w:rsidRPr="00057EF6">
        <w:rPr>
          <w:rFonts w:ascii="Arial" w:hAnsi="Arial" w:cs="Arial"/>
          <w:sz w:val="24"/>
          <w:szCs w:val="24"/>
        </w:rPr>
        <w:t>. The objective of achieving an outstanding employer status seeks to foster employee satisfaction and drive by promoting equal opportunities, an appealing work setting, and progressive organizational approaches. Effective leadership and corporate culture hold vital importance in retaining key staff members and drawing in fresh skills. The strategic key performance indicators (KPIs) within this aspect encompass both the appeal of the organization internally and externally as an employer, alongside considerations of diversity.</w:t>
      </w:r>
    </w:p>
    <w:p w14:paraId="0C9B18F2" w14:textId="77777777" w:rsidR="0034700F" w:rsidRDefault="0034700F">
      <w:pPr>
        <w:jc w:val="both"/>
        <w:rPr>
          <w:rFonts w:ascii="Arial" w:hAnsi="Arial" w:cs="Arial"/>
          <w:sz w:val="24"/>
          <w:szCs w:val="24"/>
        </w:rPr>
      </w:pPr>
    </w:p>
    <w:p w14:paraId="3518A666" w14:textId="126C7827" w:rsidR="0034700F" w:rsidRDefault="00000000">
      <w:pPr>
        <w:jc w:val="both"/>
        <w:rPr>
          <w:rFonts w:ascii="Arial" w:hAnsi="Arial" w:cs="Arial"/>
          <w:sz w:val="24"/>
          <w:szCs w:val="24"/>
        </w:rPr>
      </w:pPr>
      <w:r>
        <w:rPr>
          <w:rFonts w:ascii="Arial" w:hAnsi="Arial" w:cs="Arial"/>
          <w:sz w:val="24"/>
          <w:szCs w:val="24"/>
        </w:rPr>
        <w:t>The</w:t>
      </w:r>
      <w:r w:rsidR="0039718B" w:rsidRPr="0039718B">
        <w:rPr>
          <w:rFonts w:ascii="Arial" w:hAnsi="Arial" w:cs="Arial"/>
          <w:sz w:val="24"/>
          <w:szCs w:val="24"/>
        </w:rPr>
        <w:t xml:space="preserve"> focus area of role model for environmental consciousness, safety, and ethical principles</w:t>
      </w:r>
      <w:r>
        <w:rPr>
          <w:rFonts w:ascii="Arial" w:hAnsi="Arial" w:cs="Arial"/>
          <w:sz w:val="24"/>
          <w:szCs w:val="24"/>
        </w:rPr>
        <w:t xml:space="preserve"> highlights Volkswagen's commitment to responsibility in environmental, safety, and societal matters. The company strives to continuously improve its carbon footprint, lower pollutant emissions, and ensure maximum product safety. </w:t>
      </w:r>
      <w:r w:rsidR="0039718B" w:rsidRPr="0039718B">
        <w:rPr>
          <w:rFonts w:ascii="Arial" w:hAnsi="Arial" w:cs="Arial"/>
          <w:sz w:val="24"/>
          <w:szCs w:val="24"/>
        </w:rPr>
        <w:t>Maintaining principles of honesty and openness constitute the fundamental elements of Volkswagen's aspiration to exemplify a contemporary and thriving corporate entity. The strategic key performance indicators within this domain encompass metrics such as the decarbonization index, fleet CO2 emissions, adherence to regulations, fostering a culture of transparent handling of errors, and upholding ethical principles.</w:t>
      </w:r>
    </w:p>
    <w:p w14:paraId="0DB47086" w14:textId="77777777" w:rsidR="0034700F" w:rsidRDefault="0034700F">
      <w:pPr>
        <w:jc w:val="both"/>
        <w:rPr>
          <w:rFonts w:ascii="Arial" w:hAnsi="Arial" w:cs="Arial"/>
          <w:sz w:val="24"/>
          <w:szCs w:val="24"/>
        </w:rPr>
      </w:pPr>
    </w:p>
    <w:p w14:paraId="5E4D7382" w14:textId="2C916315" w:rsidR="0034700F" w:rsidRDefault="00000000">
      <w:pPr>
        <w:jc w:val="both"/>
        <w:rPr>
          <w:rFonts w:ascii="Arial" w:hAnsi="Arial" w:cs="Arial"/>
          <w:sz w:val="24"/>
          <w:szCs w:val="24"/>
        </w:rPr>
      </w:pPr>
      <w:r>
        <w:rPr>
          <w:rFonts w:ascii="Arial" w:hAnsi="Arial" w:cs="Arial"/>
          <w:sz w:val="24"/>
          <w:szCs w:val="24"/>
        </w:rPr>
        <w:lastRenderedPageBreak/>
        <w:t xml:space="preserve">Finally, </w:t>
      </w:r>
      <w:r w:rsidR="0039718B" w:rsidRPr="0039718B">
        <w:rPr>
          <w:rFonts w:ascii="Arial" w:hAnsi="Arial" w:cs="Arial"/>
          <w:sz w:val="24"/>
          <w:szCs w:val="24"/>
        </w:rPr>
        <w:t>strong financial performance</w:t>
      </w:r>
      <w:r>
        <w:rPr>
          <w:rFonts w:ascii="Arial" w:hAnsi="Arial" w:cs="Arial"/>
          <w:sz w:val="24"/>
          <w:szCs w:val="24"/>
        </w:rPr>
        <w:t xml:space="preserve"> is essential for Volkswagen Group to meet its obligations, provide appropriate dividends to equity holders, and increase the long-term value of shares. The strategic goals in this dimension centre</w:t>
      </w:r>
      <w:r w:rsidR="00606B25">
        <w:rPr>
          <w:rFonts w:ascii="Arial" w:hAnsi="Arial" w:cs="Arial"/>
          <w:sz w:val="24"/>
          <w:szCs w:val="24"/>
        </w:rPr>
        <w:t xml:space="preserve"> </w:t>
      </w:r>
      <w:r w:rsidR="00673149">
        <w:rPr>
          <w:rFonts w:ascii="Arial" w:hAnsi="Arial" w:cs="Arial"/>
          <w:sz w:val="24"/>
          <w:szCs w:val="24"/>
        </w:rPr>
        <w:t>are</w:t>
      </w:r>
      <w:r>
        <w:rPr>
          <w:rFonts w:ascii="Arial" w:hAnsi="Arial" w:cs="Arial"/>
          <w:sz w:val="24"/>
          <w:szCs w:val="24"/>
        </w:rPr>
        <w:t xml:space="preserve"> around operational excellence and</w:t>
      </w:r>
      <w:r w:rsidR="0039718B">
        <w:rPr>
          <w:rFonts w:ascii="Arial" w:hAnsi="Arial" w:cs="Arial"/>
          <w:sz w:val="24"/>
          <w:szCs w:val="24"/>
        </w:rPr>
        <w:t xml:space="preserve"> </w:t>
      </w:r>
      <w:r w:rsidR="0039718B" w:rsidRPr="0039718B">
        <w:rPr>
          <w:rFonts w:ascii="Arial" w:hAnsi="Arial" w:cs="Arial"/>
          <w:sz w:val="24"/>
          <w:szCs w:val="24"/>
        </w:rPr>
        <w:t>establishing a standard of excellence for the sector.</w:t>
      </w:r>
      <w:r>
        <w:rPr>
          <w:rFonts w:ascii="Arial" w:hAnsi="Arial" w:cs="Arial"/>
          <w:sz w:val="24"/>
          <w:szCs w:val="24"/>
        </w:rPr>
        <w:t xml:space="preserve"> </w:t>
      </w:r>
      <w:r w:rsidR="00606B25" w:rsidRPr="00606B25">
        <w:rPr>
          <w:rFonts w:ascii="Arial" w:hAnsi="Arial" w:cs="Arial"/>
          <w:sz w:val="24"/>
          <w:szCs w:val="24"/>
        </w:rPr>
        <w:t xml:space="preserve">The implemented strategic key performance indicators </w:t>
      </w:r>
      <w:r w:rsidR="0039718B" w:rsidRPr="0039718B">
        <w:rPr>
          <w:rFonts w:ascii="Arial" w:hAnsi="Arial" w:cs="Arial"/>
          <w:sz w:val="24"/>
          <w:szCs w:val="24"/>
        </w:rPr>
        <w:t>are</w:t>
      </w:r>
      <w:r w:rsidR="00606B25">
        <w:rPr>
          <w:rFonts w:ascii="Arial" w:hAnsi="Arial" w:cs="Arial"/>
          <w:sz w:val="24"/>
          <w:szCs w:val="24"/>
        </w:rPr>
        <w:t xml:space="preserve"> </w:t>
      </w:r>
      <w:r w:rsidR="00606B25" w:rsidRPr="00606B25">
        <w:rPr>
          <w:rFonts w:ascii="Arial" w:hAnsi="Arial" w:cs="Arial"/>
          <w:sz w:val="24"/>
          <w:szCs w:val="24"/>
        </w:rPr>
        <w:t>derived from data within the company's administrative records</w:t>
      </w:r>
      <w:r w:rsidR="0039718B" w:rsidRPr="0039718B">
        <w:rPr>
          <w:rFonts w:ascii="Arial" w:hAnsi="Arial" w:cs="Arial"/>
          <w:sz w:val="24"/>
          <w:szCs w:val="24"/>
        </w:rPr>
        <w:t>.</w:t>
      </w:r>
    </w:p>
    <w:p w14:paraId="5C553038" w14:textId="77777777" w:rsidR="0034700F" w:rsidRDefault="0034700F">
      <w:pPr>
        <w:jc w:val="both"/>
        <w:rPr>
          <w:rFonts w:ascii="Arial" w:hAnsi="Arial" w:cs="Arial"/>
          <w:sz w:val="24"/>
          <w:szCs w:val="24"/>
        </w:rPr>
      </w:pPr>
    </w:p>
    <w:p w14:paraId="4B27C70F" w14:textId="6CD4E700" w:rsidR="0034700F" w:rsidRDefault="00000000">
      <w:pPr>
        <w:jc w:val="both"/>
        <w:rPr>
          <w:rFonts w:ascii="Arial" w:hAnsi="Arial" w:cs="Arial"/>
          <w:sz w:val="24"/>
          <w:szCs w:val="24"/>
        </w:rPr>
      </w:pPr>
      <w:r>
        <w:rPr>
          <w:rFonts w:ascii="Arial" w:hAnsi="Arial" w:cs="Arial"/>
          <w:sz w:val="24"/>
          <w:szCs w:val="24"/>
        </w:rPr>
        <w:t xml:space="preserve">These strategic </w:t>
      </w:r>
      <w:r w:rsidR="00606B25" w:rsidRPr="00606B25">
        <w:rPr>
          <w:rFonts w:ascii="Arial" w:hAnsi="Arial" w:cs="Arial"/>
          <w:sz w:val="24"/>
          <w:szCs w:val="24"/>
        </w:rPr>
        <w:t xml:space="preserve">objectives and </w:t>
      </w:r>
      <w:r w:rsidR="00673149">
        <w:rPr>
          <w:rFonts w:ascii="Arial" w:hAnsi="Arial" w:cs="Arial"/>
          <w:sz w:val="24"/>
          <w:szCs w:val="24"/>
        </w:rPr>
        <w:t>essential</w:t>
      </w:r>
      <w:r w:rsidR="00606B25" w:rsidRPr="00606B25">
        <w:rPr>
          <w:rFonts w:ascii="Arial" w:hAnsi="Arial" w:cs="Arial"/>
          <w:sz w:val="24"/>
          <w:szCs w:val="24"/>
        </w:rPr>
        <w:t xml:space="preserve"> performance </w:t>
      </w:r>
      <w:r>
        <w:rPr>
          <w:rFonts w:ascii="Arial" w:hAnsi="Arial" w:cs="Arial"/>
          <w:sz w:val="24"/>
          <w:szCs w:val="24"/>
        </w:rPr>
        <w:t>indicators shape Volkswagen Group's efforts towards sustainable growth, customer satisfaction, employee well-being, environmental responsibility, and financial performance.</w:t>
      </w:r>
    </w:p>
    <w:p w14:paraId="500C67CF" w14:textId="77777777" w:rsidR="0034700F" w:rsidRDefault="0034700F">
      <w:pPr>
        <w:jc w:val="both"/>
        <w:rPr>
          <w:rFonts w:ascii="Arial" w:hAnsi="Arial" w:cs="Arial"/>
          <w:sz w:val="24"/>
          <w:szCs w:val="24"/>
        </w:rPr>
      </w:pPr>
    </w:p>
    <w:p w14:paraId="06F7567B" w14:textId="72E83681" w:rsidR="0034700F" w:rsidRDefault="00000000">
      <w:pPr>
        <w:jc w:val="both"/>
        <w:rPr>
          <w:rFonts w:ascii="Arial" w:hAnsi="Arial" w:cs="Arial"/>
          <w:sz w:val="24"/>
          <w:szCs w:val="24"/>
        </w:rPr>
      </w:pPr>
      <w:r>
        <w:rPr>
          <w:rFonts w:ascii="Arial" w:hAnsi="Arial" w:cs="Arial"/>
          <w:sz w:val="24"/>
          <w:szCs w:val="24"/>
        </w:rPr>
        <w:t xml:space="preserve">In terms of competitive profitability, Volkswagen Group's key performance indicators (KPIs) demonstrate its commitment to meeting obligations and generating sustainable returns. </w:t>
      </w:r>
      <w:r w:rsidR="00673149" w:rsidRPr="00673149">
        <w:rPr>
          <w:rFonts w:ascii="Arial" w:hAnsi="Arial" w:cs="Arial"/>
          <w:sz w:val="24"/>
          <w:szCs w:val="24"/>
        </w:rPr>
        <w:t>As stated in the Annual Report for the year 2019, the projected key performance indicators (KPIs) for the year 2025 encompass metrics such as operational profit margin, research, and development expenditure proportion, capital expenditure to revenue ratio, net cash inflow, distribution ratio, net financial position, and return on capital employed.</w:t>
      </w:r>
    </w:p>
    <w:p w14:paraId="59BD5DD6" w14:textId="77777777" w:rsidR="0034700F" w:rsidRDefault="0034700F">
      <w:pPr>
        <w:jc w:val="both"/>
        <w:rPr>
          <w:rFonts w:ascii="Arial" w:hAnsi="Arial" w:cs="Arial"/>
          <w:sz w:val="24"/>
          <w:szCs w:val="24"/>
        </w:rPr>
      </w:pPr>
    </w:p>
    <w:p w14:paraId="50C5BA93" w14:textId="77777777" w:rsidR="0034700F" w:rsidRDefault="00000000">
      <w:pPr>
        <w:jc w:val="both"/>
        <w:rPr>
          <w:rFonts w:ascii="Arial" w:hAnsi="Arial" w:cs="Arial"/>
          <w:sz w:val="24"/>
          <w:szCs w:val="24"/>
        </w:rPr>
      </w:pPr>
      <w:r>
        <w:rPr>
          <w:rFonts w:ascii="Arial" w:hAnsi="Arial" w:cs="Arial"/>
          <w:sz w:val="24"/>
          <w:szCs w:val="24"/>
        </w:rPr>
        <w:t>Volkswagen Group's strategic objectives are supported by short and long-term goals reflected in these KPIs. For instance, delivery to customers determines the company's competitive position, while the quality of its brand portfolio and tailored mobility vehicles contribute to long-term success. The company also considers demand, individual preferences, and market structure analysis when making pricing decisions to maximize sales volume and ensure affordability (Advances in Economics, Business and Management Research, 2023).</w:t>
      </w:r>
    </w:p>
    <w:p w14:paraId="4C937F74" w14:textId="77777777" w:rsidR="0034700F" w:rsidRDefault="0034700F">
      <w:pPr>
        <w:jc w:val="both"/>
        <w:rPr>
          <w:rFonts w:ascii="Arial" w:hAnsi="Arial" w:cs="Arial"/>
          <w:sz w:val="24"/>
          <w:szCs w:val="24"/>
        </w:rPr>
      </w:pPr>
    </w:p>
    <w:p w14:paraId="518D6E1D" w14:textId="77777777" w:rsidR="0034700F" w:rsidRDefault="00000000">
      <w:pPr>
        <w:jc w:val="both"/>
        <w:rPr>
          <w:rFonts w:ascii="Arial" w:hAnsi="Arial" w:cs="Arial"/>
          <w:sz w:val="24"/>
          <w:szCs w:val="24"/>
        </w:rPr>
      </w:pPr>
      <w:r>
        <w:rPr>
          <w:rFonts w:ascii="Arial" w:hAnsi="Arial" w:cs="Arial"/>
          <w:sz w:val="24"/>
          <w:szCs w:val="24"/>
        </w:rPr>
        <w:t>By aligning its strategic objectives with these managerial economics principles, Volkswagen Group aims to enhance customer satisfaction, lead in environmental sustainability, foster an excellent work environment, and achieve competitive profitability. These objectives guide decision-making processes, ensuring the company's products and services align with customer needs and preferences while maintaining financial viability.</w:t>
      </w:r>
    </w:p>
    <w:p w14:paraId="39C63ABB" w14:textId="77777777" w:rsidR="0034700F" w:rsidRDefault="0034700F">
      <w:pPr>
        <w:jc w:val="both"/>
        <w:rPr>
          <w:rFonts w:ascii="Arial" w:hAnsi="Arial" w:cs="Arial"/>
          <w:sz w:val="24"/>
          <w:szCs w:val="24"/>
        </w:rPr>
      </w:pPr>
    </w:p>
    <w:tbl>
      <w:tblPr>
        <w:tblW w:w="8400" w:type="dxa"/>
        <w:tblCellMar>
          <w:left w:w="10" w:type="dxa"/>
          <w:right w:w="10" w:type="dxa"/>
        </w:tblCellMar>
        <w:tblLook w:val="0000" w:firstRow="0" w:lastRow="0" w:firstColumn="0" w:lastColumn="0" w:noHBand="0" w:noVBand="0"/>
      </w:tblPr>
      <w:tblGrid>
        <w:gridCol w:w="3754"/>
        <w:gridCol w:w="115"/>
        <w:gridCol w:w="812"/>
        <w:gridCol w:w="114"/>
        <w:gridCol w:w="812"/>
        <w:gridCol w:w="114"/>
        <w:gridCol w:w="812"/>
        <w:gridCol w:w="114"/>
        <w:gridCol w:w="812"/>
        <w:gridCol w:w="114"/>
        <w:gridCol w:w="827"/>
      </w:tblGrid>
      <w:tr w:rsidR="0034700F" w14:paraId="073C7777" w14:textId="77777777">
        <w:trPr>
          <w:tblHeader/>
        </w:trPr>
        <w:tc>
          <w:tcPr>
            <w:tcW w:w="8400" w:type="dxa"/>
            <w:gridSpan w:val="11"/>
            <w:shd w:val="clear" w:color="auto" w:fill="FFFFFF"/>
            <w:tcMar>
              <w:top w:w="0" w:type="dxa"/>
              <w:left w:w="0" w:type="dxa"/>
              <w:bottom w:w="0" w:type="dxa"/>
              <w:right w:w="45" w:type="dxa"/>
            </w:tcMar>
            <w:vAlign w:val="center"/>
          </w:tcPr>
          <w:p w14:paraId="04C7FCDE" w14:textId="77777777" w:rsidR="0034700F" w:rsidRDefault="00000000">
            <w:pPr>
              <w:jc w:val="both"/>
              <w:rPr>
                <w:lang w:eastAsia="en-GB"/>
              </w:rPr>
            </w:pPr>
            <w:r>
              <w:rPr>
                <w:lang w:eastAsia="en-GB"/>
              </w:rPr>
              <w:t>Table 1: FINANCIAL KEY PERFORMANCE INDICATORS</w:t>
            </w:r>
          </w:p>
        </w:tc>
      </w:tr>
      <w:tr w:rsidR="0034700F" w14:paraId="01EA6932" w14:textId="77777777">
        <w:trPr>
          <w:tblHeader/>
        </w:trPr>
        <w:tc>
          <w:tcPr>
            <w:tcW w:w="3754" w:type="dxa"/>
            <w:shd w:val="clear" w:color="auto" w:fill="FFFFFF"/>
            <w:tcMar>
              <w:top w:w="0" w:type="dxa"/>
              <w:left w:w="0" w:type="dxa"/>
              <w:bottom w:w="0" w:type="dxa"/>
              <w:right w:w="45" w:type="dxa"/>
            </w:tcMar>
            <w:vAlign w:val="bottom"/>
          </w:tcPr>
          <w:p w14:paraId="35BFC727" w14:textId="77777777" w:rsidR="0034700F" w:rsidRDefault="00000000">
            <w:pPr>
              <w:suppressAutoHyphens w:val="0"/>
              <w:spacing w:before="75" w:after="60" w:line="252" w:lineRule="atLeast"/>
              <w:jc w:val="both"/>
              <w:textAlignment w:val="bottom"/>
              <w:rPr>
                <w:rFonts w:ascii="TheSans" w:eastAsia="Times New Roman" w:hAnsi="TheSans"/>
                <w:color w:val="333333"/>
                <w:kern w:val="0"/>
                <w:sz w:val="21"/>
                <w:szCs w:val="21"/>
                <w:lang w:eastAsia="en-GB"/>
              </w:rPr>
            </w:pPr>
            <w:r>
              <w:rPr>
                <w:rFonts w:ascii="TheSans" w:eastAsia="Times New Roman" w:hAnsi="TheSans"/>
                <w:color w:val="333333"/>
                <w:kern w:val="0"/>
                <w:sz w:val="21"/>
                <w:szCs w:val="21"/>
                <w:lang w:eastAsia="en-GB"/>
              </w:rPr>
              <w:t>%</w:t>
            </w:r>
          </w:p>
        </w:tc>
        <w:tc>
          <w:tcPr>
            <w:tcW w:w="115" w:type="dxa"/>
            <w:shd w:val="clear" w:color="auto" w:fill="FFFFFF"/>
            <w:tcMar>
              <w:top w:w="0" w:type="dxa"/>
              <w:left w:w="0" w:type="dxa"/>
              <w:bottom w:w="0" w:type="dxa"/>
              <w:right w:w="0" w:type="dxa"/>
            </w:tcMar>
            <w:vAlign w:val="bottom"/>
          </w:tcPr>
          <w:p w14:paraId="1948027B"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36" w:space="0" w:color="335F7D"/>
            </w:tcBorders>
            <w:shd w:val="clear" w:color="auto" w:fill="FFFFFF"/>
            <w:tcMar>
              <w:top w:w="0" w:type="dxa"/>
              <w:left w:w="30" w:type="dxa"/>
              <w:bottom w:w="0" w:type="dxa"/>
              <w:right w:w="45" w:type="dxa"/>
            </w:tcMar>
            <w:vAlign w:val="bottom"/>
          </w:tcPr>
          <w:p w14:paraId="7A93DDF4" w14:textId="77777777" w:rsidR="0034700F" w:rsidRDefault="00000000">
            <w:pPr>
              <w:suppressAutoHyphens w:val="0"/>
              <w:spacing w:after="0" w:line="252" w:lineRule="atLeast"/>
              <w:jc w:val="both"/>
              <w:textAlignment w:val="bottom"/>
            </w:pPr>
            <w:r>
              <w:rPr>
                <w:rFonts w:ascii="TheSans" w:eastAsia="Times New Roman" w:hAnsi="TheSans"/>
                <w:b/>
                <w:bCs/>
                <w:color w:val="335F7D"/>
                <w:kern w:val="0"/>
                <w:sz w:val="21"/>
                <w:szCs w:val="21"/>
                <w:lang w:eastAsia="en-GB"/>
              </w:rPr>
              <w:t>2022</w:t>
            </w:r>
          </w:p>
        </w:tc>
        <w:tc>
          <w:tcPr>
            <w:tcW w:w="114" w:type="dxa"/>
            <w:shd w:val="clear" w:color="auto" w:fill="FFFFFF"/>
            <w:tcMar>
              <w:top w:w="0" w:type="dxa"/>
              <w:left w:w="0" w:type="dxa"/>
              <w:bottom w:w="0" w:type="dxa"/>
              <w:right w:w="0" w:type="dxa"/>
            </w:tcMar>
            <w:vAlign w:val="bottom"/>
          </w:tcPr>
          <w:p w14:paraId="15B6DF77"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shd w:val="clear" w:color="auto" w:fill="FFFFFF"/>
            <w:tcMar>
              <w:top w:w="0" w:type="dxa"/>
              <w:left w:w="30" w:type="dxa"/>
              <w:bottom w:w="0" w:type="dxa"/>
              <w:right w:w="45" w:type="dxa"/>
            </w:tcMar>
            <w:vAlign w:val="bottom"/>
          </w:tcPr>
          <w:p w14:paraId="23A79B98" w14:textId="77777777" w:rsidR="0034700F" w:rsidRDefault="00000000">
            <w:pPr>
              <w:suppressAutoHyphens w:val="0"/>
              <w:spacing w:after="0" w:line="252" w:lineRule="atLeast"/>
              <w:jc w:val="both"/>
              <w:textAlignment w:val="bottom"/>
            </w:pPr>
            <w:r>
              <w:rPr>
                <w:rFonts w:ascii="TheSans" w:eastAsia="Times New Roman" w:hAnsi="TheSans"/>
                <w:b/>
                <w:bCs/>
                <w:color w:val="8A8A8A"/>
                <w:kern w:val="0"/>
                <w:sz w:val="21"/>
                <w:szCs w:val="21"/>
                <w:lang w:eastAsia="en-GB"/>
              </w:rPr>
              <w:t>2021</w:t>
            </w:r>
          </w:p>
        </w:tc>
        <w:tc>
          <w:tcPr>
            <w:tcW w:w="114" w:type="dxa"/>
            <w:shd w:val="clear" w:color="auto" w:fill="FFFFFF"/>
            <w:tcMar>
              <w:top w:w="0" w:type="dxa"/>
              <w:left w:w="0" w:type="dxa"/>
              <w:bottom w:w="0" w:type="dxa"/>
              <w:right w:w="0" w:type="dxa"/>
            </w:tcMar>
            <w:vAlign w:val="bottom"/>
          </w:tcPr>
          <w:p w14:paraId="7008D502"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shd w:val="clear" w:color="auto" w:fill="FFFFFF"/>
            <w:tcMar>
              <w:top w:w="0" w:type="dxa"/>
              <w:left w:w="30" w:type="dxa"/>
              <w:bottom w:w="0" w:type="dxa"/>
              <w:right w:w="45" w:type="dxa"/>
            </w:tcMar>
            <w:vAlign w:val="bottom"/>
          </w:tcPr>
          <w:p w14:paraId="1DE08FCF" w14:textId="77777777" w:rsidR="0034700F" w:rsidRDefault="00000000">
            <w:pPr>
              <w:suppressAutoHyphens w:val="0"/>
              <w:spacing w:after="0" w:line="252" w:lineRule="atLeast"/>
              <w:jc w:val="both"/>
              <w:textAlignment w:val="bottom"/>
            </w:pPr>
            <w:r>
              <w:rPr>
                <w:rFonts w:ascii="TheSans" w:eastAsia="Times New Roman" w:hAnsi="TheSans"/>
                <w:b/>
                <w:bCs/>
                <w:color w:val="8A8A8A"/>
                <w:kern w:val="0"/>
                <w:sz w:val="21"/>
                <w:szCs w:val="21"/>
                <w:lang w:eastAsia="en-GB"/>
              </w:rPr>
              <w:t>2020</w:t>
            </w:r>
          </w:p>
        </w:tc>
        <w:tc>
          <w:tcPr>
            <w:tcW w:w="114" w:type="dxa"/>
            <w:shd w:val="clear" w:color="auto" w:fill="FFFFFF"/>
            <w:tcMar>
              <w:top w:w="0" w:type="dxa"/>
              <w:left w:w="0" w:type="dxa"/>
              <w:bottom w:w="0" w:type="dxa"/>
              <w:right w:w="0" w:type="dxa"/>
            </w:tcMar>
            <w:vAlign w:val="bottom"/>
          </w:tcPr>
          <w:p w14:paraId="4AF9C932"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shd w:val="clear" w:color="auto" w:fill="FFFFFF"/>
            <w:tcMar>
              <w:top w:w="0" w:type="dxa"/>
              <w:left w:w="30" w:type="dxa"/>
              <w:bottom w:w="0" w:type="dxa"/>
              <w:right w:w="45" w:type="dxa"/>
            </w:tcMar>
            <w:vAlign w:val="bottom"/>
          </w:tcPr>
          <w:p w14:paraId="6BA86A90" w14:textId="77777777" w:rsidR="0034700F" w:rsidRDefault="00000000">
            <w:pPr>
              <w:suppressAutoHyphens w:val="0"/>
              <w:spacing w:after="0" w:line="252" w:lineRule="atLeast"/>
              <w:jc w:val="both"/>
              <w:textAlignment w:val="bottom"/>
            </w:pPr>
            <w:r>
              <w:rPr>
                <w:rFonts w:ascii="TheSans" w:eastAsia="Times New Roman" w:hAnsi="TheSans"/>
                <w:b/>
                <w:bCs/>
                <w:color w:val="8A8A8A"/>
                <w:kern w:val="0"/>
                <w:sz w:val="21"/>
                <w:szCs w:val="21"/>
                <w:lang w:eastAsia="en-GB"/>
              </w:rPr>
              <w:t>2019</w:t>
            </w:r>
          </w:p>
        </w:tc>
        <w:tc>
          <w:tcPr>
            <w:tcW w:w="114" w:type="dxa"/>
            <w:shd w:val="clear" w:color="auto" w:fill="FFFFFF"/>
            <w:tcMar>
              <w:top w:w="0" w:type="dxa"/>
              <w:left w:w="0" w:type="dxa"/>
              <w:bottom w:w="0" w:type="dxa"/>
              <w:right w:w="0" w:type="dxa"/>
            </w:tcMar>
            <w:vAlign w:val="bottom"/>
          </w:tcPr>
          <w:p w14:paraId="370D09A1"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27" w:type="dxa"/>
            <w:shd w:val="clear" w:color="auto" w:fill="FFFFFF"/>
            <w:tcMar>
              <w:top w:w="0" w:type="dxa"/>
              <w:left w:w="30" w:type="dxa"/>
              <w:bottom w:w="0" w:type="dxa"/>
              <w:right w:w="45" w:type="dxa"/>
            </w:tcMar>
            <w:vAlign w:val="bottom"/>
          </w:tcPr>
          <w:p w14:paraId="0A372DF3" w14:textId="77777777" w:rsidR="0034700F" w:rsidRDefault="00000000">
            <w:pPr>
              <w:suppressAutoHyphens w:val="0"/>
              <w:spacing w:after="0" w:line="252" w:lineRule="atLeast"/>
              <w:jc w:val="both"/>
              <w:textAlignment w:val="bottom"/>
            </w:pPr>
            <w:r>
              <w:rPr>
                <w:rFonts w:ascii="TheSans" w:eastAsia="Times New Roman" w:hAnsi="TheSans"/>
                <w:b/>
                <w:bCs/>
                <w:color w:val="8A8A8A"/>
                <w:kern w:val="0"/>
                <w:sz w:val="21"/>
                <w:szCs w:val="21"/>
                <w:lang w:eastAsia="en-GB"/>
              </w:rPr>
              <w:t>2018</w:t>
            </w:r>
          </w:p>
        </w:tc>
      </w:tr>
      <w:tr w:rsidR="0034700F" w14:paraId="73B35E8F" w14:textId="77777777">
        <w:trPr>
          <w:tblHeader/>
        </w:trPr>
        <w:tc>
          <w:tcPr>
            <w:tcW w:w="3754" w:type="dxa"/>
            <w:shd w:val="clear" w:color="auto" w:fill="FFFFFF"/>
            <w:tcMar>
              <w:top w:w="0" w:type="dxa"/>
              <w:left w:w="0" w:type="dxa"/>
              <w:bottom w:w="0" w:type="dxa"/>
              <w:right w:w="45" w:type="dxa"/>
            </w:tcMar>
            <w:vAlign w:val="bottom"/>
          </w:tcPr>
          <w:p w14:paraId="18D25332" w14:textId="77777777" w:rsidR="0034700F" w:rsidRDefault="00000000">
            <w:pPr>
              <w:suppressAutoHyphens w:val="0"/>
              <w:spacing w:before="75" w:after="60" w:line="252" w:lineRule="atLeast"/>
              <w:jc w:val="both"/>
              <w:textAlignment w:val="bottom"/>
              <w:rPr>
                <w:rFonts w:ascii="TheSans" w:eastAsia="Times New Roman" w:hAnsi="TheSans"/>
                <w:color w:val="4C5356"/>
                <w:kern w:val="0"/>
                <w:sz w:val="21"/>
                <w:szCs w:val="21"/>
                <w:lang w:eastAsia="en-GB"/>
              </w:rPr>
            </w:pPr>
            <w:r>
              <w:rPr>
                <w:rFonts w:ascii="TheSans" w:eastAsia="Times New Roman" w:hAnsi="TheSans"/>
                <w:color w:val="4C5356"/>
                <w:kern w:val="0"/>
                <w:sz w:val="21"/>
                <w:szCs w:val="21"/>
                <w:lang w:eastAsia="en-GB"/>
              </w:rPr>
              <w:t> </w:t>
            </w:r>
          </w:p>
        </w:tc>
        <w:tc>
          <w:tcPr>
            <w:tcW w:w="115" w:type="dxa"/>
            <w:shd w:val="clear" w:color="auto" w:fill="FFFFFF"/>
            <w:tcMar>
              <w:top w:w="0" w:type="dxa"/>
              <w:left w:w="0" w:type="dxa"/>
              <w:bottom w:w="0" w:type="dxa"/>
              <w:right w:w="0" w:type="dxa"/>
            </w:tcMar>
            <w:vAlign w:val="bottom"/>
          </w:tcPr>
          <w:p w14:paraId="57CE6933"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shd w:val="clear" w:color="auto" w:fill="FFFFFF"/>
            <w:tcMar>
              <w:top w:w="0" w:type="dxa"/>
              <w:left w:w="30" w:type="dxa"/>
              <w:bottom w:w="0" w:type="dxa"/>
              <w:right w:w="45" w:type="dxa"/>
            </w:tcMar>
            <w:vAlign w:val="bottom"/>
          </w:tcPr>
          <w:p w14:paraId="24A6B7AD" w14:textId="77777777" w:rsidR="0034700F" w:rsidRDefault="00000000">
            <w:pPr>
              <w:suppressAutoHyphens w:val="0"/>
              <w:spacing w:before="75" w:after="60" w:line="252" w:lineRule="atLeast"/>
              <w:jc w:val="both"/>
              <w:textAlignment w:val="bottom"/>
              <w:rPr>
                <w:rFonts w:ascii="TheSans" w:eastAsia="Times New Roman" w:hAnsi="TheSans"/>
                <w:color w:val="4C5356"/>
                <w:kern w:val="0"/>
                <w:sz w:val="21"/>
                <w:szCs w:val="21"/>
                <w:lang w:eastAsia="en-GB"/>
              </w:rPr>
            </w:pPr>
            <w:r>
              <w:rPr>
                <w:rFonts w:ascii="TheSans" w:eastAsia="Times New Roman" w:hAnsi="TheSans"/>
                <w:color w:val="4C5356"/>
                <w:kern w:val="0"/>
                <w:sz w:val="21"/>
                <w:szCs w:val="21"/>
                <w:lang w:eastAsia="en-GB"/>
              </w:rPr>
              <w:t> </w:t>
            </w:r>
          </w:p>
        </w:tc>
        <w:tc>
          <w:tcPr>
            <w:tcW w:w="114" w:type="dxa"/>
            <w:shd w:val="clear" w:color="auto" w:fill="FFFFFF"/>
            <w:tcMar>
              <w:top w:w="0" w:type="dxa"/>
              <w:left w:w="0" w:type="dxa"/>
              <w:bottom w:w="0" w:type="dxa"/>
              <w:right w:w="0" w:type="dxa"/>
            </w:tcMar>
            <w:vAlign w:val="bottom"/>
          </w:tcPr>
          <w:p w14:paraId="2AE11BC6"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shd w:val="clear" w:color="auto" w:fill="FFFFFF"/>
            <w:tcMar>
              <w:top w:w="0" w:type="dxa"/>
              <w:left w:w="30" w:type="dxa"/>
              <w:bottom w:w="0" w:type="dxa"/>
              <w:right w:w="45" w:type="dxa"/>
            </w:tcMar>
            <w:vAlign w:val="bottom"/>
          </w:tcPr>
          <w:p w14:paraId="18F3500D" w14:textId="77777777" w:rsidR="0034700F" w:rsidRDefault="00000000">
            <w:pPr>
              <w:suppressAutoHyphens w:val="0"/>
              <w:spacing w:before="75" w:after="60" w:line="252" w:lineRule="atLeast"/>
              <w:jc w:val="both"/>
              <w:textAlignment w:val="bottom"/>
              <w:rPr>
                <w:rFonts w:ascii="TheSans" w:eastAsia="Times New Roman" w:hAnsi="TheSans"/>
                <w:color w:val="4C5356"/>
                <w:kern w:val="0"/>
                <w:sz w:val="21"/>
                <w:szCs w:val="21"/>
                <w:lang w:eastAsia="en-GB"/>
              </w:rPr>
            </w:pPr>
            <w:r>
              <w:rPr>
                <w:rFonts w:ascii="TheSans" w:eastAsia="Times New Roman" w:hAnsi="TheSans"/>
                <w:color w:val="4C5356"/>
                <w:kern w:val="0"/>
                <w:sz w:val="21"/>
                <w:szCs w:val="21"/>
                <w:lang w:eastAsia="en-GB"/>
              </w:rPr>
              <w:t> </w:t>
            </w:r>
          </w:p>
        </w:tc>
        <w:tc>
          <w:tcPr>
            <w:tcW w:w="114" w:type="dxa"/>
            <w:shd w:val="clear" w:color="auto" w:fill="FFFFFF"/>
            <w:tcMar>
              <w:top w:w="0" w:type="dxa"/>
              <w:left w:w="0" w:type="dxa"/>
              <w:bottom w:w="0" w:type="dxa"/>
              <w:right w:w="0" w:type="dxa"/>
            </w:tcMar>
            <w:vAlign w:val="bottom"/>
          </w:tcPr>
          <w:p w14:paraId="4952C363"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shd w:val="clear" w:color="auto" w:fill="FFFFFF"/>
            <w:tcMar>
              <w:top w:w="0" w:type="dxa"/>
              <w:left w:w="30" w:type="dxa"/>
              <w:bottom w:w="0" w:type="dxa"/>
              <w:right w:w="45" w:type="dxa"/>
            </w:tcMar>
            <w:vAlign w:val="bottom"/>
          </w:tcPr>
          <w:p w14:paraId="071E7D71" w14:textId="77777777" w:rsidR="0034700F" w:rsidRDefault="00000000">
            <w:pPr>
              <w:suppressAutoHyphens w:val="0"/>
              <w:spacing w:before="75" w:after="60" w:line="252" w:lineRule="atLeast"/>
              <w:jc w:val="both"/>
              <w:textAlignment w:val="bottom"/>
              <w:rPr>
                <w:rFonts w:ascii="TheSans" w:eastAsia="Times New Roman" w:hAnsi="TheSans"/>
                <w:color w:val="4C5356"/>
                <w:kern w:val="0"/>
                <w:sz w:val="21"/>
                <w:szCs w:val="21"/>
                <w:lang w:eastAsia="en-GB"/>
              </w:rPr>
            </w:pPr>
            <w:r>
              <w:rPr>
                <w:rFonts w:ascii="TheSans" w:eastAsia="Times New Roman" w:hAnsi="TheSans"/>
                <w:color w:val="4C5356"/>
                <w:kern w:val="0"/>
                <w:sz w:val="21"/>
                <w:szCs w:val="21"/>
                <w:lang w:eastAsia="en-GB"/>
              </w:rPr>
              <w:t> </w:t>
            </w:r>
          </w:p>
        </w:tc>
        <w:tc>
          <w:tcPr>
            <w:tcW w:w="114" w:type="dxa"/>
            <w:shd w:val="clear" w:color="auto" w:fill="FFFFFF"/>
            <w:tcMar>
              <w:top w:w="0" w:type="dxa"/>
              <w:left w:w="0" w:type="dxa"/>
              <w:bottom w:w="0" w:type="dxa"/>
              <w:right w:w="0" w:type="dxa"/>
            </w:tcMar>
            <w:vAlign w:val="bottom"/>
          </w:tcPr>
          <w:p w14:paraId="37BF0EAD"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shd w:val="clear" w:color="auto" w:fill="FFFFFF"/>
            <w:tcMar>
              <w:top w:w="0" w:type="dxa"/>
              <w:left w:w="30" w:type="dxa"/>
              <w:bottom w:w="0" w:type="dxa"/>
              <w:right w:w="45" w:type="dxa"/>
            </w:tcMar>
            <w:vAlign w:val="bottom"/>
          </w:tcPr>
          <w:p w14:paraId="37A2C649" w14:textId="77777777" w:rsidR="0034700F" w:rsidRDefault="00000000">
            <w:pPr>
              <w:suppressAutoHyphens w:val="0"/>
              <w:spacing w:before="75" w:after="60" w:line="252" w:lineRule="atLeast"/>
              <w:jc w:val="both"/>
              <w:textAlignment w:val="bottom"/>
              <w:rPr>
                <w:rFonts w:ascii="TheSans" w:eastAsia="Times New Roman" w:hAnsi="TheSans"/>
                <w:color w:val="4C5356"/>
                <w:kern w:val="0"/>
                <w:sz w:val="21"/>
                <w:szCs w:val="21"/>
                <w:lang w:eastAsia="en-GB"/>
              </w:rPr>
            </w:pPr>
            <w:r>
              <w:rPr>
                <w:rFonts w:ascii="TheSans" w:eastAsia="Times New Roman" w:hAnsi="TheSans"/>
                <w:color w:val="4C5356"/>
                <w:kern w:val="0"/>
                <w:sz w:val="21"/>
                <w:szCs w:val="21"/>
                <w:lang w:eastAsia="en-GB"/>
              </w:rPr>
              <w:t> </w:t>
            </w:r>
          </w:p>
        </w:tc>
        <w:tc>
          <w:tcPr>
            <w:tcW w:w="114" w:type="dxa"/>
            <w:shd w:val="clear" w:color="auto" w:fill="FFFFFF"/>
            <w:tcMar>
              <w:top w:w="0" w:type="dxa"/>
              <w:left w:w="0" w:type="dxa"/>
              <w:bottom w:w="0" w:type="dxa"/>
              <w:right w:w="0" w:type="dxa"/>
            </w:tcMar>
            <w:vAlign w:val="bottom"/>
          </w:tcPr>
          <w:p w14:paraId="7A9DA446"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27" w:type="dxa"/>
            <w:shd w:val="clear" w:color="auto" w:fill="FFFFFF"/>
            <w:tcMar>
              <w:top w:w="0" w:type="dxa"/>
              <w:left w:w="30" w:type="dxa"/>
              <w:bottom w:w="0" w:type="dxa"/>
              <w:right w:w="45" w:type="dxa"/>
            </w:tcMar>
            <w:vAlign w:val="bottom"/>
          </w:tcPr>
          <w:p w14:paraId="0CB415C2" w14:textId="77777777" w:rsidR="0034700F" w:rsidRDefault="00000000">
            <w:pPr>
              <w:suppressAutoHyphens w:val="0"/>
              <w:spacing w:before="75" w:after="60" w:line="252" w:lineRule="atLeast"/>
              <w:jc w:val="both"/>
              <w:textAlignment w:val="bottom"/>
              <w:rPr>
                <w:rFonts w:ascii="TheSans" w:eastAsia="Times New Roman" w:hAnsi="TheSans"/>
                <w:color w:val="4C5356"/>
                <w:kern w:val="0"/>
                <w:sz w:val="21"/>
                <w:szCs w:val="21"/>
                <w:lang w:eastAsia="en-GB"/>
              </w:rPr>
            </w:pPr>
            <w:r>
              <w:rPr>
                <w:rFonts w:ascii="TheSans" w:eastAsia="Times New Roman" w:hAnsi="TheSans"/>
                <w:color w:val="4C5356"/>
                <w:kern w:val="0"/>
                <w:sz w:val="21"/>
                <w:szCs w:val="21"/>
                <w:lang w:eastAsia="en-GB"/>
              </w:rPr>
              <w:t> </w:t>
            </w:r>
          </w:p>
        </w:tc>
      </w:tr>
      <w:tr w:rsidR="0034700F" w14:paraId="47782B33" w14:textId="77777777">
        <w:tc>
          <w:tcPr>
            <w:tcW w:w="3754" w:type="dxa"/>
            <w:tcBorders>
              <w:bottom w:val="single" w:sz="6" w:space="0" w:color="E4E4E5"/>
            </w:tcBorders>
            <w:shd w:val="clear" w:color="auto" w:fill="FFFFFF"/>
            <w:tcMar>
              <w:top w:w="0" w:type="dxa"/>
              <w:left w:w="0" w:type="dxa"/>
              <w:bottom w:w="0" w:type="dxa"/>
              <w:right w:w="45" w:type="dxa"/>
            </w:tcMar>
            <w:vAlign w:val="bottom"/>
          </w:tcPr>
          <w:p w14:paraId="433F7ECC" w14:textId="77777777" w:rsidR="0034700F" w:rsidRDefault="00000000">
            <w:pPr>
              <w:suppressAutoHyphens w:val="0"/>
              <w:spacing w:after="0" w:line="288" w:lineRule="atLeast"/>
              <w:jc w:val="both"/>
              <w:textAlignment w:val="bottom"/>
            </w:pPr>
            <w:r>
              <w:rPr>
                <w:rFonts w:ascii="TheSans" w:eastAsia="Times New Roman" w:hAnsi="TheSans"/>
                <w:b/>
                <w:bCs/>
                <w:color w:val="333333"/>
                <w:kern w:val="0"/>
                <w:sz w:val="24"/>
                <w:szCs w:val="24"/>
                <w:lang w:eastAsia="en-GB"/>
              </w:rPr>
              <w:t>Volkswagen Group</w:t>
            </w:r>
          </w:p>
        </w:tc>
        <w:tc>
          <w:tcPr>
            <w:tcW w:w="115" w:type="dxa"/>
            <w:shd w:val="clear" w:color="auto" w:fill="FFFFFF"/>
            <w:tcMar>
              <w:top w:w="0" w:type="dxa"/>
              <w:left w:w="0" w:type="dxa"/>
              <w:bottom w:w="0" w:type="dxa"/>
              <w:right w:w="0" w:type="dxa"/>
            </w:tcMar>
            <w:vAlign w:val="bottom"/>
          </w:tcPr>
          <w:p w14:paraId="75F032D8"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1ADB8766" w14:textId="77777777" w:rsidR="0034700F" w:rsidRDefault="00000000">
            <w:pPr>
              <w:suppressAutoHyphens w:val="0"/>
              <w:spacing w:before="75" w:after="60" w:line="288" w:lineRule="atLeast"/>
              <w:jc w:val="both"/>
              <w:textAlignment w:val="bottom"/>
              <w:rPr>
                <w:rFonts w:ascii="TheSans" w:eastAsia="Times New Roman" w:hAnsi="TheSans"/>
                <w:color w:val="4C5356"/>
                <w:kern w:val="0"/>
                <w:sz w:val="24"/>
                <w:szCs w:val="24"/>
                <w:lang w:eastAsia="en-GB"/>
              </w:rPr>
            </w:pPr>
            <w:r>
              <w:rPr>
                <w:rFonts w:ascii="TheSans" w:eastAsia="Times New Roman" w:hAnsi="TheSans"/>
                <w:color w:val="4C5356"/>
                <w:kern w:val="0"/>
                <w:sz w:val="24"/>
                <w:szCs w:val="24"/>
                <w:lang w:eastAsia="en-GB"/>
              </w:rPr>
              <w:t> </w:t>
            </w:r>
          </w:p>
        </w:tc>
        <w:tc>
          <w:tcPr>
            <w:tcW w:w="114" w:type="dxa"/>
            <w:shd w:val="clear" w:color="auto" w:fill="FFFFFF"/>
            <w:tcMar>
              <w:top w:w="0" w:type="dxa"/>
              <w:left w:w="0" w:type="dxa"/>
              <w:bottom w:w="0" w:type="dxa"/>
              <w:right w:w="0" w:type="dxa"/>
            </w:tcMar>
            <w:vAlign w:val="bottom"/>
          </w:tcPr>
          <w:p w14:paraId="72E62280"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01C68F86" w14:textId="77777777" w:rsidR="0034700F" w:rsidRDefault="00000000">
            <w:pPr>
              <w:suppressAutoHyphens w:val="0"/>
              <w:spacing w:before="75" w:after="60" w:line="288" w:lineRule="atLeast"/>
              <w:jc w:val="both"/>
              <w:textAlignment w:val="bottom"/>
              <w:rPr>
                <w:rFonts w:ascii="TheSans" w:eastAsia="Times New Roman" w:hAnsi="TheSans"/>
                <w:color w:val="4C5356"/>
                <w:kern w:val="0"/>
                <w:sz w:val="24"/>
                <w:szCs w:val="24"/>
                <w:lang w:eastAsia="en-GB"/>
              </w:rPr>
            </w:pPr>
            <w:r>
              <w:rPr>
                <w:rFonts w:ascii="TheSans" w:eastAsia="Times New Roman" w:hAnsi="TheSans"/>
                <w:color w:val="4C5356"/>
                <w:kern w:val="0"/>
                <w:sz w:val="24"/>
                <w:szCs w:val="24"/>
                <w:lang w:eastAsia="en-GB"/>
              </w:rPr>
              <w:t> </w:t>
            </w:r>
          </w:p>
        </w:tc>
        <w:tc>
          <w:tcPr>
            <w:tcW w:w="114" w:type="dxa"/>
            <w:shd w:val="clear" w:color="auto" w:fill="FFFFFF"/>
            <w:tcMar>
              <w:top w:w="0" w:type="dxa"/>
              <w:left w:w="0" w:type="dxa"/>
              <w:bottom w:w="0" w:type="dxa"/>
              <w:right w:w="0" w:type="dxa"/>
            </w:tcMar>
            <w:vAlign w:val="bottom"/>
          </w:tcPr>
          <w:p w14:paraId="397CC772"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02FC2A00" w14:textId="77777777" w:rsidR="0034700F" w:rsidRDefault="00000000">
            <w:pPr>
              <w:suppressAutoHyphens w:val="0"/>
              <w:spacing w:before="75" w:after="60" w:line="288" w:lineRule="atLeast"/>
              <w:jc w:val="both"/>
              <w:textAlignment w:val="bottom"/>
              <w:rPr>
                <w:rFonts w:ascii="TheSans" w:eastAsia="Times New Roman" w:hAnsi="TheSans"/>
                <w:color w:val="4C5356"/>
                <w:kern w:val="0"/>
                <w:sz w:val="24"/>
                <w:szCs w:val="24"/>
                <w:lang w:eastAsia="en-GB"/>
              </w:rPr>
            </w:pPr>
            <w:r>
              <w:rPr>
                <w:rFonts w:ascii="TheSans" w:eastAsia="Times New Roman" w:hAnsi="TheSans"/>
                <w:color w:val="4C5356"/>
                <w:kern w:val="0"/>
                <w:sz w:val="24"/>
                <w:szCs w:val="24"/>
                <w:lang w:eastAsia="en-GB"/>
              </w:rPr>
              <w:t> </w:t>
            </w:r>
          </w:p>
        </w:tc>
        <w:tc>
          <w:tcPr>
            <w:tcW w:w="114" w:type="dxa"/>
            <w:shd w:val="clear" w:color="auto" w:fill="FFFFFF"/>
            <w:tcMar>
              <w:top w:w="0" w:type="dxa"/>
              <w:left w:w="0" w:type="dxa"/>
              <w:bottom w:w="0" w:type="dxa"/>
              <w:right w:w="0" w:type="dxa"/>
            </w:tcMar>
            <w:vAlign w:val="bottom"/>
          </w:tcPr>
          <w:p w14:paraId="1EE3F45B"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2A21FCF0" w14:textId="77777777" w:rsidR="0034700F" w:rsidRDefault="00000000">
            <w:pPr>
              <w:suppressAutoHyphens w:val="0"/>
              <w:spacing w:before="75" w:after="60" w:line="288" w:lineRule="atLeast"/>
              <w:jc w:val="both"/>
              <w:textAlignment w:val="bottom"/>
              <w:rPr>
                <w:rFonts w:ascii="TheSans" w:eastAsia="Times New Roman" w:hAnsi="TheSans"/>
                <w:color w:val="4C5356"/>
                <w:kern w:val="0"/>
                <w:sz w:val="24"/>
                <w:szCs w:val="24"/>
                <w:lang w:eastAsia="en-GB"/>
              </w:rPr>
            </w:pPr>
            <w:r>
              <w:rPr>
                <w:rFonts w:ascii="TheSans" w:eastAsia="Times New Roman" w:hAnsi="TheSans"/>
                <w:color w:val="4C5356"/>
                <w:kern w:val="0"/>
                <w:sz w:val="24"/>
                <w:szCs w:val="24"/>
                <w:lang w:eastAsia="en-GB"/>
              </w:rPr>
              <w:t> </w:t>
            </w:r>
          </w:p>
        </w:tc>
        <w:tc>
          <w:tcPr>
            <w:tcW w:w="114" w:type="dxa"/>
            <w:shd w:val="clear" w:color="auto" w:fill="FFFFFF"/>
            <w:tcMar>
              <w:top w:w="0" w:type="dxa"/>
              <w:left w:w="0" w:type="dxa"/>
              <w:bottom w:w="0" w:type="dxa"/>
              <w:right w:w="0" w:type="dxa"/>
            </w:tcMar>
            <w:vAlign w:val="bottom"/>
          </w:tcPr>
          <w:p w14:paraId="74F13E4E"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27" w:type="dxa"/>
            <w:tcBorders>
              <w:bottom w:val="single" w:sz="6" w:space="0" w:color="E4E4E5"/>
            </w:tcBorders>
            <w:shd w:val="clear" w:color="auto" w:fill="FFFFFF"/>
            <w:tcMar>
              <w:top w:w="0" w:type="dxa"/>
              <w:left w:w="30" w:type="dxa"/>
              <w:bottom w:w="0" w:type="dxa"/>
              <w:right w:w="45" w:type="dxa"/>
            </w:tcMar>
            <w:vAlign w:val="bottom"/>
          </w:tcPr>
          <w:p w14:paraId="65F01C3D" w14:textId="77777777" w:rsidR="0034700F" w:rsidRDefault="00000000">
            <w:pPr>
              <w:suppressAutoHyphens w:val="0"/>
              <w:spacing w:before="75" w:after="60" w:line="288" w:lineRule="atLeast"/>
              <w:jc w:val="both"/>
              <w:textAlignment w:val="bottom"/>
              <w:rPr>
                <w:rFonts w:ascii="TheSans" w:eastAsia="Times New Roman" w:hAnsi="TheSans"/>
                <w:color w:val="4C5356"/>
                <w:kern w:val="0"/>
                <w:sz w:val="24"/>
                <w:szCs w:val="24"/>
                <w:lang w:eastAsia="en-GB"/>
              </w:rPr>
            </w:pPr>
            <w:r>
              <w:rPr>
                <w:rFonts w:ascii="TheSans" w:eastAsia="Times New Roman" w:hAnsi="TheSans"/>
                <w:color w:val="4C5356"/>
                <w:kern w:val="0"/>
                <w:sz w:val="24"/>
                <w:szCs w:val="24"/>
                <w:lang w:eastAsia="en-GB"/>
              </w:rPr>
              <w:t> </w:t>
            </w:r>
          </w:p>
        </w:tc>
      </w:tr>
      <w:tr w:rsidR="0034700F" w14:paraId="1B17E169" w14:textId="77777777">
        <w:tc>
          <w:tcPr>
            <w:tcW w:w="3754" w:type="dxa"/>
            <w:tcBorders>
              <w:bottom w:val="single" w:sz="6" w:space="0" w:color="E4E4E5"/>
            </w:tcBorders>
            <w:shd w:val="clear" w:color="auto" w:fill="DDECF1"/>
            <w:tcMar>
              <w:top w:w="0" w:type="dxa"/>
              <w:left w:w="0" w:type="dxa"/>
              <w:bottom w:w="0" w:type="dxa"/>
              <w:right w:w="45" w:type="dxa"/>
            </w:tcMar>
            <w:vAlign w:val="bottom"/>
          </w:tcPr>
          <w:p w14:paraId="681E119A" w14:textId="77777777" w:rsidR="0034700F" w:rsidRDefault="00000000">
            <w:pPr>
              <w:shd w:val="clear" w:color="auto" w:fill="DDECF1"/>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Gross margin</w:t>
            </w:r>
          </w:p>
        </w:tc>
        <w:tc>
          <w:tcPr>
            <w:tcW w:w="115" w:type="dxa"/>
            <w:shd w:val="clear" w:color="auto" w:fill="DDECF1"/>
            <w:tcMar>
              <w:top w:w="0" w:type="dxa"/>
              <w:left w:w="0" w:type="dxa"/>
              <w:bottom w:w="0" w:type="dxa"/>
              <w:right w:w="0" w:type="dxa"/>
            </w:tcMar>
            <w:vAlign w:val="bottom"/>
          </w:tcPr>
          <w:p w14:paraId="6496251F" w14:textId="77777777" w:rsidR="0034700F" w:rsidRDefault="00000000">
            <w:pPr>
              <w:shd w:val="clear" w:color="auto" w:fill="DDECF1"/>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DDECF1"/>
            <w:tcMar>
              <w:top w:w="0" w:type="dxa"/>
              <w:left w:w="30" w:type="dxa"/>
              <w:bottom w:w="0" w:type="dxa"/>
              <w:right w:w="45" w:type="dxa"/>
            </w:tcMar>
            <w:vAlign w:val="bottom"/>
          </w:tcPr>
          <w:p w14:paraId="6F1B10D8" w14:textId="77777777" w:rsidR="0034700F" w:rsidRDefault="00000000">
            <w:pPr>
              <w:shd w:val="clear" w:color="auto" w:fill="DDECF1"/>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18.7</w:t>
            </w:r>
          </w:p>
        </w:tc>
        <w:tc>
          <w:tcPr>
            <w:tcW w:w="114" w:type="dxa"/>
            <w:shd w:val="clear" w:color="auto" w:fill="DDECF1"/>
            <w:tcMar>
              <w:top w:w="0" w:type="dxa"/>
              <w:left w:w="0" w:type="dxa"/>
              <w:bottom w:w="0" w:type="dxa"/>
              <w:right w:w="0" w:type="dxa"/>
            </w:tcMar>
            <w:vAlign w:val="bottom"/>
          </w:tcPr>
          <w:p w14:paraId="7C620E99" w14:textId="77777777" w:rsidR="0034700F" w:rsidRDefault="00000000">
            <w:pPr>
              <w:shd w:val="clear" w:color="auto" w:fill="DDECF1"/>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DDECF1"/>
            <w:tcMar>
              <w:top w:w="0" w:type="dxa"/>
              <w:left w:w="30" w:type="dxa"/>
              <w:bottom w:w="0" w:type="dxa"/>
              <w:right w:w="45" w:type="dxa"/>
            </w:tcMar>
            <w:vAlign w:val="bottom"/>
          </w:tcPr>
          <w:p w14:paraId="58D70595" w14:textId="77777777" w:rsidR="0034700F" w:rsidRDefault="00000000">
            <w:pPr>
              <w:shd w:val="clear" w:color="auto" w:fill="DDECF1"/>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18.9</w:t>
            </w:r>
          </w:p>
        </w:tc>
        <w:tc>
          <w:tcPr>
            <w:tcW w:w="114" w:type="dxa"/>
            <w:shd w:val="clear" w:color="auto" w:fill="DDECF1"/>
            <w:tcMar>
              <w:top w:w="0" w:type="dxa"/>
              <w:left w:w="0" w:type="dxa"/>
              <w:bottom w:w="0" w:type="dxa"/>
              <w:right w:w="0" w:type="dxa"/>
            </w:tcMar>
            <w:vAlign w:val="bottom"/>
          </w:tcPr>
          <w:p w14:paraId="4BFE04A9" w14:textId="77777777" w:rsidR="0034700F" w:rsidRDefault="00000000">
            <w:pPr>
              <w:shd w:val="clear" w:color="auto" w:fill="DDECF1"/>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DDECF1"/>
            <w:tcMar>
              <w:top w:w="0" w:type="dxa"/>
              <w:left w:w="30" w:type="dxa"/>
              <w:bottom w:w="0" w:type="dxa"/>
              <w:right w:w="45" w:type="dxa"/>
            </w:tcMar>
            <w:vAlign w:val="bottom"/>
          </w:tcPr>
          <w:p w14:paraId="6B05B7EF" w14:textId="77777777" w:rsidR="0034700F" w:rsidRDefault="00000000">
            <w:pPr>
              <w:shd w:val="clear" w:color="auto" w:fill="DDECF1"/>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17.5</w:t>
            </w:r>
          </w:p>
        </w:tc>
        <w:tc>
          <w:tcPr>
            <w:tcW w:w="114" w:type="dxa"/>
            <w:shd w:val="clear" w:color="auto" w:fill="DDECF1"/>
            <w:tcMar>
              <w:top w:w="0" w:type="dxa"/>
              <w:left w:w="0" w:type="dxa"/>
              <w:bottom w:w="0" w:type="dxa"/>
              <w:right w:w="0" w:type="dxa"/>
            </w:tcMar>
            <w:vAlign w:val="bottom"/>
          </w:tcPr>
          <w:p w14:paraId="556E4548" w14:textId="77777777" w:rsidR="0034700F" w:rsidRDefault="00000000">
            <w:pPr>
              <w:shd w:val="clear" w:color="auto" w:fill="DDECF1"/>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DDECF1"/>
            <w:tcMar>
              <w:top w:w="0" w:type="dxa"/>
              <w:left w:w="30" w:type="dxa"/>
              <w:bottom w:w="0" w:type="dxa"/>
              <w:right w:w="45" w:type="dxa"/>
            </w:tcMar>
            <w:vAlign w:val="bottom"/>
          </w:tcPr>
          <w:p w14:paraId="0264C5EF" w14:textId="77777777" w:rsidR="0034700F" w:rsidRDefault="00000000">
            <w:pPr>
              <w:shd w:val="clear" w:color="auto" w:fill="DDECF1"/>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19.5</w:t>
            </w:r>
          </w:p>
        </w:tc>
        <w:tc>
          <w:tcPr>
            <w:tcW w:w="114" w:type="dxa"/>
            <w:shd w:val="clear" w:color="auto" w:fill="DDECF1"/>
            <w:tcMar>
              <w:top w:w="0" w:type="dxa"/>
              <w:left w:w="0" w:type="dxa"/>
              <w:bottom w:w="0" w:type="dxa"/>
              <w:right w:w="0" w:type="dxa"/>
            </w:tcMar>
            <w:vAlign w:val="bottom"/>
          </w:tcPr>
          <w:p w14:paraId="6F0A0F14" w14:textId="77777777" w:rsidR="0034700F" w:rsidRDefault="00000000">
            <w:pPr>
              <w:shd w:val="clear" w:color="auto" w:fill="DDECF1"/>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27" w:type="dxa"/>
            <w:tcBorders>
              <w:bottom w:val="single" w:sz="6" w:space="0" w:color="E4E4E5"/>
            </w:tcBorders>
            <w:shd w:val="clear" w:color="auto" w:fill="DDECF1"/>
            <w:tcMar>
              <w:top w:w="0" w:type="dxa"/>
              <w:left w:w="30" w:type="dxa"/>
              <w:bottom w:w="0" w:type="dxa"/>
              <w:right w:w="45" w:type="dxa"/>
            </w:tcMar>
            <w:vAlign w:val="bottom"/>
          </w:tcPr>
          <w:p w14:paraId="6FF16761" w14:textId="77777777" w:rsidR="0034700F" w:rsidRDefault="00000000">
            <w:pPr>
              <w:shd w:val="clear" w:color="auto" w:fill="DDECF1"/>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19.7</w:t>
            </w:r>
          </w:p>
        </w:tc>
      </w:tr>
      <w:tr w:rsidR="0034700F" w14:paraId="05B31085" w14:textId="77777777">
        <w:tc>
          <w:tcPr>
            <w:tcW w:w="3754" w:type="dxa"/>
            <w:tcBorders>
              <w:bottom w:val="single" w:sz="6" w:space="0" w:color="E4E4E5"/>
            </w:tcBorders>
            <w:shd w:val="clear" w:color="auto" w:fill="FFFFFF"/>
            <w:tcMar>
              <w:top w:w="0" w:type="dxa"/>
              <w:left w:w="0" w:type="dxa"/>
              <w:bottom w:w="0" w:type="dxa"/>
              <w:right w:w="45" w:type="dxa"/>
            </w:tcMar>
            <w:vAlign w:val="bottom"/>
          </w:tcPr>
          <w:p w14:paraId="7E2F45A5"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Personnel expense ratio</w:t>
            </w:r>
          </w:p>
        </w:tc>
        <w:tc>
          <w:tcPr>
            <w:tcW w:w="115" w:type="dxa"/>
            <w:shd w:val="clear" w:color="auto" w:fill="FFFFFF"/>
            <w:tcMar>
              <w:top w:w="0" w:type="dxa"/>
              <w:left w:w="0" w:type="dxa"/>
              <w:bottom w:w="0" w:type="dxa"/>
              <w:right w:w="0" w:type="dxa"/>
            </w:tcMar>
            <w:vAlign w:val="bottom"/>
          </w:tcPr>
          <w:p w14:paraId="768FB63C"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024F2033"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16.8</w:t>
            </w:r>
          </w:p>
        </w:tc>
        <w:tc>
          <w:tcPr>
            <w:tcW w:w="114" w:type="dxa"/>
            <w:shd w:val="clear" w:color="auto" w:fill="FFFFFF"/>
            <w:tcMar>
              <w:top w:w="0" w:type="dxa"/>
              <w:left w:w="0" w:type="dxa"/>
              <w:bottom w:w="0" w:type="dxa"/>
              <w:right w:w="0" w:type="dxa"/>
            </w:tcMar>
            <w:vAlign w:val="bottom"/>
          </w:tcPr>
          <w:p w14:paraId="3092F681"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110792A1"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17.5</w:t>
            </w:r>
          </w:p>
        </w:tc>
        <w:tc>
          <w:tcPr>
            <w:tcW w:w="114" w:type="dxa"/>
            <w:shd w:val="clear" w:color="auto" w:fill="FFFFFF"/>
            <w:tcMar>
              <w:top w:w="0" w:type="dxa"/>
              <w:left w:w="0" w:type="dxa"/>
              <w:bottom w:w="0" w:type="dxa"/>
              <w:right w:w="0" w:type="dxa"/>
            </w:tcMar>
            <w:vAlign w:val="bottom"/>
          </w:tcPr>
          <w:p w14:paraId="6A90D3D9"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511C0FDC"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18.2</w:t>
            </w:r>
          </w:p>
        </w:tc>
        <w:tc>
          <w:tcPr>
            <w:tcW w:w="114" w:type="dxa"/>
            <w:shd w:val="clear" w:color="auto" w:fill="FFFFFF"/>
            <w:tcMar>
              <w:top w:w="0" w:type="dxa"/>
              <w:left w:w="0" w:type="dxa"/>
              <w:bottom w:w="0" w:type="dxa"/>
              <w:right w:w="0" w:type="dxa"/>
            </w:tcMar>
            <w:vAlign w:val="bottom"/>
          </w:tcPr>
          <w:p w14:paraId="3C995792"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61C13E0D"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17.0</w:t>
            </w:r>
          </w:p>
        </w:tc>
        <w:tc>
          <w:tcPr>
            <w:tcW w:w="114" w:type="dxa"/>
            <w:shd w:val="clear" w:color="auto" w:fill="FFFFFF"/>
            <w:tcMar>
              <w:top w:w="0" w:type="dxa"/>
              <w:left w:w="0" w:type="dxa"/>
              <w:bottom w:w="0" w:type="dxa"/>
              <w:right w:w="0" w:type="dxa"/>
            </w:tcMar>
            <w:vAlign w:val="bottom"/>
          </w:tcPr>
          <w:p w14:paraId="4D765389"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27" w:type="dxa"/>
            <w:tcBorders>
              <w:bottom w:val="single" w:sz="6" w:space="0" w:color="E4E4E5"/>
            </w:tcBorders>
            <w:shd w:val="clear" w:color="auto" w:fill="FFFFFF"/>
            <w:tcMar>
              <w:top w:w="0" w:type="dxa"/>
              <w:left w:w="30" w:type="dxa"/>
              <w:bottom w:w="0" w:type="dxa"/>
              <w:right w:w="45" w:type="dxa"/>
            </w:tcMar>
            <w:vAlign w:val="bottom"/>
          </w:tcPr>
          <w:p w14:paraId="4F6F8E4D"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17.5</w:t>
            </w:r>
          </w:p>
        </w:tc>
      </w:tr>
      <w:tr w:rsidR="0034700F" w14:paraId="7C829035" w14:textId="77777777">
        <w:tc>
          <w:tcPr>
            <w:tcW w:w="3754" w:type="dxa"/>
            <w:tcBorders>
              <w:bottom w:val="single" w:sz="6" w:space="0" w:color="E4E4E5"/>
            </w:tcBorders>
            <w:shd w:val="clear" w:color="auto" w:fill="FFFFFF"/>
            <w:tcMar>
              <w:top w:w="0" w:type="dxa"/>
              <w:left w:w="0" w:type="dxa"/>
              <w:bottom w:w="0" w:type="dxa"/>
              <w:right w:w="45" w:type="dxa"/>
            </w:tcMar>
            <w:vAlign w:val="bottom"/>
          </w:tcPr>
          <w:p w14:paraId="418D6B0D"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lastRenderedPageBreak/>
              <w:t>Operating return on sales</w:t>
            </w:r>
          </w:p>
        </w:tc>
        <w:tc>
          <w:tcPr>
            <w:tcW w:w="115" w:type="dxa"/>
            <w:shd w:val="clear" w:color="auto" w:fill="FFFFFF"/>
            <w:tcMar>
              <w:top w:w="0" w:type="dxa"/>
              <w:left w:w="0" w:type="dxa"/>
              <w:bottom w:w="0" w:type="dxa"/>
              <w:right w:w="0" w:type="dxa"/>
            </w:tcMar>
            <w:vAlign w:val="bottom"/>
          </w:tcPr>
          <w:p w14:paraId="6950960E"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53998A1A"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7.9</w:t>
            </w:r>
          </w:p>
        </w:tc>
        <w:tc>
          <w:tcPr>
            <w:tcW w:w="114" w:type="dxa"/>
            <w:shd w:val="clear" w:color="auto" w:fill="FFFFFF"/>
            <w:tcMar>
              <w:top w:w="0" w:type="dxa"/>
              <w:left w:w="0" w:type="dxa"/>
              <w:bottom w:w="0" w:type="dxa"/>
              <w:right w:w="0" w:type="dxa"/>
            </w:tcMar>
            <w:vAlign w:val="bottom"/>
          </w:tcPr>
          <w:p w14:paraId="4453DA51"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5FEB2B38"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7.7</w:t>
            </w:r>
          </w:p>
        </w:tc>
        <w:tc>
          <w:tcPr>
            <w:tcW w:w="114" w:type="dxa"/>
            <w:shd w:val="clear" w:color="auto" w:fill="FFFFFF"/>
            <w:tcMar>
              <w:top w:w="0" w:type="dxa"/>
              <w:left w:w="0" w:type="dxa"/>
              <w:bottom w:w="0" w:type="dxa"/>
              <w:right w:w="0" w:type="dxa"/>
            </w:tcMar>
            <w:vAlign w:val="bottom"/>
          </w:tcPr>
          <w:p w14:paraId="5BE5DC5B"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1C43872C"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4.3</w:t>
            </w:r>
          </w:p>
        </w:tc>
        <w:tc>
          <w:tcPr>
            <w:tcW w:w="114" w:type="dxa"/>
            <w:shd w:val="clear" w:color="auto" w:fill="FFFFFF"/>
            <w:tcMar>
              <w:top w:w="0" w:type="dxa"/>
              <w:left w:w="0" w:type="dxa"/>
              <w:bottom w:w="0" w:type="dxa"/>
              <w:right w:w="0" w:type="dxa"/>
            </w:tcMar>
            <w:vAlign w:val="bottom"/>
          </w:tcPr>
          <w:p w14:paraId="65A55CFA"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13ECD34A"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6.7</w:t>
            </w:r>
          </w:p>
        </w:tc>
        <w:tc>
          <w:tcPr>
            <w:tcW w:w="114" w:type="dxa"/>
            <w:shd w:val="clear" w:color="auto" w:fill="FFFFFF"/>
            <w:tcMar>
              <w:top w:w="0" w:type="dxa"/>
              <w:left w:w="0" w:type="dxa"/>
              <w:bottom w:w="0" w:type="dxa"/>
              <w:right w:w="0" w:type="dxa"/>
            </w:tcMar>
            <w:vAlign w:val="bottom"/>
          </w:tcPr>
          <w:p w14:paraId="7F728A02"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27" w:type="dxa"/>
            <w:tcBorders>
              <w:bottom w:val="single" w:sz="6" w:space="0" w:color="E4E4E5"/>
            </w:tcBorders>
            <w:shd w:val="clear" w:color="auto" w:fill="FFFFFF"/>
            <w:tcMar>
              <w:top w:w="0" w:type="dxa"/>
              <w:left w:w="30" w:type="dxa"/>
              <w:bottom w:w="0" w:type="dxa"/>
              <w:right w:w="45" w:type="dxa"/>
            </w:tcMar>
            <w:vAlign w:val="bottom"/>
          </w:tcPr>
          <w:p w14:paraId="68255D8B"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5.9</w:t>
            </w:r>
          </w:p>
        </w:tc>
      </w:tr>
      <w:tr w:rsidR="0034700F" w14:paraId="3986082F" w14:textId="77777777">
        <w:tc>
          <w:tcPr>
            <w:tcW w:w="3754" w:type="dxa"/>
            <w:tcBorders>
              <w:bottom w:val="single" w:sz="6" w:space="0" w:color="E4E4E5"/>
            </w:tcBorders>
            <w:shd w:val="clear" w:color="auto" w:fill="FFFFFF"/>
            <w:tcMar>
              <w:top w:w="0" w:type="dxa"/>
              <w:left w:w="0" w:type="dxa"/>
              <w:bottom w:w="0" w:type="dxa"/>
              <w:right w:w="45" w:type="dxa"/>
            </w:tcMar>
            <w:vAlign w:val="bottom"/>
          </w:tcPr>
          <w:p w14:paraId="37E344FB"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Return on sales before tax</w:t>
            </w:r>
          </w:p>
        </w:tc>
        <w:tc>
          <w:tcPr>
            <w:tcW w:w="115" w:type="dxa"/>
            <w:shd w:val="clear" w:color="auto" w:fill="FFFFFF"/>
            <w:tcMar>
              <w:top w:w="0" w:type="dxa"/>
              <w:left w:w="0" w:type="dxa"/>
              <w:bottom w:w="0" w:type="dxa"/>
              <w:right w:w="0" w:type="dxa"/>
            </w:tcMar>
            <w:vAlign w:val="bottom"/>
          </w:tcPr>
          <w:p w14:paraId="24DA1140"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5CD48357"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7.9</w:t>
            </w:r>
          </w:p>
        </w:tc>
        <w:tc>
          <w:tcPr>
            <w:tcW w:w="114" w:type="dxa"/>
            <w:shd w:val="clear" w:color="auto" w:fill="FFFFFF"/>
            <w:tcMar>
              <w:top w:w="0" w:type="dxa"/>
              <w:left w:w="0" w:type="dxa"/>
              <w:bottom w:w="0" w:type="dxa"/>
              <w:right w:w="0" w:type="dxa"/>
            </w:tcMar>
            <w:vAlign w:val="bottom"/>
          </w:tcPr>
          <w:p w14:paraId="5FBF7832"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4F72FCF7"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8.0</w:t>
            </w:r>
          </w:p>
        </w:tc>
        <w:tc>
          <w:tcPr>
            <w:tcW w:w="114" w:type="dxa"/>
            <w:shd w:val="clear" w:color="auto" w:fill="FFFFFF"/>
            <w:tcMar>
              <w:top w:w="0" w:type="dxa"/>
              <w:left w:w="0" w:type="dxa"/>
              <w:bottom w:w="0" w:type="dxa"/>
              <w:right w:w="0" w:type="dxa"/>
            </w:tcMar>
            <w:vAlign w:val="bottom"/>
          </w:tcPr>
          <w:p w14:paraId="095F71AA"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2D9849BF"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5.2</w:t>
            </w:r>
          </w:p>
        </w:tc>
        <w:tc>
          <w:tcPr>
            <w:tcW w:w="114" w:type="dxa"/>
            <w:shd w:val="clear" w:color="auto" w:fill="FFFFFF"/>
            <w:tcMar>
              <w:top w:w="0" w:type="dxa"/>
              <w:left w:w="0" w:type="dxa"/>
              <w:bottom w:w="0" w:type="dxa"/>
              <w:right w:w="0" w:type="dxa"/>
            </w:tcMar>
            <w:vAlign w:val="bottom"/>
          </w:tcPr>
          <w:p w14:paraId="4651E6B3"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4F0C315A"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7.3</w:t>
            </w:r>
          </w:p>
        </w:tc>
        <w:tc>
          <w:tcPr>
            <w:tcW w:w="114" w:type="dxa"/>
            <w:shd w:val="clear" w:color="auto" w:fill="FFFFFF"/>
            <w:tcMar>
              <w:top w:w="0" w:type="dxa"/>
              <w:left w:w="0" w:type="dxa"/>
              <w:bottom w:w="0" w:type="dxa"/>
              <w:right w:w="0" w:type="dxa"/>
            </w:tcMar>
            <w:vAlign w:val="bottom"/>
          </w:tcPr>
          <w:p w14:paraId="21CE18BF"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27" w:type="dxa"/>
            <w:tcBorders>
              <w:bottom w:val="single" w:sz="6" w:space="0" w:color="E4E4E5"/>
            </w:tcBorders>
            <w:shd w:val="clear" w:color="auto" w:fill="FFFFFF"/>
            <w:tcMar>
              <w:top w:w="0" w:type="dxa"/>
              <w:left w:w="30" w:type="dxa"/>
              <w:bottom w:w="0" w:type="dxa"/>
              <w:right w:w="45" w:type="dxa"/>
            </w:tcMar>
            <w:vAlign w:val="bottom"/>
          </w:tcPr>
          <w:p w14:paraId="7A982310"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6.6</w:t>
            </w:r>
          </w:p>
        </w:tc>
      </w:tr>
      <w:tr w:rsidR="0034700F" w14:paraId="53273A8F" w14:textId="77777777">
        <w:tc>
          <w:tcPr>
            <w:tcW w:w="3754" w:type="dxa"/>
            <w:tcBorders>
              <w:bottom w:val="single" w:sz="6" w:space="0" w:color="E4E4E5"/>
            </w:tcBorders>
            <w:shd w:val="clear" w:color="auto" w:fill="FFFFFF"/>
            <w:tcMar>
              <w:top w:w="0" w:type="dxa"/>
              <w:left w:w="0" w:type="dxa"/>
              <w:bottom w:w="0" w:type="dxa"/>
              <w:right w:w="45" w:type="dxa"/>
            </w:tcMar>
            <w:vAlign w:val="bottom"/>
          </w:tcPr>
          <w:p w14:paraId="65F4D827"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Return on sales after tax</w:t>
            </w:r>
          </w:p>
        </w:tc>
        <w:tc>
          <w:tcPr>
            <w:tcW w:w="115" w:type="dxa"/>
            <w:shd w:val="clear" w:color="auto" w:fill="FFFFFF"/>
            <w:tcMar>
              <w:top w:w="0" w:type="dxa"/>
              <w:left w:w="0" w:type="dxa"/>
              <w:bottom w:w="0" w:type="dxa"/>
              <w:right w:w="0" w:type="dxa"/>
            </w:tcMar>
            <w:vAlign w:val="bottom"/>
          </w:tcPr>
          <w:p w14:paraId="7D152B47"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302A3E33"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5.7</w:t>
            </w:r>
          </w:p>
        </w:tc>
        <w:tc>
          <w:tcPr>
            <w:tcW w:w="114" w:type="dxa"/>
            <w:shd w:val="clear" w:color="auto" w:fill="FFFFFF"/>
            <w:tcMar>
              <w:top w:w="0" w:type="dxa"/>
              <w:left w:w="0" w:type="dxa"/>
              <w:bottom w:w="0" w:type="dxa"/>
              <w:right w:w="0" w:type="dxa"/>
            </w:tcMar>
            <w:vAlign w:val="bottom"/>
          </w:tcPr>
          <w:p w14:paraId="5FA10AA9"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4022D0F5"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6.2</w:t>
            </w:r>
          </w:p>
        </w:tc>
        <w:tc>
          <w:tcPr>
            <w:tcW w:w="114" w:type="dxa"/>
            <w:shd w:val="clear" w:color="auto" w:fill="FFFFFF"/>
            <w:tcMar>
              <w:top w:w="0" w:type="dxa"/>
              <w:left w:w="0" w:type="dxa"/>
              <w:bottom w:w="0" w:type="dxa"/>
              <w:right w:w="0" w:type="dxa"/>
            </w:tcMar>
            <w:vAlign w:val="bottom"/>
          </w:tcPr>
          <w:p w14:paraId="12B71F7F"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16401279"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4.0</w:t>
            </w:r>
          </w:p>
        </w:tc>
        <w:tc>
          <w:tcPr>
            <w:tcW w:w="114" w:type="dxa"/>
            <w:shd w:val="clear" w:color="auto" w:fill="FFFFFF"/>
            <w:tcMar>
              <w:top w:w="0" w:type="dxa"/>
              <w:left w:w="0" w:type="dxa"/>
              <w:bottom w:w="0" w:type="dxa"/>
              <w:right w:w="0" w:type="dxa"/>
            </w:tcMar>
            <w:vAlign w:val="bottom"/>
          </w:tcPr>
          <w:p w14:paraId="33115C70"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3C13FC2B"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5.6</w:t>
            </w:r>
          </w:p>
        </w:tc>
        <w:tc>
          <w:tcPr>
            <w:tcW w:w="114" w:type="dxa"/>
            <w:shd w:val="clear" w:color="auto" w:fill="FFFFFF"/>
            <w:tcMar>
              <w:top w:w="0" w:type="dxa"/>
              <w:left w:w="0" w:type="dxa"/>
              <w:bottom w:w="0" w:type="dxa"/>
              <w:right w:w="0" w:type="dxa"/>
            </w:tcMar>
            <w:vAlign w:val="bottom"/>
          </w:tcPr>
          <w:p w14:paraId="65BDE266"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27" w:type="dxa"/>
            <w:tcBorders>
              <w:bottom w:val="single" w:sz="6" w:space="0" w:color="E4E4E5"/>
            </w:tcBorders>
            <w:shd w:val="clear" w:color="auto" w:fill="FFFFFF"/>
            <w:tcMar>
              <w:top w:w="0" w:type="dxa"/>
              <w:left w:w="30" w:type="dxa"/>
              <w:bottom w:w="0" w:type="dxa"/>
              <w:right w:w="45" w:type="dxa"/>
            </w:tcMar>
            <w:vAlign w:val="bottom"/>
          </w:tcPr>
          <w:p w14:paraId="40A348A8"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5.2</w:t>
            </w:r>
          </w:p>
        </w:tc>
      </w:tr>
      <w:tr w:rsidR="0034700F" w14:paraId="2AD2C251" w14:textId="77777777">
        <w:tc>
          <w:tcPr>
            <w:tcW w:w="3754" w:type="dxa"/>
            <w:tcBorders>
              <w:bottom w:val="single" w:sz="6" w:space="0" w:color="E4E4E5"/>
            </w:tcBorders>
            <w:shd w:val="clear" w:color="auto" w:fill="FFFFFF"/>
            <w:tcMar>
              <w:top w:w="0" w:type="dxa"/>
              <w:left w:w="0" w:type="dxa"/>
              <w:bottom w:w="0" w:type="dxa"/>
              <w:right w:w="45" w:type="dxa"/>
            </w:tcMar>
            <w:vAlign w:val="bottom"/>
          </w:tcPr>
          <w:p w14:paraId="22FE5E83"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Equity ratio</w:t>
            </w:r>
          </w:p>
        </w:tc>
        <w:tc>
          <w:tcPr>
            <w:tcW w:w="115" w:type="dxa"/>
            <w:shd w:val="clear" w:color="auto" w:fill="FFFFFF"/>
            <w:tcMar>
              <w:top w:w="0" w:type="dxa"/>
              <w:left w:w="0" w:type="dxa"/>
              <w:bottom w:w="0" w:type="dxa"/>
              <w:right w:w="0" w:type="dxa"/>
            </w:tcMar>
            <w:vAlign w:val="bottom"/>
          </w:tcPr>
          <w:p w14:paraId="137C83E9"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2ADD3D97"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31.6</w:t>
            </w:r>
          </w:p>
        </w:tc>
        <w:tc>
          <w:tcPr>
            <w:tcW w:w="114" w:type="dxa"/>
            <w:shd w:val="clear" w:color="auto" w:fill="FFFFFF"/>
            <w:tcMar>
              <w:top w:w="0" w:type="dxa"/>
              <w:left w:w="0" w:type="dxa"/>
              <w:bottom w:w="0" w:type="dxa"/>
              <w:right w:w="0" w:type="dxa"/>
            </w:tcMar>
            <w:vAlign w:val="bottom"/>
          </w:tcPr>
          <w:p w14:paraId="04908953"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37F0E2DC"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27.6</w:t>
            </w:r>
          </w:p>
        </w:tc>
        <w:tc>
          <w:tcPr>
            <w:tcW w:w="114" w:type="dxa"/>
            <w:shd w:val="clear" w:color="auto" w:fill="FFFFFF"/>
            <w:tcMar>
              <w:top w:w="0" w:type="dxa"/>
              <w:left w:w="0" w:type="dxa"/>
              <w:bottom w:w="0" w:type="dxa"/>
              <w:right w:w="0" w:type="dxa"/>
            </w:tcMar>
            <w:vAlign w:val="bottom"/>
          </w:tcPr>
          <w:p w14:paraId="2F3BE41F"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27AB36B4"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25.9</w:t>
            </w:r>
          </w:p>
        </w:tc>
        <w:tc>
          <w:tcPr>
            <w:tcW w:w="114" w:type="dxa"/>
            <w:shd w:val="clear" w:color="auto" w:fill="FFFFFF"/>
            <w:tcMar>
              <w:top w:w="0" w:type="dxa"/>
              <w:left w:w="0" w:type="dxa"/>
              <w:bottom w:w="0" w:type="dxa"/>
              <w:right w:w="0" w:type="dxa"/>
            </w:tcMar>
            <w:vAlign w:val="bottom"/>
          </w:tcPr>
          <w:p w14:paraId="6E5E6F21"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12" w:type="dxa"/>
            <w:tcBorders>
              <w:bottom w:val="single" w:sz="6" w:space="0" w:color="E4E4E5"/>
            </w:tcBorders>
            <w:shd w:val="clear" w:color="auto" w:fill="FFFFFF"/>
            <w:tcMar>
              <w:top w:w="0" w:type="dxa"/>
              <w:left w:w="30" w:type="dxa"/>
              <w:bottom w:w="0" w:type="dxa"/>
              <w:right w:w="45" w:type="dxa"/>
            </w:tcMar>
            <w:vAlign w:val="bottom"/>
          </w:tcPr>
          <w:p w14:paraId="37DA39BA"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25.3</w:t>
            </w:r>
          </w:p>
        </w:tc>
        <w:tc>
          <w:tcPr>
            <w:tcW w:w="114" w:type="dxa"/>
            <w:shd w:val="clear" w:color="auto" w:fill="FFFFFF"/>
            <w:tcMar>
              <w:top w:w="0" w:type="dxa"/>
              <w:left w:w="0" w:type="dxa"/>
              <w:bottom w:w="0" w:type="dxa"/>
              <w:right w:w="0" w:type="dxa"/>
            </w:tcMar>
            <w:vAlign w:val="bottom"/>
          </w:tcPr>
          <w:p w14:paraId="49E56E69" w14:textId="77777777" w:rsidR="0034700F" w:rsidRDefault="00000000">
            <w:pPr>
              <w:suppressAutoHyphens w:val="0"/>
              <w:spacing w:after="0" w:line="0" w:lineRule="auto"/>
              <w:jc w:val="both"/>
              <w:textAlignment w:val="bottom"/>
              <w:rPr>
                <w:rFonts w:ascii="TheSans" w:eastAsia="Times New Roman" w:hAnsi="TheSans"/>
                <w:color w:val="4C5356"/>
                <w:kern w:val="0"/>
                <w:sz w:val="2"/>
                <w:szCs w:val="2"/>
                <w:lang w:eastAsia="en-GB"/>
              </w:rPr>
            </w:pPr>
            <w:r>
              <w:rPr>
                <w:rFonts w:ascii="TheSans" w:eastAsia="Times New Roman" w:hAnsi="TheSans"/>
                <w:color w:val="4C5356"/>
                <w:kern w:val="0"/>
                <w:sz w:val="2"/>
                <w:szCs w:val="2"/>
                <w:lang w:eastAsia="en-GB"/>
              </w:rPr>
              <w:t> </w:t>
            </w:r>
          </w:p>
        </w:tc>
        <w:tc>
          <w:tcPr>
            <w:tcW w:w="827" w:type="dxa"/>
            <w:tcBorders>
              <w:bottom w:val="single" w:sz="6" w:space="0" w:color="E4E4E5"/>
            </w:tcBorders>
            <w:shd w:val="clear" w:color="auto" w:fill="FFFFFF"/>
            <w:tcMar>
              <w:top w:w="0" w:type="dxa"/>
              <w:left w:w="30" w:type="dxa"/>
              <w:bottom w:w="0" w:type="dxa"/>
              <w:right w:w="45" w:type="dxa"/>
            </w:tcMar>
            <w:vAlign w:val="bottom"/>
          </w:tcPr>
          <w:p w14:paraId="01C983D2" w14:textId="77777777" w:rsidR="0034700F" w:rsidRDefault="00000000">
            <w:pPr>
              <w:suppressAutoHyphens w:val="0"/>
              <w:spacing w:before="75" w:after="60" w:line="288" w:lineRule="atLeast"/>
              <w:jc w:val="both"/>
              <w:textAlignment w:val="bottom"/>
              <w:rPr>
                <w:rFonts w:ascii="TheSans" w:eastAsia="Times New Roman" w:hAnsi="TheSans"/>
                <w:color w:val="333333"/>
                <w:kern w:val="0"/>
                <w:sz w:val="24"/>
                <w:szCs w:val="24"/>
                <w:lang w:eastAsia="en-GB"/>
              </w:rPr>
            </w:pPr>
            <w:r>
              <w:rPr>
                <w:rFonts w:ascii="TheSans" w:eastAsia="Times New Roman" w:hAnsi="TheSans"/>
                <w:color w:val="333333"/>
                <w:kern w:val="0"/>
                <w:sz w:val="24"/>
                <w:szCs w:val="24"/>
                <w:lang w:eastAsia="en-GB"/>
              </w:rPr>
              <w:t>25.6</w:t>
            </w:r>
          </w:p>
        </w:tc>
      </w:tr>
    </w:tbl>
    <w:p w14:paraId="72756BA7" w14:textId="77777777" w:rsidR="0034700F" w:rsidRDefault="0034700F">
      <w:pPr>
        <w:jc w:val="both"/>
        <w:rPr>
          <w:rFonts w:ascii="Arial" w:hAnsi="Arial" w:cs="Arial"/>
          <w:sz w:val="24"/>
          <w:szCs w:val="24"/>
        </w:rPr>
      </w:pPr>
    </w:p>
    <w:p w14:paraId="1DAFC86D" w14:textId="77777777" w:rsidR="0034700F" w:rsidRDefault="0034700F">
      <w:pPr>
        <w:jc w:val="both"/>
        <w:rPr>
          <w:rFonts w:ascii="Arial" w:hAnsi="Arial" w:cs="Arial"/>
          <w:sz w:val="24"/>
          <w:szCs w:val="24"/>
        </w:rPr>
      </w:pPr>
    </w:p>
    <w:p w14:paraId="7BA8C0A8" w14:textId="7ABFDEE9" w:rsidR="0034700F" w:rsidRDefault="00000000">
      <w:pPr>
        <w:pStyle w:val="Heading1"/>
        <w:jc w:val="both"/>
      </w:pPr>
      <w:bookmarkStart w:id="3" w:name="_Toc140567180"/>
      <w:r>
        <w:rPr>
          <w:lang w:eastAsia="en-GB"/>
        </w:rPr>
        <w:t xml:space="preserve">The </w:t>
      </w:r>
      <w:r w:rsidR="00673149">
        <w:rPr>
          <w:lang w:eastAsia="en-GB"/>
        </w:rPr>
        <w:t>consequences</w:t>
      </w:r>
      <w:r>
        <w:rPr>
          <w:lang w:eastAsia="en-GB"/>
        </w:rPr>
        <w:t xml:space="preserve"> of the emissions scandal on Volkswagen</w:t>
      </w:r>
      <w:bookmarkEnd w:id="3"/>
    </w:p>
    <w:p w14:paraId="13F3DCAD" w14:textId="77777777" w:rsidR="0034700F" w:rsidRDefault="0034700F">
      <w:pPr>
        <w:jc w:val="both"/>
        <w:rPr>
          <w:rFonts w:ascii="Arial" w:hAnsi="Arial" w:cs="Arial"/>
          <w:sz w:val="24"/>
          <w:szCs w:val="24"/>
        </w:rPr>
      </w:pPr>
    </w:p>
    <w:p w14:paraId="0D65A534" w14:textId="534B1C58" w:rsidR="0034700F" w:rsidRDefault="00000000">
      <w:pPr>
        <w:jc w:val="both"/>
      </w:pPr>
      <w:r>
        <w:rPr>
          <w:rFonts w:ascii="Arial" w:hAnsi="Arial" w:cs="Arial"/>
          <w:sz w:val="24"/>
          <w:szCs w:val="24"/>
          <w:lang w:eastAsia="en-GB"/>
        </w:rPr>
        <w:t xml:space="preserve">The </w:t>
      </w:r>
      <w:r w:rsidR="00673149">
        <w:rPr>
          <w:rFonts w:ascii="Arial" w:hAnsi="Arial" w:cs="Arial"/>
          <w:sz w:val="24"/>
          <w:szCs w:val="24"/>
          <w:lang w:eastAsia="en-GB"/>
        </w:rPr>
        <w:t xml:space="preserve">consequences </w:t>
      </w:r>
      <w:r>
        <w:rPr>
          <w:rFonts w:ascii="Arial" w:hAnsi="Arial" w:cs="Arial"/>
          <w:sz w:val="24"/>
          <w:szCs w:val="24"/>
          <w:lang w:eastAsia="en-GB"/>
        </w:rPr>
        <w:t xml:space="preserve">of the emissions scandal on Volkswagen (VW) </w:t>
      </w:r>
      <w:proofErr w:type="gramStart"/>
      <w:r>
        <w:rPr>
          <w:rFonts w:ascii="Arial" w:hAnsi="Arial" w:cs="Arial"/>
          <w:sz w:val="24"/>
          <w:szCs w:val="24"/>
          <w:lang w:eastAsia="en-GB"/>
        </w:rPr>
        <w:t>was</w:t>
      </w:r>
      <w:proofErr w:type="gramEnd"/>
      <w:r>
        <w:rPr>
          <w:rFonts w:ascii="Arial" w:hAnsi="Arial" w:cs="Arial"/>
          <w:sz w:val="24"/>
          <w:szCs w:val="24"/>
          <w:lang w:eastAsia="en-GB"/>
        </w:rPr>
        <w:t xml:space="preserve"> significant, resulting in severe consequences for the company. VW faced massive fines and settlements amounting to billions of dollars </w:t>
      </w:r>
      <w:proofErr w:type="gramStart"/>
      <w:r>
        <w:rPr>
          <w:rFonts w:ascii="Arial" w:hAnsi="Arial" w:cs="Arial"/>
          <w:sz w:val="24"/>
          <w:szCs w:val="24"/>
          <w:lang w:eastAsia="en-GB"/>
        </w:rPr>
        <w:t>as a result of</w:t>
      </w:r>
      <w:proofErr w:type="gramEnd"/>
      <w:r>
        <w:rPr>
          <w:rFonts w:ascii="Arial" w:hAnsi="Arial" w:cs="Arial"/>
          <w:sz w:val="24"/>
          <w:szCs w:val="24"/>
          <w:lang w:eastAsia="en-GB"/>
        </w:rPr>
        <w:t xml:space="preserve"> the investigations (Reuters, 2021). Furthermore, numerous top executives were compelled to resign, and the company experienced significant legal and regulatory ramifications </w:t>
      </w:r>
      <w:r>
        <w:rPr>
          <w:rFonts w:ascii="Arial" w:hAnsi="Arial" w:cs="Arial"/>
          <w:sz w:val="24"/>
          <w:szCs w:val="24"/>
        </w:rPr>
        <w:t>(Reuters, 2021).</w:t>
      </w:r>
    </w:p>
    <w:p w14:paraId="0F7F72E4" w14:textId="0AC69CF4" w:rsidR="0034700F" w:rsidRDefault="00000000">
      <w:pPr>
        <w:jc w:val="both"/>
        <w:rPr>
          <w:rFonts w:ascii="Arial" w:hAnsi="Arial" w:cs="Arial"/>
          <w:sz w:val="24"/>
          <w:szCs w:val="24"/>
        </w:rPr>
      </w:pPr>
      <w:r>
        <w:rPr>
          <w:rFonts w:ascii="Arial" w:hAnsi="Arial" w:cs="Arial"/>
          <w:sz w:val="24"/>
          <w:szCs w:val="24"/>
        </w:rPr>
        <w:t xml:space="preserve">The repercussions of the scandal were widespread, extending beyond the United States, where the issue first came to light. </w:t>
      </w:r>
      <w:r w:rsidR="00673149">
        <w:rPr>
          <w:rFonts w:ascii="Arial" w:hAnsi="Arial" w:cs="Arial"/>
          <w:sz w:val="24"/>
          <w:szCs w:val="24"/>
        </w:rPr>
        <w:t>Seve</w:t>
      </w:r>
      <w:r w:rsidR="008F69AA">
        <w:rPr>
          <w:rFonts w:ascii="Arial" w:hAnsi="Arial" w:cs="Arial"/>
          <w:sz w:val="24"/>
          <w:szCs w:val="24"/>
        </w:rPr>
        <w:t>ral counties</w:t>
      </w:r>
      <w:r w:rsidR="00673149" w:rsidRPr="00673149">
        <w:rPr>
          <w:rFonts w:ascii="Arial" w:hAnsi="Arial" w:cs="Arial"/>
          <w:sz w:val="24"/>
          <w:szCs w:val="24"/>
        </w:rPr>
        <w:t xml:space="preserve">, </w:t>
      </w:r>
      <w:r w:rsidR="008F69AA">
        <w:rPr>
          <w:rFonts w:ascii="Arial" w:hAnsi="Arial" w:cs="Arial"/>
          <w:sz w:val="24"/>
          <w:szCs w:val="24"/>
        </w:rPr>
        <w:t>such as</w:t>
      </w:r>
      <w:r w:rsidR="00673149" w:rsidRPr="00673149">
        <w:rPr>
          <w:rFonts w:ascii="Arial" w:hAnsi="Arial" w:cs="Arial"/>
          <w:sz w:val="24"/>
          <w:szCs w:val="24"/>
        </w:rPr>
        <w:t xml:space="preserve"> the United Kingdom, Italy, France, South Korea, Canada, and Germany, launched inquiries into Volkswagen's procedures related to emissions testing. Political figures, regulatory bodies, and environmental organizations across the globe raised doubts about the trustworthiness of Volkswagen's emissions testing protocols.</w:t>
      </w:r>
    </w:p>
    <w:p w14:paraId="276754BE" w14:textId="56270EDA" w:rsidR="0034700F" w:rsidRDefault="00000000">
      <w:pPr>
        <w:jc w:val="both"/>
        <w:rPr>
          <w:rFonts w:ascii="Arial" w:hAnsi="Arial" w:cs="Arial"/>
          <w:sz w:val="24"/>
          <w:szCs w:val="24"/>
          <w:lang w:eastAsia="en-GB"/>
        </w:rPr>
      </w:pPr>
      <w:r>
        <w:rPr>
          <w:rFonts w:ascii="Arial" w:hAnsi="Arial" w:cs="Arial"/>
          <w:sz w:val="24"/>
          <w:szCs w:val="24"/>
          <w:lang w:eastAsia="en-GB"/>
        </w:rPr>
        <w:t xml:space="preserve">The repercussions of the scandal extended to the UK, where investigations were initiated by the Department for Transport and the UK Parliamentary Transport Select Committee (BBC News, 2021). Concerns were raised about VW's emissions levels, and it was later revealed that VW vehicles exceeded the legal limit of nitrogen oxide emissions. The scandal had a direct impact on Volkswagen's operations in the UK, with plans announced to recall approximately 1.2 million affected vehicles (BBC News, 2021). </w:t>
      </w:r>
      <w:r w:rsidR="008F69AA" w:rsidRPr="008F69AA">
        <w:rPr>
          <w:rFonts w:ascii="Arial" w:hAnsi="Arial" w:cs="Arial"/>
          <w:sz w:val="24"/>
          <w:szCs w:val="24"/>
          <w:lang w:eastAsia="en-GB"/>
        </w:rPr>
        <w:t>Apart from the recall effort, Volkswagen UK reached a resolution with roughly 90,000 drivers as part of a UK class action lawsuit, culminating in a total settlement of £193 million (Reuters, 2021).</w:t>
      </w:r>
    </w:p>
    <w:p w14:paraId="422AD48A" w14:textId="1E109107" w:rsidR="0034700F" w:rsidRDefault="00000000">
      <w:pPr>
        <w:jc w:val="both"/>
        <w:rPr>
          <w:rFonts w:ascii="Arial" w:hAnsi="Arial" w:cs="Arial"/>
          <w:sz w:val="24"/>
          <w:szCs w:val="24"/>
          <w:lang w:eastAsia="en-GB"/>
        </w:rPr>
      </w:pPr>
      <w:r>
        <w:rPr>
          <w:rFonts w:ascii="Arial" w:hAnsi="Arial" w:cs="Arial"/>
          <w:sz w:val="24"/>
          <w:szCs w:val="24"/>
          <w:lang w:eastAsia="en-GB"/>
        </w:rPr>
        <w:t xml:space="preserve">The financial impact on VW was </w:t>
      </w:r>
      <w:r w:rsidRPr="008F69AA">
        <w:rPr>
          <w:rFonts w:ascii="Arial" w:hAnsi="Arial" w:cs="Arial"/>
          <w:sz w:val="24"/>
          <w:szCs w:val="24"/>
        </w:rPr>
        <w:t xml:space="preserve">substantial. </w:t>
      </w:r>
      <w:r w:rsidR="008F69AA" w:rsidRPr="008F69AA">
        <w:rPr>
          <w:rFonts w:ascii="Arial" w:hAnsi="Arial" w:cs="Arial"/>
          <w:sz w:val="24"/>
          <w:szCs w:val="24"/>
        </w:rPr>
        <w:t>The sum of $15 billion was remitted by the company as penalties within the context of a civil settlement in the United States (Reuters, 2021).</w:t>
      </w:r>
      <w:r w:rsidR="008F69AA">
        <w:rPr>
          <w:rFonts w:ascii="Arial" w:hAnsi="Arial" w:cs="Arial"/>
          <w:sz w:val="24"/>
          <w:szCs w:val="24"/>
        </w:rPr>
        <w:t xml:space="preserve"> </w:t>
      </w:r>
      <w:r>
        <w:rPr>
          <w:rFonts w:ascii="Arial" w:hAnsi="Arial" w:cs="Arial"/>
          <w:sz w:val="24"/>
          <w:szCs w:val="24"/>
          <w:lang w:eastAsia="en-GB"/>
        </w:rPr>
        <w:t xml:space="preserve">Furthermore, the scandal had long-term repercussions for investors, as the stock price has yet to recover to its pre-scandal levels. The implications of the scandal were not limited to financial and legal consequences. The tarnished reputation of VW and the collective reputation of German automakers had a profound impact. The scandal led many consumers in the UK to lose faith in VW specifically, resulting in a significant decline in sales for the company (Bachmann, Ehrlich, &amp; Fan, 2021). The negative sentiment towards non-VW German carmakers was evident in the </w:t>
      </w:r>
      <w:r>
        <w:rPr>
          <w:rFonts w:ascii="Arial" w:hAnsi="Arial" w:cs="Arial"/>
          <w:sz w:val="24"/>
          <w:szCs w:val="24"/>
          <w:lang w:eastAsia="en-GB"/>
        </w:rPr>
        <w:lastRenderedPageBreak/>
        <w:t>analysis of Twitter sentiment, where perceptions of these firms diminished post-scandal.</w:t>
      </w:r>
    </w:p>
    <w:p w14:paraId="002891F8" w14:textId="77777777" w:rsidR="0034700F" w:rsidRDefault="0034700F">
      <w:pPr>
        <w:jc w:val="both"/>
        <w:rPr>
          <w:rFonts w:ascii="Arial" w:hAnsi="Arial" w:cs="Arial"/>
          <w:sz w:val="24"/>
          <w:szCs w:val="24"/>
        </w:rPr>
      </w:pPr>
    </w:p>
    <w:p w14:paraId="2F7496C9" w14:textId="77777777" w:rsidR="0034700F" w:rsidRDefault="00000000">
      <w:pPr>
        <w:pStyle w:val="Heading1"/>
        <w:jc w:val="both"/>
        <w:rPr>
          <w:lang w:eastAsia="en-GB"/>
        </w:rPr>
      </w:pPr>
      <w:r>
        <w:rPr>
          <w:lang w:eastAsia="en-GB"/>
        </w:rPr>
        <w:br/>
      </w:r>
      <w:bookmarkStart w:id="4" w:name="_Toc140567181"/>
      <w:r>
        <w:rPr>
          <w:lang w:eastAsia="en-GB"/>
        </w:rPr>
        <w:t>PESTLE Analysis of Volkswagen</w:t>
      </w:r>
      <w:bookmarkEnd w:id="4"/>
    </w:p>
    <w:p w14:paraId="26C95FA2" w14:textId="77777777" w:rsidR="0034700F" w:rsidRDefault="0034700F">
      <w:pPr>
        <w:jc w:val="both"/>
        <w:rPr>
          <w:lang w:eastAsia="en-GB"/>
        </w:rPr>
      </w:pPr>
    </w:p>
    <w:p w14:paraId="16669E13" w14:textId="77777777" w:rsidR="0034700F" w:rsidRDefault="00000000">
      <w:pPr>
        <w:jc w:val="both"/>
        <w:rPr>
          <w:rFonts w:ascii="Arial" w:hAnsi="Arial" w:cs="Arial"/>
          <w:b/>
          <w:bCs/>
          <w:sz w:val="24"/>
          <w:szCs w:val="24"/>
          <w:lang w:eastAsia="en-GB"/>
        </w:rPr>
      </w:pPr>
      <w:r>
        <w:rPr>
          <w:rFonts w:ascii="Arial" w:hAnsi="Arial" w:cs="Arial"/>
          <w:b/>
          <w:bCs/>
          <w:sz w:val="24"/>
          <w:szCs w:val="24"/>
          <w:lang w:eastAsia="en-GB"/>
        </w:rPr>
        <w:t>Political Factors:</w:t>
      </w:r>
    </w:p>
    <w:p w14:paraId="79CAF8AB" w14:textId="3CFADA28" w:rsidR="0034700F" w:rsidRDefault="00000000">
      <w:pPr>
        <w:jc w:val="both"/>
      </w:pPr>
      <w:r>
        <w:rPr>
          <w:rFonts w:ascii="Arial" w:hAnsi="Arial" w:cs="Arial"/>
          <w:sz w:val="24"/>
          <w:szCs w:val="24"/>
          <w:u w:val="single"/>
          <w:lang w:eastAsia="en-GB"/>
        </w:rPr>
        <w:t>Government Regulations:</w:t>
      </w:r>
      <w:r>
        <w:rPr>
          <w:rFonts w:ascii="Arial" w:hAnsi="Arial" w:cs="Arial"/>
          <w:sz w:val="24"/>
          <w:szCs w:val="24"/>
          <w:lang w:eastAsia="en-GB"/>
        </w:rPr>
        <w:t xml:space="preserve"> VW </w:t>
      </w:r>
      <w:r w:rsidR="008F69AA">
        <w:rPr>
          <w:rFonts w:ascii="Arial" w:hAnsi="Arial" w:cs="Arial"/>
          <w:sz w:val="24"/>
          <w:szCs w:val="24"/>
          <w:lang w:eastAsia="en-GB"/>
        </w:rPr>
        <w:t>i</w:t>
      </w:r>
      <w:r w:rsidR="008F69AA" w:rsidRPr="008F69AA">
        <w:rPr>
          <w:rFonts w:ascii="Arial" w:hAnsi="Arial" w:cs="Arial"/>
          <w:sz w:val="24"/>
          <w:szCs w:val="24"/>
          <w:lang w:eastAsia="en-GB"/>
        </w:rPr>
        <w:t>s influenced by governmental regulations and directives concerning emissions criteria, automobile safety, and safeguarding the environment.</w:t>
      </w:r>
      <w:r w:rsidR="008F69AA">
        <w:rPr>
          <w:rFonts w:ascii="Arial" w:hAnsi="Arial" w:cs="Arial"/>
          <w:sz w:val="24"/>
          <w:szCs w:val="24"/>
          <w:lang w:eastAsia="en-GB"/>
        </w:rPr>
        <w:t xml:space="preserve"> </w:t>
      </w:r>
      <w:r>
        <w:rPr>
          <w:rFonts w:ascii="Arial" w:hAnsi="Arial" w:cs="Arial"/>
          <w:sz w:val="24"/>
          <w:szCs w:val="24"/>
          <w:lang w:eastAsia="en-GB"/>
        </w:rPr>
        <w:t>The emissions scandal exposed the company to legal and regulatory scrutiny, resulting in fines and penalties (European Parliament, 2016).</w:t>
      </w:r>
    </w:p>
    <w:p w14:paraId="7AB2BA0B" w14:textId="2AD390F2" w:rsidR="0034700F" w:rsidRDefault="00000000">
      <w:pPr>
        <w:jc w:val="both"/>
      </w:pPr>
      <w:r>
        <w:rPr>
          <w:rFonts w:ascii="Arial" w:hAnsi="Arial" w:cs="Arial"/>
          <w:sz w:val="24"/>
          <w:szCs w:val="24"/>
          <w:u w:val="single"/>
          <w:lang w:eastAsia="en-GB"/>
        </w:rPr>
        <w:t>Political Stability:</w:t>
      </w:r>
      <w:r>
        <w:rPr>
          <w:rFonts w:ascii="Arial" w:hAnsi="Arial" w:cs="Arial"/>
          <w:sz w:val="24"/>
          <w:szCs w:val="24"/>
          <w:lang w:eastAsia="en-GB"/>
        </w:rPr>
        <w:t xml:space="preserve"> Political instability in certain regions can impact VW's operations, including manufacturing facilities, supply chains, and sales. For example, </w:t>
      </w:r>
      <w:r w:rsidR="003D3F5B" w:rsidRPr="003D3F5B">
        <w:rPr>
          <w:rFonts w:ascii="Arial" w:hAnsi="Arial" w:cs="Arial"/>
          <w:sz w:val="24"/>
          <w:szCs w:val="24"/>
          <w:lang w:eastAsia="en-GB"/>
        </w:rPr>
        <w:t xml:space="preserve">Brexit, the UK's choice to exit the European Union </w:t>
      </w:r>
      <w:r>
        <w:rPr>
          <w:rFonts w:ascii="Arial" w:hAnsi="Arial" w:cs="Arial"/>
          <w:sz w:val="24"/>
          <w:szCs w:val="24"/>
          <w:lang w:eastAsia="en-GB"/>
        </w:rPr>
        <w:t>may result in changes to trade regulations, including potential trade tariffs on imported vehicles. This could impact the import of Volkswagen Group vehicles to the UK market.</w:t>
      </w:r>
    </w:p>
    <w:p w14:paraId="35983700" w14:textId="77777777" w:rsidR="0034700F" w:rsidRDefault="0034700F">
      <w:pPr>
        <w:jc w:val="both"/>
        <w:rPr>
          <w:rFonts w:ascii="Arial" w:hAnsi="Arial" w:cs="Arial"/>
          <w:sz w:val="24"/>
          <w:szCs w:val="24"/>
          <w:lang w:eastAsia="en-GB"/>
        </w:rPr>
      </w:pPr>
    </w:p>
    <w:p w14:paraId="2B82D058" w14:textId="77777777" w:rsidR="0034700F" w:rsidRDefault="00000000">
      <w:pPr>
        <w:jc w:val="both"/>
        <w:rPr>
          <w:rFonts w:ascii="Arial" w:hAnsi="Arial" w:cs="Arial"/>
          <w:b/>
          <w:bCs/>
          <w:sz w:val="24"/>
          <w:szCs w:val="24"/>
          <w:lang w:eastAsia="en-GB"/>
        </w:rPr>
      </w:pPr>
      <w:r>
        <w:rPr>
          <w:rFonts w:ascii="Arial" w:hAnsi="Arial" w:cs="Arial"/>
          <w:b/>
          <w:bCs/>
          <w:sz w:val="24"/>
          <w:szCs w:val="24"/>
          <w:lang w:eastAsia="en-GB"/>
        </w:rPr>
        <w:t>Economic Factors:</w:t>
      </w:r>
    </w:p>
    <w:p w14:paraId="547F9589" w14:textId="77777777" w:rsidR="0034700F" w:rsidRDefault="00000000">
      <w:pPr>
        <w:jc w:val="both"/>
      </w:pPr>
      <w:r>
        <w:rPr>
          <w:rFonts w:ascii="Arial" w:hAnsi="Arial" w:cs="Arial"/>
          <w:sz w:val="24"/>
          <w:szCs w:val="24"/>
          <w:u w:val="single"/>
          <w:lang w:eastAsia="en-GB"/>
        </w:rPr>
        <w:t>Green Technologies and Investment:</w:t>
      </w:r>
      <w:r>
        <w:rPr>
          <w:rFonts w:ascii="Arial" w:hAnsi="Arial" w:cs="Arial"/>
          <w:sz w:val="24"/>
          <w:szCs w:val="24"/>
          <w:lang w:eastAsia="en-GB"/>
        </w:rPr>
        <w:t xml:space="preserve"> The shift towards electric vehicles and environmentally friendly technologies in the automotive industry requires significant investment. Volkswagen has been investing in electric vehicle production and battery technology to align with changing market demands (Volkswagen Group, 2021).</w:t>
      </w:r>
    </w:p>
    <w:p w14:paraId="3D98933E" w14:textId="77777777" w:rsidR="0034700F" w:rsidRDefault="00000000">
      <w:pPr>
        <w:jc w:val="both"/>
      </w:pPr>
      <w:r>
        <w:rPr>
          <w:rFonts w:ascii="Arial" w:hAnsi="Arial" w:cs="Arial"/>
          <w:sz w:val="24"/>
          <w:szCs w:val="24"/>
          <w:u w:val="single"/>
          <w:lang w:eastAsia="en-GB"/>
        </w:rPr>
        <w:t>Economic Conditions:</w:t>
      </w:r>
      <w:r>
        <w:rPr>
          <w:rFonts w:ascii="Arial" w:hAnsi="Arial" w:cs="Arial"/>
          <w:sz w:val="24"/>
          <w:szCs w:val="24"/>
          <w:lang w:eastAsia="en-GB"/>
        </w:rPr>
        <w:t xml:space="preserve"> Global economic conditions, such as GDP growth, interest rates, and inflation rates, can affect consumer purchasing power and demand for vehicles. Economic downturns can lead to reduced consumer spending on cars.</w:t>
      </w:r>
    </w:p>
    <w:p w14:paraId="21558FA3" w14:textId="77777777" w:rsidR="0034700F" w:rsidRDefault="0034700F">
      <w:pPr>
        <w:jc w:val="both"/>
        <w:rPr>
          <w:rFonts w:ascii="Arial" w:eastAsia="Times New Roman" w:hAnsi="Arial" w:cs="Arial"/>
          <w:b/>
          <w:bCs/>
          <w:color w:val="374151"/>
          <w:kern w:val="0"/>
          <w:sz w:val="24"/>
          <w:szCs w:val="24"/>
          <w:lang w:eastAsia="en-GB"/>
        </w:rPr>
      </w:pPr>
    </w:p>
    <w:p w14:paraId="6A741915" w14:textId="77777777" w:rsidR="0034700F" w:rsidRDefault="00000000">
      <w:pPr>
        <w:jc w:val="both"/>
        <w:rPr>
          <w:rFonts w:ascii="Arial" w:hAnsi="Arial" w:cs="Arial"/>
          <w:b/>
          <w:bCs/>
          <w:sz w:val="24"/>
          <w:szCs w:val="24"/>
          <w:lang w:eastAsia="en-GB"/>
        </w:rPr>
      </w:pPr>
      <w:r>
        <w:rPr>
          <w:rFonts w:ascii="Arial" w:hAnsi="Arial" w:cs="Arial"/>
          <w:b/>
          <w:bCs/>
          <w:sz w:val="24"/>
          <w:szCs w:val="24"/>
          <w:lang w:eastAsia="en-GB"/>
        </w:rPr>
        <w:t>Sociocultural Factors:</w:t>
      </w:r>
    </w:p>
    <w:p w14:paraId="02F335AA" w14:textId="77777777" w:rsidR="0034700F" w:rsidRDefault="00000000">
      <w:pPr>
        <w:jc w:val="both"/>
      </w:pPr>
      <w:r>
        <w:rPr>
          <w:rFonts w:ascii="Arial" w:hAnsi="Arial" w:cs="Arial"/>
          <w:sz w:val="24"/>
          <w:szCs w:val="24"/>
          <w:u w:val="single"/>
          <w:lang w:eastAsia="en-GB"/>
        </w:rPr>
        <w:t>Shifting Preferences:</w:t>
      </w:r>
      <w:r>
        <w:rPr>
          <w:rFonts w:ascii="Arial" w:hAnsi="Arial" w:cs="Arial"/>
          <w:sz w:val="24"/>
          <w:szCs w:val="24"/>
          <w:lang w:eastAsia="en-GB"/>
        </w:rPr>
        <w:t xml:space="preserve"> Changing societal attitudes and preferences towards sustainable transportation options, such as public transport, cycling, and ridesharing, can impact consumer demand for traditional vehicles (The Guardian, 2020).</w:t>
      </w:r>
    </w:p>
    <w:p w14:paraId="475E77F9" w14:textId="77777777" w:rsidR="0034700F" w:rsidRDefault="00000000">
      <w:pPr>
        <w:jc w:val="both"/>
      </w:pPr>
      <w:r>
        <w:rPr>
          <w:rFonts w:ascii="Arial" w:hAnsi="Arial" w:cs="Arial"/>
          <w:sz w:val="24"/>
          <w:szCs w:val="24"/>
          <w:u w:val="single"/>
          <w:lang w:eastAsia="en-GB"/>
        </w:rPr>
        <w:t>Consumer Preferences:</w:t>
      </w:r>
      <w:r>
        <w:rPr>
          <w:rFonts w:ascii="Arial" w:hAnsi="Arial" w:cs="Arial"/>
          <w:sz w:val="24"/>
          <w:szCs w:val="24"/>
          <w:lang w:eastAsia="en-GB"/>
        </w:rPr>
        <w:t xml:space="preserve"> Shifting consumer preferences towards sustainable and eco-friendly vehicles have become significant drivers in the automotive industry. VW's reputation was affected by the emissions scandal, leading to decreased trust among consumers (Bachmann et al., 2016).</w:t>
      </w:r>
    </w:p>
    <w:p w14:paraId="0E2D74A9" w14:textId="77777777" w:rsidR="0034700F" w:rsidRDefault="0034700F">
      <w:pPr>
        <w:jc w:val="both"/>
        <w:rPr>
          <w:rFonts w:ascii="Arial" w:hAnsi="Arial" w:cs="Arial"/>
          <w:b/>
          <w:bCs/>
          <w:sz w:val="24"/>
          <w:szCs w:val="24"/>
          <w:lang w:eastAsia="en-GB"/>
        </w:rPr>
      </w:pPr>
    </w:p>
    <w:p w14:paraId="00E142C7" w14:textId="77777777" w:rsidR="0034700F" w:rsidRDefault="00000000">
      <w:pPr>
        <w:jc w:val="both"/>
        <w:rPr>
          <w:rFonts w:ascii="Arial" w:hAnsi="Arial" w:cs="Arial"/>
          <w:b/>
          <w:bCs/>
          <w:sz w:val="24"/>
          <w:szCs w:val="24"/>
          <w:lang w:eastAsia="en-GB"/>
        </w:rPr>
      </w:pPr>
      <w:r>
        <w:rPr>
          <w:rFonts w:ascii="Arial" w:hAnsi="Arial" w:cs="Arial"/>
          <w:b/>
          <w:bCs/>
          <w:sz w:val="24"/>
          <w:szCs w:val="24"/>
          <w:lang w:eastAsia="en-GB"/>
        </w:rPr>
        <w:t>Technological Factors:</w:t>
      </w:r>
    </w:p>
    <w:p w14:paraId="5CCB756D" w14:textId="77777777" w:rsidR="0034700F" w:rsidRDefault="00000000">
      <w:pPr>
        <w:jc w:val="both"/>
      </w:pPr>
      <w:r>
        <w:rPr>
          <w:rFonts w:ascii="Arial" w:hAnsi="Arial" w:cs="Arial"/>
          <w:sz w:val="24"/>
          <w:szCs w:val="24"/>
          <w:u w:val="single"/>
          <w:lang w:eastAsia="en-GB"/>
        </w:rPr>
        <w:t>Green Innovation:</w:t>
      </w:r>
      <w:r>
        <w:rPr>
          <w:rFonts w:ascii="Arial" w:hAnsi="Arial" w:cs="Arial"/>
          <w:sz w:val="24"/>
          <w:szCs w:val="24"/>
          <w:lang w:eastAsia="en-GB"/>
        </w:rPr>
        <w:t xml:space="preserve"> Technological advancements in green technologies, such as battery technology and hydrogen fuel cells, are crucial for reducing carbon emissions in the </w:t>
      </w:r>
      <w:r>
        <w:rPr>
          <w:rFonts w:ascii="Arial" w:hAnsi="Arial" w:cs="Arial"/>
          <w:sz w:val="24"/>
          <w:szCs w:val="24"/>
          <w:lang w:eastAsia="en-GB"/>
        </w:rPr>
        <w:lastRenderedPageBreak/>
        <w:t>automotive sector. Volkswagen has been actively involved in developing and implementing these technologies.</w:t>
      </w:r>
    </w:p>
    <w:p w14:paraId="1F116CD2" w14:textId="77777777" w:rsidR="003D3F5B" w:rsidRDefault="00000000">
      <w:pPr>
        <w:jc w:val="both"/>
        <w:rPr>
          <w:rFonts w:ascii="Arial" w:hAnsi="Arial" w:cs="Arial"/>
          <w:sz w:val="24"/>
          <w:szCs w:val="24"/>
          <w:lang w:eastAsia="en-GB"/>
        </w:rPr>
      </w:pPr>
      <w:r>
        <w:rPr>
          <w:rFonts w:ascii="Arial" w:hAnsi="Arial" w:cs="Arial"/>
          <w:sz w:val="24"/>
          <w:szCs w:val="24"/>
          <w:u w:val="single"/>
          <w:lang w:eastAsia="en-GB"/>
        </w:rPr>
        <w:t>Technological Innovation:</w:t>
      </w:r>
      <w:r>
        <w:rPr>
          <w:rFonts w:ascii="Arial" w:hAnsi="Arial" w:cs="Arial"/>
          <w:sz w:val="24"/>
          <w:szCs w:val="24"/>
          <w:lang w:eastAsia="en-GB"/>
        </w:rPr>
        <w:t xml:space="preserve"> </w:t>
      </w:r>
      <w:r w:rsidR="003D3F5B" w:rsidRPr="003D3F5B">
        <w:rPr>
          <w:rFonts w:ascii="Arial" w:hAnsi="Arial" w:cs="Arial"/>
          <w:sz w:val="24"/>
          <w:szCs w:val="24"/>
          <w:lang w:eastAsia="en-GB"/>
        </w:rPr>
        <w:t>The progressions within automotive technologies, encompassing electric vehicles, autonomous driving capabilities, and connectivity features, introduce a landscape of possibilities and complexities for Volkswagen.</w:t>
      </w:r>
      <w:r w:rsidR="003D3F5B">
        <w:rPr>
          <w:rFonts w:ascii="Arial" w:hAnsi="Arial" w:cs="Arial"/>
          <w:sz w:val="24"/>
          <w:szCs w:val="24"/>
          <w:lang w:eastAsia="en-GB"/>
        </w:rPr>
        <w:t xml:space="preserve"> </w:t>
      </w:r>
    </w:p>
    <w:p w14:paraId="0464CC17" w14:textId="025F5A22" w:rsidR="0034700F" w:rsidRDefault="00000000">
      <w:pPr>
        <w:jc w:val="both"/>
      </w:pPr>
      <w:r>
        <w:rPr>
          <w:rFonts w:ascii="Arial" w:hAnsi="Arial" w:cs="Arial"/>
          <w:sz w:val="24"/>
          <w:szCs w:val="24"/>
          <w:lang w:eastAsia="en-GB"/>
        </w:rPr>
        <w:t>The company needs to invest in research and development to stay competitive and meet evolving customer expectations.</w:t>
      </w:r>
    </w:p>
    <w:p w14:paraId="29F6461B" w14:textId="77777777" w:rsidR="0034700F" w:rsidRDefault="0034700F">
      <w:pPr>
        <w:jc w:val="both"/>
        <w:rPr>
          <w:rFonts w:ascii="Arial" w:eastAsia="Times New Roman" w:hAnsi="Arial" w:cs="Arial"/>
          <w:color w:val="374151"/>
          <w:kern w:val="0"/>
          <w:sz w:val="24"/>
          <w:szCs w:val="24"/>
          <w:lang w:eastAsia="en-GB"/>
        </w:rPr>
      </w:pPr>
    </w:p>
    <w:p w14:paraId="67EC32AD" w14:textId="77777777" w:rsidR="0034700F" w:rsidRDefault="00000000">
      <w:pPr>
        <w:jc w:val="both"/>
        <w:rPr>
          <w:rFonts w:ascii="Arial" w:hAnsi="Arial" w:cs="Arial"/>
          <w:b/>
          <w:bCs/>
          <w:sz w:val="24"/>
          <w:szCs w:val="24"/>
          <w:lang w:eastAsia="en-GB"/>
        </w:rPr>
      </w:pPr>
      <w:r>
        <w:rPr>
          <w:rFonts w:ascii="Arial" w:hAnsi="Arial" w:cs="Arial"/>
          <w:b/>
          <w:bCs/>
          <w:sz w:val="24"/>
          <w:szCs w:val="24"/>
          <w:lang w:eastAsia="en-GB"/>
        </w:rPr>
        <w:t>Legal Factors:</w:t>
      </w:r>
    </w:p>
    <w:p w14:paraId="6B6111E1" w14:textId="77777777" w:rsidR="0034700F" w:rsidRDefault="00000000">
      <w:pPr>
        <w:jc w:val="both"/>
      </w:pPr>
      <w:r>
        <w:rPr>
          <w:rFonts w:ascii="Arial" w:hAnsi="Arial" w:cs="Arial"/>
          <w:sz w:val="24"/>
          <w:szCs w:val="24"/>
          <w:u w:val="single"/>
          <w:lang w:eastAsia="en-GB"/>
        </w:rPr>
        <w:t>Emissions Scandal and Compliance:</w:t>
      </w:r>
      <w:r>
        <w:rPr>
          <w:rFonts w:ascii="Arial" w:hAnsi="Arial" w:cs="Arial"/>
          <w:sz w:val="24"/>
          <w:szCs w:val="24"/>
          <w:lang w:eastAsia="en-GB"/>
        </w:rPr>
        <w:t xml:space="preserve"> Volkswagen Group faced a significant legal challenge in 2015 when it was revealed that the company had manipulated emissions tests for its diesel vehicles, leading to the "</w:t>
      </w:r>
      <w:proofErr w:type="spellStart"/>
      <w:r>
        <w:rPr>
          <w:rFonts w:ascii="Arial" w:hAnsi="Arial" w:cs="Arial"/>
          <w:sz w:val="24"/>
          <w:szCs w:val="24"/>
          <w:lang w:eastAsia="en-GB"/>
        </w:rPr>
        <w:t>dieselgate</w:t>
      </w:r>
      <w:proofErr w:type="spellEnd"/>
      <w:r>
        <w:rPr>
          <w:rFonts w:ascii="Arial" w:hAnsi="Arial" w:cs="Arial"/>
          <w:sz w:val="24"/>
          <w:szCs w:val="24"/>
          <w:lang w:eastAsia="en-GB"/>
        </w:rPr>
        <w:t>" scandal. This scandal resulted in legal consequences, fines, and damage to the company's reputation.</w:t>
      </w:r>
    </w:p>
    <w:p w14:paraId="05F7C852" w14:textId="77777777" w:rsidR="0034700F" w:rsidRDefault="00000000">
      <w:pPr>
        <w:jc w:val="both"/>
        <w:rPr>
          <w:rFonts w:ascii="Arial" w:hAnsi="Arial" w:cs="Arial"/>
          <w:sz w:val="24"/>
          <w:szCs w:val="24"/>
          <w:lang w:eastAsia="en-GB"/>
        </w:rPr>
      </w:pPr>
      <w:r w:rsidRPr="00C06156">
        <w:rPr>
          <w:rFonts w:ascii="Arial" w:hAnsi="Arial" w:cs="Arial"/>
          <w:sz w:val="24"/>
          <w:szCs w:val="24"/>
          <w:u w:val="single"/>
          <w:lang w:eastAsia="en-GB"/>
        </w:rPr>
        <w:t>Product Liability:</w:t>
      </w:r>
      <w:r>
        <w:rPr>
          <w:rFonts w:ascii="Arial" w:hAnsi="Arial" w:cs="Arial"/>
          <w:sz w:val="24"/>
          <w:szCs w:val="24"/>
          <w:lang w:eastAsia="en-GB"/>
        </w:rPr>
        <w:t xml:space="preserve"> VW's products are subject to product liability laws, and any defects or safety issues can result in legal claims and financial liabilities.</w:t>
      </w:r>
    </w:p>
    <w:p w14:paraId="0DCCB4B4" w14:textId="77777777" w:rsidR="0034700F" w:rsidRDefault="0034700F">
      <w:pPr>
        <w:jc w:val="both"/>
        <w:rPr>
          <w:rFonts w:ascii="Arial" w:hAnsi="Arial" w:cs="Arial"/>
          <w:sz w:val="24"/>
          <w:szCs w:val="24"/>
          <w:lang w:eastAsia="en-GB"/>
        </w:rPr>
      </w:pPr>
    </w:p>
    <w:p w14:paraId="013D18BD" w14:textId="77777777" w:rsidR="0034700F" w:rsidRDefault="00000000">
      <w:pPr>
        <w:jc w:val="both"/>
        <w:rPr>
          <w:rFonts w:ascii="Arial" w:hAnsi="Arial" w:cs="Arial"/>
          <w:b/>
          <w:bCs/>
          <w:sz w:val="24"/>
          <w:szCs w:val="24"/>
          <w:lang w:eastAsia="en-GB"/>
        </w:rPr>
      </w:pPr>
      <w:r>
        <w:rPr>
          <w:rFonts w:ascii="Arial" w:hAnsi="Arial" w:cs="Arial"/>
          <w:b/>
          <w:bCs/>
          <w:sz w:val="24"/>
          <w:szCs w:val="24"/>
          <w:lang w:eastAsia="en-GB"/>
        </w:rPr>
        <w:t>Environmental Factors:</w:t>
      </w:r>
    </w:p>
    <w:p w14:paraId="1FEAB8BE" w14:textId="77777777" w:rsidR="0034700F" w:rsidRDefault="00000000">
      <w:pPr>
        <w:jc w:val="both"/>
      </w:pPr>
      <w:r>
        <w:rPr>
          <w:rFonts w:ascii="Arial" w:hAnsi="Arial" w:cs="Arial"/>
          <w:sz w:val="24"/>
          <w:szCs w:val="24"/>
          <w:u w:val="single"/>
          <w:lang w:eastAsia="en-GB"/>
        </w:rPr>
        <w:t>Climate Change and Sustainability:</w:t>
      </w:r>
      <w:r>
        <w:rPr>
          <w:rFonts w:ascii="Arial" w:hAnsi="Arial" w:cs="Arial"/>
          <w:sz w:val="24"/>
          <w:szCs w:val="24"/>
          <w:lang w:eastAsia="en-GB"/>
        </w:rPr>
        <w:t xml:space="preserve"> Environmental concerns and stricter emissions regulations drive the need for VW to develop and promote sustainable technologies, such as electric vehicles and low-emission engines.</w:t>
      </w:r>
    </w:p>
    <w:p w14:paraId="0ABE1FB4" w14:textId="77777777" w:rsidR="0034700F" w:rsidRDefault="0034700F">
      <w:pPr>
        <w:jc w:val="both"/>
        <w:rPr>
          <w:rFonts w:ascii="Arial" w:hAnsi="Arial" w:cs="Arial"/>
          <w:sz w:val="24"/>
          <w:szCs w:val="24"/>
        </w:rPr>
      </w:pPr>
    </w:p>
    <w:p w14:paraId="3AD2F0BB" w14:textId="77777777" w:rsidR="0034700F" w:rsidRDefault="0034700F">
      <w:pPr>
        <w:jc w:val="both"/>
        <w:rPr>
          <w:rFonts w:ascii="Arial" w:hAnsi="Arial" w:cs="Arial"/>
          <w:sz w:val="24"/>
          <w:szCs w:val="24"/>
        </w:rPr>
      </w:pPr>
    </w:p>
    <w:p w14:paraId="4969F7D5" w14:textId="77777777" w:rsidR="0034700F" w:rsidRDefault="00000000">
      <w:pPr>
        <w:pStyle w:val="Heading1"/>
        <w:jc w:val="both"/>
      </w:pPr>
      <w:bookmarkStart w:id="5" w:name="_Toc140567182"/>
      <w:r>
        <w:t>SWOT Analysis of Volkswagen</w:t>
      </w:r>
      <w:bookmarkEnd w:id="5"/>
    </w:p>
    <w:p w14:paraId="015589E3" w14:textId="77777777" w:rsidR="0034700F" w:rsidRDefault="0034700F">
      <w:pPr>
        <w:jc w:val="both"/>
      </w:pPr>
    </w:p>
    <w:p w14:paraId="49978555" w14:textId="77777777" w:rsidR="0034700F" w:rsidRDefault="0034700F">
      <w:pPr>
        <w:jc w:val="both"/>
      </w:pPr>
    </w:p>
    <w:p w14:paraId="54E2ECBD" w14:textId="77777777" w:rsidR="0034700F" w:rsidRDefault="00000000">
      <w:pPr>
        <w:jc w:val="both"/>
        <w:rPr>
          <w:rFonts w:ascii="Arial" w:hAnsi="Arial" w:cs="Arial"/>
          <w:b/>
          <w:bCs/>
          <w:sz w:val="24"/>
          <w:szCs w:val="24"/>
        </w:rPr>
      </w:pPr>
      <w:r>
        <w:rPr>
          <w:rFonts w:ascii="Arial" w:hAnsi="Arial" w:cs="Arial"/>
          <w:b/>
          <w:bCs/>
          <w:sz w:val="24"/>
          <w:szCs w:val="24"/>
        </w:rPr>
        <w:t>Strengths:</w:t>
      </w:r>
    </w:p>
    <w:p w14:paraId="20A0F251" w14:textId="77777777" w:rsidR="0034700F" w:rsidRDefault="00000000">
      <w:pPr>
        <w:jc w:val="both"/>
      </w:pPr>
      <w:r>
        <w:rPr>
          <w:rFonts w:ascii="Arial" w:hAnsi="Arial" w:cs="Arial"/>
          <w:sz w:val="24"/>
          <w:szCs w:val="24"/>
          <w:u w:val="single"/>
        </w:rPr>
        <w:t>Globally Recognized Brand</w:t>
      </w:r>
      <w:r>
        <w:rPr>
          <w:rFonts w:ascii="Arial" w:hAnsi="Arial" w:cs="Arial"/>
          <w:sz w:val="24"/>
          <w:szCs w:val="24"/>
        </w:rPr>
        <w:t>: Volkswagen has a solid financial position with high sales revenue and profitability. It has an excellent brand recognition worldwide, aided by its iconic logo and its long-standing presence in the automotive industry (Fleming, 2019).</w:t>
      </w:r>
    </w:p>
    <w:p w14:paraId="597CD73B" w14:textId="77777777" w:rsidR="0034700F" w:rsidRDefault="00000000">
      <w:pPr>
        <w:jc w:val="both"/>
      </w:pPr>
      <w:r>
        <w:rPr>
          <w:rFonts w:ascii="Arial" w:hAnsi="Arial" w:cs="Arial"/>
          <w:sz w:val="24"/>
          <w:szCs w:val="24"/>
          <w:u w:val="single"/>
        </w:rPr>
        <w:t>Impressive Portfolio:</w:t>
      </w:r>
      <w:r>
        <w:rPr>
          <w:rFonts w:ascii="Arial" w:hAnsi="Arial" w:cs="Arial"/>
          <w:sz w:val="24"/>
          <w:szCs w:val="24"/>
        </w:rPr>
        <w:t xml:space="preserve"> The company boasts a diversified portfolio of brands, including high-end luxury vehicles like Lamborghini and Bentley, as well as mainstream brands like Volkswagen and Skoda (Bartlett, 2020).</w:t>
      </w:r>
    </w:p>
    <w:p w14:paraId="2559C90D" w14:textId="77777777" w:rsidR="0034700F" w:rsidRDefault="00000000">
      <w:pPr>
        <w:jc w:val="both"/>
      </w:pPr>
      <w:r>
        <w:rPr>
          <w:rFonts w:ascii="Arial" w:hAnsi="Arial" w:cs="Arial"/>
          <w:sz w:val="24"/>
          <w:szCs w:val="24"/>
          <w:u w:val="single"/>
        </w:rPr>
        <w:t>Strong Global Production Network</w:t>
      </w:r>
      <w:r>
        <w:rPr>
          <w:rFonts w:ascii="Arial" w:hAnsi="Arial" w:cs="Arial"/>
          <w:sz w:val="24"/>
          <w:szCs w:val="24"/>
        </w:rPr>
        <w:t>: Volkswagen operates numerous production locations across the globe, enabling it to meet market demand efficiently and establish a substantial presence in various economies.</w:t>
      </w:r>
    </w:p>
    <w:p w14:paraId="0082D0AB" w14:textId="53CE7A32" w:rsidR="0034700F" w:rsidRDefault="00000000">
      <w:pPr>
        <w:jc w:val="both"/>
      </w:pPr>
      <w:r>
        <w:rPr>
          <w:rFonts w:ascii="Arial" w:hAnsi="Arial" w:cs="Arial"/>
          <w:sz w:val="24"/>
          <w:szCs w:val="24"/>
          <w:u w:val="single"/>
        </w:rPr>
        <w:t>Strategic Restructuring and Rebound Strategy:</w:t>
      </w:r>
      <w:r>
        <w:rPr>
          <w:rFonts w:ascii="Arial" w:hAnsi="Arial" w:cs="Arial"/>
          <w:sz w:val="24"/>
          <w:szCs w:val="24"/>
        </w:rPr>
        <w:t xml:space="preserve"> Volkswagen strategically restructured its operations and rebounded within a relatively short period</w:t>
      </w:r>
      <w:r w:rsidR="00340136">
        <w:rPr>
          <w:rFonts w:ascii="Arial" w:hAnsi="Arial" w:cs="Arial"/>
          <w:sz w:val="24"/>
          <w:szCs w:val="24"/>
        </w:rPr>
        <w:t xml:space="preserve"> after the diesel emissions </w:t>
      </w:r>
      <w:r w:rsidR="00340136">
        <w:rPr>
          <w:rFonts w:ascii="Arial" w:hAnsi="Arial" w:cs="Arial"/>
          <w:sz w:val="24"/>
          <w:szCs w:val="24"/>
        </w:rPr>
        <w:lastRenderedPageBreak/>
        <w:t>scandal. The</w:t>
      </w:r>
      <w:r>
        <w:rPr>
          <w:rFonts w:ascii="Arial" w:hAnsi="Arial" w:cs="Arial"/>
          <w:sz w:val="24"/>
          <w:szCs w:val="24"/>
        </w:rPr>
        <w:t xml:space="preserve"> company implemented the "Transform 2025" strategy, focusing on electric vehicles and becoming a leading profitable volume manufacturer.</w:t>
      </w:r>
    </w:p>
    <w:p w14:paraId="0EFAD146" w14:textId="77777777" w:rsidR="00C06156" w:rsidRDefault="00C06156">
      <w:pPr>
        <w:jc w:val="both"/>
        <w:rPr>
          <w:rFonts w:ascii="Arial" w:hAnsi="Arial" w:cs="Arial"/>
          <w:sz w:val="24"/>
          <w:szCs w:val="24"/>
        </w:rPr>
      </w:pPr>
    </w:p>
    <w:p w14:paraId="50657040" w14:textId="77777777" w:rsidR="0034700F" w:rsidRDefault="00000000">
      <w:pPr>
        <w:jc w:val="both"/>
        <w:rPr>
          <w:rFonts w:ascii="Arial" w:hAnsi="Arial" w:cs="Arial"/>
          <w:b/>
          <w:bCs/>
          <w:sz w:val="24"/>
          <w:szCs w:val="24"/>
        </w:rPr>
      </w:pPr>
      <w:r>
        <w:rPr>
          <w:rFonts w:ascii="Arial" w:hAnsi="Arial" w:cs="Arial"/>
          <w:b/>
          <w:bCs/>
          <w:sz w:val="24"/>
          <w:szCs w:val="24"/>
        </w:rPr>
        <w:t>Weaknesses:</w:t>
      </w:r>
    </w:p>
    <w:p w14:paraId="5E901C71" w14:textId="77777777" w:rsidR="0034700F" w:rsidRDefault="00000000">
      <w:pPr>
        <w:jc w:val="both"/>
      </w:pPr>
      <w:r>
        <w:rPr>
          <w:rFonts w:ascii="Arial" w:hAnsi="Arial" w:cs="Arial"/>
          <w:sz w:val="24"/>
          <w:szCs w:val="24"/>
          <w:u w:val="single"/>
        </w:rPr>
        <w:t>Tainted Reputation:</w:t>
      </w:r>
      <w:r>
        <w:rPr>
          <w:rFonts w:ascii="Arial" w:hAnsi="Arial" w:cs="Arial"/>
          <w:sz w:val="24"/>
          <w:szCs w:val="24"/>
        </w:rPr>
        <w:t xml:space="preserve"> The diesel emissions scandal, where Volkswagen installed software to cheat emissions tests, significantly damaged the company's reputation and trust among consumers.</w:t>
      </w:r>
    </w:p>
    <w:p w14:paraId="59A0090B" w14:textId="77777777" w:rsidR="0034700F" w:rsidRDefault="00000000">
      <w:pPr>
        <w:jc w:val="both"/>
      </w:pPr>
      <w:r>
        <w:rPr>
          <w:rFonts w:ascii="Arial" w:hAnsi="Arial" w:cs="Arial"/>
          <w:sz w:val="24"/>
          <w:szCs w:val="24"/>
          <w:u w:val="single"/>
        </w:rPr>
        <w:t>Lack of Diversification:</w:t>
      </w:r>
      <w:r>
        <w:rPr>
          <w:rFonts w:ascii="Arial" w:hAnsi="Arial" w:cs="Arial"/>
          <w:sz w:val="24"/>
          <w:szCs w:val="24"/>
        </w:rPr>
        <w:t xml:space="preserve"> Volkswagen's focus on traditional car manufacturing leaves it vulnerable to changing consumer preferences, particularly among younger generations who are more inclined towards ridesharing and car-sharing options (Eliot, 2019).</w:t>
      </w:r>
    </w:p>
    <w:p w14:paraId="6B87DDB5" w14:textId="77777777" w:rsidR="0034700F" w:rsidRDefault="00000000">
      <w:pPr>
        <w:jc w:val="both"/>
        <w:rPr>
          <w:rFonts w:ascii="Arial" w:hAnsi="Arial" w:cs="Arial"/>
          <w:sz w:val="24"/>
          <w:szCs w:val="24"/>
        </w:rPr>
      </w:pPr>
      <w:r w:rsidRPr="00340136">
        <w:rPr>
          <w:rFonts w:ascii="Arial" w:hAnsi="Arial" w:cs="Arial"/>
          <w:sz w:val="24"/>
          <w:szCs w:val="24"/>
          <w:u w:val="single"/>
        </w:rPr>
        <w:t>Weak Marketing Strategies outside Europe:</w:t>
      </w:r>
      <w:r>
        <w:rPr>
          <w:rFonts w:ascii="Arial" w:hAnsi="Arial" w:cs="Arial"/>
          <w:sz w:val="24"/>
          <w:szCs w:val="24"/>
        </w:rPr>
        <w:t xml:space="preserve"> The company's marketing efforts outside of Europe are relatively weaker compared to its competitors, limiting its market penetration and growth potential in those regions (Volkswagen Annual Report, 2019).</w:t>
      </w:r>
    </w:p>
    <w:p w14:paraId="56516C7A" w14:textId="77777777" w:rsidR="0034700F" w:rsidRDefault="0034700F">
      <w:pPr>
        <w:jc w:val="both"/>
        <w:rPr>
          <w:rFonts w:ascii="Arial" w:hAnsi="Arial" w:cs="Arial"/>
          <w:sz w:val="24"/>
          <w:szCs w:val="24"/>
        </w:rPr>
      </w:pPr>
    </w:p>
    <w:p w14:paraId="0CBB6AC0" w14:textId="77777777" w:rsidR="0034700F" w:rsidRDefault="00000000">
      <w:pPr>
        <w:jc w:val="both"/>
        <w:rPr>
          <w:rFonts w:ascii="Arial" w:hAnsi="Arial" w:cs="Arial"/>
          <w:b/>
          <w:bCs/>
          <w:sz w:val="24"/>
          <w:szCs w:val="24"/>
        </w:rPr>
      </w:pPr>
      <w:r>
        <w:rPr>
          <w:rFonts w:ascii="Arial" w:hAnsi="Arial" w:cs="Arial"/>
          <w:b/>
          <w:bCs/>
          <w:sz w:val="24"/>
          <w:szCs w:val="24"/>
        </w:rPr>
        <w:t>Opportunities:</w:t>
      </w:r>
    </w:p>
    <w:p w14:paraId="0CFB06D8" w14:textId="77777777" w:rsidR="0034700F" w:rsidRDefault="00000000">
      <w:pPr>
        <w:jc w:val="both"/>
      </w:pPr>
      <w:r>
        <w:rPr>
          <w:rFonts w:ascii="Arial" w:hAnsi="Arial" w:cs="Arial"/>
          <w:sz w:val="24"/>
          <w:szCs w:val="24"/>
          <w:u w:val="single"/>
        </w:rPr>
        <w:t>Diversification of Portfolio:</w:t>
      </w:r>
      <w:r>
        <w:rPr>
          <w:rFonts w:ascii="Arial" w:hAnsi="Arial" w:cs="Arial"/>
          <w:sz w:val="24"/>
          <w:szCs w:val="24"/>
        </w:rPr>
        <w:t xml:space="preserve"> Volkswagen can capitalize on the growing demand for simple, cheap, and flexible mobility solutions by expanding its portfolio to include ridesharing, car-sharing, or car rental services, targeting millennials and Gen Z consumers.</w:t>
      </w:r>
    </w:p>
    <w:p w14:paraId="15423DB3" w14:textId="77777777" w:rsidR="0034700F" w:rsidRDefault="00000000">
      <w:pPr>
        <w:jc w:val="both"/>
      </w:pPr>
      <w:r>
        <w:rPr>
          <w:rFonts w:ascii="Arial" w:hAnsi="Arial" w:cs="Arial"/>
          <w:sz w:val="24"/>
          <w:szCs w:val="24"/>
          <w:u w:val="single"/>
        </w:rPr>
        <w:t>Focus on Eco-friendly Cars:</w:t>
      </w:r>
      <w:r>
        <w:rPr>
          <w:rFonts w:ascii="Arial" w:hAnsi="Arial" w:cs="Arial"/>
          <w:sz w:val="24"/>
          <w:szCs w:val="24"/>
        </w:rPr>
        <w:t xml:space="preserve"> With the increasing global demand for eco-friendly vehicles, Volkswagen </w:t>
      </w:r>
      <w:proofErr w:type="gramStart"/>
      <w:r>
        <w:rPr>
          <w:rFonts w:ascii="Arial" w:hAnsi="Arial" w:cs="Arial"/>
          <w:sz w:val="24"/>
          <w:szCs w:val="24"/>
        </w:rPr>
        <w:t>has the opportunity to</w:t>
      </w:r>
      <w:proofErr w:type="gramEnd"/>
      <w:r>
        <w:rPr>
          <w:rFonts w:ascii="Arial" w:hAnsi="Arial" w:cs="Arial"/>
          <w:sz w:val="24"/>
          <w:szCs w:val="24"/>
        </w:rPr>
        <w:t xml:space="preserve"> invest further in the development and production of hybrids and electric cars, leveraging the growing market for sustainable transportation (</w:t>
      </w:r>
      <w:proofErr w:type="spellStart"/>
      <w:r>
        <w:rPr>
          <w:rFonts w:ascii="Arial" w:hAnsi="Arial" w:cs="Arial"/>
          <w:sz w:val="24"/>
          <w:szCs w:val="24"/>
        </w:rPr>
        <w:t>Rauwald</w:t>
      </w:r>
      <w:proofErr w:type="spellEnd"/>
      <w:r>
        <w:rPr>
          <w:rFonts w:ascii="Arial" w:hAnsi="Arial" w:cs="Arial"/>
          <w:sz w:val="24"/>
          <w:szCs w:val="24"/>
        </w:rPr>
        <w:t>, 2019).</w:t>
      </w:r>
    </w:p>
    <w:p w14:paraId="2945BC78" w14:textId="32E92B44" w:rsidR="0034700F" w:rsidRDefault="00000000">
      <w:pPr>
        <w:jc w:val="both"/>
      </w:pPr>
      <w:r>
        <w:rPr>
          <w:rFonts w:ascii="Arial" w:hAnsi="Arial" w:cs="Arial"/>
          <w:sz w:val="24"/>
          <w:szCs w:val="24"/>
          <w:u w:val="single"/>
        </w:rPr>
        <w:t>Expansion in Emerging Markets:</w:t>
      </w:r>
      <w:r>
        <w:rPr>
          <w:rFonts w:ascii="Arial" w:hAnsi="Arial" w:cs="Arial"/>
          <w:sz w:val="24"/>
          <w:szCs w:val="24"/>
        </w:rPr>
        <w:t xml:space="preserve"> The middle-class population in emerging markets, such as Asia, Africa, the Middle East, and Latin America, presents untapped opportunities for Volkswagen. </w:t>
      </w:r>
      <w:r w:rsidR="00340136" w:rsidRPr="00340136">
        <w:rPr>
          <w:rFonts w:ascii="Arial" w:hAnsi="Arial" w:cs="Arial"/>
          <w:sz w:val="24"/>
          <w:szCs w:val="24"/>
        </w:rPr>
        <w:t>By focusing on these markets, the company can leverage the growing economic influence of these areas (Volkswagen Annual Report, 2019).</w:t>
      </w:r>
    </w:p>
    <w:p w14:paraId="735C0329" w14:textId="77777777" w:rsidR="0034700F" w:rsidRDefault="0034700F">
      <w:pPr>
        <w:jc w:val="both"/>
        <w:rPr>
          <w:rFonts w:ascii="Arial" w:hAnsi="Arial" w:cs="Arial"/>
          <w:sz w:val="24"/>
          <w:szCs w:val="24"/>
        </w:rPr>
      </w:pPr>
    </w:p>
    <w:p w14:paraId="2BF2253F" w14:textId="77777777" w:rsidR="0034700F" w:rsidRDefault="00000000">
      <w:pPr>
        <w:jc w:val="both"/>
        <w:rPr>
          <w:rFonts w:ascii="Arial" w:hAnsi="Arial" w:cs="Arial"/>
          <w:b/>
          <w:bCs/>
          <w:sz w:val="24"/>
          <w:szCs w:val="24"/>
        </w:rPr>
      </w:pPr>
      <w:r>
        <w:rPr>
          <w:rFonts w:ascii="Arial" w:hAnsi="Arial" w:cs="Arial"/>
          <w:b/>
          <w:bCs/>
          <w:sz w:val="24"/>
          <w:szCs w:val="24"/>
        </w:rPr>
        <w:t>Threats:</w:t>
      </w:r>
    </w:p>
    <w:p w14:paraId="038BA45A" w14:textId="1775BE66" w:rsidR="0034700F" w:rsidRDefault="00000000">
      <w:pPr>
        <w:jc w:val="both"/>
      </w:pPr>
      <w:r>
        <w:rPr>
          <w:rFonts w:ascii="Arial" w:hAnsi="Arial" w:cs="Arial"/>
          <w:sz w:val="24"/>
          <w:szCs w:val="24"/>
          <w:u w:val="single"/>
        </w:rPr>
        <w:t>Lawsuits:</w:t>
      </w:r>
      <w:r>
        <w:rPr>
          <w:rFonts w:ascii="Arial" w:hAnsi="Arial" w:cs="Arial"/>
          <w:sz w:val="24"/>
          <w:szCs w:val="24"/>
        </w:rPr>
        <w:t xml:space="preserve"> Volkswagen faced lawsuits related to the diesel emissions scandal, which</w:t>
      </w:r>
      <w:r w:rsidR="0051438C">
        <w:rPr>
          <w:rFonts w:ascii="Arial" w:hAnsi="Arial" w:cs="Arial"/>
          <w:sz w:val="24"/>
          <w:szCs w:val="24"/>
        </w:rPr>
        <w:t xml:space="preserve"> </w:t>
      </w:r>
      <w:r w:rsidR="0051438C" w:rsidRPr="0051438C">
        <w:rPr>
          <w:rFonts w:ascii="Arial" w:hAnsi="Arial" w:cs="Arial"/>
          <w:sz w:val="24"/>
          <w:szCs w:val="24"/>
        </w:rPr>
        <w:t>result in significant financial losses and damage to</w:t>
      </w:r>
      <w:r w:rsidR="0051438C">
        <w:rPr>
          <w:rFonts w:ascii="Arial" w:hAnsi="Arial" w:cs="Arial"/>
          <w:sz w:val="24"/>
          <w:szCs w:val="24"/>
        </w:rPr>
        <w:t xml:space="preserve"> the company’s</w:t>
      </w:r>
      <w:r w:rsidR="0051438C" w:rsidRPr="0051438C">
        <w:rPr>
          <w:rFonts w:ascii="Arial" w:hAnsi="Arial" w:cs="Arial"/>
          <w:sz w:val="24"/>
          <w:szCs w:val="24"/>
        </w:rPr>
        <w:t xml:space="preserve"> </w:t>
      </w:r>
      <w:r w:rsidR="0051438C">
        <w:rPr>
          <w:rFonts w:ascii="Arial" w:hAnsi="Arial" w:cs="Arial"/>
          <w:sz w:val="24"/>
          <w:szCs w:val="24"/>
        </w:rPr>
        <w:t>reputation.</w:t>
      </w:r>
    </w:p>
    <w:p w14:paraId="1F2CC898" w14:textId="1532D208" w:rsidR="0034700F" w:rsidRDefault="00000000">
      <w:pPr>
        <w:jc w:val="both"/>
      </w:pPr>
      <w:r>
        <w:rPr>
          <w:rFonts w:ascii="Arial" w:hAnsi="Arial" w:cs="Arial"/>
          <w:sz w:val="24"/>
          <w:szCs w:val="24"/>
          <w:u w:val="single"/>
        </w:rPr>
        <w:t>Increasing Competition:</w:t>
      </w:r>
      <w:r>
        <w:rPr>
          <w:rFonts w:ascii="Arial" w:hAnsi="Arial" w:cs="Arial"/>
          <w:sz w:val="24"/>
          <w:szCs w:val="24"/>
        </w:rPr>
        <w:t xml:space="preserve"> </w:t>
      </w:r>
      <w:r w:rsidR="0051438C" w:rsidRPr="0051438C">
        <w:rPr>
          <w:rFonts w:ascii="Arial" w:hAnsi="Arial" w:cs="Arial"/>
          <w:sz w:val="24"/>
          <w:szCs w:val="24"/>
        </w:rPr>
        <w:t>In the realm of automobiles, fierce competition prevails, involving established car manufacturers and emerging players competing to capture a portion of the market.</w:t>
      </w:r>
      <w:r w:rsidR="0051438C">
        <w:rPr>
          <w:rFonts w:ascii="Arial" w:hAnsi="Arial" w:cs="Arial"/>
          <w:sz w:val="24"/>
          <w:szCs w:val="24"/>
        </w:rPr>
        <w:t xml:space="preserve"> </w:t>
      </w:r>
      <w:r>
        <w:rPr>
          <w:rFonts w:ascii="Arial" w:hAnsi="Arial" w:cs="Arial"/>
          <w:sz w:val="24"/>
          <w:szCs w:val="24"/>
        </w:rPr>
        <w:t>Competitors like Tesla, Toyota, Ford, and others pose challenges to Volkswagen's market position (McGee, 2019).</w:t>
      </w:r>
    </w:p>
    <w:p w14:paraId="14183607" w14:textId="77777777" w:rsidR="0034700F" w:rsidRDefault="00000000">
      <w:pPr>
        <w:jc w:val="both"/>
      </w:pPr>
      <w:r>
        <w:rPr>
          <w:rFonts w:ascii="Arial" w:hAnsi="Arial" w:cs="Arial"/>
          <w:sz w:val="24"/>
          <w:szCs w:val="24"/>
          <w:u w:val="single"/>
        </w:rPr>
        <w:t>Trade Negotiations:</w:t>
      </w:r>
      <w:r>
        <w:rPr>
          <w:rFonts w:ascii="Arial" w:hAnsi="Arial" w:cs="Arial"/>
          <w:sz w:val="24"/>
          <w:szCs w:val="24"/>
        </w:rPr>
        <w:t xml:space="preserve"> Trade negotiations between major economies, such as the US and EU, could impact Volkswagen's exports and profitability if trade agreements are renegotiated unfavourably (Hetzner, 2019).</w:t>
      </w:r>
    </w:p>
    <w:p w14:paraId="7FDD76F7" w14:textId="77777777" w:rsidR="0034700F" w:rsidRDefault="00000000">
      <w:pPr>
        <w:jc w:val="both"/>
      </w:pPr>
      <w:r>
        <w:rPr>
          <w:rFonts w:ascii="Arial" w:hAnsi="Arial" w:cs="Arial"/>
          <w:sz w:val="24"/>
          <w:szCs w:val="24"/>
          <w:u w:val="single"/>
        </w:rPr>
        <w:lastRenderedPageBreak/>
        <w:t>Global Recession:</w:t>
      </w:r>
      <w:r>
        <w:rPr>
          <w:rFonts w:ascii="Arial" w:hAnsi="Arial" w:cs="Arial"/>
          <w:sz w:val="24"/>
          <w:szCs w:val="24"/>
        </w:rPr>
        <w:t xml:space="preserve"> Economic downturns, can significantly impact car sales and profitability, posing a threat to Volkswagen's financial performance.</w:t>
      </w:r>
    </w:p>
    <w:p w14:paraId="6E29EC6C" w14:textId="77777777" w:rsidR="0034700F" w:rsidRDefault="0034700F">
      <w:pPr>
        <w:jc w:val="both"/>
        <w:rPr>
          <w:rFonts w:ascii="Arial" w:hAnsi="Arial" w:cs="Arial"/>
          <w:sz w:val="24"/>
          <w:szCs w:val="24"/>
        </w:rPr>
      </w:pPr>
    </w:p>
    <w:p w14:paraId="595FCD77" w14:textId="77777777" w:rsidR="0034700F" w:rsidRDefault="00000000">
      <w:pPr>
        <w:pStyle w:val="Heading1"/>
        <w:jc w:val="both"/>
      </w:pPr>
      <w:bookmarkStart w:id="6" w:name="_Toc140567183"/>
      <w:r>
        <w:t>Enhancing Competitiveness through Sustainability</w:t>
      </w:r>
      <w:bookmarkEnd w:id="6"/>
    </w:p>
    <w:p w14:paraId="4B5A2D2A" w14:textId="77777777" w:rsidR="0034700F" w:rsidRDefault="0034700F">
      <w:pPr>
        <w:jc w:val="both"/>
      </w:pPr>
    </w:p>
    <w:p w14:paraId="5D83836A" w14:textId="77777777" w:rsidR="0034700F" w:rsidRDefault="00000000">
      <w:pPr>
        <w:jc w:val="both"/>
        <w:rPr>
          <w:rFonts w:ascii="Arial" w:hAnsi="Arial" w:cs="Arial"/>
          <w:sz w:val="24"/>
          <w:szCs w:val="24"/>
        </w:rPr>
      </w:pPr>
      <w:r>
        <w:rPr>
          <w:rFonts w:ascii="Arial" w:hAnsi="Arial" w:cs="Arial"/>
          <w:sz w:val="24"/>
          <w:szCs w:val="24"/>
        </w:rPr>
        <w:t>Volkswagen (VW) has taken significant steps to enhance competitiveness while prioritizing sustainability and the environment. The company has made a strong commitment to electric mobility, investing heavily in the development of electric vehicles, and aiming to become a global leader in this field. VW has set ambitious goals for carbon neutrality by 2050 and is actively implementing sustainable production practices, focusing on energy efficiency, waste reduction, and resource optimization. Additionally, VW is working towards a green supply chain by collaborating with suppliers to ensure compliance with environmental standards. To further develop competitive advantages, VW should accelerate the transition to electric mobility, embrace circular economy principles, expand renewable energy integration, strengthen stakeholder engagement, and enhance transparency and reporting on sustainability performance. By implementing these recommendations, VW can reinforce its competitive position while contributing to a more sustainable future for the automotive industry.</w:t>
      </w:r>
    </w:p>
    <w:p w14:paraId="19556D93" w14:textId="77777777" w:rsidR="0034700F" w:rsidRDefault="0034700F">
      <w:pPr>
        <w:jc w:val="both"/>
        <w:rPr>
          <w:rFonts w:ascii="Arial" w:hAnsi="Arial" w:cs="Arial"/>
          <w:sz w:val="24"/>
          <w:szCs w:val="24"/>
        </w:rPr>
      </w:pPr>
    </w:p>
    <w:p w14:paraId="7D5961BD" w14:textId="77777777" w:rsidR="0034700F" w:rsidRDefault="00000000">
      <w:pPr>
        <w:pStyle w:val="Heading1"/>
        <w:jc w:val="both"/>
      </w:pPr>
      <w:bookmarkStart w:id="7" w:name="_Toc140567184"/>
      <w:r>
        <w:t>Conclusion</w:t>
      </w:r>
      <w:bookmarkEnd w:id="7"/>
    </w:p>
    <w:p w14:paraId="6907787C" w14:textId="77777777" w:rsidR="0034700F" w:rsidRDefault="0034700F">
      <w:pPr>
        <w:jc w:val="both"/>
      </w:pPr>
    </w:p>
    <w:p w14:paraId="5EA60B61" w14:textId="6A3F553F" w:rsidR="0034700F" w:rsidRDefault="00000000">
      <w:pPr>
        <w:jc w:val="both"/>
        <w:rPr>
          <w:rFonts w:ascii="Arial" w:hAnsi="Arial" w:cs="Arial"/>
          <w:sz w:val="24"/>
          <w:szCs w:val="24"/>
        </w:rPr>
      </w:pPr>
      <w:r>
        <w:rPr>
          <w:rFonts w:ascii="Arial" w:hAnsi="Arial" w:cs="Arial"/>
          <w:sz w:val="24"/>
          <w:szCs w:val="24"/>
        </w:rPr>
        <w:t xml:space="preserve">In conclusion, </w:t>
      </w:r>
      <w:r w:rsidR="0051438C" w:rsidRPr="0051438C">
        <w:rPr>
          <w:rFonts w:ascii="Arial" w:hAnsi="Arial" w:cs="Arial"/>
          <w:sz w:val="24"/>
          <w:szCs w:val="24"/>
        </w:rPr>
        <w:t>the emissions scandal has posed notable hurdles for Volkswagen (VW), resulting in repercussions for both its image and financial standing.</w:t>
      </w:r>
      <w:r w:rsidR="0051438C">
        <w:rPr>
          <w:rFonts w:ascii="Arial" w:hAnsi="Arial" w:cs="Arial"/>
          <w:sz w:val="24"/>
          <w:szCs w:val="24"/>
        </w:rPr>
        <w:t xml:space="preserve"> </w:t>
      </w:r>
      <w:r>
        <w:rPr>
          <w:rFonts w:ascii="Arial" w:hAnsi="Arial" w:cs="Arial"/>
          <w:sz w:val="24"/>
          <w:szCs w:val="24"/>
        </w:rPr>
        <w:t>However, the company has taken steps to regain trust and enhance competitiveness by focusing on sustainability and the environment. VW has invested in electric mobility, set ambitious goals for carbon neutrality, and implemented sustainable production practices. To further develop competitive advantages, VW should continue its transition to electric vehicles, embrace circular economy principles, expand renewable energy integration, strengthen stakeholder engagement, and enhance transparency in sustainability reporting. By prioritizing sustainability, VW can not only regain its position in the market but also contribute to a greener and more sustainable future for the automotive industry.</w:t>
      </w:r>
    </w:p>
    <w:p w14:paraId="230F7C61" w14:textId="77777777" w:rsidR="0034700F" w:rsidRDefault="0034700F">
      <w:pPr>
        <w:jc w:val="both"/>
        <w:rPr>
          <w:rFonts w:ascii="Arial" w:hAnsi="Arial" w:cs="Arial"/>
          <w:sz w:val="24"/>
          <w:szCs w:val="24"/>
        </w:rPr>
      </w:pPr>
    </w:p>
    <w:p w14:paraId="24235D8C" w14:textId="77777777" w:rsidR="0034700F" w:rsidRDefault="0034700F">
      <w:pPr>
        <w:jc w:val="both"/>
        <w:rPr>
          <w:rFonts w:ascii="Arial" w:hAnsi="Arial" w:cs="Arial"/>
          <w:sz w:val="24"/>
          <w:szCs w:val="24"/>
        </w:rPr>
      </w:pPr>
    </w:p>
    <w:p w14:paraId="7BC88232" w14:textId="77777777" w:rsidR="0034700F" w:rsidRDefault="0034700F">
      <w:pPr>
        <w:jc w:val="both"/>
        <w:rPr>
          <w:rFonts w:ascii="Arial" w:hAnsi="Arial" w:cs="Arial"/>
          <w:sz w:val="24"/>
          <w:szCs w:val="24"/>
        </w:rPr>
      </w:pPr>
    </w:p>
    <w:p w14:paraId="5637BD29" w14:textId="77777777" w:rsidR="0034700F" w:rsidRDefault="0034700F">
      <w:pPr>
        <w:jc w:val="both"/>
        <w:rPr>
          <w:rFonts w:ascii="Arial" w:hAnsi="Arial" w:cs="Arial"/>
          <w:sz w:val="24"/>
          <w:szCs w:val="24"/>
        </w:rPr>
      </w:pPr>
    </w:p>
    <w:p w14:paraId="3360B79F" w14:textId="77777777" w:rsidR="0034700F" w:rsidRDefault="0034700F">
      <w:pPr>
        <w:jc w:val="both"/>
        <w:rPr>
          <w:rFonts w:ascii="Arial" w:hAnsi="Arial" w:cs="Arial"/>
          <w:sz w:val="24"/>
          <w:szCs w:val="24"/>
        </w:rPr>
      </w:pPr>
    </w:p>
    <w:p w14:paraId="20710D8E" w14:textId="77777777" w:rsidR="0034700F" w:rsidRDefault="0034700F">
      <w:pPr>
        <w:jc w:val="both"/>
        <w:rPr>
          <w:rFonts w:ascii="Arial" w:hAnsi="Arial" w:cs="Arial"/>
          <w:sz w:val="24"/>
          <w:szCs w:val="24"/>
        </w:rPr>
      </w:pPr>
    </w:p>
    <w:p w14:paraId="2C21BC4E" w14:textId="77777777" w:rsidR="0034700F" w:rsidRDefault="0034700F">
      <w:pPr>
        <w:jc w:val="both"/>
        <w:rPr>
          <w:rFonts w:ascii="Arial" w:hAnsi="Arial" w:cs="Arial"/>
          <w:sz w:val="24"/>
          <w:szCs w:val="24"/>
        </w:rPr>
      </w:pPr>
    </w:p>
    <w:p w14:paraId="2541CD43" w14:textId="77777777" w:rsidR="0034700F" w:rsidRDefault="0034700F">
      <w:pPr>
        <w:jc w:val="both"/>
        <w:rPr>
          <w:rFonts w:ascii="Arial" w:hAnsi="Arial" w:cs="Arial"/>
          <w:sz w:val="24"/>
          <w:szCs w:val="24"/>
        </w:rPr>
      </w:pPr>
    </w:p>
    <w:p w14:paraId="686C3D68" w14:textId="77777777" w:rsidR="0034700F" w:rsidRDefault="0034700F">
      <w:pPr>
        <w:jc w:val="both"/>
        <w:rPr>
          <w:rFonts w:ascii="Arial" w:hAnsi="Arial" w:cs="Arial"/>
          <w:sz w:val="24"/>
          <w:szCs w:val="24"/>
        </w:rPr>
      </w:pPr>
    </w:p>
    <w:p w14:paraId="1B7CB638" w14:textId="77777777" w:rsidR="0034700F" w:rsidRDefault="0034700F">
      <w:pPr>
        <w:jc w:val="both"/>
        <w:rPr>
          <w:rFonts w:ascii="Arial" w:hAnsi="Arial" w:cs="Arial"/>
          <w:sz w:val="24"/>
          <w:szCs w:val="24"/>
        </w:rPr>
      </w:pPr>
    </w:p>
    <w:p w14:paraId="1A674A5A" w14:textId="77777777" w:rsidR="0034700F" w:rsidRDefault="0034700F">
      <w:pPr>
        <w:jc w:val="both"/>
        <w:rPr>
          <w:rFonts w:ascii="Arial" w:hAnsi="Arial" w:cs="Arial"/>
          <w:sz w:val="24"/>
          <w:szCs w:val="24"/>
        </w:rPr>
      </w:pPr>
    </w:p>
    <w:p w14:paraId="079C2788" w14:textId="77777777" w:rsidR="0034700F" w:rsidRDefault="00000000">
      <w:pPr>
        <w:pStyle w:val="Heading1"/>
        <w:jc w:val="both"/>
      </w:pPr>
      <w:bookmarkStart w:id="8" w:name="_Toc140567185"/>
      <w:r>
        <w:t>References:</w:t>
      </w:r>
      <w:bookmarkEnd w:id="8"/>
    </w:p>
    <w:p w14:paraId="0CA52ECD" w14:textId="77777777" w:rsidR="0034700F" w:rsidRDefault="0034700F">
      <w:pPr>
        <w:jc w:val="both"/>
        <w:rPr>
          <w:rFonts w:ascii="Arial" w:hAnsi="Arial" w:cs="Arial"/>
          <w:sz w:val="24"/>
          <w:szCs w:val="24"/>
        </w:rPr>
      </w:pPr>
    </w:p>
    <w:p w14:paraId="38013043" w14:textId="77777777" w:rsidR="0034700F" w:rsidRDefault="00000000">
      <w:pPr>
        <w:jc w:val="both"/>
        <w:rPr>
          <w:rFonts w:ascii="Arial" w:hAnsi="Arial" w:cs="Arial"/>
          <w:i/>
          <w:iCs/>
        </w:rPr>
      </w:pPr>
      <w:r>
        <w:rPr>
          <w:rFonts w:ascii="Arial" w:hAnsi="Arial" w:cs="Arial"/>
          <w:i/>
          <w:iCs/>
        </w:rPr>
        <w:t>Advances in Economics, Business and Management Research. (2023). Management Principles in the Competitive Environment: A Case Study of Volkswagen Group. Atlantis Press.</w:t>
      </w:r>
    </w:p>
    <w:p w14:paraId="20A54040" w14:textId="77777777" w:rsidR="0034700F" w:rsidRDefault="00000000">
      <w:pPr>
        <w:jc w:val="both"/>
        <w:rPr>
          <w:rFonts w:ascii="Arial" w:hAnsi="Arial" w:cs="Arial"/>
          <w:i/>
          <w:iCs/>
        </w:rPr>
      </w:pPr>
      <w:r>
        <w:rPr>
          <w:rFonts w:ascii="Arial" w:hAnsi="Arial" w:cs="Arial"/>
          <w:i/>
          <w:iCs/>
        </w:rPr>
        <w:t>Bachmann, R., Ehrlich, D., &amp; Fan, Y. (2021). Twitter Sentiment Analysis of German Car Manufacturers before and after the "</w:t>
      </w:r>
      <w:proofErr w:type="spellStart"/>
      <w:r>
        <w:rPr>
          <w:rFonts w:ascii="Arial" w:hAnsi="Arial" w:cs="Arial"/>
          <w:i/>
          <w:iCs/>
        </w:rPr>
        <w:t>Dieselgate</w:t>
      </w:r>
      <w:proofErr w:type="spellEnd"/>
      <w:r>
        <w:rPr>
          <w:rFonts w:ascii="Arial" w:hAnsi="Arial" w:cs="Arial"/>
          <w:i/>
          <w:iCs/>
        </w:rPr>
        <w:t>" Scandal. Journal of Open Innovation: Technology, Market, and Complexity, 58.</w:t>
      </w:r>
    </w:p>
    <w:p w14:paraId="7E9E9CC8" w14:textId="77777777" w:rsidR="0034700F" w:rsidRDefault="00000000">
      <w:pPr>
        <w:jc w:val="both"/>
        <w:rPr>
          <w:rFonts w:ascii="Arial" w:hAnsi="Arial" w:cs="Arial"/>
          <w:i/>
          <w:iCs/>
        </w:rPr>
      </w:pPr>
      <w:r>
        <w:rPr>
          <w:rFonts w:ascii="Arial" w:hAnsi="Arial" w:cs="Arial"/>
          <w:i/>
          <w:iCs/>
        </w:rPr>
        <w:t>Dumitrescu, V., &amp; Scalera, V. G. (2012). Strategic Management and Its Importance for the Performance of Companies. Management &amp; Marketing, 411-418.</w:t>
      </w:r>
    </w:p>
    <w:p w14:paraId="25F19414" w14:textId="5D57392A" w:rsidR="0034700F" w:rsidRDefault="00000000">
      <w:pPr>
        <w:jc w:val="both"/>
        <w:rPr>
          <w:rFonts w:ascii="Arial" w:hAnsi="Arial" w:cs="Arial"/>
          <w:i/>
          <w:iCs/>
        </w:rPr>
      </w:pPr>
      <w:r>
        <w:rPr>
          <w:rFonts w:ascii="Arial" w:hAnsi="Arial" w:cs="Arial"/>
          <w:i/>
          <w:iCs/>
        </w:rPr>
        <w:t xml:space="preserve">European Parliament. (2016). Volkswagen (VW) Emissions Scandal. Available at: </w:t>
      </w:r>
      <w:r w:rsidR="00DF508D" w:rsidRPr="00DF508D">
        <w:rPr>
          <w:rFonts w:ascii="Arial" w:hAnsi="Arial" w:cs="Arial"/>
          <w:i/>
          <w:iCs/>
        </w:rPr>
        <w:t>https://www.europarl.europa.eu/RegData/etudes/BRIE/2016/583793/EPRS_BRI(2016)583793_EN.pdf</w:t>
      </w:r>
      <w:r w:rsidR="00DF508D">
        <w:rPr>
          <w:rFonts w:ascii="Arial" w:hAnsi="Arial" w:cs="Arial"/>
          <w:i/>
          <w:iCs/>
        </w:rPr>
        <w:t xml:space="preserve"> </w:t>
      </w:r>
    </w:p>
    <w:p w14:paraId="3FCA7AA3" w14:textId="3ED5ABA2" w:rsidR="0034700F" w:rsidRDefault="00000000">
      <w:pPr>
        <w:jc w:val="both"/>
        <w:rPr>
          <w:rFonts w:ascii="Arial" w:hAnsi="Arial" w:cs="Arial"/>
          <w:i/>
          <w:iCs/>
        </w:rPr>
      </w:pPr>
      <w:r>
        <w:rPr>
          <w:rFonts w:ascii="Arial" w:hAnsi="Arial" w:cs="Arial"/>
          <w:i/>
          <w:iCs/>
        </w:rPr>
        <w:t xml:space="preserve">Hetzner, C. (2019). Chastened VW Seeks a Greener Supply Chain. Auto News. Available at: </w:t>
      </w:r>
      <w:r w:rsidR="00DF508D" w:rsidRPr="00DF508D">
        <w:rPr>
          <w:rFonts w:ascii="Arial" w:hAnsi="Arial" w:cs="Arial"/>
          <w:i/>
          <w:iCs/>
        </w:rPr>
        <w:t>https://bstrategyhub.com/volkswagen-swot-analysis/</w:t>
      </w:r>
    </w:p>
    <w:p w14:paraId="55CFA1F8" w14:textId="3B14E041" w:rsidR="0034700F" w:rsidRDefault="00000000">
      <w:pPr>
        <w:jc w:val="both"/>
        <w:rPr>
          <w:rFonts w:ascii="Arial" w:hAnsi="Arial" w:cs="Arial"/>
          <w:i/>
          <w:iCs/>
        </w:rPr>
      </w:pPr>
      <w:proofErr w:type="spellStart"/>
      <w:r>
        <w:rPr>
          <w:rFonts w:ascii="Arial" w:hAnsi="Arial" w:cs="Arial"/>
          <w:i/>
          <w:iCs/>
        </w:rPr>
        <w:t>Rauwald</w:t>
      </w:r>
      <w:proofErr w:type="spellEnd"/>
      <w:r>
        <w:rPr>
          <w:rFonts w:ascii="Arial" w:hAnsi="Arial" w:cs="Arial"/>
          <w:i/>
          <w:iCs/>
        </w:rPr>
        <w:t xml:space="preserve">, C. (2019). VW Challenges Rivals with $66 Billion for Electric Cars Era. Bloomberg. Available at: </w:t>
      </w:r>
      <w:r w:rsidR="00DF508D" w:rsidRPr="00DF508D">
        <w:rPr>
          <w:rFonts w:ascii="Arial" w:hAnsi="Arial" w:cs="Arial"/>
          <w:i/>
          <w:iCs/>
        </w:rPr>
        <w:t>https://www.bloomberg.com/news/articles/2019-11-15/vw-boosts-new-technology-spending-to-66-billion-through-2024</w:t>
      </w:r>
    </w:p>
    <w:p w14:paraId="1985905F" w14:textId="1A1601BC" w:rsidR="0034700F" w:rsidRDefault="00000000">
      <w:pPr>
        <w:jc w:val="both"/>
        <w:rPr>
          <w:rFonts w:ascii="Arial" w:hAnsi="Arial" w:cs="Arial"/>
          <w:i/>
          <w:iCs/>
        </w:rPr>
      </w:pPr>
      <w:r>
        <w:rPr>
          <w:rFonts w:ascii="Arial" w:hAnsi="Arial" w:cs="Arial"/>
          <w:i/>
          <w:iCs/>
        </w:rPr>
        <w:t xml:space="preserve">Volkswagen Group. (2022). Volkswagen Group Strategy. Available at: </w:t>
      </w:r>
      <w:r w:rsidR="00DF508D" w:rsidRPr="00DF508D">
        <w:rPr>
          <w:rFonts w:ascii="Arial" w:hAnsi="Arial" w:cs="Arial"/>
          <w:i/>
          <w:iCs/>
        </w:rPr>
        <w:t>https://www.volkswagen-group.com/en/strategy-15955</w:t>
      </w:r>
    </w:p>
    <w:p w14:paraId="340047DB" w14:textId="248670AD" w:rsidR="0034700F" w:rsidRDefault="00000000">
      <w:pPr>
        <w:jc w:val="both"/>
        <w:rPr>
          <w:rFonts w:ascii="Arial" w:hAnsi="Arial" w:cs="Arial"/>
          <w:i/>
          <w:iCs/>
        </w:rPr>
      </w:pPr>
      <w:r>
        <w:rPr>
          <w:rFonts w:ascii="Arial" w:hAnsi="Arial" w:cs="Arial"/>
          <w:i/>
          <w:iCs/>
        </w:rPr>
        <w:t xml:space="preserve">Volkswagen Group. (2023). Volkswagen Group Delivered 8.26 </w:t>
      </w:r>
      <w:proofErr w:type="gramStart"/>
      <w:r>
        <w:rPr>
          <w:rFonts w:ascii="Arial" w:hAnsi="Arial" w:cs="Arial"/>
          <w:i/>
          <w:iCs/>
        </w:rPr>
        <w:t>Million</w:t>
      </w:r>
      <w:proofErr w:type="gramEnd"/>
      <w:r>
        <w:rPr>
          <w:rFonts w:ascii="Arial" w:hAnsi="Arial" w:cs="Arial"/>
          <w:i/>
          <w:iCs/>
        </w:rPr>
        <w:t xml:space="preserve"> Vehicles Worldwide in 2022. Available at: </w:t>
      </w:r>
      <w:r w:rsidR="00DF508D" w:rsidRPr="00DF508D">
        <w:rPr>
          <w:rFonts w:ascii="Arial" w:hAnsi="Arial" w:cs="Arial"/>
          <w:i/>
          <w:iCs/>
        </w:rPr>
        <w:t>https://annualreport2022.volkswagenag.com/group-management-report/business-development/deliveries.html</w:t>
      </w:r>
    </w:p>
    <w:p w14:paraId="09D17102" w14:textId="2A10C816" w:rsidR="0034700F" w:rsidRDefault="00000000">
      <w:pPr>
        <w:jc w:val="both"/>
      </w:pPr>
      <w:r>
        <w:rPr>
          <w:rFonts w:ascii="Arial" w:hAnsi="Arial" w:cs="Arial"/>
          <w:i/>
          <w:iCs/>
        </w:rPr>
        <w:t>Volkswagen Annual Report. (2019). Available at: h</w:t>
      </w:r>
      <w:r w:rsidR="00DF508D" w:rsidRPr="00DF508D">
        <w:t xml:space="preserve"> </w:t>
      </w:r>
      <w:r w:rsidR="00DF508D" w:rsidRPr="00DF508D">
        <w:rPr>
          <w:rFonts w:ascii="Arial" w:hAnsi="Arial" w:cs="Arial"/>
          <w:i/>
          <w:iCs/>
        </w:rPr>
        <w:t>https://annualreport2019.volkswagenag.com/</w:t>
      </w:r>
    </w:p>
    <w:sectPr w:rsidR="0034700F">
      <w:headerReference w:type="default" r:id="rId8"/>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D5242" w14:textId="77777777" w:rsidR="00C75FAC" w:rsidRDefault="00C75FAC">
      <w:pPr>
        <w:spacing w:after="0" w:line="240" w:lineRule="auto"/>
      </w:pPr>
      <w:r>
        <w:separator/>
      </w:r>
    </w:p>
  </w:endnote>
  <w:endnote w:type="continuationSeparator" w:id="0">
    <w:p w14:paraId="49D0C5D2" w14:textId="77777777" w:rsidR="00C75FAC" w:rsidRDefault="00C75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heSans">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4BD70" w14:textId="77777777" w:rsidR="007F6DDC" w:rsidRDefault="00000000">
    <w:pPr>
      <w:pStyle w:val="Footer"/>
      <w:pBdr>
        <w:top w:val="single" w:sz="4" w:space="1" w:color="D9D9D9"/>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6AA468F9" w14:textId="77777777" w:rsidR="007F6DDC"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C5C00" w14:textId="77777777" w:rsidR="00C75FAC" w:rsidRDefault="00C75FAC">
      <w:pPr>
        <w:spacing w:after="0" w:line="240" w:lineRule="auto"/>
      </w:pPr>
      <w:r>
        <w:rPr>
          <w:color w:val="000000"/>
        </w:rPr>
        <w:separator/>
      </w:r>
    </w:p>
  </w:footnote>
  <w:footnote w:type="continuationSeparator" w:id="0">
    <w:p w14:paraId="4F1955B1" w14:textId="77777777" w:rsidR="00C75FAC" w:rsidRDefault="00C75F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DE4BA" w14:textId="77777777" w:rsidR="007F6DDC" w:rsidRDefault="00000000">
    <w:pPr>
      <w:spacing w:line="264" w:lineRule="auto"/>
    </w:pPr>
    <w:r>
      <w:rPr>
        <w:noProof/>
        <w:color w:val="000000"/>
      </w:rPr>
      <mc:AlternateContent>
        <mc:Choice Requires="wps">
          <w:drawing>
            <wp:anchor distT="0" distB="0" distL="114300" distR="114300" simplePos="0" relativeHeight="251659264" behindDoc="0" locked="0" layoutInCell="1" allowOverlap="1" wp14:anchorId="6AD04CEC" wp14:editId="5423E8ED">
              <wp:simplePos x="0" y="0"/>
              <wp:positionH relativeFrom="page">
                <wp:align>center</wp:align>
              </wp:positionH>
              <wp:positionV relativeFrom="page">
                <wp:align>center</wp:align>
              </wp:positionV>
              <wp:extent cx="7376163" cy="9555480"/>
              <wp:effectExtent l="0" t="0" r="15237" b="26670"/>
              <wp:wrapNone/>
              <wp:docPr id="59528418" name="Rectangle 72"/>
              <wp:cNvGraphicFramePr/>
              <a:graphic xmlns:a="http://schemas.openxmlformats.org/drawingml/2006/main">
                <a:graphicData uri="http://schemas.microsoft.com/office/word/2010/wordprocessingShape">
                  <wps:wsp>
                    <wps:cNvSpPr/>
                    <wps:spPr>
                      <a:xfrm>
                        <a:off x="0" y="0"/>
                        <a:ext cx="7376163" cy="9555480"/>
                      </a:xfrm>
                      <a:prstGeom prst="rect">
                        <a:avLst/>
                      </a:prstGeom>
                      <a:noFill/>
                      <a:ln w="15873" cap="flat">
                        <a:solidFill>
                          <a:srgbClr val="767171"/>
                        </a:solidFill>
                        <a:prstDash val="solid"/>
                        <a:miter/>
                      </a:ln>
                    </wps:spPr>
                    <wps:bodyPr lIns="0" tIns="0" rIns="0" bIns="0"/>
                  </wps:wsp>
                </a:graphicData>
              </a:graphic>
            </wp:anchor>
          </w:drawing>
        </mc:Choice>
        <mc:Fallback>
          <w:pict>
            <v:rect w14:anchorId="74EFE745" id="Rectangle 72" o:spid="_x0000_s1026" style="position:absolute;margin-left:0;margin-top:0;width:580.8pt;height:752.4pt;z-index:251659264;visibility:visible;mso-wrap-style:square;mso-wrap-distance-left:9pt;mso-wrap-distance-top:0;mso-wrap-distance-right:9pt;mso-wrap-distance-bottom:0;mso-position-horizontal:center;mso-position-horizontal-relative:page;mso-position-vertical:center;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" filled="f" strokecolor="#767171" strokeweight=".44092mm">
              <v:textbox inset="0,0,0,0"/>
              <w10:wrap anchorx="page" anchory="page"/>
            </v:rect>
          </w:pict>
        </mc:Fallback>
      </mc:AlternateContent>
    </w:r>
  </w:p>
  <w:p w14:paraId="6CDC943A" w14:textId="77777777" w:rsidR="007F6DDC"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700F"/>
    <w:rsid w:val="00047885"/>
    <w:rsid w:val="00057EF6"/>
    <w:rsid w:val="003248B8"/>
    <w:rsid w:val="00340136"/>
    <w:rsid w:val="0034700F"/>
    <w:rsid w:val="0039718B"/>
    <w:rsid w:val="003D3F5B"/>
    <w:rsid w:val="00461EAF"/>
    <w:rsid w:val="0051438C"/>
    <w:rsid w:val="00606B25"/>
    <w:rsid w:val="00673149"/>
    <w:rsid w:val="008F69AA"/>
    <w:rsid w:val="00A306E8"/>
    <w:rsid w:val="00C06156"/>
    <w:rsid w:val="00C75FAC"/>
    <w:rsid w:val="00DC730E"/>
    <w:rsid w:val="00DF508D"/>
    <w:rsid w:val="00E05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A1521"/>
  <w15:docId w15:val="{70825B01-DB83-4B14-9A37-11B5C143F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paragraph" w:styleId="Title">
    <w:name w:val="Title"/>
    <w:basedOn w:val="Normal"/>
    <w:next w:val="Normal"/>
    <w:uiPriority w:val="10"/>
    <w:qFormat/>
    <w:pPr>
      <w:spacing w:after="0" w:line="240" w:lineRule="auto"/>
      <w:contextualSpacing/>
      <w:jc w:val="both"/>
      <w:textAlignment w:val="baseline"/>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ListParagraph">
    <w:name w:val="List Paragraph"/>
    <w:basedOn w:val="Normal"/>
    <w:pPr>
      <w:ind w:left="720"/>
      <w:contextualSpacing/>
    </w:pPr>
  </w:style>
  <w:style w:type="paragraph" w:styleId="NoSpacing">
    <w:name w:val="No Spacing"/>
    <w:pPr>
      <w:suppressAutoHyphens/>
      <w:spacing w:after="0" w:line="240" w:lineRule="auto"/>
    </w:pPr>
  </w:style>
  <w:style w:type="paragraph" w:styleId="Subtitle">
    <w:name w:val="Subtitle"/>
    <w:basedOn w:val="Normal"/>
    <w:next w:val="Normal"/>
    <w:uiPriority w:val="11"/>
    <w:qFormat/>
    <w:pPr>
      <w:spacing w:line="360" w:lineRule="auto"/>
      <w:jc w:val="both"/>
      <w:textAlignment w:val="baseline"/>
    </w:pPr>
    <w:rPr>
      <w:rFonts w:eastAsia="Times New Roman"/>
      <w:color w:val="5A5A5A"/>
      <w:spacing w:val="15"/>
      <w:kern w:val="0"/>
      <w:sz w:val="24"/>
    </w:rPr>
  </w:style>
  <w:style w:type="character" w:customStyle="1" w:styleId="SubtitleChar">
    <w:name w:val="Subtitle Char"/>
    <w:basedOn w:val="DefaultParagraphFont"/>
    <w:rPr>
      <w:rFonts w:ascii="Calibri" w:eastAsia="Times New Roman" w:hAnsi="Calibri" w:cs="Times New Roman"/>
      <w:color w:val="5A5A5A"/>
      <w:spacing w:val="15"/>
      <w:kern w:val="0"/>
      <w:sz w:val="24"/>
    </w:rPr>
  </w:style>
  <w:style w:type="character" w:styleId="Hyperlink">
    <w:name w:val="Hyperlink"/>
    <w:basedOn w:val="DefaultParagraphFont"/>
    <w:rPr>
      <w:color w:val="0563C1"/>
      <w:u w:val="single"/>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4" w:lineRule="auto"/>
      <w:jc w:val="both"/>
    </w:pPr>
    <w:rPr>
      <w:kern w:val="0"/>
      <w:lang w:val="en-US"/>
    </w:rPr>
  </w:style>
  <w:style w:type="paragraph" w:styleId="TOC1">
    <w:name w:val="toc 1"/>
    <w:basedOn w:val="Normal"/>
    <w:next w:val="Normal"/>
    <w:autoRedefine/>
    <w:pPr>
      <w:spacing w:after="100" w:line="360" w:lineRule="auto"/>
      <w:jc w:val="both"/>
      <w:textAlignment w:val="baseline"/>
    </w:pPr>
    <w:rPr>
      <w:rFonts w:ascii="Arial" w:hAnsi="Arial"/>
      <w:kern w:val="0"/>
      <w:sz w:val="24"/>
    </w:rPr>
  </w:style>
  <w:style w:type="paragraph" w:styleId="TOC2">
    <w:name w:val="toc 2"/>
    <w:basedOn w:val="Normal"/>
    <w:next w:val="Normal"/>
    <w:autoRedefine/>
    <w:pPr>
      <w:spacing w:after="100" w:line="360" w:lineRule="auto"/>
      <w:ind w:left="240"/>
      <w:jc w:val="both"/>
      <w:textAlignment w:val="baseline"/>
    </w:pPr>
    <w:rPr>
      <w:rFonts w:ascii="Arial" w:hAnsi="Arial"/>
      <w:kern w:val="0"/>
      <w:sz w:val="24"/>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customStyle="1" w:styleId="paragraph">
    <w:name w:val="paragraph"/>
    <w:basedOn w:val="Normal"/>
    <w:pPr>
      <w:suppressAutoHyphens w:val="0"/>
      <w:spacing w:before="100" w:after="100" w:line="240" w:lineRule="auto"/>
    </w:pPr>
    <w:rPr>
      <w:rFonts w:ascii="Times New Roman" w:eastAsia="Times New Roman" w:hAnsi="Times New Roman"/>
      <w:kern w:val="0"/>
      <w:sz w:val="24"/>
      <w:szCs w:val="24"/>
      <w:lang w:eastAsia="en-GB"/>
    </w:rPr>
  </w:style>
  <w:style w:type="character" w:styleId="Strong">
    <w:name w:val="Strong"/>
    <w:basedOn w:val="DefaultParagraphFont"/>
    <w:rPr>
      <w:b/>
      <w:bCs/>
    </w:rPr>
  </w:style>
  <w:style w:type="character" w:styleId="UnresolvedMention">
    <w:name w:val="Unresolved Mention"/>
    <w:basedOn w:val="DefaultParagraphFont"/>
    <w:uiPriority w:val="99"/>
    <w:semiHidden/>
    <w:unhideWhenUsed/>
    <w:rsid w:val="00DF50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12</Pages>
  <Words>3190</Words>
  <Characters>18183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Old Burlington Street</dc:creator>
  <dc:description/>
  <cp:lastModifiedBy>Maria Boscanean (2021937)</cp:lastModifiedBy>
  <cp:revision>5</cp:revision>
  <dcterms:created xsi:type="dcterms:W3CDTF">2023-08-19T13:19:00Z</dcterms:created>
  <dcterms:modified xsi:type="dcterms:W3CDTF">2023-08-21T08:41:00Z</dcterms:modified>
</cp:coreProperties>
</file>