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240" w:after="240"/>
        <w:jc w:val="both"/>
        <w:rPr>
          <w:rFonts w:ascii="Arial" w:hAnsi="Arial" w:cs="Arial"/>
          <w:b/>
          <w:sz w:val="28"/>
        </w:rPr>
      </w:pPr>
    </w:p>
    <w:p>
      <w:pPr>
        <w:spacing w:before="240" w:after="240"/>
        <w:jc w:val="center"/>
        <w:rPr>
          <w:rFonts w:ascii="Arial" w:hAnsi="Arial" w:cs="Arial"/>
          <w:b/>
          <w:sz w:val="28"/>
        </w:rPr>
      </w:pPr>
    </w:p>
    <w:p>
      <w:pPr>
        <w:spacing w:before="240" w:after="240"/>
        <w:jc w:val="center"/>
        <w:rPr>
          <w:rFonts w:ascii="Arial" w:hAnsi="Arial" w:cs="Arial"/>
          <w:b/>
          <w:sz w:val="28"/>
        </w:rPr>
      </w:pPr>
    </w:p>
    <w:p>
      <w:pPr>
        <w:spacing w:before="240" w:after="240"/>
        <w:jc w:val="center"/>
        <w:rPr>
          <w:rFonts w:ascii="Arial" w:hAnsi="Arial" w:cs="Arial"/>
          <w:b/>
          <w:sz w:val="28"/>
        </w:rPr>
      </w:pPr>
    </w:p>
    <w:p>
      <w:pPr>
        <w:spacing w:before="240" w:after="240"/>
        <w:jc w:val="center"/>
        <w:rPr>
          <w:rFonts w:ascii="Arial" w:hAnsi="Arial" w:cs="Arial"/>
          <w:b/>
          <w:sz w:val="28"/>
        </w:rPr>
      </w:pPr>
    </w:p>
    <w:p>
      <w:pPr>
        <w:spacing w:before="240" w:after="240"/>
        <w:jc w:val="center"/>
        <w:rPr>
          <w:rFonts w:ascii="Arial" w:hAnsi="Arial" w:cs="Arial"/>
          <w:b/>
          <w:sz w:val="28"/>
        </w:rPr>
      </w:pPr>
    </w:p>
    <w:p>
      <w:pPr>
        <w:spacing w:before="240" w:after="240"/>
        <w:jc w:val="center"/>
        <w:rPr>
          <w:rFonts w:ascii="Arial" w:hAnsi="Arial" w:cs="Arial"/>
          <w:b/>
          <w:sz w:val="28"/>
        </w:rPr>
      </w:pPr>
    </w:p>
    <w:p>
      <w:pPr>
        <w:spacing w:before="240" w:after="240"/>
        <w:jc w:val="center"/>
        <w:rPr>
          <w:rFonts w:ascii="Arial" w:hAnsi="Arial" w:cs="Arial"/>
          <w:b/>
          <w:sz w:val="28"/>
        </w:rPr>
      </w:pPr>
    </w:p>
    <w:p>
      <w:pPr>
        <w:spacing w:before="240" w:after="240"/>
        <w:jc w:val="center"/>
        <w:rPr>
          <w:rFonts w:ascii="Arial" w:hAnsi="Arial" w:cs="Arial"/>
          <w:b/>
          <w:sz w:val="28"/>
        </w:rPr>
      </w:pPr>
    </w:p>
    <w:p>
      <w:pPr>
        <w:spacing w:before="240" w:after="240"/>
        <w:jc w:val="center"/>
        <w:rPr>
          <w:rFonts w:ascii="Arial" w:hAnsi="Arial" w:cs="Arial"/>
          <w:b/>
          <w:sz w:val="28"/>
        </w:rPr>
      </w:pPr>
    </w:p>
    <w:p>
      <w:pPr>
        <w:spacing w:before="240" w:after="240"/>
        <w:jc w:val="center"/>
        <w:rPr>
          <w:rFonts w:ascii="Arial" w:hAnsi="Arial" w:cs="Arial"/>
          <w:b/>
          <w:sz w:val="28"/>
        </w:rPr>
      </w:pPr>
      <w:bookmarkStart w:id="7" w:name="_GoBack"/>
      <w:bookmarkEnd w:id="7"/>
      <w:r>
        <w:rPr>
          <w:rFonts w:ascii="Arial" w:hAnsi="Arial" w:cs="Arial"/>
          <w:b/>
          <w:sz w:val="28"/>
        </w:rPr>
        <w:t>Skill Requirements for Service Improvement in Restaurants</w:t>
      </w:r>
    </w:p>
    <w:p>
      <w:pPr>
        <w:spacing w:after="200" w:line="276" w:lineRule="auto"/>
        <w:jc w:val="left"/>
        <w:rPr>
          <w:rFonts w:ascii="Arial" w:hAnsi="Arial" w:cs="Arial"/>
        </w:rPr>
      </w:pPr>
      <w:r>
        <w:rPr>
          <w:rFonts w:ascii="Arial" w:hAnsi="Arial" w:cs="Arial"/>
        </w:rPr>
        <w:br w:type="page"/>
      </w:r>
    </w:p>
    <w:sdt>
      <w:sdtPr>
        <w:rPr>
          <w:rFonts w:ascii="Arial" w:hAnsi="Arial" w:cs="Arial"/>
          <w:color w:val="000000" w:themeColor="text1"/>
          <w:sz w:val="24"/>
          <w:szCs w:val="24"/>
          <w14:textFill>
            <w14:solidFill>
              <w14:schemeClr w14:val="tx1"/>
            </w14:solidFill>
          </w14:textFill>
        </w:rPr>
        <w:id w:val="574086569"/>
        <w:docPartObj>
          <w:docPartGallery w:val="Table of Contents"/>
          <w:docPartUnique/>
        </w:docPartObj>
      </w:sdtPr>
      <w:sdtEndPr>
        <w:rPr>
          <w:rFonts w:ascii="Arial" w:hAnsi="Arial" w:cs="Arial" w:eastAsiaTheme="minorHAnsi"/>
          <w:color w:val="000000" w:themeColor="text1"/>
          <w:kern w:val="2"/>
          <w:sz w:val="24"/>
          <w:szCs w:val="24"/>
          <w:lang w:val="en-GB" w:eastAsia="en-US"/>
          <w14:textFill>
            <w14:solidFill>
              <w14:schemeClr w14:val="tx1"/>
            </w14:solidFill>
          </w14:textFill>
          <w14:ligatures w14:val="standardContextual"/>
        </w:rPr>
      </w:sdtEndPr>
      <w:sdtContent>
        <w:p>
          <w:pPr>
            <w:pStyle w:val="20"/>
            <w:spacing w:before="240" w:after="240" w:line="360" w:lineRule="auto"/>
            <w:jc w:val="both"/>
            <w:rPr>
              <w:rFonts w:ascii="Arial" w:hAnsi="Arial" w:cs="Arial"/>
              <w:color w:val="000000" w:themeColor="text1"/>
              <w:sz w:val="24"/>
              <w:szCs w:val="24"/>
              <w14:textFill>
                <w14:solidFill>
                  <w14:schemeClr w14:val="tx1"/>
                </w14:solidFill>
              </w14:textFill>
            </w:rPr>
          </w:pPr>
          <w:r>
            <w:rPr>
              <w:rFonts w:ascii="Arial" w:hAnsi="Arial" w:cs="Arial"/>
              <w:color w:val="000000" w:themeColor="text1"/>
              <w:sz w:val="24"/>
              <w:szCs w:val="24"/>
              <w14:textFill>
                <w14:solidFill>
                  <w14:schemeClr w14:val="tx1"/>
                </w14:solidFill>
              </w14:textFill>
            </w:rPr>
            <w:t>Table of Contents</w:t>
          </w:r>
        </w:p>
        <w:p>
          <w:pPr>
            <w:pStyle w:val="12"/>
            <w:tabs>
              <w:tab w:val="right" w:leader="dot" w:pos="9016"/>
            </w:tabs>
            <w:spacing w:before="240" w:after="240"/>
            <w:rPr>
              <w:rFonts w:ascii="Arial" w:hAnsi="Arial" w:cs="Arial" w:eastAsiaTheme="minorEastAsia"/>
              <w:kern w:val="0"/>
              <w:szCs w:val="24"/>
              <w:lang w:eastAsia="en-GB"/>
              <w14:ligatures w14:val="none"/>
            </w:rPr>
          </w:pPr>
          <w:r>
            <w:rPr>
              <w:rFonts w:ascii="Arial" w:hAnsi="Arial" w:cs="Arial"/>
              <w:szCs w:val="24"/>
            </w:rPr>
            <w:fldChar w:fldCharType="begin"/>
          </w:r>
          <w:r>
            <w:rPr>
              <w:rFonts w:ascii="Arial" w:hAnsi="Arial" w:cs="Arial"/>
              <w:szCs w:val="24"/>
            </w:rPr>
            <w:instrText xml:space="preserve"> TOC \o "1-3" \h \z \u </w:instrText>
          </w:r>
          <w:r>
            <w:rPr>
              <w:rFonts w:ascii="Arial" w:hAnsi="Arial" w:cs="Arial"/>
              <w:szCs w:val="24"/>
            </w:rPr>
            <w:fldChar w:fldCharType="separate"/>
          </w:r>
          <w:r>
            <w:fldChar w:fldCharType="begin"/>
          </w:r>
          <w:r>
            <w:instrText xml:space="preserve"> HYPERLINK \l "_Toc147941470" </w:instrText>
          </w:r>
          <w:r>
            <w:fldChar w:fldCharType="separate"/>
          </w:r>
          <w:r>
            <w:rPr>
              <w:rStyle w:val="10"/>
              <w:rFonts w:ascii="Arial" w:hAnsi="Arial" w:cs="Arial"/>
              <w:color w:val="000000" w:themeColor="text1"/>
              <w:szCs w:val="24"/>
              <w14:textFill>
                <w14:solidFill>
                  <w14:schemeClr w14:val="tx1"/>
                </w14:solidFill>
              </w14:textFill>
            </w:rPr>
            <w:t>Introduction</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_Toc147941470 \h </w:instrText>
          </w:r>
          <w:r>
            <w:rPr>
              <w:rFonts w:ascii="Arial" w:hAnsi="Arial" w:cs="Arial"/>
              <w:szCs w:val="24"/>
            </w:rPr>
            <w:fldChar w:fldCharType="separate"/>
          </w:r>
          <w:r>
            <w:rPr>
              <w:rFonts w:ascii="Arial" w:hAnsi="Arial" w:cs="Arial"/>
              <w:szCs w:val="24"/>
            </w:rPr>
            <w:t>3</w:t>
          </w:r>
          <w:r>
            <w:rPr>
              <w:rFonts w:ascii="Arial" w:hAnsi="Arial" w:cs="Arial"/>
              <w:szCs w:val="24"/>
            </w:rPr>
            <w:fldChar w:fldCharType="end"/>
          </w:r>
          <w:r>
            <w:rPr>
              <w:rFonts w:ascii="Arial" w:hAnsi="Arial" w:cs="Arial"/>
              <w:szCs w:val="24"/>
            </w:rPr>
            <w:fldChar w:fldCharType="end"/>
          </w:r>
        </w:p>
        <w:p>
          <w:pPr>
            <w:pStyle w:val="12"/>
            <w:tabs>
              <w:tab w:val="right" w:leader="dot" w:pos="9016"/>
            </w:tabs>
            <w:spacing w:before="240" w:after="240"/>
            <w:rPr>
              <w:rFonts w:ascii="Arial" w:hAnsi="Arial" w:cs="Arial" w:eastAsiaTheme="minorEastAsia"/>
              <w:kern w:val="0"/>
              <w:szCs w:val="24"/>
              <w:lang w:eastAsia="en-GB"/>
              <w14:ligatures w14:val="none"/>
            </w:rPr>
          </w:pPr>
          <w:r>
            <w:fldChar w:fldCharType="begin"/>
          </w:r>
          <w:r>
            <w:instrText xml:space="preserve"> HYPERLINK \l "_Toc147941471" </w:instrText>
          </w:r>
          <w:r>
            <w:fldChar w:fldCharType="separate"/>
          </w:r>
          <w:r>
            <w:rPr>
              <w:rStyle w:val="10"/>
              <w:rFonts w:ascii="Arial" w:hAnsi="Arial" w:cs="Arial"/>
              <w:color w:val="000000" w:themeColor="text1"/>
              <w:szCs w:val="24"/>
              <w14:textFill>
                <w14:solidFill>
                  <w14:schemeClr w14:val="tx1"/>
                </w14:solidFill>
              </w14:textFill>
            </w:rPr>
            <w:t>5 key skills</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_Toc147941471 \h </w:instrText>
          </w:r>
          <w:r>
            <w:rPr>
              <w:rFonts w:ascii="Arial" w:hAnsi="Arial" w:cs="Arial"/>
              <w:szCs w:val="24"/>
            </w:rPr>
            <w:fldChar w:fldCharType="separate"/>
          </w:r>
          <w:r>
            <w:rPr>
              <w:rFonts w:ascii="Arial" w:hAnsi="Arial" w:cs="Arial"/>
              <w:szCs w:val="24"/>
            </w:rPr>
            <w:t>4</w:t>
          </w:r>
          <w:r>
            <w:rPr>
              <w:rFonts w:ascii="Arial" w:hAnsi="Arial" w:cs="Arial"/>
              <w:szCs w:val="24"/>
            </w:rPr>
            <w:fldChar w:fldCharType="end"/>
          </w:r>
          <w:r>
            <w:rPr>
              <w:rFonts w:ascii="Arial" w:hAnsi="Arial" w:cs="Arial"/>
              <w:szCs w:val="24"/>
            </w:rPr>
            <w:fldChar w:fldCharType="end"/>
          </w:r>
        </w:p>
        <w:p>
          <w:pPr>
            <w:pStyle w:val="12"/>
            <w:tabs>
              <w:tab w:val="right" w:leader="dot" w:pos="9016"/>
            </w:tabs>
            <w:spacing w:before="240" w:after="240"/>
            <w:rPr>
              <w:rFonts w:ascii="Arial" w:hAnsi="Arial" w:cs="Arial" w:eastAsiaTheme="minorEastAsia"/>
              <w:kern w:val="0"/>
              <w:szCs w:val="24"/>
              <w:lang w:eastAsia="en-GB"/>
              <w14:ligatures w14:val="none"/>
            </w:rPr>
          </w:pPr>
          <w:r>
            <w:fldChar w:fldCharType="begin"/>
          </w:r>
          <w:r>
            <w:instrText xml:space="preserve"> HYPERLINK \l "_Toc147941472" </w:instrText>
          </w:r>
          <w:r>
            <w:fldChar w:fldCharType="separate"/>
          </w:r>
          <w:r>
            <w:rPr>
              <w:rStyle w:val="10"/>
              <w:rFonts w:ascii="Arial" w:hAnsi="Arial" w:cs="Arial"/>
              <w:color w:val="000000" w:themeColor="text1"/>
              <w:szCs w:val="24"/>
              <w14:textFill>
                <w14:solidFill>
                  <w14:schemeClr w14:val="tx1"/>
                </w14:solidFill>
              </w14:textFill>
            </w:rPr>
            <w:t>How aspiring restaurant professionals can develop and enhance the identified skills</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_Toc147941472 \h </w:instrText>
          </w:r>
          <w:r>
            <w:rPr>
              <w:rFonts w:ascii="Arial" w:hAnsi="Arial" w:cs="Arial"/>
              <w:szCs w:val="24"/>
            </w:rPr>
            <w:fldChar w:fldCharType="separate"/>
          </w:r>
          <w:r>
            <w:rPr>
              <w:rFonts w:ascii="Arial" w:hAnsi="Arial" w:cs="Arial"/>
              <w:szCs w:val="24"/>
            </w:rPr>
            <w:t>5</w:t>
          </w:r>
          <w:r>
            <w:rPr>
              <w:rFonts w:ascii="Arial" w:hAnsi="Arial" w:cs="Arial"/>
              <w:szCs w:val="24"/>
            </w:rPr>
            <w:fldChar w:fldCharType="end"/>
          </w:r>
          <w:r>
            <w:rPr>
              <w:rFonts w:ascii="Arial" w:hAnsi="Arial" w:cs="Arial"/>
              <w:szCs w:val="24"/>
            </w:rPr>
            <w:fldChar w:fldCharType="end"/>
          </w:r>
        </w:p>
        <w:p>
          <w:pPr>
            <w:pStyle w:val="12"/>
            <w:tabs>
              <w:tab w:val="right" w:leader="dot" w:pos="9016"/>
            </w:tabs>
            <w:spacing w:before="240" w:after="240"/>
            <w:rPr>
              <w:rFonts w:ascii="Arial" w:hAnsi="Arial" w:cs="Arial" w:eastAsiaTheme="minorEastAsia"/>
              <w:kern w:val="0"/>
              <w:szCs w:val="24"/>
              <w:lang w:eastAsia="en-GB"/>
              <w14:ligatures w14:val="none"/>
            </w:rPr>
          </w:pPr>
          <w:r>
            <w:fldChar w:fldCharType="begin"/>
          </w:r>
          <w:r>
            <w:instrText xml:space="preserve"> HYPERLINK \l "_Toc147941473" </w:instrText>
          </w:r>
          <w:r>
            <w:fldChar w:fldCharType="separate"/>
          </w:r>
          <w:r>
            <w:rPr>
              <w:rStyle w:val="10"/>
              <w:rFonts w:ascii="Arial" w:hAnsi="Arial" w:cs="Arial"/>
              <w:color w:val="000000" w:themeColor="text1"/>
              <w:szCs w:val="24"/>
              <w14:textFill>
                <w14:solidFill>
                  <w14:schemeClr w14:val="tx1"/>
                </w14:solidFill>
              </w14:textFill>
            </w:rPr>
            <w:t>Real-life examples of restaurants successfully improving service quality through the skills</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_Toc147941473 \h </w:instrText>
          </w:r>
          <w:r>
            <w:rPr>
              <w:rFonts w:ascii="Arial" w:hAnsi="Arial" w:cs="Arial"/>
              <w:szCs w:val="24"/>
            </w:rPr>
            <w:fldChar w:fldCharType="separate"/>
          </w:r>
          <w:r>
            <w:rPr>
              <w:rFonts w:ascii="Arial" w:hAnsi="Arial" w:cs="Arial"/>
              <w:szCs w:val="24"/>
            </w:rPr>
            <w:t>6</w:t>
          </w:r>
          <w:r>
            <w:rPr>
              <w:rFonts w:ascii="Arial" w:hAnsi="Arial" w:cs="Arial"/>
              <w:szCs w:val="24"/>
            </w:rPr>
            <w:fldChar w:fldCharType="end"/>
          </w:r>
          <w:r>
            <w:rPr>
              <w:rFonts w:ascii="Arial" w:hAnsi="Arial" w:cs="Arial"/>
              <w:szCs w:val="24"/>
            </w:rPr>
            <w:fldChar w:fldCharType="end"/>
          </w:r>
        </w:p>
        <w:p>
          <w:pPr>
            <w:pStyle w:val="12"/>
            <w:tabs>
              <w:tab w:val="right" w:leader="dot" w:pos="9016"/>
            </w:tabs>
            <w:spacing w:before="240" w:after="240"/>
            <w:rPr>
              <w:rFonts w:ascii="Arial" w:hAnsi="Arial" w:cs="Arial" w:eastAsiaTheme="minorEastAsia"/>
              <w:kern w:val="0"/>
              <w:szCs w:val="24"/>
              <w:lang w:eastAsia="en-GB"/>
              <w14:ligatures w14:val="none"/>
            </w:rPr>
          </w:pPr>
          <w:r>
            <w:fldChar w:fldCharType="begin"/>
          </w:r>
          <w:r>
            <w:instrText xml:space="preserve"> HYPERLINK \l "_Toc147941474" </w:instrText>
          </w:r>
          <w:r>
            <w:fldChar w:fldCharType="separate"/>
          </w:r>
          <w:r>
            <w:rPr>
              <w:rStyle w:val="10"/>
              <w:rFonts w:ascii="Arial" w:hAnsi="Arial" w:cs="Arial"/>
              <w:color w:val="000000" w:themeColor="text1"/>
              <w:szCs w:val="24"/>
              <w14:textFill>
                <w14:solidFill>
                  <w14:schemeClr w14:val="tx1"/>
                </w14:solidFill>
              </w14:textFill>
            </w:rPr>
            <w:t>Challenges in implementing these skill requirements for restaurant staff</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_Toc147941474 \h </w:instrText>
          </w:r>
          <w:r>
            <w:rPr>
              <w:rFonts w:ascii="Arial" w:hAnsi="Arial" w:cs="Arial"/>
              <w:szCs w:val="24"/>
            </w:rPr>
            <w:fldChar w:fldCharType="separate"/>
          </w:r>
          <w:r>
            <w:rPr>
              <w:rFonts w:ascii="Arial" w:hAnsi="Arial" w:cs="Arial"/>
              <w:szCs w:val="24"/>
            </w:rPr>
            <w:t>7</w:t>
          </w:r>
          <w:r>
            <w:rPr>
              <w:rFonts w:ascii="Arial" w:hAnsi="Arial" w:cs="Arial"/>
              <w:szCs w:val="24"/>
            </w:rPr>
            <w:fldChar w:fldCharType="end"/>
          </w:r>
          <w:r>
            <w:rPr>
              <w:rFonts w:ascii="Arial" w:hAnsi="Arial" w:cs="Arial"/>
              <w:szCs w:val="24"/>
            </w:rPr>
            <w:fldChar w:fldCharType="end"/>
          </w:r>
        </w:p>
        <w:p>
          <w:pPr>
            <w:pStyle w:val="12"/>
            <w:tabs>
              <w:tab w:val="right" w:leader="dot" w:pos="9016"/>
            </w:tabs>
            <w:spacing w:before="240" w:after="240"/>
            <w:rPr>
              <w:rFonts w:ascii="Arial" w:hAnsi="Arial" w:cs="Arial" w:eastAsiaTheme="minorEastAsia"/>
              <w:kern w:val="0"/>
              <w:szCs w:val="24"/>
              <w:lang w:eastAsia="en-GB"/>
              <w14:ligatures w14:val="none"/>
            </w:rPr>
          </w:pPr>
          <w:r>
            <w:fldChar w:fldCharType="begin"/>
          </w:r>
          <w:r>
            <w:instrText xml:space="preserve"> HYPERLINK \l "_Toc147941475" </w:instrText>
          </w:r>
          <w:r>
            <w:fldChar w:fldCharType="separate"/>
          </w:r>
          <w:r>
            <w:rPr>
              <w:rStyle w:val="10"/>
              <w:rFonts w:ascii="Arial" w:hAnsi="Arial" w:cs="Arial"/>
              <w:color w:val="000000" w:themeColor="text1"/>
              <w:szCs w:val="24"/>
              <w14:textFill>
                <w14:solidFill>
                  <w14:schemeClr w14:val="tx1"/>
                </w14:solidFill>
              </w14:textFill>
            </w:rPr>
            <w:t>Summary</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_Toc147941475 \h </w:instrText>
          </w:r>
          <w:r>
            <w:rPr>
              <w:rFonts w:ascii="Arial" w:hAnsi="Arial" w:cs="Arial"/>
              <w:szCs w:val="24"/>
            </w:rPr>
            <w:fldChar w:fldCharType="separate"/>
          </w:r>
          <w:r>
            <w:rPr>
              <w:rFonts w:ascii="Arial" w:hAnsi="Arial" w:cs="Arial"/>
              <w:szCs w:val="24"/>
            </w:rPr>
            <w:t>8</w:t>
          </w:r>
          <w:r>
            <w:rPr>
              <w:rFonts w:ascii="Arial" w:hAnsi="Arial" w:cs="Arial"/>
              <w:szCs w:val="24"/>
            </w:rPr>
            <w:fldChar w:fldCharType="end"/>
          </w:r>
          <w:r>
            <w:rPr>
              <w:rFonts w:ascii="Arial" w:hAnsi="Arial" w:cs="Arial"/>
              <w:szCs w:val="24"/>
            </w:rPr>
            <w:fldChar w:fldCharType="end"/>
          </w:r>
        </w:p>
        <w:p>
          <w:pPr>
            <w:pStyle w:val="12"/>
            <w:tabs>
              <w:tab w:val="right" w:leader="dot" w:pos="9016"/>
            </w:tabs>
            <w:spacing w:before="240" w:after="240"/>
            <w:rPr>
              <w:rFonts w:ascii="Arial" w:hAnsi="Arial" w:cs="Arial" w:eastAsiaTheme="minorEastAsia"/>
              <w:kern w:val="0"/>
              <w:szCs w:val="24"/>
              <w:lang w:eastAsia="en-GB"/>
              <w14:ligatures w14:val="none"/>
            </w:rPr>
          </w:pPr>
          <w:r>
            <w:fldChar w:fldCharType="begin"/>
          </w:r>
          <w:r>
            <w:instrText xml:space="preserve"> HYPERLINK \l "_Toc147941476" </w:instrText>
          </w:r>
          <w:r>
            <w:fldChar w:fldCharType="separate"/>
          </w:r>
          <w:r>
            <w:rPr>
              <w:rStyle w:val="10"/>
              <w:rFonts w:ascii="Arial" w:hAnsi="Arial" w:cs="Arial"/>
              <w:color w:val="000000" w:themeColor="text1"/>
              <w:szCs w:val="24"/>
              <w14:textFill>
                <w14:solidFill>
                  <w14:schemeClr w14:val="tx1"/>
                </w14:solidFill>
              </w14:textFill>
            </w:rPr>
            <w:t>References</w:t>
          </w:r>
          <w:r>
            <w:rPr>
              <w:rFonts w:ascii="Arial" w:hAnsi="Arial" w:cs="Arial"/>
              <w:szCs w:val="24"/>
            </w:rPr>
            <w:tab/>
          </w:r>
          <w:r>
            <w:rPr>
              <w:rFonts w:ascii="Arial" w:hAnsi="Arial" w:cs="Arial"/>
              <w:szCs w:val="24"/>
            </w:rPr>
            <w:fldChar w:fldCharType="begin"/>
          </w:r>
          <w:r>
            <w:rPr>
              <w:rFonts w:ascii="Arial" w:hAnsi="Arial" w:cs="Arial"/>
              <w:szCs w:val="24"/>
            </w:rPr>
            <w:instrText xml:space="preserve"> PAGEREF _Toc147941476 \h </w:instrText>
          </w:r>
          <w:r>
            <w:rPr>
              <w:rFonts w:ascii="Arial" w:hAnsi="Arial" w:cs="Arial"/>
              <w:szCs w:val="24"/>
            </w:rPr>
            <w:fldChar w:fldCharType="separate"/>
          </w:r>
          <w:r>
            <w:rPr>
              <w:rFonts w:ascii="Arial" w:hAnsi="Arial" w:cs="Arial"/>
              <w:szCs w:val="24"/>
            </w:rPr>
            <w:t>9</w:t>
          </w:r>
          <w:r>
            <w:rPr>
              <w:rFonts w:ascii="Arial" w:hAnsi="Arial" w:cs="Arial"/>
              <w:szCs w:val="24"/>
            </w:rPr>
            <w:fldChar w:fldCharType="end"/>
          </w:r>
          <w:r>
            <w:rPr>
              <w:rFonts w:ascii="Arial" w:hAnsi="Arial" w:cs="Arial"/>
              <w:szCs w:val="24"/>
            </w:rPr>
            <w:fldChar w:fldCharType="end"/>
          </w:r>
        </w:p>
        <w:p>
          <w:pPr>
            <w:spacing w:before="240" w:after="240"/>
          </w:pPr>
          <w:r>
            <w:rPr>
              <w:rFonts w:ascii="Arial" w:hAnsi="Arial" w:cs="Arial"/>
              <w:b/>
              <w:bCs/>
              <w:szCs w:val="24"/>
            </w:rPr>
            <w:fldChar w:fldCharType="end"/>
          </w:r>
        </w:p>
      </w:sdtContent>
    </w:sdt>
    <w:p>
      <w:pPr>
        <w:spacing w:before="240" w:after="240"/>
        <w:rPr>
          <w:rFonts w:ascii="Arial" w:hAnsi="Arial" w:cs="Arial"/>
        </w:rPr>
      </w:pPr>
    </w:p>
    <w:p>
      <w:pPr>
        <w:spacing w:before="240" w:after="240"/>
        <w:rPr>
          <w:rFonts w:ascii="Arial" w:hAnsi="Arial" w:cs="Arial"/>
        </w:rPr>
      </w:pPr>
      <w:r>
        <w:rPr>
          <w:rFonts w:ascii="Arial" w:hAnsi="Arial" w:cs="Arial"/>
        </w:rPr>
        <w:br w:type="page"/>
      </w:r>
    </w:p>
    <w:p>
      <w:pPr>
        <w:pStyle w:val="2"/>
        <w:spacing w:after="240"/>
        <w:rPr>
          <w:rFonts w:ascii="Arial" w:hAnsi="Arial" w:cs="Arial"/>
        </w:rPr>
      </w:pPr>
      <w:bookmarkStart w:id="0" w:name="_Toc147941470"/>
      <w:r>
        <w:rPr>
          <w:rFonts w:ascii="Arial" w:hAnsi="Arial" w:cs="Arial"/>
        </w:rPr>
        <w:t>Introduction</w:t>
      </w:r>
      <w:bookmarkEnd w:id="0"/>
    </w:p>
    <w:p>
      <w:pPr>
        <w:spacing w:before="240" w:after="240"/>
        <w:rPr>
          <w:rFonts w:ascii="Arial" w:hAnsi="Arial" w:cs="Arial"/>
        </w:rPr>
      </w:pPr>
      <w:r>
        <w:rPr>
          <w:rFonts w:ascii="Arial" w:hAnsi="Arial" w:cs="Arial"/>
        </w:rPr>
        <w:t xml:space="preserve">Service quality is a critical predictor of success in today's competitive restaurant market. Understanding and mastering the basic skills required to raise customer service is critical for ambitious hospitality and service management professionals. This report will look into the fundamental competences necessary for restaurant service improvement, providing light on the strategies, attitudes, and knowledge that will not only satisfy but please customers. It strives to give insights into the multidimensional world of restaurant service, focusing on the factors that contribute to excellent client experiences. It will also provide real examples as well as the challenges that can be faced in those skills. </w:t>
      </w:r>
    </w:p>
    <w:p>
      <w:pPr>
        <w:spacing w:before="240" w:after="240"/>
        <w:rPr>
          <w:rFonts w:ascii="Arial" w:hAnsi="Arial" w:cs="Arial"/>
        </w:rPr>
      </w:pPr>
      <w:r>
        <w:rPr>
          <w:rFonts w:ascii="Arial" w:hAnsi="Arial" w:cs="Arial"/>
        </w:rPr>
        <w:br w:type="page"/>
      </w:r>
    </w:p>
    <w:p>
      <w:pPr>
        <w:pStyle w:val="2"/>
        <w:spacing w:after="240"/>
        <w:rPr>
          <w:rFonts w:ascii="Arial" w:hAnsi="Arial" w:cs="Arial"/>
        </w:rPr>
      </w:pPr>
      <w:bookmarkStart w:id="1" w:name="_Toc147941471"/>
      <w:r>
        <w:rPr>
          <w:rFonts w:ascii="Arial" w:hAnsi="Arial" w:cs="Arial"/>
        </w:rPr>
        <w:t>5 key skills</w:t>
      </w:r>
      <w:bookmarkEnd w:id="1"/>
    </w:p>
    <w:p>
      <w:pPr>
        <w:pStyle w:val="19"/>
        <w:numPr>
          <w:ilvl w:val="0"/>
          <w:numId w:val="1"/>
        </w:numPr>
        <w:spacing w:before="240" w:after="240"/>
        <w:rPr>
          <w:rFonts w:ascii="Arial" w:hAnsi="Arial" w:cs="Arial"/>
        </w:rPr>
      </w:pPr>
      <w:r>
        <w:rPr>
          <w:rFonts w:ascii="Arial" w:hAnsi="Arial" w:cs="Arial"/>
          <w:b/>
        </w:rPr>
        <w:t>Efficient Communication:</w:t>
      </w:r>
      <w:r>
        <w:rPr>
          <w:rFonts w:ascii="Arial" w:hAnsi="Arial" w:cs="Arial"/>
        </w:rPr>
        <w:t xml:space="preserve"> Clear and effective communication is critical in the fast-paced and frequently hectic setting of a restaurant. Staff must be able to accurately listen to client orders, communicate those orders to the kitchen, and engage with customers in a courteous and professional manner (</w:t>
      </w:r>
      <w:r>
        <w:rPr>
          <w:rFonts w:ascii="Arial" w:hAnsi="Arial" w:cs="Arial"/>
          <w:shd w:val="clear" w:color="auto" w:fill="FFFFFF"/>
        </w:rPr>
        <w:t>Rajput and Gahfoor, 2020)</w:t>
      </w:r>
      <w:r>
        <w:rPr>
          <w:rFonts w:ascii="Arial" w:hAnsi="Arial" w:cs="Arial"/>
        </w:rPr>
        <w:t>. Effective communication ensures that client expectations are met and that any problems are remedied as soon as possible.</w:t>
      </w:r>
    </w:p>
    <w:p>
      <w:pPr>
        <w:pStyle w:val="19"/>
        <w:numPr>
          <w:ilvl w:val="0"/>
          <w:numId w:val="1"/>
        </w:numPr>
        <w:spacing w:before="240" w:after="240"/>
        <w:rPr>
          <w:rFonts w:ascii="Arial" w:hAnsi="Arial" w:cs="Arial"/>
        </w:rPr>
      </w:pPr>
      <w:r>
        <w:rPr>
          <w:rFonts w:ascii="Arial" w:hAnsi="Arial" w:cs="Arial"/>
          <w:b/>
        </w:rPr>
        <w:t>Compassion and Active Listening:</w:t>
      </w:r>
      <w:r>
        <w:rPr>
          <w:rFonts w:ascii="Arial" w:hAnsi="Arial" w:cs="Arial"/>
        </w:rPr>
        <w:t xml:space="preserve"> Restaurant employees must be compassionate and actively listen to clients. This entails recognising and responding to client requirements and problems, as well as making them feel appreciated. When staff truly listens and empathises with customers, they can anticipate their preferences and make personalised recommendations, resulting in a great dining experience.</w:t>
      </w:r>
    </w:p>
    <w:p>
      <w:pPr>
        <w:pStyle w:val="19"/>
        <w:numPr>
          <w:ilvl w:val="0"/>
          <w:numId w:val="1"/>
        </w:numPr>
        <w:spacing w:before="240" w:after="240"/>
        <w:rPr>
          <w:rFonts w:ascii="Arial" w:hAnsi="Arial" w:cs="Arial"/>
        </w:rPr>
      </w:pPr>
      <w:r>
        <w:rPr>
          <w:rFonts w:ascii="Arial" w:hAnsi="Arial" w:cs="Arial"/>
          <w:b/>
        </w:rPr>
        <w:t>Aptitude for Change:</w:t>
      </w:r>
      <w:r>
        <w:rPr>
          <w:rFonts w:ascii="Arial" w:hAnsi="Arial" w:cs="Arial"/>
        </w:rPr>
        <w:t xml:space="preserve"> Restaurants are unpredictably unpredictable, and each day might offer new issues. Employees must be versatile in order to deal with unforeseen scenarios such as specific dietary preferences, last-minute reservations, or even unhappy clients (</w:t>
      </w:r>
      <w:r>
        <w:rPr>
          <w:rFonts w:ascii="Arial" w:hAnsi="Arial" w:cs="Arial"/>
          <w:shd w:val="clear" w:color="auto" w:fill="FFFFFF"/>
        </w:rPr>
        <w:t>Ananat and Gassman</w:t>
      </w:r>
      <w:r>
        <w:rPr>
          <w:rFonts w:ascii="Cambria Math" w:hAnsi="Cambria Math" w:cs="Cambria Math"/>
          <w:shd w:val="clear" w:color="auto" w:fill="FFFFFF"/>
        </w:rPr>
        <w:t>‐</w:t>
      </w:r>
      <w:r>
        <w:rPr>
          <w:rFonts w:ascii="Arial" w:hAnsi="Arial" w:cs="Arial"/>
          <w:shd w:val="clear" w:color="auto" w:fill="FFFFFF"/>
        </w:rPr>
        <w:t>Pines, 2021)</w:t>
      </w:r>
      <w:r>
        <w:rPr>
          <w:rFonts w:ascii="Arial" w:hAnsi="Arial" w:cs="Arial"/>
        </w:rPr>
        <w:t>. Being adaptable and quick on their feet enables the team to provide high-quality service regardless of the conditions.</w:t>
      </w:r>
    </w:p>
    <w:p>
      <w:pPr>
        <w:pStyle w:val="19"/>
        <w:numPr>
          <w:ilvl w:val="0"/>
          <w:numId w:val="1"/>
        </w:numPr>
        <w:spacing w:before="240" w:after="240"/>
        <w:rPr>
          <w:rFonts w:ascii="Arial" w:hAnsi="Arial" w:cs="Arial"/>
        </w:rPr>
      </w:pPr>
      <w:r>
        <w:rPr>
          <w:rFonts w:ascii="Arial" w:hAnsi="Arial" w:cs="Arial"/>
          <w:b/>
        </w:rPr>
        <w:t>Technical Proficiency:</w:t>
      </w:r>
      <w:r>
        <w:rPr>
          <w:rFonts w:ascii="Arial" w:hAnsi="Arial" w:cs="Arial"/>
        </w:rPr>
        <w:t xml:space="preserve"> Restaurant workers should be technically proficient in everything from point-of-sale systems to kitchen equipment operation. They must effectively serve food and beverages while ensuring that orders are correct and delivered on time. Technical proficiency also includes understanding the menu thorough and out, allowing personnel to offer extensive descriptions of meals and answer enquiries about them.</w:t>
      </w:r>
    </w:p>
    <w:p>
      <w:pPr>
        <w:pStyle w:val="19"/>
        <w:numPr>
          <w:ilvl w:val="0"/>
          <w:numId w:val="1"/>
        </w:numPr>
        <w:spacing w:before="240" w:after="240"/>
        <w:rPr>
          <w:rFonts w:ascii="Arial" w:hAnsi="Arial" w:cs="Arial"/>
        </w:rPr>
      </w:pPr>
      <w:r>
        <w:rPr>
          <w:rFonts w:ascii="Arial" w:hAnsi="Arial" w:cs="Arial"/>
          <w:b/>
        </w:rPr>
        <w:t>Collaboration:</w:t>
      </w:r>
      <w:r>
        <w:rPr>
          <w:rFonts w:ascii="Arial" w:hAnsi="Arial" w:cs="Arial"/>
        </w:rPr>
        <w:t xml:space="preserve"> The joint work of a restaurant's whole personnel is the foundation of excellent service. Every member of the workforce, from cooks to servers, contributes to the entire client experience. Effective cooperation promotes flawless coordination between the front and back of the house, resulting in a seamless dining experience for guests (</w:t>
      </w:r>
      <w:r>
        <w:rPr>
          <w:rFonts w:ascii="Arial" w:hAnsi="Arial" w:cs="Arial"/>
          <w:shd w:val="clear" w:color="auto" w:fill="FFFFFF"/>
        </w:rPr>
        <w:t>Sorensen, et al., 2021)</w:t>
      </w:r>
      <w:r>
        <w:rPr>
          <w:rFonts w:ascii="Arial" w:hAnsi="Arial" w:cs="Arial"/>
        </w:rPr>
        <w:t>.</w:t>
      </w:r>
    </w:p>
    <w:p>
      <w:pPr>
        <w:spacing w:before="240" w:after="240"/>
        <w:rPr>
          <w:rFonts w:ascii="Arial" w:hAnsi="Arial" w:cs="Arial" w:eastAsiaTheme="majorEastAsia"/>
          <w:b/>
          <w:szCs w:val="32"/>
        </w:rPr>
      </w:pPr>
      <w:r>
        <w:rPr>
          <w:rFonts w:ascii="Arial" w:hAnsi="Arial" w:cs="Arial"/>
        </w:rPr>
        <w:br w:type="page"/>
      </w:r>
    </w:p>
    <w:p>
      <w:pPr>
        <w:pStyle w:val="2"/>
        <w:spacing w:after="240"/>
        <w:rPr>
          <w:rFonts w:ascii="Arial" w:hAnsi="Arial" w:cs="Arial"/>
          <w:color w:val="343541"/>
        </w:rPr>
      </w:pPr>
      <w:bookmarkStart w:id="2" w:name="_Toc147941472"/>
      <w:r>
        <w:rPr>
          <w:rFonts w:ascii="Arial" w:hAnsi="Arial" w:cs="Arial"/>
          <w:color w:val="343541"/>
        </w:rPr>
        <w:t>How aspiring restaurant professionals can develop and enhance the identified skills</w:t>
      </w:r>
      <w:bookmarkEnd w:id="2"/>
    </w:p>
    <w:p>
      <w:pPr>
        <w:spacing w:before="240" w:after="240"/>
        <w:rPr>
          <w:rFonts w:ascii="Arial" w:hAnsi="Arial" w:cs="Arial"/>
        </w:rPr>
      </w:pPr>
      <w:r>
        <w:rPr>
          <w:rFonts w:ascii="Arial" w:hAnsi="Arial" w:cs="Arial"/>
        </w:rPr>
        <w:t>Various ways can be used by aspiring restaurant professionals to learn and improve the highlighted skills:</w:t>
      </w:r>
    </w:p>
    <w:p>
      <w:pPr>
        <w:pStyle w:val="19"/>
        <w:numPr>
          <w:ilvl w:val="0"/>
          <w:numId w:val="2"/>
        </w:numPr>
        <w:spacing w:before="240" w:after="240"/>
        <w:rPr>
          <w:rFonts w:ascii="Arial" w:hAnsi="Arial" w:cs="Arial"/>
        </w:rPr>
      </w:pPr>
      <w:r>
        <w:rPr>
          <w:rFonts w:ascii="Arial" w:hAnsi="Arial" w:cs="Arial"/>
          <w:b/>
        </w:rPr>
        <w:t>Training Programs</w:t>
      </w:r>
      <w:r>
        <w:rPr>
          <w:rFonts w:ascii="Arial" w:hAnsi="Arial" w:cs="Arial"/>
        </w:rPr>
        <w:t>: Enrolling in hospitality and service management courses offers organised learning opportunities for improving communication, flexibility, and technical expertise (</w:t>
      </w:r>
      <w:r>
        <w:rPr>
          <w:rFonts w:ascii="Arial" w:hAnsi="Arial" w:cs="Arial"/>
          <w:shd w:val="clear" w:color="auto" w:fill="FFFFFF"/>
        </w:rPr>
        <w:t>Park and Jones, 2021)</w:t>
      </w:r>
      <w:r>
        <w:rPr>
          <w:rFonts w:ascii="Arial" w:hAnsi="Arial" w:cs="Arial"/>
        </w:rPr>
        <w:t>. These programmes frequently incorporate hands-on training in actual restaurant environments.</w:t>
      </w:r>
    </w:p>
    <w:p>
      <w:pPr>
        <w:pStyle w:val="19"/>
        <w:numPr>
          <w:ilvl w:val="0"/>
          <w:numId w:val="2"/>
        </w:numPr>
        <w:spacing w:before="240" w:after="240"/>
        <w:rPr>
          <w:rFonts w:ascii="Arial" w:hAnsi="Arial" w:cs="Arial"/>
        </w:rPr>
      </w:pPr>
      <w:r>
        <w:rPr>
          <w:rFonts w:ascii="Arial" w:hAnsi="Arial" w:cs="Arial"/>
          <w:b/>
        </w:rPr>
        <w:t>Simulation and Role-Playing:</w:t>
      </w:r>
      <w:r>
        <w:rPr>
          <w:rFonts w:ascii="Arial" w:hAnsi="Arial" w:cs="Arial"/>
        </w:rPr>
        <w:t xml:space="preserve"> Role-playing and simulation activities can help enhance communication, empathy, and active listening abilities. This helps professionals to confidently manage real-life consumer encounters.</w:t>
      </w:r>
    </w:p>
    <w:p>
      <w:pPr>
        <w:pStyle w:val="19"/>
        <w:numPr>
          <w:ilvl w:val="0"/>
          <w:numId w:val="2"/>
        </w:numPr>
        <w:spacing w:before="240" w:after="240"/>
        <w:rPr>
          <w:rFonts w:ascii="Arial" w:hAnsi="Arial" w:cs="Arial"/>
        </w:rPr>
      </w:pPr>
      <w:r>
        <w:rPr>
          <w:rFonts w:ascii="Arial" w:hAnsi="Arial" w:cs="Arial"/>
          <w:b/>
        </w:rPr>
        <w:t>Mentoring and On-The-Job Training:</w:t>
      </w:r>
      <w:r>
        <w:rPr>
          <w:rFonts w:ascii="Arial" w:hAnsi="Arial" w:cs="Arial"/>
        </w:rPr>
        <w:t xml:space="preserve"> It is vital to learn from experienced colleagues or mentors in the food sector. On-the-job training exposes people to a fast-paced workplace and workgroup dynamics, which promotes flexibility and technical skill (</w:t>
      </w:r>
      <w:r>
        <w:rPr>
          <w:rFonts w:ascii="Arial" w:hAnsi="Arial" w:cs="Arial"/>
          <w:shd w:val="clear" w:color="auto" w:fill="FFFFFF"/>
        </w:rPr>
        <w:t>Vasanthi and Basariya, 2019)</w:t>
      </w:r>
      <w:r>
        <w:rPr>
          <w:rFonts w:ascii="Arial" w:hAnsi="Arial" w:cs="Arial"/>
        </w:rPr>
        <w:t>.</w:t>
      </w:r>
    </w:p>
    <w:p>
      <w:pPr>
        <w:pStyle w:val="19"/>
        <w:numPr>
          <w:ilvl w:val="0"/>
          <w:numId w:val="2"/>
        </w:numPr>
        <w:spacing w:before="240" w:after="240"/>
        <w:rPr>
          <w:rFonts w:ascii="Arial" w:hAnsi="Arial" w:cs="Arial"/>
        </w:rPr>
      </w:pPr>
      <w:r>
        <w:rPr>
          <w:rFonts w:ascii="Arial" w:hAnsi="Arial" w:cs="Arial"/>
          <w:b/>
        </w:rPr>
        <w:t>Constant Feedback and Self-Reflection:</w:t>
      </w:r>
      <w:r>
        <w:rPr>
          <w:rFonts w:ascii="Arial" w:hAnsi="Arial" w:cs="Arial"/>
        </w:rPr>
        <w:t xml:space="preserve"> Professionals may actively seek and use client and supervisor feedback to improve their abilities. Regular self-reflection and review aid in identifying areas for development and cultivating a commitment to continued progress.</w:t>
      </w:r>
    </w:p>
    <w:p>
      <w:pPr>
        <w:spacing w:before="240" w:after="240"/>
        <w:rPr>
          <w:rFonts w:ascii="Arial" w:hAnsi="Arial" w:cs="Arial"/>
        </w:rPr>
      </w:pPr>
      <w:r>
        <w:rPr>
          <w:rFonts w:ascii="Arial" w:hAnsi="Arial" w:cs="Arial"/>
        </w:rPr>
        <w:br w:type="page"/>
      </w:r>
    </w:p>
    <w:p>
      <w:pPr>
        <w:pStyle w:val="2"/>
        <w:spacing w:after="240"/>
        <w:rPr>
          <w:rFonts w:ascii="Arial" w:hAnsi="Arial" w:cs="Arial"/>
        </w:rPr>
      </w:pPr>
      <w:bookmarkStart w:id="3" w:name="_Toc147941473"/>
      <w:r>
        <w:rPr>
          <w:rFonts w:ascii="Arial" w:hAnsi="Arial" w:cs="Arial"/>
        </w:rPr>
        <w:t>Real-life examples of restaurants successfully improving service quality through the skills</w:t>
      </w:r>
      <w:bookmarkEnd w:id="3"/>
    </w:p>
    <w:p>
      <w:pPr>
        <w:pStyle w:val="19"/>
        <w:numPr>
          <w:ilvl w:val="0"/>
          <w:numId w:val="3"/>
        </w:numPr>
        <w:spacing w:before="240" w:after="240"/>
        <w:rPr>
          <w:rFonts w:ascii="Arial" w:hAnsi="Arial" w:cs="Arial"/>
        </w:rPr>
      </w:pPr>
      <w:r>
        <w:rPr>
          <w:rFonts w:ascii="Arial" w:hAnsi="Arial" w:cs="Arial"/>
          <w:b/>
        </w:rPr>
        <w:t>The Ritz-Carlton:</w:t>
      </w:r>
      <w:r>
        <w:rPr>
          <w:rFonts w:ascii="Arial" w:hAnsi="Arial" w:cs="Arial"/>
        </w:rPr>
        <w:t xml:space="preserve"> This well-known luxury hotel and restaurant brand is noted for providing outstanding service. They make significant investments in teaching their employees to excel in empathy, active listening, and effective communication. As a consequence, guests receive personalised service that goes above and beyond their expectations (</w:t>
      </w:r>
      <w:r>
        <w:rPr>
          <w:rFonts w:ascii="Arial" w:hAnsi="Arial" w:cs="Arial"/>
          <w:shd w:val="clear" w:color="auto" w:fill="FFFFFF"/>
        </w:rPr>
        <w:t>Blandino, 2023)</w:t>
      </w:r>
      <w:r>
        <w:rPr>
          <w:rFonts w:ascii="Arial" w:hAnsi="Arial" w:cs="Arial"/>
        </w:rPr>
        <w:t>.</w:t>
      </w:r>
    </w:p>
    <w:p>
      <w:pPr>
        <w:pStyle w:val="19"/>
        <w:numPr>
          <w:ilvl w:val="0"/>
          <w:numId w:val="3"/>
        </w:numPr>
        <w:spacing w:before="240" w:after="240"/>
        <w:rPr>
          <w:rFonts w:ascii="Arial" w:hAnsi="Arial" w:cs="Arial"/>
        </w:rPr>
      </w:pPr>
      <w:r>
        <w:rPr>
          <w:rFonts w:ascii="Arial" w:hAnsi="Arial" w:cs="Arial"/>
          <w:b/>
        </w:rPr>
        <w:t>Chick-fil-A:</w:t>
      </w:r>
      <w:r>
        <w:rPr>
          <w:rFonts w:ascii="Arial" w:hAnsi="Arial" w:cs="Arial"/>
        </w:rPr>
        <w:t xml:space="preserve"> This fast-food restaurant brand routinely rates well in terms of customer service. Their employees receive considerable training in teamwork and adaptation, allowing them to manage high-demand circumstances effectively (</w:t>
      </w:r>
      <w:r>
        <w:rPr>
          <w:rFonts w:ascii="Arial" w:hAnsi="Arial" w:cs="Arial"/>
          <w:shd w:val="clear" w:color="auto" w:fill="FFFFFF"/>
        </w:rPr>
        <w:t>Taylor, 2023)</w:t>
      </w:r>
      <w:r>
        <w:rPr>
          <w:rFonts w:ascii="Arial" w:hAnsi="Arial" w:cs="Arial"/>
        </w:rPr>
        <w:t>. They foster a "people-first" culture that encourages successful communication.</w:t>
      </w:r>
    </w:p>
    <w:p>
      <w:pPr>
        <w:spacing w:before="240" w:after="240"/>
        <w:rPr>
          <w:rFonts w:ascii="Arial" w:hAnsi="Arial" w:cs="Arial"/>
        </w:rPr>
      </w:pPr>
      <w:r>
        <w:rPr>
          <w:rFonts w:ascii="Arial" w:hAnsi="Arial" w:cs="Arial"/>
        </w:rPr>
        <w:br w:type="page"/>
      </w:r>
    </w:p>
    <w:p>
      <w:pPr>
        <w:pStyle w:val="2"/>
        <w:spacing w:after="240"/>
        <w:rPr>
          <w:rFonts w:ascii="Arial" w:hAnsi="Arial" w:cs="Arial"/>
        </w:rPr>
      </w:pPr>
      <w:bookmarkStart w:id="4" w:name="_Toc147941474"/>
      <w:r>
        <w:rPr>
          <w:rFonts w:ascii="Arial" w:hAnsi="Arial" w:cs="Arial"/>
        </w:rPr>
        <w:t>Challenges in implementing these skill requirements for restaurant staff</w:t>
      </w:r>
      <w:bookmarkEnd w:id="4"/>
    </w:p>
    <w:p>
      <w:pPr>
        <w:pStyle w:val="19"/>
        <w:numPr>
          <w:ilvl w:val="0"/>
          <w:numId w:val="4"/>
        </w:numPr>
        <w:spacing w:before="240" w:after="240"/>
        <w:rPr>
          <w:rFonts w:ascii="Arial" w:hAnsi="Arial" w:cs="Arial"/>
        </w:rPr>
      </w:pPr>
      <w:r>
        <w:rPr>
          <w:rFonts w:ascii="Arial" w:hAnsi="Arial" w:cs="Arial"/>
          <w:b/>
        </w:rPr>
        <w:t>High Staff Turnover:</w:t>
      </w:r>
      <w:r>
        <w:rPr>
          <w:rFonts w:ascii="Arial" w:hAnsi="Arial" w:cs="Arial"/>
        </w:rPr>
        <w:t xml:space="preserve"> The restaurant business frequently experiences high personnel turnover. Restaurants may offset this by providing continual training and incentives for skill improvement, making staff more willing to stay (</w:t>
      </w:r>
      <w:r>
        <w:rPr>
          <w:rFonts w:ascii="Arial" w:hAnsi="Arial" w:cs="Arial"/>
          <w:shd w:val="clear" w:color="auto" w:fill="FFFFFF"/>
        </w:rPr>
        <w:t>Wen, et al., 2020)</w:t>
      </w:r>
      <w:r>
        <w:rPr>
          <w:rFonts w:ascii="Arial" w:hAnsi="Arial" w:cs="Arial"/>
        </w:rPr>
        <w:t>.</w:t>
      </w:r>
    </w:p>
    <w:p>
      <w:pPr>
        <w:pStyle w:val="19"/>
        <w:numPr>
          <w:ilvl w:val="0"/>
          <w:numId w:val="4"/>
        </w:numPr>
        <w:spacing w:before="240" w:after="240"/>
        <w:rPr>
          <w:rFonts w:ascii="Arial" w:hAnsi="Arial" w:cs="Arial"/>
        </w:rPr>
      </w:pPr>
      <w:r>
        <w:rPr>
          <w:rFonts w:ascii="Arial" w:hAnsi="Arial" w:cs="Arial"/>
        </w:rPr>
        <w:t>Stressful Environment: Restaurants may be stressful and fast-paced settings. To address this, training programmes that include stress management and coping methods might help employees retain their cool.</w:t>
      </w:r>
    </w:p>
    <w:p>
      <w:pPr>
        <w:pStyle w:val="19"/>
        <w:numPr>
          <w:ilvl w:val="0"/>
          <w:numId w:val="4"/>
        </w:numPr>
        <w:spacing w:before="240" w:after="240"/>
        <w:rPr>
          <w:rFonts w:ascii="Arial" w:hAnsi="Arial" w:cs="Arial"/>
        </w:rPr>
      </w:pPr>
      <w:r>
        <w:rPr>
          <w:rFonts w:ascii="Arial" w:hAnsi="Arial" w:cs="Arial"/>
          <w:b/>
        </w:rPr>
        <w:t>Language obstacles</w:t>
      </w:r>
      <w:r>
        <w:rPr>
          <w:rFonts w:ascii="Arial" w:hAnsi="Arial" w:cs="Arial"/>
        </w:rPr>
        <w:t>: Language limitations can hamper efficient communication in a variety of restaurant situations. Language classes or multilingual staff training might help overcome this gap.</w:t>
      </w:r>
    </w:p>
    <w:p>
      <w:pPr>
        <w:spacing w:before="240" w:after="240"/>
        <w:rPr>
          <w:rFonts w:ascii="Arial" w:hAnsi="Arial" w:cs="Arial"/>
        </w:rPr>
      </w:pPr>
      <w:r>
        <w:rPr>
          <w:rFonts w:ascii="Arial" w:hAnsi="Arial" w:cs="Arial"/>
        </w:rPr>
        <w:br w:type="page"/>
      </w:r>
    </w:p>
    <w:p>
      <w:pPr>
        <w:pStyle w:val="2"/>
        <w:spacing w:after="240"/>
        <w:rPr>
          <w:rFonts w:ascii="Arial" w:hAnsi="Arial" w:cs="Arial"/>
        </w:rPr>
      </w:pPr>
      <w:bookmarkStart w:id="5" w:name="_Toc147941475"/>
      <w:r>
        <w:rPr>
          <w:rFonts w:ascii="Arial" w:hAnsi="Arial" w:cs="Arial"/>
        </w:rPr>
        <w:t>Summary</w:t>
      </w:r>
      <w:bookmarkEnd w:id="5"/>
    </w:p>
    <w:p>
      <w:pPr>
        <w:spacing w:before="240" w:after="240"/>
        <w:rPr>
          <w:rFonts w:ascii="Arial" w:hAnsi="Arial" w:cs="Arial"/>
        </w:rPr>
      </w:pPr>
      <w:r>
        <w:rPr>
          <w:rFonts w:ascii="Arial" w:hAnsi="Arial" w:cs="Arial"/>
        </w:rPr>
        <w:t>In the competitive restaurant market, service quality is critical. This repot delves at fundamental qualities for improving restaurant service, such as effective communication, empathy, flexibility, technical competency, and teamwork. Training, role-playing, coaching, and criticism can help aspiring professionals improve these abilities. Successful restaurants such as The Ritz-Carlton and Chick-fil-A demonstrate how these talents translate into outstanding service. High worker turnover, stress, and language problems are all challenges that may be overcome with continual training and assistance. Prioritising these abilities is critical for providing memorable eating experiences.</w:t>
      </w:r>
    </w:p>
    <w:p>
      <w:pPr>
        <w:spacing w:before="240" w:after="240"/>
        <w:rPr>
          <w:rFonts w:ascii="Arial" w:hAnsi="Arial" w:cs="Arial"/>
        </w:rPr>
      </w:pPr>
      <w:r>
        <w:rPr>
          <w:rFonts w:ascii="Arial" w:hAnsi="Arial" w:cs="Arial"/>
        </w:rPr>
        <w:br w:type="page"/>
      </w:r>
    </w:p>
    <w:p>
      <w:pPr>
        <w:pStyle w:val="2"/>
        <w:spacing w:after="240"/>
        <w:rPr>
          <w:rFonts w:ascii="Arial" w:hAnsi="Arial" w:cs="Arial"/>
        </w:rPr>
      </w:pPr>
      <w:bookmarkStart w:id="6" w:name="_Toc147941476"/>
      <w:r>
        <w:rPr>
          <w:rFonts w:ascii="Arial" w:hAnsi="Arial" w:cs="Arial"/>
        </w:rPr>
        <w:t>References</w:t>
      </w:r>
      <w:bookmarkEnd w:id="6"/>
    </w:p>
    <w:p>
      <w:pPr>
        <w:spacing w:before="240" w:after="240"/>
        <w:rPr>
          <w:rFonts w:ascii="Arial" w:hAnsi="Arial" w:cs="Arial"/>
          <w:shd w:val="clear" w:color="auto" w:fill="FFFFFF"/>
        </w:rPr>
      </w:pPr>
      <w:r>
        <w:rPr>
          <w:rFonts w:ascii="Arial" w:hAnsi="Arial" w:cs="Arial"/>
          <w:shd w:val="clear" w:color="auto" w:fill="FFFFFF"/>
        </w:rPr>
        <w:t>Rajput, A. and Gahfoor, R.Z., 2020. Satisfaction and revisit intentions at fast food restaurants. </w:t>
      </w:r>
      <w:r>
        <w:rPr>
          <w:rFonts w:ascii="Arial" w:hAnsi="Arial" w:cs="Arial"/>
          <w:i/>
          <w:iCs/>
          <w:shd w:val="clear" w:color="auto" w:fill="FFFFFF"/>
        </w:rPr>
        <w:t>Future Business Journal</w:t>
      </w:r>
      <w:r>
        <w:rPr>
          <w:rFonts w:ascii="Arial" w:hAnsi="Arial" w:cs="Arial"/>
          <w:shd w:val="clear" w:color="auto" w:fill="FFFFFF"/>
        </w:rPr>
        <w:t>, </w:t>
      </w:r>
      <w:r>
        <w:rPr>
          <w:rFonts w:ascii="Arial" w:hAnsi="Arial" w:cs="Arial"/>
          <w:i/>
          <w:iCs/>
          <w:shd w:val="clear" w:color="auto" w:fill="FFFFFF"/>
        </w:rPr>
        <w:t>6</w:t>
      </w:r>
      <w:r>
        <w:rPr>
          <w:rFonts w:ascii="Arial" w:hAnsi="Arial" w:cs="Arial"/>
          <w:shd w:val="clear" w:color="auto" w:fill="FFFFFF"/>
        </w:rPr>
        <w:t>, pp.1-12.</w:t>
      </w:r>
    </w:p>
    <w:p>
      <w:pPr>
        <w:spacing w:before="240" w:after="240"/>
        <w:rPr>
          <w:rFonts w:ascii="Arial" w:hAnsi="Arial" w:cs="Arial"/>
          <w:shd w:val="clear" w:color="auto" w:fill="FFFFFF"/>
        </w:rPr>
      </w:pPr>
      <w:r>
        <w:rPr>
          <w:rFonts w:ascii="Arial" w:hAnsi="Arial" w:cs="Arial"/>
          <w:shd w:val="clear" w:color="auto" w:fill="FFFFFF"/>
        </w:rPr>
        <w:t>Ananat, E.O. and Gassman</w:t>
      </w:r>
      <w:r>
        <w:rPr>
          <w:rFonts w:ascii="Cambria Math" w:hAnsi="Cambria Math" w:cs="Cambria Math"/>
          <w:shd w:val="clear" w:color="auto" w:fill="FFFFFF"/>
        </w:rPr>
        <w:t>‐</w:t>
      </w:r>
      <w:r>
        <w:rPr>
          <w:rFonts w:ascii="Arial" w:hAnsi="Arial" w:cs="Arial"/>
          <w:shd w:val="clear" w:color="auto" w:fill="FFFFFF"/>
        </w:rPr>
        <w:t>Pines, A., 2021. Work schedule unpredictability: Daily occurrence and effects on working parents' well</w:t>
      </w:r>
      <w:r>
        <w:rPr>
          <w:rFonts w:ascii="Cambria Math" w:hAnsi="Cambria Math" w:cs="Cambria Math"/>
          <w:shd w:val="clear" w:color="auto" w:fill="FFFFFF"/>
        </w:rPr>
        <w:t>‐</w:t>
      </w:r>
      <w:r>
        <w:rPr>
          <w:rFonts w:ascii="Arial" w:hAnsi="Arial" w:cs="Arial"/>
          <w:shd w:val="clear" w:color="auto" w:fill="FFFFFF"/>
        </w:rPr>
        <w:t>being. </w:t>
      </w:r>
      <w:r>
        <w:rPr>
          <w:rFonts w:ascii="Arial" w:hAnsi="Arial" w:cs="Arial"/>
          <w:i/>
          <w:iCs/>
          <w:shd w:val="clear" w:color="auto" w:fill="FFFFFF"/>
        </w:rPr>
        <w:t>Journal of Marriage and Family</w:t>
      </w:r>
      <w:r>
        <w:rPr>
          <w:rFonts w:ascii="Arial" w:hAnsi="Arial" w:cs="Arial"/>
          <w:shd w:val="clear" w:color="auto" w:fill="FFFFFF"/>
        </w:rPr>
        <w:t>, </w:t>
      </w:r>
      <w:r>
        <w:rPr>
          <w:rFonts w:ascii="Arial" w:hAnsi="Arial" w:cs="Arial"/>
          <w:i/>
          <w:iCs/>
          <w:shd w:val="clear" w:color="auto" w:fill="FFFFFF"/>
        </w:rPr>
        <w:t>83</w:t>
      </w:r>
      <w:r>
        <w:rPr>
          <w:rFonts w:ascii="Arial" w:hAnsi="Arial" w:cs="Arial"/>
          <w:shd w:val="clear" w:color="auto" w:fill="FFFFFF"/>
        </w:rPr>
        <w:t>(1), pp.10-26.</w:t>
      </w:r>
    </w:p>
    <w:p>
      <w:pPr>
        <w:spacing w:before="240" w:after="240"/>
        <w:rPr>
          <w:rFonts w:ascii="Arial" w:hAnsi="Arial" w:cs="Arial"/>
          <w:shd w:val="clear" w:color="auto" w:fill="FFFFFF"/>
        </w:rPr>
      </w:pPr>
      <w:r>
        <w:rPr>
          <w:rFonts w:ascii="Arial" w:hAnsi="Arial" w:cs="Arial"/>
          <w:shd w:val="clear" w:color="auto" w:fill="FFFFFF"/>
        </w:rPr>
        <w:t>Sorensen, G., Peters, S.E., Nielsen, K., Stelson, E., Wallace, L.M., Burke, L., Nagler, E.M., Roodbari, H., Karapanos, M. and Wagner, G.R., 2021. Implementation of an organizational intervention to improve low-wage food service workers’ safety, health and wellbeing: findings from the Workplace Organizational Health Study. </w:t>
      </w:r>
      <w:r>
        <w:rPr>
          <w:rFonts w:ascii="Arial" w:hAnsi="Arial" w:cs="Arial"/>
          <w:i/>
          <w:iCs/>
          <w:shd w:val="clear" w:color="auto" w:fill="FFFFFF"/>
        </w:rPr>
        <w:t>BMC Public Health</w:t>
      </w:r>
      <w:r>
        <w:rPr>
          <w:rFonts w:ascii="Arial" w:hAnsi="Arial" w:cs="Arial"/>
          <w:shd w:val="clear" w:color="auto" w:fill="FFFFFF"/>
        </w:rPr>
        <w:t>, </w:t>
      </w:r>
      <w:r>
        <w:rPr>
          <w:rFonts w:ascii="Arial" w:hAnsi="Arial" w:cs="Arial"/>
          <w:i/>
          <w:iCs/>
          <w:shd w:val="clear" w:color="auto" w:fill="FFFFFF"/>
        </w:rPr>
        <w:t>21</w:t>
      </w:r>
      <w:r>
        <w:rPr>
          <w:rFonts w:ascii="Arial" w:hAnsi="Arial" w:cs="Arial"/>
          <w:shd w:val="clear" w:color="auto" w:fill="FFFFFF"/>
        </w:rPr>
        <w:t>, pp.1-16.</w:t>
      </w:r>
    </w:p>
    <w:p>
      <w:pPr>
        <w:spacing w:before="240" w:after="240"/>
        <w:rPr>
          <w:rFonts w:ascii="Arial" w:hAnsi="Arial" w:cs="Arial"/>
          <w:shd w:val="clear" w:color="auto" w:fill="FFFFFF"/>
        </w:rPr>
      </w:pPr>
      <w:r>
        <w:rPr>
          <w:rFonts w:ascii="Arial" w:hAnsi="Arial" w:cs="Arial"/>
          <w:shd w:val="clear" w:color="auto" w:fill="FFFFFF"/>
        </w:rPr>
        <w:t>Park, M. and Jones, T., 2021. Going virtual: The impact of COVID-19 on internships in tourism, events, and hospitality education. </w:t>
      </w:r>
      <w:r>
        <w:rPr>
          <w:rFonts w:ascii="Arial" w:hAnsi="Arial" w:cs="Arial"/>
          <w:i/>
          <w:iCs/>
          <w:shd w:val="clear" w:color="auto" w:fill="FFFFFF"/>
        </w:rPr>
        <w:t>Journal of Hospitality &amp; Tourism Education</w:t>
      </w:r>
      <w:r>
        <w:rPr>
          <w:rFonts w:ascii="Arial" w:hAnsi="Arial" w:cs="Arial"/>
          <w:shd w:val="clear" w:color="auto" w:fill="FFFFFF"/>
        </w:rPr>
        <w:t>, </w:t>
      </w:r>
      <w:r>
        <w:rPr>
          <w:rFonts w:ascii="Arial" w:hAnsi="Arial" w:cs="Arial"/>
          <w:i/>
          <w:iCs/>
          <w:shd w:val="clear" w:color="auto" w:fill="FFFFFF"/>
        </w:rPr>
        <w:t>33</w:t>
      </w:r>
      <w:r>
        <w:rPr>
          <w:rFonts w:ascii="Arial" w:hAnsi="Arial" w:cs="Arial"/>
          <w:shd w:val="clear" w:color="auto" w:fill="FFFFFF"/>
        </w:rPr>
        <w:t>(3), pp.176-193.</w:t>
      </w:r>
    </w:p>
    <w:p>
      <w:pPr>
        <w:spacing w:before="240" w:after="240"/>
        <w:rPr>
          <w:rFonts w:ascii="Arial" w:hAnsi="Arial" w:cs="Arial"/>
          <w:shd w:val="clear" w:color="auto" w:fill="FFFFFF"/>
        </w:rPr>
      </w:pPr>
      <w:r>
        <w:rPr>
          <w:rFonts w:ascii="Arial" w:hAnsi="Arial" w:cs="Arial"/>
          <w:shd w:val="clear" w:color="auto" w:fill="FFFFFF"/>
        </w:rPr>
        <w:t>Vasanthi, S. and Basariya, S.R., 2019. On the job training implementation and its benefits. </w:t>
      </w:r>
      <w:r>
        <w:rPr>
          <w:rFonts w:ascii="Arial" w:hAnsi="Arial" w:cs="Arial"/>
          <w:i/>
          <w:iCs/>
          <w:shd w:val="clear" w:color="auto" w:fill="FFFFFF"/>
        </w:rPr>
        <w:t>International Journal of Research and Analytical Reviews (IJRAR)</w:t>
      </w:r>
      <w:r>
        <w:rPr>
          <w:rFonts w:ascii="Arial" w:hAnsi="Arial" w:cs="Arial"/>
          <w:shd w:val="clear" w:color="auto" w:fill="FFFFFF"/>
        </w:rPr>
        <w:t>, </w:t>
      </w:r>
      <w:r>
        <w:rPr>
          <w:rFonts w:ascii="Arial" w:hAnsi="Arial" w:cs="Arial"/>
          <w:i/>
          <w:iCs/>
          <w:shd w:val="clear" w:color="auto" w:fill="FFFFFF"/>
        </w:rPr>
        <w:t>6</w:t>
      </w:r>
      <w:r>
        <w:rPr>
          <w:rFonts w:ascii="Arial" w:hAnsi="Arial" w:cs="Arial"/>
          <w:shd w:val="clear" w:color="auto" w:fill="FFFFFF"/>
        </w:rPr>
        <w:t>(1), pp.210-15.</w:t>
      </w:r>
    </w:p>
    <w:p>
      <w:pPr>
        <w:spacing w:before="240" w:after="240"/>
        <w:rPr>
          <w:rFonts w:ascii="Arial" w:hAnsi="Arial" w:cs="Arial"/>
          <w:shd w:val="clear" w:color="auto" w:fill="FFFFFF"/>
        </w:rPr>
      </w:pPr>
      <w:r>
        <w:rPr>
          <w:rFonts w:ascii="Arial" w:hAnsi="Arial" w:cs="Arial"/>
          <w:shd w:val="clear" w:color="auto" w:fill="FFFFFF"/>
        </w:rPr>
        <w:t xml:space="preserve">Blandino, S. (2023) HOW THE RITZ-CARLTON DELIVERS EXCEPTIONAL CUSTOMER SERVICE [Online]. Available at: </w:t>
      </w:r>
      <w:r>
        <w:fldChar w:fldCharType="begin"/>
      </w:r>
      <w:r>
        <w:instrText xml:space="preserve"> HYPERLINK "https://stephenblandino.com/2016/07/how-the-ritz-carlton-delivers-exceptional-customer-service.html#:~:text=Two%20of%20Ritz%2DCarlton's%20service,employees%20with%20decision%2Dmaking%20authority" </w:instrText>
      </w:r>
      <w:r>
        <w:fldChar w:fldCharType="separate"/>
      </w:r>
      <w:r>
        <w:rPr>
          <w:rStyle w:val="10"/>
          <w:rFonts w:ascii="Arial" w:hAnsi="Arial" w:cs="Arial"/>
          <w:shd w:val="clear" w:color="auto" w:fill="FFFFFF"/>
        </w:rPr>
        <w:t>https://stephenblandino.com/2016/07/how-the-ritz-carlton-delivers-exceptional-customer-service.html#:~:text=Two%20of%20Ritz%2DCarlton's%20service,employees%20with%20decision%2Dmaking%20authority</w:t>
      </w:r>
      <w:r>
        <w:rPr>
          <w:rStyle w:val="10"/>
          <w:rFonts w:ascii="Arial" w:hAnsi="Arial" w:cs="Arial"/>
          <w:shd w:val="clear" w:color="auto" w:fill="FFFFFF"/>
        </w:rPr>
        <w:fldChar w:fldCharType="end"/>
      </w:r>
      <w:r>
        <w:rPr>
          <w:rFonts w:ascii="Arial" w:hAnsi="Arial" w:cs="Arial"/>
          <w:shd w:val="clear" w:color="auto" w:fill="FFFFFF"/>
        </w:rPr>
        <w:t xml:space="preserve">. [Acesssed on: 11/10/2023]. </w:t>
      </w:r>
    </w:p>
    <w:p>
      <w:pPr>
        <w:spacing w:before="240" w:after="240"/>
        <w:rPr>
          <w:rFonts w:ascii="Arial" w:hAnsi="Arial" w:cs="Arial"/>
          <w:shd w:val="clear" w:color="auto" w:fill="FFFFFF"/>
        </w:rPr>
      </w:pPr>
      <w:r>
        <w:rPr>
          <w:rFonts w:ascii="Arial" w:hAnsi="Arial" w:cs="Arial"/>
          <w:shd w:val="clear" w:color="auto" w:fill="FFFFFF"/>
        </w:rPr>
        <w:t xml:space="preserve">Taylor, K. (2023) HOW THE RITZ-CARLTON DELIVERS EXCEPTIONAL CUSTOMER SERVICE [Online]. Available at: </w:t>
      </w:r>
      <w:r>
        <w:fldChar w:fldCharType="begin"/>
      </w:r>
      <w:r>
        <w:instrText xml:space="preserve"> HYPERLINK "https://www.businessinsider.in/finance/chick-fil-a-is-taking-over-america-by-offering-the-best-customer-service-in-fast-food/articleshow/69946765.cms" </w:instrText>
      </w:r>
      <w:r>
        <w:fldChar w:fldCharType="separate"/>
      </w:r>
      <w:r>
        <w:rPr>
          <w:rStyle w:val="10"/>
          <w:rFonts w:ascii="Arial" w:hAnsi="Arial" w:cs="Arial"/>
          <w:shd w:val="clear" w:color="auto" w:fill="FFFFFF"/>
        </w:rPr>
        <w:t>https://www.businessinsider.in/finance/chick-fil-a-is-taking-over-america-by-offering-the-best-customer-service-in-fast-food/articleshow/69946765.cms</w:t>
      </w:r>
      <w:r>
        <w:rPr>
          <w:rStyle w:val="10"/>
          <w:rFonts w:ascii="Arial" w:hAnsi="Arial" w:cs="Arial"/>
          <w:shd w:val="clear" w:color="auto" w:fill="FFFFFF"/>
        </w:rPr>
        <w:fldChar w:fldCharType="end"/>
      </w:r>
      <w:r>
        <w:rPr>
          <w:rFonts w:ascii="Arial" w:hAnsi="Arial" w:cs="Arial"/>
          <w:shd w:val="clear" w:color="auto" w:fill="FFFFFF"/>
        </w:rPr>
        <w:t xml:space="preserve">. [Acesssed on: 11/10/2023]. </w:t>
      </w:r>
    </w:p>
    <w:p>
      <w:pPr>
        <w:spacing w:before="240" w:after="240"/>
        <w:rPr>
          <w:rFonts w:ascii="Arial" w:hAnsi="Arial" w:cs="Arial"/>
          <w:shd w:val="clear" w:color="auto" w:fill="FFFFFF"/>
        </w:rPr>
      </w:pPr>
      <w:r>
        <w:rPr>
          <w:rFonts w:ascii="Arial" w:hAnsi="Arial" w:cs="Arial"/>
          <w:shd w:val="clear" w:color="auto" w:fill="FFFFFF"/>
        </w:rPr>
        <w:t>Wen, B., Zhou, X., Hu, Y. and Zhang, X., 2020. Role stress and turnover intention of front-line hotel employees: the roles of burnout and service climate. </w:t>
      </w:r>
      <w:r>
        <w:rPr>
          <w:rFonts w:ascii="Arial" w:hAnsi="Arial" w:cs="Arial"/>
          <w:i/>
          <w:iCs/>
          <w:shd w:val="clear" w:color="auto" w:fill="FFFFFF"/>
        </w:rPr>
        <w:t>Frontiers in Psychology</w:t>
      </w:r>
      <w:r>
        <w:rPr>
          <w:rFonts w:ascii="Arial" w:hAnsi="Arial" w:cs="Arial"/>
          <w:shd w:val="clear" w:color="auto" w:fill="FFFFFF"/>
        </w:rPr>
        <w:t>, </w:t>
      </w:r>
      <w:r>
        <w:rPr>
          <w:rFonts w:ascii="Arial" w:hAnsi="Arial" w:cs="Arial"/>
          <w:i/>
          <w:iCs/>
          <w:shd w:val="clear" w:color="auto" w:fill="FFFFFF"/>
        </w:rPr>
        <w:t>11</w:t>
      </w:r>
      <w:r>
        <w:rPr>
          <w:rFonts w:ascii="Arial" w:hAnsi="Arial" w:cs="Arial"/>
          <w:shd w:val="clear" w:color="auto" w:fill="FFFFFF"/>
        </w:rPr>
        <w:t>, p.36.</w:t>
      </w:r>
    </w:p>
    <w:p>
      <w:pPr>
        <w:spacing w:before="240" w:after="240"/>
        <w:rPr>
          <w:rFonts w:ascii="Arial" w:hAnsi="Arial" w:cs="Arial"/>
          <w:shd w:val="clear" w:color="auto" w:fill="FFFFFF"/>
        </w:rPr>
      </w:pPr>
    </w:p>
    <w:p>
      <w:pPr>
        <w:spacing w:before="240" w:after="240"/>
        <w:rPr>
          <w:rFonts w:ascii="Arial" w:hAnsi="Arial" w:cs="Arial"/>
        </w:rPr>
      </w:pPr>
    </w:p>
    <w:p>
      <w:pPr>
        <w:spacing w:before="240" w:after="240"/>
        <w:rPr>
          <w:rFonts w:ascii="Arial" w:hAnsi="Arial" w:cs="Arial"/>
        </w:rPr>
      </w:pPr>
    </w:p>
    <w:p>
      <w:pPr>
        <w:spacing w:before="240" w:after="240"/>
        <w:rPr>
          <w:rFonts w:ascii="Arial" w:hAnsi="Arial" w:cs="Arial"/>
        </w:rPr>
      </w:pPr>
    </w:p>
    <w:p>
      <w:pPr>
        <w:spacing w:before="240" w:after="240"/>
        <w:rPr>
          <w:rFonts w:ascii="Arial" w:hAnsi="Arial" w:cs="Arial"/>
        </w:rPr>
      </w:pPr>
    </w:p>
    <w:p>
      <w:pPr>
        <w:spacing w:before="240" w:after="240"/>
        <w:rPr>
          <w:rFonts w:ascii="Arial" w:hAnsi="Arial" w:cs="Arial"/>
        </w:rPr>
      </w:pPr>
    </w:p>
    <w:sectPr>
      <w:footerReference r:id="rId5" w:type="default"/>
      <w:pgSz w:w="11906" w:h="16838"/>
      <w:pgMar w:top="1440" w:right="1440" w:bottom="1440" w:left="1440" w:header="720" w:footer="720" w:gutter="0"/>
      <w:pgBorders w:offsetFrom="page">
        <w:top w:val="thinThickSmallGap" w:color="auto" w:sz="24" w:space="24"/>
        <w:left w:val="thinThickSmallGap" w:color="auto" w:sz="24" w:space="24"/>
        <w:bottom w:val="thickThinSmallGap" w:color="auto" w:sz="24" w:space="24"/>
        <w:right w:val="thickThinSmallGap" w:color="auto" w:sz="24" w:space="24"/>
      </w:pgBorders>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宋体-简">
    <w:panose1 w:val="02010600040101010101"/>
    <w:charset w:val="86"/>
    <w:family w:val="auto"/>
    <w:pitch w:val="default"/>
    <w:sig w:usb0="00000000" w:usb1="00000000" w:usb2="00000000" w:usb3="00000000" w:csb0="00160000" w:csb1="00000000"/>
  </w:font>
  <w:font w:name="Arial">
    <w:panose1 w:val="020B0604020202020204"/>
    <w:charset w:val="00"/>
    <w:family w:val="swiss"/>
    <w:pitch w:val="default"/>
    <w:sig w:usb0="00000000" w:usb1="00000000" w:usb2="00000000" w:usb3="00000000" w:csb0="00000000" w:csb1="00000000"/>
  </w:font>
  <w:font w:name="黑体">
    <w:altName w:val="黑体-简"/>
    <w:panose1 w:val="02010600030101010101"/>
    <w:charset w:val="00"/>
    <w:family w:val="auto"/>
    <w:pitch w:val="default"/>
    <w:sig w:usb0="00000001" w:usb1="080E0000" w:usb2="00000010" w:usb3="00000000" w:csb0="00040000" w:csb1="00000000"/>
  </w:font>
  <w:font w:name="黑体-简">
    <w:panose1 w:val="02000000000000000000"/>
    <w:charset w:val="86"/>
    <w:family w:val="auto"/>
    <w:pitch w:val="default"/>
    <w:sig w:usb0="00000000" w:usb1="00000000" w:usb2="00000000" w:usb3="00000000" w:csb0="00160000" w:csb1="00000000"/>
  </w:font>
  <w:font w:name="Courier New">
    <w:panose1 w:val="02070309020205020404"/>
    <w:charset w:val="00"/>
    <w:family w:val="modern"/>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00000000" w:csb1="00000000"/>
  </w:font>
  <w:font w:name="Calibri">
    <w:altName w:val="Helvetica Neue"/>
    <w:panose1 w:val="020F0502020204030204"/>
    <w:charset w:val="86"/>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6" w:usb3="00000000" w:csb0="00040001" w:csb1="00000000"/>
  </w:font>
  <w:font w:name="Calibri">
    <w:altName w:val="Helvetica Neue"/>
    <w:panose1 w:val="00000000000000000000"/>
    <w:charset w:val="00"/>
    <w:family w:val="auto"/>
    <w:pitch w:val="default"/>
    <w:sig w:usb0="00000000" w:usb1="00000000" w:usb2="00000000" w:usb3="00000000" w:csb0="00000000" w:csb1="00000000"/>
  </w:font>
  <w:font w:name="Cambria">
    <w:altName w:val="苹方-简"/>
    <w:panose1 w:val="02040503050406030204"/>
    <w:charset w:val="00"/>
    <w:family w:val="roman"/>
    <w:pitch w:val="default"/>
    <w:sig w:usb0="00000000" w:usb1="00000000" w:usb2="00000000" w:usb3="00000000" w:csb0="0000019F" w:csb1="00000000"/>
  </w:font>
  <w:font w:name="苹方-简">
    <w:panose1 w:val="020B0400000000000000"/>
    <w:charset w:val="86"/>
    <w:family w:val="auto"/>
    <w:pitch w:val="default"/>
    <w:sig w:usb0="00000000" w:usb1="00000000" w:usb2="00000000" w:usb3="00000000" w:csb0="00160000" w:csb1="00000000"/>
  </w:font>
  <w:font w:name="Tahoma">
    <w:panose1 w:val="020B0604030504040204"/>
    <w:charset w:val="00"/>
    <w:family w:val="swiss"/>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Kingsoft Sign">
    <w:panose1 w:val="05050102010706020507"/>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Cambria Math">
    <w:altName w:val="Kingsoft Math"/>
    <w:panose1 w:val="02040503050406030204"/>
    <w:charset w:val="00"/>
    <w:family w:val="roman"/>
    <w:pitch w:val="default"/>
    <w:sig w:usb0="00000000" w:usb1="00000000" w:usb2="00000000" w:usb3="00000000" w:csb0="0000019F" w:csb1="00000000"/>
  </w:font>
  <w:font w:name="Kingsoft Math">
    <w:panose1 w:val="02040503050406030204"/>
    <w:charset w:val="00"/>
    <w:family w:val="auto"/>
    <w:pitch w:val="default"/>
    <w:sig w:usb0="00000000" w:usb1="00000000" w:usb2="00000000" w:usb3="00000000" w:csb0="00000000" w:csb1="00000000"/>
  </w:font>
  <w:font w:name="Hiragino Sans GB">
    <w:panose1 w:val="020B0300000000000000"/>
    <w:charset w:val="86"/>
    <w:family w:val="auto"/>
    <w:pitch w:val="default"/>
    <w:sig w:usb0="00000000" w:usb1="00000000" w:usb2="00000000" w:usb3="00000000" w:csb0="0016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77372163"/>
      <w:docPartObj>
        <w:docPartGallery w:val="AutoText"/>
      </w:docPartObj>
    </w:sdtPr>
    <w:sdtContent>
      <w:p>
        <w:pPr>
          <w:pStyle w:val="8"/>
          <w:jc w:val="right"/>
        </w:pPr>
        <w:r>
          <w:fldChar w:fldCharType="begin"/>
        </w:r>
        <w:r>
          <w:instrText xml:space="preserve"> PAGE   \* MERGEFORMAT </w:instrText>
        </w:r>
        <w:r>
          <w:fldChar w:fldCharType="separate"/>
        </w:r>
        <w:r>
          <w:t>3</w:t>
        </w:r>
        <w:r>
          <w:fldChar w:fldCharType="end"/>
        </w:r>
      </w:p>
    </w:sdtContent>
  </w:sdt>
  <w:p>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9883608"/>
    <w:multiLevelType w:val="multilevel"/>
    <w:tmpl w:val="1988360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62C330A7"/>
    <w:multiLevelType w:val="multilevel"/>
    <w:tmpl w:val="62C330A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B9F4962"/>
    <w:multiLevelType w:val="multilevel"/>
    <w:tmpl w:val="7B9F496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7BB47016"/>
    <w:multiLevelType w:val="multilevel"/>
    <w:tmpl w:val="7BB4701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717E4"/>
    <w:rsid w:val="00116456"/>
    <w:rsid w:val="0028301B"/>
    <w:rsid w:val="002C3AEC"/>
    <w:rsid w:val="003143CC"/>
    <w:rsid w:val="00392E5F"/>
    <w:rsid w:val="006B784B"/>
    <w:rsid w:val="006D03BC"/>
    <w:rsid w:val="00774527"/>
    <w:rsid w:val="007B5FC4"/>
    <w:rsid w:val="009406FA"/>
    <w:rsid w:val="0094257A"/>
    <w:rsid w:val="00A85447"/>
    <w:rsid w:val="00B717E4"/>
    <w:rsid w:val="00BF3AD5"/>
    <w:rsid w:val="00CE4E86"/>
    <w:rsid w:val="00D2335F"/>
    <w:rsid w:val="00F52EC1"/>
    <w:rsid w:val="00F811DA"/>
    <w:rsid w:val="00FF5D96"/>
    <w:rsid w:val="DBD349F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color w:val="000000" w:themeColor="text1"/>
      <w:kern w:val="2"/>
      <w:sz w:val="24"/>
      <w:szCs w:val="22"/>
      <w:lang w:val="en-GB" w:eastAsia="en-US" w:bidi="ar-SA"/>
      <w14:textFill>
        <w14:solidFill>
          <w14:schemeClr w14:val="tx1"/>
        </w14:solidFill>
      </w14:textFill>
      <w14:ligatures w14:val="standardContextual"/>
    </w:rPr>
  </w:style>
  <w:style w:type="paragraph" w:styleId="2">
    <w:name w:val="heading 1"/>
    <w:basedOn w:val="1"/>
    <w:next w:val="1"/>
    <w:link w:val="13"/>
    <w:qFormat/>
    <w:uiPriority w:val="9"/>
    <w:pPr>
      <w:keepNext/>
      <w:keepLines/>
      <w:spacing w:before="240"/>
      <w:outlineLvl w:val="0"/>
    </w:pPr>
    <w:rPr>
      <w:rFonts w:eastAsiaTheme="majorEastAsia" w:cstheme="majorBidi"/>
      <w:b/>
      <w:szCs w:val="32"/>
    </w:rPr>
  </w:style>
  <w:style w:type="paragraph" w:styleId="3">
    <w:name w:val="heading 2"/>
    <w:basedOn w:val="1"/>
    <w:next w:val="1"/>
    <w:link w:val="14"/>
    <w:unhideWhenUsed/>
    <w:qFormat/>
    <w:uiPriority w:val="9"/>
    <w:pPr>
      <w:keepNext/>
      <w:keepLines/>
      <w:spacing w:before="40"/>
      <w:outlineLvl w:val="1"/>
    </w:pPr>
    <w:rPr>
      <w:rFonts w:eastAsiaTheme="majorEastAsia" w:cstheme="majorBidi"/>
      <w:b/>
      <w:szCs w:val="26"/>
    </w:rPr>
  </w:style>
  <w:style w:type="paragraph" w:styleId="4">
    <w:name w:val="heading 3"/>
    <w:basedOn w:val="1"/>
    <w:next w:val="1"/>
    <w:link w:val="16"/>
    <w:unhideWhenUsed/>
    <w:qFormat/>
    <w:uiPriority w:val="9"/>
    <w:pPr>
      <w:keepNext/>
      <w:keepLines/>
      <w:spacing w:before="40" w:line="240" w:lineRule="auto"/>
      <w:outlineLvl w:val="2"/>
    </w:pPr>
    <w:rPr>
      <w:rFonts w:eastAsiaTheme="majorEastAsia" w:cstheme="majorBidi"/>
      <w:b/>
      <w:i/>
    </w:rPr>
  </w:style>
  <w:style w:type="character" w:default="1" w:styleId="5">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7">
    <w:name w:val="Balloon Text"/>
    <w:basedOn w:val="1"/>
    <w:link w:val="21"/>
    <w:semiHidden/>
    <w:unhideWhenUsed/>
    <w:uiPriority w:val="99"/>
    <w:pPr>
      <w:spacing w:after="0" w:line="240" w:lineRule="auto"/>
    </w:pPr>
    <w:rPr>
      <w:rFonts w:ascii="Tahoma" w:hAnsi="Tahoma" w:cs="Tahoma"/>
      <w:sz w:val="16"/>
      <w:szCs w:val="16"/>
    </w:rPr>
  </w:style>
  <w:style w:type="paragraph" w:styleId="8">
    <w:name w:val="footer"/>
    <w:basedOn w:val="1"/>
    <w:link w:val="18"/>
    <w:unhideWhenUsed/>
    <w:uiPriority w:val="99"/>
    <w:pPr>
      <w:tabs>
        <w:tab w:val="center" w:pos="4513"/>
        <w:tab w:val="right" w:pos="9026"/>
      </w:tabs>
      <w:spacing w:after="0" w:line="240" w:lineRule="auto"/>
    </w:pPr>
  </w:style>
  <w:style w:type="paragraph" w:styleId="9">
    <w:name w:val="header"/>
    <w:basedOn w:val="1"/>
    <w:link w:val="17"/>
    <w:unhideWhenUsed/>
    <w:uiPriority w:val="99"/>
    <w:pPr>
      <w:tabs>
        <w:tab w:val="center" w:pos="4513"/>
        <w:tab w:val="right" w:pos="9026"/>
      </w:tabs>
      <w:spacing w:after="0" w:line="240" w:lineRule="auto"/>
    </w:pPr>
  </w:style>
  <w:style w:type="character" w:styleId="10">
    <w:name w:val="Hyperlink"/>
    <w:basedOn w:val="5"/>
    <w:unhideWhenUsed/>
    <w:uiPriority w:val="99"/>
    <w:rPr>
      <w:color w:val="0000FF" w:themeColor="hyperlink"/>
      <w:u w:val="single"/>
      <w14:textFill>
        <w14:solidFill>
          <w14:schemeClr w14:val="hlink"/>
        </w14:solidFill>
      </w14:textFill>
    </w:rPr>
  </w:style>
  <w:style w:type="paragraph" w:styleId="11">
    <w:name w:val="Title"/>
    <w:basedOn w:val="4"/>
    <w:next w:val="4"/>
    <w:link w:val="15"/>
    <w:qFormat/>
    <w:uiPriority w:val="10"/>
    <w:pPr>
      <w:pBdr>
        <w:bottom w:val="single" w:color="4F81BD" w:themeColor="accent1" w:sz="8" w:space="4"/>
      </w:pBdr>
      <w:spacing w:after="300"/>
      <w:contextualSpacing/>
    </w:pPr>
    <w:rPr>
      <w:spacing w:val="5"/>
      <w:kern w:val="28"/>
      <w:szCs w:val="52"/>
    </w:rPr>
  </w:style>
  <w:style w:type="paragraph" w:styleId="12">
    <w:name w:val="toc 1"/>
    <w:basedOn w:val="1"/>
    <w:next w:val="1"/>
    <w:unhideWhenUsed/>
    <w:uiPriority w:val="39"/>
    <w:pPr>
      <w:spacing w:after="100"/>
    </w:pPr>
  </w:style>
  <w:style w:type="character" w:customStyle="1" w:styleId="13">
    <w:name w:val="Heading 1 Char"/>
    <w:basedOn w:val="5"/>
    <w:link w:val="2"/>
    <w:uiPriority w:val="9"/>
    <w:rPr>
      <w:rFonts w:ascii="Times New Roman" w:hAnsi="Times New Roman" w:eastAsiaTheme="majorEastAsia" w:cstheme="majorBidi"/>
      <w:b/>
      <w:color w:val="000000" w:themeColor="text1"/>
      <w:kern w:val="2"/>
      <w:sz w:val="24"/>
      <w:szCs w:val="32"/>
      <w14:textFill>
        <w14:solidFill>
          <w14:schemeClr w14:val="tx1"/>
        </w14:solidFill>
      </w14:textFill>
      <w14:ligatures w14:val="standardContextual"/>
    </w:rPr>
  </w:style>
  <w:style w:type="character" w:customStyle="1" w:styleId="14">
    <w:name w:val="Heading 2 Char"/>
    <w:basedOn w:val="5"/>
    <w:link w:val="3"/>
    <w:uiPriority w:val="9"/>
    <w:rPr>
      <w:rFonts w:ascii="Times New Roman" w:hAnsi="Times New Roman" w:eastAsiaTheme="majorEastAsia" w:cstheme="majorBidi"/>
      <w:b/>
      <w:color w:val="000000" w:themeColor="text1"/>
      <w:kern w:val="2"/>
      <w:sz w:val="24"/>
      <w:szCs w:val="26"/>
      <w14:textFill>
        <w14:solidFill>
          <w14:schemeClr w14:val="tx1"/>
        </w14:solidFill>
      </w14:textFill>
      <w14:ligatures w14:val="standardContextual"/>
    </w:rPr>
  </w:style>
  <w:style w:type="character" w:customStyle="1" w:styleId="15">
    <w:name w:val="Title Char"/>
    <w:basedOn w:val="5"/>
    <w:link w:val="11"/>
    <w:uiPriority w:val="10"/>
    <w:rPr>
      <w:rFonts w:ascii="Times New Roman" w:hAnsi="Times New Roman" w:eastAsiaTheme="majorEastAsia" w:cstheme="majorBidi"/>
      <w:b/>
      <w:bCs/>
      <w:color w:val="000000" w:themeColor="text1"/>
      <w:spacing w:val="5"/>
      <w:kern w:val="28"/>
      <w:sz w:val="24"/>
      <w:szCs w:val="52"/>
      <w14:textFill>
        <w14:solidFill>
          <w14:schemeClr w14:val="tx1"/>
        </w14:solidFill>
      </w14:textFill>
    </w:rPr>
  </w:style>
  <w:style w:type="character" w:customStyle="1" w:styleId="16">
    <w:name w:val="Heading 3 Char"/>
    <w:basedOn w:val="5"/>
    <w:link w:val="4"/>
    <w:uiPriority w:val="9"/>
    <w:rPr>
      <w:rFonts w:ascii="Times New Roman" w:hAnsi="Times New Roman" w:eastAsiaTheme="majorEastAsia" w:cstheme="majorBidi"/>
      <w:b/>
      <w:i/>
      <w:color w:val="000000" w:themeColor="text1"/>
      <w:kern w:val="2"/>
      <w:sz w:val="24"/>
      <w:szCs w:val="24"/>
      <w14:textFill>
        <w14:solidFill>
          <w14:schemeClr w14:val="tx1"/>
        </w14:solidFill>
      </w14:textFill>
      <w14:ligatures w14:val="standardContextual"/>
    </w:rPr>
  </w:style>
  <w:style w:type="character" w:customStyle="1" w:styleId="17">
    <w:name w:val="Header Char"/>
    <w:basedOn w:val="5"/>
    <w:link w:val="9"/>
    <w:uiPriority w:val="99"/>
    <w:rPr>
      <w:rFonts w:ascii="Times New Roman" w:hAnsi="Times New Roman"/>
      <w:color w:val="000000" w:themeColor="text1"/>
      <w:kern w:val="2"/>
      <w:sz w:val="24"/>
      <w14:textFill>
        <w14:solidFill>
          <w14:schemeClr w14:val="tx1"/>
        </w14:solidFill>
      </w14:textFill>
      <w14:ligatures w14:val="standardContextual"/>
    </w:rPr>
  </w:style>
  <w:style w:type="character" w:customStyle="1" w:styleId="18">
    <w:name w:val="Footer Char"/>
    <w:basedOn w:val="5"/>
    <w:link w:val="8"/>
    <w:uiPriority w:val="99"/>
    <w:rPr>
      <w:rFonts w:ascii="Times New Roman" w:hAnsi="Times New Roman"/>
      <w:color w:val="000000" w:themeColor="text1"/>
      <w:kern w:val="2"/>
      <w:sz w:val="24"/>
      <w14:textFill>
        <w14:solidFill>
          <w14:schemeClr w14:val="tx1"/>
        </w14:solidFill>
      </w14:textFill>
      <w14:ligatures w14:val="standardContextual"/>
    </w:rPr>
  </w:style>
  <w:style w:type="paragraph" w:styleId="19">
    <w:name w:val="List Paragraph"/>
    <w:basedOn w:val="1"/>
    <w:qFormat/>
    <w:uiPriority w:val="34"/>
    <w:pPr>
      <w:ind w:left="720"/>
      <w:contextualSpacing/>
    </w:pPr>
  </w:style>
  <w:style w:type="paragraph" w:customStyle="1" w:styleId="20">
    <w:name w:val="TOC Heading"/>
    <w:basedOn w:val="2"/>
    <w:next w:val="1"/>
    <w:semiHidden/>
    <w:unhideWhenUsed/>
    <w:qFormat/>
    <w:uiPriority w:val="39"/>
    <w:pPr>
      <w:spacing w:before="480" w:after="0" w:line="276" w:lineRule="auto"/>
      <w:jc w:val="left"/>
      <w:outlineLvl w:val="9"/>
    </w:pPr>
    <w:rPr>
      <w:rFonts w:asciiTheme="majorHAnsi" w:hAnsiTheme="majorHAnsi"/>
      <w:bCs/>
      <w:color w:val="376092" w:themeColor="accent1" w:themeShade="BF"/>
      <w:kern w:val="0"/>
      <w:sz w:val="28"/>
      <w:szCs w:val="28"/>
      <w:lang w:val="en-US" w:eastAsia="ja-JP"/>
      <w14:ligatures w14:val="none"/>
    </w:rPr>
  </w:style>
  <w:style w:type="character" w:customStyle="1" w:styleId="21">
    <w:name w:val="Balloon Text Char"/>
    <w:basedOn w:val="5"/>
    <w:link w:val="7"/>
    <w:semiHidden/>
    <w:uiPriority w:val="99"/>
    <w:rPr>
      <w:rFonts w:ascii="Tahoma" w:hAnsi="Tahoma" w:cs="Tahoma"/>
      <w:color w:val="000000" w:themeColor="text1"/>
      <w:kern w:val="2"/>
      <w:sz w:val="16"/>
      <w:szCs w:val="16"/>
      <w14:textFill>
        <w14:solidFill>
          <w14:schemeClr w14:val="tx1"/>
        </w14:solidFill>
      </w14:textFill>
      <w14:ligatures w14:val="standardContextual"/>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Template>
  <Company>by adguard</Company>
  <Pages>10</Pages>
  <Words>1398</Words>
  <Characters>7970</Characters>
  <Lines>66</Lines>
  <Paragraphs>18</Paragraphs>
  <TotalTime>37</TotalTime>
  <ScaleCrop>false</ScaleCrop>
  <LinksUpToDate>false</LinksUpToDate>
  <CharactersWithSpaces>9350</CharactersWithSpaces>
  <Application>WPS Office_5.1.0.7912_F1E327BC-269C-435d-A152-05C5408002CA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2023-10-11T13:33:00Z</dcterms:created>
  <dc:creator>Dell</dc:creator>
  <cp:lastModifiedBy>Mod Johnson</cp:lastModifiedBy>
  <dcterms:modified xsi:type="dcterms:W3CDTF">2023-10-12T09:07:10Z</dcterms:modified>
  <cp:revision>5</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1033-5.1.0.7912</vt:lpwstr>
  </property>
</Properties>
</file>