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CBA954" w14:textId="3FBCFC00" w:rsidR="008E5D4F" w:rsidRPr="0040113A" w:rsidRDefault="0040113A">
      <w:pPr>
        <w:rPr>
          <w:b/>
          <w:i/>
        </w:rPr>
      </w:pPr>
      <w:bookmarkStart w:id="0" w:name="_GoBack"/>
      <w:r w:rsidRPr="0040113A">
        <w:rPr>
          <w:b/>
          <w:i/>
        </w:rPr>
        <w:t xml:space="preserve"> Essay on the port of Tyre, and the two wrecks within the ports entrance, in relation to the</w:t>
      </w:r>
    </w:p>
    <w:bookmarkEnd w:id="0"/>
    <w:p w14:paraId="01B02A2A" w14:textId="1412C90F" w:rsidR="009F7262" w:rsidRPr="0040113A" w:rsidRDefault="009F7262">
      <w:pPr>
        <w:rPr>
          <w:b/>
          <w:i/>
        </w:rPr>
      </w:pPr>
      <w:r w:rsidRPr="0040113A">
        <w:rPr>
          <w:b/>
          <w:i/>
        </w:rPr>
        <w:t xml:space="preserve"> Bronze Age</w:t>
      </w:r>
      <w:r w:rsidR="00FE3344" w:rsidRPr="0040113A">
        <w:rPr>
          <w:b/>
          <w:i/>
        </w:rPr>
        <w:t xml:space="preserve"> and leading </w:t>
      </w:r>
      <w:r w:rsidR="0040113A" w:rsidRPr="0040113A">
        <w:rPr>
          <w:b/>
          <w:i/>
        </w:rPr>
        <w:t>in</w:t>
      </w:r>
      <w:r w:rsidR="00FE3344" w:rsidRPr="0040113A">
        <w:rPr>
          <w:b/>
          <w:i/>
        </w:rPr>
        <w:t>to the Early Iron A</w:t>
      </w:r>
      <w:r w:rsidR="00651A9D" w:rsidRPr="0040113A">
        <w:rPr>
          <w:b/>
          <w:i/>
        </w:rPr>
        <w:t>ge</w:t>
      </w:r>
      <w:r w:rsidRPr="0040113A">
        <w:rPr>
          <w:b/>
          <w:i/>
        </w:rPr>
        <w:t>.</w:t>
      </w:r>
      <w:r w:rsidR="0040113A" w:rsidRPr="0040113A">
        <w:rPr>
          <w:b/>
          <w:i/>
        </w:rPr>
        <w:t xml:space="preserve">  </w:t>
      </w:r>
    </w:p>
    <w:p w14:paraId="38E390AD" w14:textId="0D31FF16" w:rsidR="00D52933" w:rsidRDefault="00D52933"/>
    <w:p w14:paraId="5213B859" w14:textId="7B2E8FA4" w:rsidR="00D52933" w:rsidRDefault="00D52933">
      <w:r>
        <w:t>Tyre was founded in the year 2750 B.C., it was first occupied by Hypsurarus.</w:t>
      </w:r>
      <w:r w:rsidR="00411A6D">
        <w:t xml:space="preserve"> The progress of Tyre through its original times was slow and it was eclipsed for most of the time by Sidon. By the period of the late Bronze Age it had not only come to prominence; but was able to start to complete with its near neighbour.</w:t>
      </w:r>
      <w:r w:rsidR="00B02846">
        <w:t xml:space="preserve"> Tyre was the birth place of Europa, the goddess who went on to name the continent of Europe.</w:t>
      </w:r>
      <w:r w:rsidR="00EA1140">
        <w:t xml:space="preserve"> There were many important spiritual sites in Phoenicia, an example being Baalbek.</w:t>
      </w:r>
    </w:p>
    <w:p w14:paraId="0B11E512" w14:textId="7D19EDE8" w:rsidR="00A645E4" w:rsidRDefault="00FF3921">
      <w:r>
        <w:t xml:space="preserve">The Phoenician port of Tyre was at its most influential between the periods 1300, BCE, and 360, BCE, indeed by 65, BCE it was only rated as a </w:t>
      </w:r>
      <w:r w:rsidR="006A5314">
        <w:t>second-class</w:t>
      </w:r>
      <w:r>
        <w:t xml:space="preserve"> economy. By the latter date the Phoenicians had been overrun by and were under Greek influence and control.</w:t>
      </w:r>
      <w:r w:rsidR="002811F4">
        <w:t xml:space="preserve"> There is a major question mark about many Phoenician cities in the period 1250-1200 B.C.E. as they seem to have been destroyed, rather </w:t>
      </w:r>
      <w:r w:rsidR="00D92A6F">
        <w:t>rapidly I</w:t>
      </w:r>
      <w:r w:rsidR="002811F4">
        <w:t xml:space="preserve"> am surmising here but this may have been the start of the arrival of the Sea Peoples.</w:t>
      </w:r>
      <w:r>
        <w:t xml:space="preserve"> In the thousand or so years of Phoenician seafaring predominance </w:t>
      </w:r>
      <w:r w:rsidR="006A5314">
        <w:t>in the</w:t>
      </w:r>
      <w:r>
        <w:t xml:space="preserve"> Mediterranean Sea they traded as far afield as Spain, France, Egypt, the Aegean Islands and the local ports to their home territory. They were not only the best sailors but also had the bes</w:t>
      </w:r>
      <w:r w:rsidR="00AC0F4E">
        <w:t>t maintained navies, each port having their own fleets both naval and mercantile.</w:t>
      </w:r>
      <w:r w:rsidR="00F03349">
        <w:t xml:space="preserve"> Trading brought</w:t>
      </w:r>
      <w:r w:rsidR="00AC0F4E">
        <w:t xml:space="preserve"> </w:t>
      </w:r>
      <w:r w:rsidR="00F03349">
        <w:t>t</w:t>
      </w:r>
      <w:r w:rsidR="00AC0F4E">
        <w:t xml:space="preserve">he </w:t>
      </w:r>
      <w:r w:rsidR="006F15EB">
        <w:t>Phoenician</w:t>
      </w:r>
      <w:r w:rsidR="00F03349">
        <w:t>’s,</w:t>
      </w:r>
      <w:r w:rsidR="00AC0F4E">
        <w:t xml:space="preserve"> colonies around the Mediterranean Sea</w:t>
      </w:r>
      <w:r w:rsidR="006F15EB">
        <w:t>,</w:t>
      </w:r>
      <w:r w:rsidR="00AC0F4E">
        <w:t xml:space="preserve"> </w:t>
      </w:r>
      <w:r w:rsidR="006F15EB">
        <w:t>this</w:t>
      </w:r>
      <w:r w:rsidR="00AC0F4E">
        <w:t xml:space="preserve"> helped to embed their influence in the locales of the region.</w:t>
      </w:r>
      <w:r w:rsidR="00A645E4">
        <w:rPr>
          <w:rStyle w:val="FootnoteReference"/>
        </w:rPr>
        <w:footnoteReference w:id="1"/>
      </w:r>
      <w:r w:rsidR="00AC0F4E">
        <w:t xml:space="preserve"> </w:t>
      </w:r>
      <w:r w:rsidR="00EF1622">
        <w:t>The main colony of Phoenicia was to become Carthage,</w:t>
      </w:r>
      <w:r w:rsidR="006A5314">
        <w:t>(</w:t>
      </w:r>
      <w:r w:rsidR="001D539A">
        <w:t>colonised in the 9</w:t>
      </w:r>
      <w:r w:rsidR="001D539A" w:rsidRPr="001D539A">
        <w:rPr>
          <w:vertAlign w:val="superscript"/>
        </w:rPr>
        <w:t>th</w:t>
      </w:r>
      <w:r w:rsidR="001D539A">
        <w:t xml:space="preserve"> century B.C.),</w:t>
      </w:r>
      <w:r w:rsidR="00EF1622">
        <w:t xml:space="preserve"> of Punic Wars</w:t>
      </w:r>
      <w:r w:rsidR="006F15EB">
        <w:t xml:space="preserve"> fame which was colonised</w:t>
      </w:r>
      <w:r w:rsidR="00F03A41">
        <w:t xml:space="preserve"> after the arrival of the Assyrians in the Phoenician sphere of influence and the growth of factions in Tyre; it was Dido one of the leaders</w:t>
      </w:r>
      <w:r w:rsidR="00FA04FC">
        <w:t xml:space="preserve">, </w:t>
      </w:r>
      <w:r w:rsidR="00F03A41">
        <w:t>of</w:t>
      </w:r>
      <w:r w:rsidR="00FA04FC">
        <w:t xml:space="preserve"> one</w:t>
      </w:r>
      <w:r w:rsidR="00F03A41">
        <w:t xml:space="preserve"> </w:t>
      </w:r>
      <w:r w:rsidR="004F7632">
        <w:t>particular</w:t>
      </w:r>
      <w:r w:rsidR="00F03A41">
        <w:t xml:space="preserve"> faction</w:t>
      </w:r>
      <w:r w:rsidR="00FA04FC">
        <w:t>,</w:t>
      </w:r>
      <w:r w:rsidR="00F03A41">
        <w:t xml:space="preserve"> who left to found Carthage.</w:t>
      </w:r>
      <w:r w:rsidR="00F03A41">
        <w:rPr>
          <w:rStyle w:val="FootnoteReference"/>
        </w:rPr>
        <w:footnoteReference w:id="2"/>
      </w:r>
      <w:r w:rsidR="004F7632">
        <w:t xml:space="preserve"> During the </w:t>
      </w:r>
      <w:r w:rsidR="00A521C6">
        <w:t>Punic Wars, Carthage fou</w:t>
      </w:r>
      <w:r w:rsidR="006F15EB">
        <w:t xml:space="preserve">ght three wars </w:t>
      </w:r>
      <w:r w:rsidR="00EF1622">
        <w:t>against Rome</w:t>
      </w:r>
      <w:r w:rsidR="00F03349">
        <w:t xml:space="preserve"> and were finally subjugated by the Romans</w:t>
      </w:r>
      <w:r w:rsidR="00EF1622">
        <w:t>.</w:t>
      </w:r>
      <w:r w:rsidR="00EF1622">
        <w:rPr>
          <w:rStyle w:val="FootnoteReference"/>
        </w:rPr>
        <w:footnoteReference w:id="3"/>
      </w:r>
      <w:r w:rsidR="00EF1622">
        <w:t xml:space="preserve"> </w:t>
      </w:r>
      <w:r>
        <w:t xml:space="preserve"> </w:t>
      </w:r>
    </w:p>
    <w:p w14:paraId="66554DA4" w14:textId="7FAA1772" w:rsidR="00343847" w:rsidRDefault="00F03A41">
      <w:r>
        <w:t>The two</w:t>
      </w:r>
      <w:r w:rsidR="00BF5295">
        <w:t xml:space="preserve"> </w:t>
      </w:r>
      <w:r>
        <w:t>ports of,</w:t>
      </w:r>
      <w:r w:rsidR="00EF1622">
        <w:t xml:space="preserve"> </w:t>
      </w:r>
      <w:r w:rsidR="00A645E4">
        <w:t>Tyre</w:t>
      </w:r>
      <w:r w:rsidR="00875DE5">
        <w:t xml:space="preserve"> </w:t>
      </w:r>
      <w:r>
        <w:t>and</w:t>
      </w:r>
      <w:r w:rsidR="00875DE5">
        <w:t xml:space="preserve"> Sidon</w:t>
      </w:r>
      <w:r>
        <w:t xml:space="preserve"> vied</w:t>
      </w:r>
      <w:r w:rsidR="00BF5295">
        <w:t xml:space="preserve"> with each other</w:t>
      </w:r>
      <w:r w:rsidR="00783CCE">
        <w:t xml:space="preserve"> for the position of</w:t>
      </w:r>
      <w:r w:rsidR="00875DE5">
        <w:t xml:space="preserve"> the </w:t>
      </w:r>
      <w:r w:rsidR="00BF5295">
        <w:t xml:space="preserve">main </w:t>
      </w:r>
      <w:r w:rsidR="00875DE5">
        <w:t>Phoenician port for much of the thousand or so years that the</w:t>
      </w:r>
      <w:r>
        <w:t xml:space="preserve"> Phoenician</w:t>
      </w:r>
      <w:r w:rsidR="00875DE5">
        <w:t xml:space="preserve"> empire existed, the two ports</w:t>
      </w:r>
      <w:r w:rsidR="00CB6FE9">
        <w:t xml:space="preserve"> being</w:t>
      </w:r>
      <w:r>
        <w:t xml:space="preserve"> approximately </w:t>
      </w:r>
      <w:r w:rsidR="006A5314">
        <w:t>twenty-five</w:t>
      </w:r>
      <w:r>
        <w:t xml:space="preserve"> miles apart.</w:t>
      </w:r>
      <w:r w:rsidR="00875DE5">
        <w:t xml:space="preserve"> </w:t>
      </w:r>
      <w:r>
        <w:t xml:space="preserve"> Tyre</w:t>
      </w:r>
      <w:r w:rsidR="00BF5295">
        <w:t xml:space="preserve"> finally became the main port of Phoenicia about 1200 B.C. after the Sidonians escaped to Tyre with the arrival of the Sea Peoples</w:t>
      </w:r>
      <w:r w:rsidR="00B5610B">
        <w:t>.</w:t>
      </w:r>
      <w:r>
        <w:rPr>
          <w:rStyle w:val="FootnoteReference"/>
        </w:rPr>
        <w:footnoteReference w:id="4"/>
      </w:r>
      <w:r w:rsidR="00493FF7">
        <w:t xml:space="preserve"> Tyre originally was located on the Levantine Coast; but the Tyrians latter retreated to a</w:t>
      </w:r>
      <w:r w:rsidR="00343847">
        <w:t>n set of</w:t>
      </w:r>
      <w:r w:rsidR="00493FF7">
        <w:t xml:space="preserve"> island</w:t>
      </w:r>
      <w:r w:rsidR="00343847">
        <w:t xml:space="preserve">s </w:t>
      </w:r>
      <w:r w:rsidR="00493FF7">
        <w:t>offshore</w:t>
      </w:r>
      <w:r w:rsidR="00343847">
        <w:t>, eight in number (two large and six small); the two larger islands were later merged</w:t>
      </w:r>
      <w:r w:rsidR="00162E5A">
        <w:t xml:space="preserve"> when the original port came into existence. This being at the time</w:t>
      </w:r>
      <w:r w:rsidR="00493FF7">
        <w:t xml:space="preserve"> of </w:t>
      </w:r>
      <w:r w:rsidR="0036505F">
        <w:t>Alexander the Great</w:t>
      </w:r>
      <w:r w:rsidR="00162E5A">
        <w:t xml:space="preserve"> arrival</w:t>
      </w:r>
      <w:r w:rsidR="00493FF7">
        <w:t>,</w:t>
      </w:r>
      <w:r w:rsidR="00162E5A">
        <w:t xml:space="preserve"> whose advance</w:t>
      </w:r>
      <w:r w:rsidR="00493FF7">
        <w:t xml:space="preserve"> threatened the Phoenician Empire and other territories </w:t>
      </w:r>
      <w:r w:rsidR="006A5314">
        <w:t>around</w:t>
      </w:r>
      <w:r w:rsidR="00493FF7">
        <w:t xml:space="preserve"> Palestine</w:t>
      </w:r>
      <w:r w:rsidR="0087786A">
        <w:t xml:space="preserve"> (Alexander’s campaigns for 333-330, in the Western Persian Empire)</w:t>
      </w:r>
      <w:r w:rsidR="0036505F">
        <w:t>.</w:t>
      </w:r>
      <w:r w:rsidR="00464245">
        <w:rPr>
          <w:rStyle w:val="FootnoteReference"/>
        </w:rPr>
        <w:footnoteReference w:id="5"/>
      </w:r>
      <w:r w:rsidR="0036505F">
        <w:t xml:space="preserve"> </w:t>
      </w:r>
    </w:p>
    <w:p w14:paraId="2368030B" w14:textId="11B16219" w:rsidR="00343847" w:rsidRDefault="0041673F">
      <w:r>
        <w:t xml:space="preserve">The island of Tyre had two </w:t>
      </w:r>
      <w:r w:rsidR="00AB5E95">
        <w:t>harbours, the</w:t>
      </w:r>
      <w:r>
        <w:t xml:space="preserve"> one being the Northern or ancient harbour, the other was known as the Cothon or Egyptian Harbour, in the south.</w:t>
      </w:r>
      <w:r w:rsidR="00A712B8">
        <w:t xml:space="preserve"> The two harbours were linked by a canal which also bisected a modern town called Sour.</w:t>
      </w:r>
      <w:r w:rsidR="00A712B8">
        <w:rPr>
          <w:rStyle w:val="FootnoteReference"/>
        </w:rPr>
        <w:footnoteReference w:id="6"/>
      </w:r>
      <w:r w:rsidR="00AF533F">
        <w:t xml:space="preserve"> Tyre had two ports for one reason only that trade could not be conducted all year from the Northern or Ancient port because of wind and tides. This then led to the introduction of a second harbour which faced Egypt and hence was named </w:t>
      </w:r>
      <w:r w:rsidR="00AF533F">
        <w:lastRenderedPageBreak/>
        <w:t>accordingly.</w:t>
      </w:r>
      <w:r w:rsidR="00AF533F">
        <w:rPr>
          <w:rStyle w:val="FootnoteReference"/>
        </w:rPr>
        <w:footnoteReference w:id="7"/>
      </w:r>
      <w:r w:rsidR="00AF533F">
        <w:t xml:space="preserve"> </w:t>
      </w:r>
      <w:r w:rsidR="00225FC5">
        <w:t>The island of Tyre at first refused to surrender to Alexander the Great but after a siege finally succumbed;</w:t>
      </w:r>
      <w:r w:rsidR="00B938DD">
        <w:t xml:space="preserve"> the Greeks in- </w:t>
      </w:r>
      <w:r w:rsidR="00AB5E95">
        <w:t>filled the</w:t>
      </w:r>
      <w:r w:rsidR="00B938DD">
        <w:t xml:space="preserve"> sea between island and coast to form an isthmus, using the rubble from the original city since deserted.</w:t>
      </w:r>
      <w:r w:rsidR="00B938DD">
        <w:rPr>
          <w:rStyle w:val="FootnoteReference"/>
        </w:rPr>
        <w:footnoteReference w:id="8"/>
      </w:r>
      <w:r w:rsidR="00225FC5">
        <w:t xml:space="preserve"> </w:t>
      </w:r>
    </w:p>
    <w:p w14:paraId="7FF366BA" w14:textId="793E8D69" w:rsidR="0041050C" w:rsidRDefault="00AB5E95">
      <w:r>
        <w:t xml:space="preserve">The islands that went on to become Tyre are at a latitude of 33 30’, and are parallel to the shore, the original or Northern Harbour had a natural breakwater that afforded </w:t>
      </w:r>
      <w:r w:rsidR="00AC21DB">
        <w:t>protection against prevailing winds and made the strait between islands and coast a convenient roadstead.</w:t>
      </w:r>
      <w:r w:rsidR="00AC21DB">
        <w:rPr>
          <w:rStyle w:val="FootnoteReference"/>
        </w:rPr>
        <w:footnoteReference w:id="9"/>
      </w:r>
      <w:r w:rsidR="00AC21DB">
        <w:t xml:space="preserve"> </w:t>
      </w:r>
      <w:r w:rsidR="007705D1">
        <w:t>This harbour would have been ideal for the trade from Crete and the Aegean but not from the Egyptian end of the trade cycle, the winds and tides would have prevailed from a different direction and speed</w:t>
      </w:r>
      <w:r w:rsidR="00CC6BBC">
        <w:t>.</w:t>
      </w:r>
      <w:r w:rsidR="007705D1">
        <w:rPr>
          <w:rStyle w:val="FootnoteReference"/>
        </w:rPr>
        <w:footnoteReference w:id="10"/>
      </w:r>
      <w:r w:rsidR="00D2525D">
        <w:t xml:space="preserve"> </w:t>
      </w:r>
      <w:r w:rsidR="002F106D">
        <w:t xml:space="preserve">It was for the reason of facilitating trade with Egypt that the second harbour was formed at the other end of the island. </w:t>
      </w:r>
      <w:r w:rsidR="0000383D">
        <w:t xml:space="preserve">The southern harbour was a more </w:t>
      </w:r>
      <w:r w:rsidR="00C115B6">
        <w:t>purpose-built</w:t>
      </w:r>
      <w:r w:rsidR="0000383D">
        <w:t xml:space="preserve"> structure with moles and harbour walls stretching several hundred metres in length.</w:t>
      </w:r>
      <w:r w:rsidR="0000383D">
        <w:rPr>
          <w:rStyle w:val="FootnoteReference"/>
        </w:rPr>
        <w:footnoteReference w:id="11"/>
      </w:r>
      <w:r w:rsidR="0041050C">
        <w:t xml:space="preserve">The Eastern Mediterranean Sea; had its own trading cycles in the </w:t>
      </w:r>
      <w:r w:rsidR="0083229F">
        <w:t xml:space="preserve">Bronze Age, </w:t>
      </w:r>
      <w:r w:rsidR="00153053">
        <w:t>with both Crete and the Aegean Islands, at one end and Egypt via</w:t>
      </w:r>
      <w:r w:rsidR="002F106D">
        <w:t xml:space="preserve"> Cyprus,</w:t>
      </w:r>
      <w:r w:rsidR="00153053">
        <w:t xml:space="preserve"> the Levantine coast and Palestine, forming the other end. </w:t>
      </w:r>
      <w:r w:rsidR="0041673F">
        <w:t>Tyre as it was situated had a prime position to control, at least the last legs heading towards Egypt.</w:t>
      </w:r>
      <w:r w:rsidR="0041673F">
        <w:rPr>
          <w:rStyle w:val="FootnoteReference"/>
        </w:rPr>
        <w:footnoteReference w:id="12"/>
      </w:r>
      <w:r w:rsidR="00153053">
        <w:t xml:space="preserve"> </w:t>
      </w:r>
    </w:p>
    <w:p w14:paraId="6DD4D87F" w14:textId="7A1D28BE" w:rsidR="0068011D" w:rsidRDefault="00981D61">
      <w:r>
        <w:t>The ships or boats depending on whether they were coastal or more deep sea would have had definite shapes and depths. Ships of war would have had oarsman some double or even triple decked and a sail stepped approximately amidships.</w:t>
      </w:r>
      <w:r>
        <w:rPr>
          <w:rStyle w:val="FootnoteReference"/>
        </w:rPr>
        <w:footnoteReference w:id="13"/>
      </w:r>
      <w:r w:rsidR="005C44A9">
        <w:t xml:space="preserve"> </w:t>
      </w:r>
      <w:r w:rsidR="00452ED5">
        <w:t xml:space="preserve">The warships also had a pointed bow used for ramming when at war, this may </w:t>
      </w:r>
      <w:r w:rsidR="00C115B6">
        <w:t>have</w:t>
      </w:r>
      <w:r w:rsidR="00452ED5">
        <w:t xml:space="preserve"> been off use also for helping to propel the ship through the water.</w:t>
      </w:r>
      <w:r w:rsidR="00452ED5">
        <w:rPr>
          <w:rStyle w:val="FootnoteReference"/>
        </w:rPr>
        <w:footnoteReference w:id="14"/>
      </w:r>
      <w:r w:rsidR="00C115B6">
        <w:t xml:space="preserve"> The ships also had a stern feature that resembled a tail, and lattice work along the top of the structure, which could be used for hanging shields </w:t>
      </w:r>
      <w:r w:rsidR="00383C46">
        <w:t>up</w:t>
      </w:r>
      <w:r w:rsidR="00C115B6">
        <w:t>on.</w:t>
      </w:r>
      <w:r w:rsidR="00C115B6">
        <w:rPr>
          <w:rStyle w:val="FootnoteReference"/>
        </w:rPr>
        <w:footnoteReference w:id="15"/>
      </w:r>
      <w:r w:rsidR="00C115B6">
        <w:t xml:space="preserve"> </w:t>
      </w:r>
      <w:r w:rsidR="00F24C67">
        <w:t>The ships would also of had two long oars at the stern to help navigate the vessel as both oars and sail had the</w:t>
      </w:r>
      <w:r w:rsidR="00891F84">
        <w:t>ir</w:t>
      </w:r>
      <w:r w:rsidR="00F24C67">
        <w:t xml:space="preserve"> limitations.</w:t>
      </w:r>
      <w:r w:rsidR="00F24C67">
        <w:rPr>
          <w:rStyle w:val="FootnoteReference"/>
        </w:rPr>
        <w:footnoteReference w:id="16"/>
      </w:r>
    </w:p>
    <w:p w14:paraId="07FD77AE" w14:textId="27840833" w:rsidR="002E359C" w:rsidRDefault="00057F28">
      <w:r>
        <w:t>Also,</w:t>
      </w:r>
      <w:r w:rsidR="007D2D31">
        <w:t xml:space="preserve"> there were vessels of various sizes that were used as cargo ships/boats depending on whether they stayed close to shore or went further a</w:t>
      </w:r>
      <w:r w:rsidR="00DE1D13">
        <w:t>field.</w:t>
      </w:r>
      <w:r w:rsidR="00DE1D13">
        <w:rPr>
          <w:rStyle w:val="FootnoteReference"/>
        </w:rPr>
        <w:footnoteReference w:id="17"/>
      </w:r>
      <w:r w:rsidR="007A4086">
        <w:t xml:space="preserve"> These vessels were often </w:t>
      </w:r>
      <w:r>
        <w:t>round</w:t>
      </w:r>
      <w:r w:rsidR="007A4086">
        <w:t xml:space="preserve"> and manned with two or four men, some were reed boats; and they were used mainly on the coast. There were larger units and it was not unknown for units to be spliced together to form stronger identities to carry bigger loads. It was not unknown for ten plus tonnes of cargo to be carried at once. These vessels, what-ever their size, would have been highly unstable and many must </w:t>
      </w:r>
      <w:r>
        <w:t>have</w:t>
      </w:r>
      <w:r w:rsidR="007A4086">
        <w:t xml:space="preserve"> sunk/run-aground or just </w:t>
      </w:r>
      <w:r>
        <w:t>disappeared</w:t>
      </w:r>
      <w:r w:rsidR="007A4086">
        <w:t>.</w:t>
      </w:r>
      <w:r w:rsidR="00AD430B">
        <w:rPr>
          <w:rStyle w:val="FootnoteReference"/>
        </w:rPr>
        <w:footnoteReference w:id="18"/>
      </w:r>
    </w:p>
    <w:p w14:paraId="0F3B5762" w14:textId="6F751741" w:rsidR="00AB1462" w:rsidRDefault="00AB1462">
      <w:r>
        <w:t>Tyre is named in ten of the Amarna letters dated from 1350 B.C., they were sent from the Mayor of the city too the pharaoh Akhenaton, the subjects covered range from fresh water and wood to Habiru people trying to overrun the local countryside.</w:t>
      </w:r>
      <w:r w:rsidR="001251B9">
        <w:rPr>
          <w:rStyle w:val="FootnoteReference"/>
        </w:rPr>
        <w:footnoteReference w:id="19"/>
      </w:r>
    </w:p>
    <w:p w14:paraId="684AE381" w14:textId="6A7DDCA7" w:rsidR="00ED71D9" w:rsidRDefault="00057F28">
      <w:r>
        <w:t xml:space="preserve">From the Amarna letters we can start to map a trading regime between the various players in the area; the major players like Egypt, Cyprus and Mycenae would traded between themselves and the </w:t>
      </w:r>
      <w:r>
        <w:lastRenderedPageBreak/>
        <w:t xml:space="preserve">minor players the such as Ugarit, Tyre, Sidon the other Palestinian city states and the lesser Aegean Islands. Each would have known its order in the political and trade cycle. </w:t>
      </w:r>
      <w:r w:rsidR="000A623C">
        <w:t>All the various states would have carried out trade at not only various government levels but through the ordinary businesses of lowest of their populations as well. In this way you get many strands of trading on each vessel on each leg of their trip. The crew of the</w:t>
      </w:r>
      <w:r w:rsidR="005C49DA">
        <w:t xml:space="preserve"> ship</w:t>
      </w:r>
      <w:r w:rsidR="000A623C">
        <w:t xml:space="preserve">s would have traded as they hit port </w:t>
      </w:r>
      <w:r w:rsidR="001A288E">
        <w:t>on all the legs of the journey and not just gone from one end to the other of the East Mediterranean.</w:t>
      </w:r>
      <w:r w:rsidR="001A288E">
        <w:rPr>
          <w:rStyle w:val="FootnoteReference"/>
        </w:rPr>
        <w:footnoteReference w:id="20"/>
      </w:r>
      <w:r w:rsidR="000A623C">
        <w:t xml:space="preserve"> </w:t>
      </w:r>
      <w:r w:rsidR="00C36B37">
        <w:t xml:space="preserve">At the </w:t>
      </w:r>
      <w:r w:rsidR="00ED71D9">
        <w:t>kingly end you would have what is known as Gift Exchange, where the various kings/Pharaoh, exchanged the elite goods such as precious metals, ivory, lapis and silver.</w:t>
      </w:r>
      <w:r w:rsidR="00ED71D9">
        <w:rPr>
          <w:rStyle w:val="FootnoteReference"/>
        </w:rPr>
        <w:footnoteReference w:id="21"/>
      </w:r>
      <w:r w:rsidR="00ED71D9">
        <w:t xml:space="preserve"> </w:t>
      </w:r>
    </w:p>
    <w:p w14:paraId="15C0BC0B" w14:textId="169591C5" w:rsidR="00ED71D9" w:rsidRDefault="00ED71D9">
      <w:r>
        <w:t xml:space="preserve">All the stately players involved in trade in the Eastern Mediterranean would also </w:t>
      </w:r>
      <w:r w:rsidR="00AB1462">
        <w:t>have</w:t>
      </w:r>
      <w:r>
        <w:t xml:space="preserve"> traded further afield such as Syria, Mesopotamia, Afghanistan and China via the road that was to be latter known as the Silk Road.</w:t>
      </w:r>
      <w:r>
        <w:rPr>
          <w:rStyle w:val="FootnoteReference"/>
        </w:rPr>
        <w:footnoteReference w:id="22"/>
      </w:r>
      <w:r>
        <w:t xml:space="preserve"> </w:t>
      </w:r>
    </w:p>
    <w:p w14:paraId="35DF43D9" w14:textId="62A68352" w:rsidR="00F12E10" w:rsidRDefault="00097CC9">
      <w:r>
        <w:t>Tyre continued to be a city that every invading army wanted to attack/besiege and take through out history. This should not</w:t>
      </w:r>
      <w:r w:rsidR="002F2102">
        <w:t xml:space="preserve"> be</w:t>
      </w:r>
      <w:r>
        <w:t xml:space="preserve"> surprising because it has remained a major port for much of antiquity and beyond.</w:t>
      </w:r>
      <w:r>
        <w:rPr>
          <w:rStyle w:val="FootnoteReference"/>
        </w:rPr>
        <w:footnoteReference w:id="23"/>
      </w:r>
      <w:r>
        <w:t xml:space="preserve">In the Bronze Age it minted its own coinage and besides being </w:t>
      </w:r>
      <w:r w:rsidR="00AB1462">
        <w:t>a port,</w:t>
      </w:r>
      <w:r>
        <w:t xml:space="preserve"> it </w:t>
      </w:r>
      <w:r w:rsidR="00BA7C83">
        <w:t>w</w:t>
      </w:r>
      <w:r>
        <w:t xml:space="preserve">as </w:t>
      </w:r>
      <w:r w:rsidR="00BA7C83">
        <w:t xml:space="preserve">a </w:t>
      </w:r>
      <w:r>
        <w:t xml:space="preserve">major </w:t>
      </w:r>
      <w:r w:rsidR="00BA7C83">
        <w:t xml:space="preserve">market. An export that Tyre was renowned for in antiquity was a purple dye made from the Murex shellfish. The official name for the dye being </w:t>
      </w:r>
      <w:r w:rsidR="00BA7C83" w:rsidRPr="00BA7C83">
        <w:rPr>
          <w:b/>
          <w:i/>
        </w:rPr>
        <w:t>Tyrian Purple</w:t>
      </w:r>
      <w:r w:rsidR="00BA7C83">
        <w:rPr>
          <w:b/>
          <w:i/>
        </w:rPr>
        <w:t>,</w:t>
      </w:r>
      <w:r w:rsidR="00057F28">
        <w:t xml:space="preserve"> </w:t>
      </w:r>
      <w:r w:rsidR="00BA7C83">
        <w:t>this colour was preserved for Royalty or at very least senior Nobility.</w:t>
      </w:r>
      <w:r w:rsidR="00BA7C83">
        <w:rPr>
          <w:rStyle w:val="FootnoteReference"/>
        </w:rPr>
        <w:footnoteReference w:id="24"/>
      </w:r>
      <w:r w:rsidR="007A4086">
        <w:t xml:space="preserve"> </w:t>
      </w:r>
      <w:r w:rsidR="00EA25C7">
        <w:t xml:space="preserve">The Greeks knew the people of Tyre as the purple people as the dye stained their hands, this was quoted by the eminent historian Herodotus. </w:t>
      </w:r>
      <w:r w:rsidR="003A73AC">
        <w:t xml:space="preserve">Many people moved from Tyre to the area around Memphis in the Delta of Egypt, there became </w:t>
      </w:r>
      <w:r w:rsidR="00F026FE">
        <w:t>a</w:t>
      </w:r>
      <w:r w:rsidR="003A73AC">
        <w:t xml:space="preserve"> camp called the Tyrian Camp just south of Temple of Hephanbus.</w:t>
      </w:r>
      <w:r w:rsidR="003A73AC">
        <w:rPr>
          <w:rStyle w:val="FootnoteReference"/>
        </w:rPr>
        <w:footnoteReference w:id="25"/>
      </w:r>
    </w:p>
    <w:p w14:paraId="3E8ECA70" w14:textId="0FBEC67C" w:rsidR="00F12E10" w:rsidRDefault="00F12E10">
      <w:r>
        <w:t xml:space="preserve">Tyre as a port and a city has had a somewhat bloody history, the city was often besieged by the Egyptians. This may have something to do with the strong trade that the city had with Egypt, the thinking being we may invade as the senior party but also want you as a </w:t>
      </w:r>
      <w:r w:rsidR="00DE1A8D">
        <w:t>long-term</w:t>
      </w:r>
      <w:r>
        <w:t xml:space="preserve"> friend. The Assyrians under Shalmaneser V, assisted by the mainland Phoenicians besieged Tyre for five years.</w:t>
      </w:r>
    </w:p>
    <w:p w14:paraId="0A0C3051" w14:textId="77777777" w:rsidR="00B94120" w:rsidRDefault="00F12E10">
      <w:r>
        <w:t xml:space="preserve">Nebuchadnezzar II, of Babylon besieged between 586-573, finally forcing Tyre to pay tribute. The Achaemenid Empire finally conquered Tyre in 539B.C. then through Alexander the Great to the Seleucids she lost her independence. A somewhat second tier Tyre finally </w:t>
      </w:r>
      <w:r w:rsidR="00DE1A8D">
        <w:t>getting her independence back in 126 B.C. This was only for the Romans to make Tyre part of their province in 64B.C.</w:t>
      </w:r>
      <w:r>
        <w:t xml:space="preserve"> </w:t>
      </w:r>
      <w:r w:rsidR="00DE1A8D">
        <w:t>They did leave Tyre with some say for her self and the title of ‘</w:t>
      </w:r>
      <w:r w:rsidR="00DE1A8D" w:rsidRPr="00DE1A8D">
        <w:rPr>
          <w:i/>
        </w:rPr>
        <w:t>Civitas foederate</w:t>
      </w:r>
      <w:r w:rsidR="00B94120">
        <w:rPr>
          <w:i/>
        </w:rPr>
        <w:t>.</w:t>
      </w:r>
      <w:r w:rsidR="00DE1A8D" w:rsidRPr="00DE1A8D">
        <w:rPr>
          <w:i/>
        </w:rPr>
        <w:t>’</w:t>
      </w:r>
      <w:r w:rsidR="00DE1A8D">
        <w:rPr>
          <w:rStyle w:val="FootnoteReference"/>
          <w:i/>
        </w:rPr>
        <w:footnoteReference w:id="26"/>
      </w:r>
      <w:r>
        <w:t xml:space="preserve">  </w:t>
      </w:r>
    </w:p>
    <w:p w14:paraId="59EE9421" w14:textId="3252C60A" w:rsidR="00236DEC" w:rsidRDefault="00B94120">
      <w:r>
        <w:t xml:space="preserve">Tyre is a well placed affluent for the time port, the trade cycle starting at Egypt, Tyre, Sidon, Ugarit, Cypress, Crete, The Peloponnese, Aegean Islands, and then return many of the trading ships would be away for years; many would fail to return. </w:t>
      </w:r>
      <w:r w:rsidR="001E66EB">
        <w:t>Unfortunately,</w:t>
      </w:r>
      <w:r>
        <w:t xml:space="preserve"> </w:t>
      </w:r>
      <w:r w:rsidR="00B664AB">
        <w:t>I have not been able to find the identities of the two wrecks off the harbour entrance; but depending on which of the two harbours the wrecks are off than some guess work can come into effect.</w:t>
      </w:r>
    </w:p>
    <w:p w14:paraId="5617EB41" w14:textId="77777777" w:rsidR="008552EA" w:rsidRDefault="00236DEC">
      <w:r>
        <w:t xml:space="preserve">If either or both, are off the southern harbour than the subject ships may well be Egyptian. The Egyptians had the gold standard of ship design at this time, and the rest readily copied them so even </w:t>
      </w:r>
      <w:r>
        <w:lastRenderedPageBreak/>
        <w:t>if the wrecks are known identification would still be difficult.</w:t>
      </w:r>
      <w:r w:rsidR="002153E4">
        <w:rPr>
          <w:rStyle w:val="FootnoteReference"/>
        </w:rPr>
        <w:footnoteReference w:id="27"/>
      </w:r>
      <w:r w:rsidR="002153E4">
        <w:t>If the wrecks are off the northern or ancient harbour then they may well be Cretan, Ugaritian, or even Mycenaean.</w:t>
      </w:r>
      <w:r w:rsidR="002153E4">
        <w:rPr>
          <w:rStyle w:val="FootnoteReference"/>
        </w:rPr>
        <w:footnoteReference w:id="28"/>
      </w:r>
    </w:p>
    <w:p w14:paraId="26AA2C9D" w14:textId="77777777" w:rsidR="001E66EB" w:rsidRDefault="001E5E1B">
      <w:r>
        <w:t xml:space="preserve">It would difficult to identify at a glance any shipwreck site or land site from the Bronze Age as there are so few known to exist. New sites are being found all the </w:t>
      </w:r>
      <w:r w:rsidR="001E66EB">
        <w:t>time,</w:t>
      </w:r>
      <w:r>
        <w:t xml:space="preserve"> but the lack of identifiable sites leaves everything suspect.</w:t>
      </w:r>
      <w:r w:rsidR="001E66EB">
        <w:t xml:space="preserve"> One site being the Ullumbrym wreck of the coast of Turkey. Many sites the ship/boat has disappeared only to leave the cargo behind; this being due to currents and tides.</w:t>
      </w:r>
    </w:p>
    <w:p w14:paraId="02A8E148" w14:textId="3A38C508" w:rsidR="001E66EB" w:rsidRDefault="001E66EB">
      <w:r>
        <w:t xml:space="preserve">But when a site is found Amphora jars are a usual staple of the cargo, these can hold anything from wine, to wax, perfume, honey, all highly prized cargoes. Amphora jars can be </w:t>
      </w:r>
      <w:r w:rsidR="006E32BF">
        <w:t>large,</w:t>
      </w:r>
      <w:r>
        <w:t xml:space="preserve"> and cargoes have been known to go too many </w:t>
      </w:r>
      <w:r w:rsidR="006E32BF">
        <w:t>tonnes,</w:t>
      </w:r>
      <w:r>
        <w:t xml:space="preserve"> so the number of jars can be quite large. </w:t>
      </w:r>
    </w:p>
    <w:p w14:paraId="3FEB6FD2" w14:textId="4C728A57" w:rsidR="006E32BF" w:rsidRDefault="001E66EB">
      <w:r>
        <w:t>It can also depend in a wreck whether the ship/boat is entirely wooden built or whether it had a s</w:t>
      </w:r>
      <w:r w:rsidR="006E32BF">
        <w:t>kin over a wooden framework. Towards the end of the Bronze Age the way vessels were made altered instead of making the skin first then applying the internal parts; construction altered to building the inner framework then applying the skin. This should have made the vessel safer and stronger.</w:t>
      </w:r>
    </w:p>
    <w:p w14:paraId="05495399" w14:textId="7CCCD4A8" w:rsidR="004436D9" w:rsidRDefault="006E32BF">
      <w:r>
        <w:t xml:space="preserve">In the late Bronze Age there was a very strong trading regime in exitance, places like Tyre and Sidon to name only two Phoenician ports had both strong fighting and mercantile fleets. It is not unconceivable that they lent these fleets out to third parties, this would have been done through the </w:t>
      </w:r>
      <w:r w:rsidR="001F749A">
        <w:t>King Gift system.</w:t>
      </w:r>
      <w:r w:rsidR="00A77BC4">
        <w:t xml:space="preserve"> The Tyrian navy was often lent to the Persians for example; as the Persians also invaded the territories of the Near Middle East; it is of no real surprise that the mainland Phoenicians joined the various oppressors of Tyre.</w:t>
      </w:r>
      <w:r w:rsidR="001F749A">
        <w:t xml:space="preserve"> Egypt was often the overlord for most of the Phoenician/Philistine/Canaanite city states. The mercantile ships would </w:t>
      </w:r>
      <w:r w:rsidR="00411A6D">
        <w:t>be taking</w:t>
      </w:r>
      <w:r w:rsidR="001F749A">
        <w:t xml:space="preserve"> gifts, goods to the rest of the states in the circuit in exchange control over these areas was kept by the Egyptians.</w:t>
      </w:r>
      <w:r w:rsidR="0033239B">
        <w:t xml:space="preserve"> In the north the Hittites would have had such control over the people of Ugarit. The Hittites though were not a formal part of this trading arrangement</w:t>
      </w:r>
      <w:r w:rsidR="002270E7">
        <w:t>, and only Ugarit was really involved as it was in Phoenicia itself.</w:t>
      </w:r>
    </w:p>
    <w:p w14:paraId="5FA58AC5" w14:textId="7D3ED226" w:rsidR="00BC4142" w:rsidRDefault="00BC4142">
      <w:r>
        <w:t>The Phoenicians were considered fare traders something that was probably considered quite unique in Bronze Age Near Middle East.</w:t>
      </w:r>
      <w:r w:rsidR="00164C1B">
        <w:t xml:space="preserve"> </w:t>
      </w:r>
      <w:r w:rsidR="00306F56">
        <w:t xml:space="preserve">This would </w:t>
      </w:r>
      <w:r w:rsidR="00411A6D">
        <w:t>have</w:t>
      </w:r>
      <w:r w:rsidR="00306F56">
        <w:t xml:space="preserve"> helped the spread of the Phoenicians throughout the Mediterranean. </w:t>
      </w:r>
      <w:r>
        <w:t xml:space="preserve">  </w:t>
      </w:r>
    </w:p>
    <w:p w14:paraId="4BB1002D" w14:textId="50486B4D" w:rsidR="007D2D31" w:rsidRDefault="001F749A">
      <w:r>
        <w:t xml:space="preserve"> </w:t>
      </w:r>
      <w:r w:rsidR="006E32BF">
        <w:t xml:space="preserve">   </w:t>
      </w:r>
      <w:r w:rsidR="001E66EB">
        <w:t xml:space="preserve"> </w:t>
      </w:r>
      <w:r w:rsidR="002153E4">
        <w:t xml:space="preserve">   </w:t>
      </w:r>
      <w:r w:rsidR="00B94120">
        <w:t xml:space="preserve">  </w:t>
      </w:r>
      <w:r w:rsidR="00F12E10">
        <w:t xml:space="preserve"> </w:t>
      </w:r>
      <w:r w:rsidR="007A4086">
        <w:t xml:space="preserve">  </w:t>
      </w:r>
    </w:p>
    <w:p w14:paraId="07D35D59" w14:textId="77777777" w:rsidR="001F654B" w:rsidRDefault="001F654B">
      <w:pPr>
        <w:rPr>
          <w:b/>
          <w:i/>
        </w:rPr>
      </w:pPr>
    </w:p>
    <w:p w14:paraId="672C22FF" w14:textId="77777777" w:rsidR="001F654B" w:rsidRDefault="001F654B">
      <w:pPr>
        <w:rPr>
          <w:b/>
          <w:i/>
        </w:rPr>
      </w:pPr>
    </w:p>
    <w:p w14:paraId="06CC707C" w14:textId="77777777" w:rsidR="001F654B" w:rsidRDefault="001F654B">
      <w:pPr>
        <w:rPr>
          <w:b/>
          <w:i/>
        </w:rPr>
      </w:pPr>
    </w:p>
    <w:p w14:paraId="71D78207" w14:textId="77777777" w:rsidR="001F654B" w:rsidRDefault="001F654B">
      <w:pPr>
        <w:rPr>
          <w:b/>
          <w:i/>
        </w:rPr>
      </w:pPr>
    </w:p>
    <w:p w14:paraId="7D274291" w14:textId="77777777" w:rsidR="001F654B" w:rsidRDefault="001F654B">
      <w:pPr>
        <w:rPr>
          <w:b/>
          <w:i/>
        </w:rPr>
      </w:pPr>
    </w:p>
    <w:p w14:paraId="19B0479D" w14:textId="77777777" w:rsidR="001F654B" w:rsidRDefault="001F654B">
      <w:pPr>
        <w:rPr>
          <w:b/>
          <w:i/>
        </w:rPr>
      </w:pPr>
    </w:p>
    <w:p w14:paraId="1FF7ACEE" w14:textId="77777777" w:rsidR="001F654B" w:rsidRDefault="001F654B">
      <w:pPr>
        <w:rPr>
          <w:b/>
          <w:i/>
        </w:rPr>
      </w:pPr>
    </w:p>
    <w:p w14:paraId="7213B192" w14:textId="77777777" w:rsidR="001F654B" w:rsidRDefault="001F654B">
      <w:pPr>
        <w:rPr>
          <w:b/>
          <w:i/>
        </w:rPr>
      </w:pPr>
    </w:p>
    <w:p w14:paraId="4D0EA07F" w14:textId="77777777" w:rsidR="001F654B" w:rsidRDefault="001F654B">
      <w:pPr>
        <w:rPr>
          <w:b/>
          <w:i/>
        </w:rPr>
      </w:pPr>
    </w:p>
    <w:p w14:paraId="5DB76644" w14:textId="77777777" w:rsidR="001F654B" w:rsidRDefault="001F654B">
      <w:pPr>
        <w:rPr>
          <w:b/>
          <w:i/>
        </w:rPr>
      </w:pPr>
    </w:p>
    <w:p w14:paraId="76ECB443" w14:textId="77777777" w:rsidR="001F654B" w:rsidRDefault="001F654B">
      <w:pPr>
        <w:rPr>
          <w:b/>
          <w:i/>
        </w:rPr>
      </w:pPr>
    </w:p>
    <w:p w14:paraId="4BC7D016" w14:textId="77777777" w:rsidR="001F654B" w:rsidRDefault="001F654B">
      <w:pPr>
        <w:rPr>
          <w:b/>
          <w:i/>
        </w:rPr>
      </w:pPr>
    </w:p>
    <w:p w14:paraId="0A67B924" w14:textId="77777777" w:rsidR="001F654B" w:rsidRDefault="001F654B">
      <w:pPr>
        <w:rPr>
          <w:b/>
          <w:i/>
        </w:rPr>
      </w:pPr>
    </w:p>
    <w:p w14:paraId="24B5B48D" w14:textId="4B86B8AE" w:rsidR="001F654B" w:rsidRPr="001F654B" w:rsidRDefault="0040113A" w:rsidP="001F654B">
      <w:pPr>
        <w:rPr>
          <w:i/>
        </w:rPr>
      </w:pPr>
      <w:r w:rsidRPr="001F654B">
        <w:rPr>
          <w:i/>
        </w:rPr>
        <w:t>Bibliography:</w:t>
      </w:r>
      <w:r w:rsidR="00875DE5" w:rsidRPr="001F654B">
        <w:rPr>
          <w:i/>
        </w:rPr>
        <w:t xml:space="preserve"> </w:t>
      </w:r>
      <w:r w:rsidR="00EF1622" w:rsidRPr="001F654B">
        <w:rPr>
          <w:i/>
        </w:rPr>
        <w:t xml:space="preserve"> </w:t>
      </w:r>
    </w:p>
    <w:p w14:paraId="06CE9B1B" w14:textId="77777777" w:rsidR="00931542" w:rsidRDefault="00931542" w:rsidP="001F654B"/>
    <w:p w14:paraId="6F6D97E0" w14:textId="77777777" w:rsidR="00931542" w:rsidRDefault="00931542" w:rsidP="001F654B"/>
    <w:p w14:paraId="43EA74FF" w14:textId="44832306" w:rsidR="001F654B" w:rsidRDefault="001F654B" w:rsidP="001F654B">
      <w:r>
        <w:t xml:space="preserve">Bryce </w:t>
      </w:r>
      <w:r w:rsidR="00931542">
        <w:t>T,</w:t>
      </w:r>
      <w:r w:rsidR="00D92A6F">
        <w:t xml:space="preserve"> 2014</w:t>
      </w:r>
      <w:r w:rsidR="00D92A6F" w:rsidRPr="00D92A6F">
        <w:rPr>
          <w:i/>
        </w:rPr>
        <w:t>; Ancient Syria A Three Thousand Year History</w:t>
      </w:r>
      <w:r w:rsidR="00D92A6F">
        <w:t>; Oxford University Press; Oxford.</w:t>
      </w:r>
    </w:p>
    <w:p w14:paraId="6F1DC958" w14:textId="778D1702" w:rsidR="00931542" w:rsidRDefault="00931542" w:rsidP="001F654B">
      <w:r>
        <w:t>Cottrell L,</w:t>
      </w:r>
      <w:r w:rsidR="00D92A6F">
        <w:t xml:space="preserve"> 1972; </w:t>
      </w:r>
      <w:r w:rsidR="00D92A6F" w:rsidRPr="00D92A6F">
        <w:rPr>
          <w:i/>
        </w:rPr>
        <w:t>The Concise Encyclopedia of Archaeology</w:t>
      </w:r>
      <w:r w:rsidR="00D92A6F">
        <w:t>; Book Club Associates; London.</w:t>
      </w:r>
    </w:p>
    <w:p w14:paraId="37A6F0EB" w14:textId="2D54A0DB" w:rsidR="00931542" w:rsidRDefault="00931542" w:rsidP="001F654B">
      <w:r>
        <w:t>Handcock P.S.P.,</w:t>
      </w:r>
      <w:r w:rsidR="00D92A6F">
        <w:t xml:space="preserve"> 1912;</w:t>
      </w:r>
      <w:r w:rsidR="00E15B4D">
        <w:t xml:space="preserve"> </w:t>
      </w:r>
      <w:r w:rsidR="00E15B4D" w:rsidRPr="00D92A6F">
        <w:rPr>
          <w:i/>
        </w:rPr>
        <w:t>Mesopotamian Archaeology</w:t>
      </w:r>
      <w:r w:rsidR="00E15B4D">
        <w:t>; Macmillan and Co</w:t>
      </w:r>
      <w:r w:rsidR="00D92A6F">
        <w:t>; London.</w:t>
      </w:r>
      <w:r w:rsidR="00E15B4D">
        <w:t xml:space="preserve"> </w:t>
      </w:r>
    </w:p>
    <w:p w14:paraId="22BCB7F6" w14:textId="172C3CF0" w:rsidR="00931542" w:rsidRDefault="00931542" w:rsidP="001F654B">
      <w:r>
        <w:t>Lane-Fox R,</w:t>
      </w:r>
      <w:r w:rsidR="00D92A6F">
        <w:t xml:space="preserve"> 1974; </w:t>
      </w:r>
      <w:r w:rsidR="00D92A6F" w:rsidRPr="00D92A6F">
        <w:rPr>
          <w:i/>
        </w:rPr>
        <w:t>Alexander the Great</w:t>
      </w:r>
      <w:r w:rsidR="00D92A6F">
        <w:t>; Allen Lane; London.</w:t>
      </w:r>
    </w:p>
    <w:p w14:paraId="7AB72AB5" w14:textId="54591AF2" w:rsidR="00E72510" w:rsidRPr="00E72510" w:rsidRDefault="00931542" w:rsidP="0014555A">
      <w:pPr>
        <w:rPr>
          <w:i/>
        </w:rPr>
      </w:pPr>
      <w:r>
        <w:t>Podany A.H,</w:t>
      </w:r>
      <w:r w:rsidR="00E72510">
        <w:t xml:space="preserve"> 2010; </w:t>
      </w:r>
      <w:r w:rsidR="00E72510" w:rsidRPr="00E72510">
        <w:rPr>
          <w:i/>
        </w:rPr>
        <w:t xml:space="preserve">Brotherhood of Kings; How International Relations Shaped </w:t>
      </w:r>
      <w:r w:rsidR="00D92A6F" w:rsidRPr="00E72510">
        <w:rPr>
          <w:i/>
        </w:rPr>
        <w:t>the</w:t>
      </w:r>
      <w:r w:rsidR="00E72510" w:rsidRPr="00E72510">
        <w:rPr>
          <w:i/>
        </w:rPr>
        <w:t xml:space="preserve"> Ancient Near East</w:t>
      </w:r>
      <w:r w:rsidR="00E72510">
        <w:rPr>
          <w:i/>
        </w:rPr>
        <w:t xml:space="preserve">; </w:t>
      </w:r>
      <w:r w:rsidR="00E72510" w:rsidRPr="00E72510">
        <w:t>Oxford University Press; Oxford.</w:t>
      </w:r>
    </w:p>
    <w:p w14:paraId="1A47705D" w14:textId="3A0F5EDE" w:rsidR="00931542" w:rsidRPr="00E72510" w:rsidRDefault="00931542" w:rsidP="0014555A">
      <w:r>
        <w:t>Rawlinson G,</w:t>
      </w:r>
      <w:r w:rsidR="00A55591">
        <w:t xml:space="preserve"> 2005; </w:t>
      </w:r>
      <w:r w:rsidR="0014555A">
        <w:rPr>
          <w:i/>
        </w:rPr>
        <w:t xml:space="preserve"> Phoenicia History of a Civilization; </w:t>
      </w:r>
      <w:r w:rsidR="0014555A" w:rsidRPr="00E72510">
        <w:t xml:space="preserve">I.B. Tauris; London and New York. </w:t>
      </w:r>
    </w:p>
    <w:p w14:paraId="380B49F0" w14:textId="5021785A" w:rsidR="00931542" w:rsidRPr="0014555A" w:rsidRDefault="00931542" w:rsidP="00E72510"/>
    <w:p w14:paraId="0543D6BB" w14:textId="169177C9" w:rsidR="00931542" w:rsidRDefault="00931542" w:rsidP="001F654B"/>
    <w:p w14:paraId="65AD282B" w14:textId="3EEAE4C5" w:rsidR="00931542" w:rsidRDefault="00931542" w:rsidP="001F654B"/>
    <w:p w14:paraId="545729AA" w14:textId="7789CABB" w:rsidR="00931542" w:rsidRDefault="00931542" w:rsidP="001F654B">
      <w:pPr>
        <w:rPr>
          <w:b/>
          <w:i/>
        </w:rPr>
      </w:pPr>
      <w:r w:rsidRPr="00931542">
        <w:rPr>
          <w:b/>
          <w:i/>
        </w:rPr>
        <w:t>On-Line Publication:</w:t>
      </w:r>
    </w:p>
    <w:p w14:paraId="7C336E47" w14:textId="5C1A8DDB" w:rsidR="00931542" w:rsidRDefault="00931542" w:rsidP="00931542"/>
    <w:p w14:paraId="01C0F257" w14:textId="621D96AC" w:rsidR="00931542" w:rsidRDefault="00931542" w:rsidP="00931542"/>
    <w:p w14:paraId="242A1EA1" w14:textId="0610251A" w:rsidR="00931542" w:rsidRPr="00931542" w:rsidRDefault="00931542" w:rsidP="00931542">
      <w:r>
        <w:t>Douglass S,</w:t>
      </w:r>
      <w:r w:rsidR="00D92A6F">
        <w:t xml:space="preserve"> 2014; </w:t>
      </w:r>
      <w:r w:rsidR="001D5095">
        <w:t>Our Shared Past In The Mediterranean A World History Curriculum Project for Educators; Ali Vural AK Center for Global Islamic Studies; Istanbul.</w:t>
      </w:r>
    </w:p>
    <w:p w14:paraId="1417FE77" w14:textId="77777777" w:rsidR="00931542" w:rsidRPr="00931542" w:rsidRDefault="00931542" w:rsidP="00931542"/>
    <w:p w14:paraId="7D0884E9" w14:textId="08ED0A01" w:rsidR="00931542" w:rsidRPr="00931542" w:rsidRDefault="00931542" w:rsidP="001F654B">
      <w:pPr>
        <w:rPr>
          <w:b/>
          <w:i/>
        </w:rPr>
      </w:pPr>
      <w:r w:rsidRPr="00931542">
        <w:rPr>
          <w:b/>
          <w:i/>
        </w:rPr>
        <w:t>Figs:</w:t>
      </w:r>
      <w:r w:rsidR="00DC67F9">
        <w:rPr>
          <w:b/>
          <w:i/>
        </w:rPr>
        <w:t xml:space="preserve"> (See attached).</w:t>
      </w:r>
    </w:p>
    <w:p w14:paraId="4F0CD3D9" w14:textId="3A27FB08" w:rsidR="00931542" w:rsidRDefault="00931542" w:rsidP="001F654B">
      <w:pPr>
        <w:rPr>
          <w:i/>
        </w:rPr>
      </w:pPr>
    </w:p>
    <w:p w14:paraId="2AD63B86" w14:textId="7DC2A90D" w:rsidR="00931542" w:rsidRDefault="00931542" w:rsidP="00931542">
      <w:r>
        <w:t>Fig 01,</w:t>
      </w:r>
      <w:r w:rsidR="00DC67F9">
        <w:t xml:space="preserve"> Plan of Tyre, Page 43. Phoenicia History of a Civilization. 2005; I.B. Tauris; London and New York.</w:t>
      </w:r>
    </w:p>
    <w:p w14:paraId="2FD0BDEA" w14:textId="2B0928E1" w:rsidR="00931542" w:rsidRDefault="00931542" w:rsidP="00931542">
      <w:r>
        <w:t>Fig 02,</w:t>
      </w:r>
      <w:r w:rsidR="00DC67F9">
        <w:t xml:space="preserve"> Plan of Sidon, Page 47. Phoenicia History of a Civilization. 2005; I.B. Tauris; London and New York.</w:t>
      </w:r>
    </w:p>
    <w:p w14:paraId="78A369C4" w14:textId="5C704FBB" w:rsidR="00A13363" w:rsidRDefault="00931542">
      <w:r>
        <w:t>Fig 03,</w:t>
      </w:r>
      <w:r w:rsidR="00DC67F9">
        <w:t xml:space="preserve"> Phoenician Galley and Bireme, from paintings, Page 73. Phoenicia History of a Civilization. </w:t>
      </w:r>
      <w:r w:rsidR="00D92A6F">
        <w:t>2005; I.B</w:t>
      </w:r>
      <w:r w:rsidR="00DC67F9">
        <w:t xml:space="preserve"> Tauris; London and New York.  </w:t>
      </w:r>
    </w:p>
    <w:p w14:paraId="5BAF99AA" w14:textId="1B4071BA" w:rsidR="00A13363" w:rsidRDefault="00A13363">
      <w:r w:rsidRPr="00A13363">
        <w:rPr>
          <w:noProof/>
        </w:rPr>
        <w:lastRenderedPageBreak/>
        <w:drawing>
          <wp:inline distT="0" distB="0" distL="0" distR="0" wp14:anchorId="4C8CD2C6" wp14:editId="5BDF294E">
            <wp:extent cx="5667375" cy="95059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67375" cy="9505950"/>
                    </a:xfrm>
                    <a:prstGeom prst="rect">
                      <a:avLst/>
                    </a:prstGeom>
                    <a:noFill/>
                    <a:ln>
                      <a:noFill/>
                    </a:ln>
                  </pic:spPr>
                </pic:pic>
              </a:graphicData>
            </a:graphic>
          </wp:inline>
        </w:drawing>
      </w:r>
    </w:p>
    <w:p w14:paraId="6B56ECC5" w14:textId="4679289F" w:rsidR="00FF3921" w:rsidRDefault="00FF3921">
      <w:pPr>
        <w:rPr>
          <w:b/>
          <w:i/>
        </w:rPr>
      </w:pPr>
      <w:r w:rsidRPr="0040113A">
        <w:rPr>
          <w:b/>
          <w:i/>
        </w:rPr>
        <w:lastRenderedPageBreak/>
        <w:t xml:space="preserve">     </w:t>
      </w:r>
      <w:r w:rsidR="00A13363" w:rsidRPr="00A13363">
        <w:rPr>
          <w:b/>
          <w:i/>
          <w:noProof/>
        </w:rPr>
        <w:drawing>
          <wp:inline distT="0" distB="0" distL="0" distR="0" wp14:anchorId="745CDE5C" wp14:editId="5F3D6812">
            <wp:extent cx="5629275" cy="72580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9275" cy="7258050"/>
                    </a:xfrm>
                    <a:prstGeom prst="rect">
                      <a:avLst/>
                    </a:prstGeom>
                    <a:noFill/>
                    <a:ln>
                      <a:noFill/>
                    </a:ln>
                  </pic:spPr>
                </pic:pic>
              </a:graphicData>
            </a:graphic>
          </wp:inline>
        </w:drawing>
      </w:r>
    </w:p>
    <w:p w14:paraId="31183321" w14:textId="2E9E40EB" w:rsidR="00A13363" w:rsidRDefault="00A13363">
      <w:pPr>
        <w:rPr>
          <w:b/>
          <w:i/>
        </w:rPr>
      </w:pPr>
    </w:p>
    <w:p w14:paraId="082D4440" w14:textId="4BA00CA9" w:rsidR="00A13363" w:rsidRDefault="00A13363">
      <w:pPr>
        <w:rPr>
          <w:b/>
          <w:i/>
        </w:rPr>
      </w:pPr>
    </w:p>
    <w:p w14:paraId="56129F30" w14:textId="2371CE94" w:rsidR="00A13363" w:rsidRDefault="00A13363">
      <w:pPr>
        <w:rPr>
          <w:b/>
          <w:i/>
        </w:rPr>
      </w:pPr>
    </w:p>
    <w:p w14:paraId="600ECAF2" w14:textId="328C952F" w:rsidR="00A13363" w:rsidRDefault="00A13363">
      <w:pPr>
        <w:rPr>
          <w:b/>
          <w:i/>
        </w:rPr>
      </w:pPr>
    </w:p>
    <w:p w14:paraId="5643FBCC" w14:textId="6F0D0767" w:rsidR="00A13363" w:rsidRPr="0040113A" w:rsidRDefault="00A13363">
      <w:pPr>
        <w:rPr>
          <w:b/>
          <w:i/>
        </w:rPr>
      </w:pPr>
      <w:r w:rsidRPr="00A13363">
        <w:rPr>
          <w:b/>
          <w:i/>
          <w:noProof/>
        </w:rPr>
        <w:lastRenderedPageBreak/>
        <w:drawing>
          <wp:inline distT="0" distB="0" distL="0" distR="0" wp14:anchorId="44BFDDCC" wp14:editId="7783B5B7">
            <wp:extent cx="5731112" cy="9062720"/>
            <wp:effectExtent l="0" t="0" r="3175"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5776" cy="9070096"/>
                    </a:xfrm>
                    <a:prstGeom prst="rect">
                      <a:avLst/>
                    </a:prstGeom>
                    <a:noFill/>
                    <a:ln>
                      <a:noFill/>
                    </a:ln>
                  </pic:spPr>
                </pic:pic>
              </a:graphicData>
            </a:graphic>
          </wp:inline>
        </w:drawing>
      </w:r>
    </w:p>
    <w:sectPr w:rsidR="00A13363" w:rsidRPr="004011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B2A9AC" w14:textId="77777777" w:rsidR="005341C8" w:rsidRDefault="005341C8" w:rsidP="00A645E4">
      <w:pPr>
        <w:spacing w:after="0" w:line="240" w:lineRule="auto"/>
      </w:pPr>
      <w:r>
        <w:separator/>
      </w:r>
    </w:p>
  </w:endnote>
  <w:endnote w:type="continuationSeparator" w:id="0">
    <w:p w14:paraId="125287DA" w14:textId="77777777" w:rsidR="005341C8" w:rsidRDefault="005341C8" w:rsidP="00A645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50BBD2" w14:textId="77777777" w:rsidR="005341C8" w:rsidRDefault="005341C8" w:rsidP="00A645E4">
      <w:pPr>
        <w:spacing w:after="0" w:line="240" w:lineRule="auto"/>
      </w:pPr>
      <w:r>
        <w:separator/>
      </w:r>
    </w:p>
  </w:footnote>
  <w:footnote w:type="continuationSeparator" w:id="0">
    <w:p w14:paraId="2BB23630" w14:textId="77777777" w:rsidR="005341C8" w:rsidRDefault="005341C8" w:rsidP="00A645E4">
      <w:pPr>
        <w:spacing w:after="0" w:line="240" w:lineRule="auto"/>
      </w:pPr>
      <w:r>
        <w:continuationSeparator/>
      </w:r>
    </w:p>
  </w:footnote>
  <w:footnote w:id="1">
    <w:p w14:paraId="37C5516C" w14:textId="1CEF079C" w:rsidR="00A645E4" w:rsidRDefault="00A645E4">
      <w:pPr>
        <w:pStyle w:val="FootnoteText"/>
      </w:pPr>
      <w:r>
        <w:rPr>
          <w:rStyle w:val="FootnoteReference"/>
        </w:rPr>
        <w:footnoteRef/>
      </w:r>
      <w:r>
        <w:t xml:space="preserve"> </w:t>
      </w:r>
      <w:r w:rsidR="00B5610B">
        <w:t>Cottrell L, 1972; p</w:t>
      </w:r>
      <w:r w:rsidR="00AF533F">
        <w:t xml:space="preserve"> </w:t>
      </w:r>
      <w:r w:rsidR="00B5610B">
        <w:t>299</w:t>
      </w:r>
    </w:p>
    <w:p w14:paraId="6845B219" w14:textId="77777777" w:rsidR="00A645E4" w:rsidRDefault="00A645E4">
      <w:pPr>
        <w:pStyle w:val="FootnoteText"/>
      </w:pPr>
    </w:p>
  </w:footnote>
  <w:footnote w:id="2">
    <w:p w14:paraId="6A89A1CC" w14:textId="15DB6644" w:rsidR="00F03A41" w:rsidRDefault="00F03A41">
      <w:pPr>
        <w:pStyle w:val="FootnoteText"/>
      </w:pPr>
      <w:r>
        <w:rPr>
          <w:rStyle w:val="FootnoteReference"/>
        </w:rPr>
        <w:footnoteRef/>
      </w:r>
      <w:r>
        <w:t xml:space="preserve"> Cottrell L, 1972; p</w:t>
      </w:r>
      <w:r w:rsidR="00AF533F">
        <w:t xml:space="preserve"> </w:t>
      </w:r>
      <w:r>
        <w:t>379</w:t>
      </w:r>
    </w:p>
  </w:footnote>
  <w:footnote w:id="3">
    <w:p w14:paraId="015230DD" w14:textId="07886019" w:rsidR="00EF1622" w:rsidRDefault="00EF1622">
      <w:pPr>
        <w:pStyle w:val="FootnoteText"/>
      </w:pPr>
      <w:r>
        <w:rPr>
          <w:rStyle w:val="FootnoteReference"/>
        </w:rPr>
        <w:footnoteRef/>
      </w:r>
      <w:r>
        <w:t xml:space="preserve"> </w:t>
      </w:r>
      <w:r w:rsidR="00A521C6">
        <w:t>Cottrell L, 1972; p</w:t>
      </w:r>
      <w:r w:rsidR="00AF533F">
        <w:t xml:space="preserve"> </w:t>
      </w:r>
      <w:r w:rsidR="00A521C6">
        <w:t>379</w:t>
      </w:r>
    </w:p>
  </w:footnote>
  <w:footnote w:id="4">
    <w:p w14:paraId="1995EEE7" w14:textId="2030B47A" w:rsidR="00F03A41" w:rsidRDefault="00F03A41">
      <w:pPr>
        <w:pStyle w:val="FootnoteText"/>
      </w:pPr>
      <w:r>
        <w:rPr>
          <w:rStyle w:val="FootnoteReference"/>
        </w:rPr>
        <w:footnoteRef/>
      </w:r>
      <w:r>
        <w:t xml:space="preserve"> </w:t>
      </w:r>
      <w:r w:rsidR="00B5610B">
        <w:t>Cottrell L, 1972; p</w:t>
      </w:r>
      <w:r w:rsidR="00AF533F">
        <w:t xml:space="preserve"> </w:t>
      </w:r>
      <w:r w:rsidR="00B5610B">
        <w:t>299</w:t>
      </w:r>
    </w:p>
  </w:footnote>
  <w:footnote w:id="5">
    <w:p w14:paraId="372FAC6A" w14:textId="12F37087" w:rsidR="00464245" w:rsidRDefault="00464245">
      <w:pPr>
        <w:pStyle w:val="FootnoteText"/>
      </w:pPr>
      <w:r>
        <w:rPr>
          <w:rStyle w:val="FootnoteReference"/>
        </w:rPr>
        <w:footnoteRef/>
      </w:r>
      <w:r>
        <w:t xml:space="preserve"> </w:t>
      </w:r>
      <w:r w:rsidR="0087786A">
        <w:t>Lane-Fox R, 1974; p</w:t>
      </w:r>
      <w:r w:rsidR="00AF533F">
        <w:t xml:space="preserve"> </w:t>
      </w:r>
      <w:r w:rsidR="0087786A">
        <w:t>179</w:t>
      </w:r>
    </w:p>
  </w:footnote>
  <w:footnote w:id="6">
    <w:p w14:paraId="545F2DA0" w14:textId="346E9FC1" w:rsidR="00A712B8" w:rsidRDefault="00A712B8">
      <w:pPr>
        <w:pStyle w:val="FootnoteText"/>
      </w:pPr>
      <w:r>
        <w:rPr>
          <w:rStyle w:val="FootnoteReference"/>
        </w:rPr>
        <w:footnoteRef/>
      </w:r>
      <w:r>
        <w:t xml:space="preserve"> Rawlinson G, 2005; p</w:t>
      </w:r>
      <w:r w:rsidR="00AF533F">
        <w:t xml:space="preserve"> </w:t>
      </w:r>
      <w:r>
        <w:t>43</w:t>
      </w:r>
    </w:p>
  </w:footnote>
  <w:footnote w:id="7">
    <w:p w14:paraId="61AD62D9" w14:textId="348A3060" w:rsidR="00AF533F" w:rsidRDefault="00AF533F">
      <w:pPr>
        <w:pStyle w:val="FootnoteText"/>
      </w:pPr>
      <w:r>
        <w:rPr>
          <w:rStyle w:val="FootnoteReference"/>
        </w:rPr>
        <w:footnoteRef/>
      </w:r>
      <w:r>
        <w:t xml:space="preserve"> Rawlinson G, 2005; p 45</w:t>
      </w:r>
    </w:p>
  </w:footnote>
  <w:footnote w:id="8">
    <w:p w14:paraId="5CB986F7" w14:textId="45C6EDF8" w:rsidR="00B938DD" w:rsidRDefault="00B938DD">
      <w:pPr>
        <w:pStyle w:val="FootnoteText"/>
      </w:pPr>
      <w:r>
        <w:rPr>
          <w:rStyle w:val="FootnoteReference"/>
        </w:rPr>
        <w:footnoteRef/>
      </w:r>
      <w:r>
        <w:t xml:space="preserve"> Bryce T, 2014; p 150-5</w:t>
      </w:r>
    </w:p>
  </w:footnote>
  <w:footnote w:id="9">
    <w:p w14:paraId="243A5ACA" w14:textId="19F5A354" w:rsidR="00AC21DB" w:rsidRDefault="00AC21DB">
      <w:pPr>
        <w:pStyle w:val="FootnoteText"/>
      </w:pPr>
      <w:r>
        <w:rPr>
          <w:rStyle w:val="FootnoteReference"/>
        </w:rPr>
        <w:footnoteRef/>
      </w:r>
      <w:r>
        <w:t xml:space="preserve"> Rawlinson G, 2005; p 41</w:t>
      </w:r>
    </w:p>
  </w:footnote>
  <w:footnote w:id="10">
    <w:p w14:paraId="382DC56A" w14:textId="0D85553F" w:rsidR="007705D1" w:rsidRDefault="007705D1">
      <w:pPr>
        <w:pStyle w:val="FootnoteText"/>
      </w:pPr>
      <w:r>
        <w:rPr>
          <w:rStyle w:val="FootnoteReference"/>
        </w:rPr>
        <w:footnoteRef/>
      </w:r>
      <w:r>
        <w:t xml:space="preserve"> Rawlinson G, 2005; p 41-5</w:t>
      </w:r>
    </w:p>
  </w:footnote>
  <w:footnote w:id="11">
    <w:p w14:paraId="48842DFF" w14:textId="5FD741F0" w:rsidR="0000383D" w:rsidRDefault="0000383D">
      <w:pPr>
        <w:pStyle w:val="FootnoteText"/>
      </w:pPr>
      <w:r>
        <w:rPr>
          <w:rStyle w:val="FootnoteReference"/>
        </w:rPr>
        <w:footnoteRef/>
      </w:r>
      <w:r>
        <w:t xml:space="preserve"> Rawlinson G, 2005; p 40-3</w:t>
      </w:r>
    </w:p>
  </w:footnote>
  <w:footnote w:id="12">
    <w:p w14:paraId="7B2C84FF" w14:textId="59689D70" w:rsidR="0041673F" w:rsidRDefault="0041673F">
      <w:pPr>
        <w:pStyle w:val="FootnoteText"/>
      </w:pPr>
      <w:r>
        <w:rPr>
          <w:rStyle w:val="FootnoteReference"/>
        </w:rPr>
        <w:footnoteRef/>
      </w:r>
      <w:r>
        <w:t xml:space="preserve"> </w:t>
      </w:r>
      <w:r w:rsidR="005C44A9">
        <w:t>Rawlinson G, 2005; p 40-5</w:t>
      </w:r>
      <w:r w:rsidR="00194276">
        <w:t xml:space="preserve"> </w:t>
      </w:r>
    </w:p>
  </w:footnote>
  <w:footnote w:id="13">
    <w:p w14:paraId="7BFA83D1" w14:textId="4471EAB9" w:rsidR="00981D61" w:rsidRDefault="00981D61">
      <w:pPr>
        <w:pStyle w:val="FootnoteText"/>
      </w:pPr>
      <w:r>
        <w:rPr>
          <w:rStyle w:val="FootnoteReference"/>
        </w:rPr>
        <w:footnoteRef/>
      </w:r>
      <w:r>
        <w:t xml:space="preserve"> </w:t>
      </w:r>
      <w:r w:rsidR="00194276">
        <w:t>Handcock P.S.P., 1912; p 362</w:t>
      </w:r>
    </w:p>
  </w:footnote>
  <w:footnote w:id="14">
    <w:p w14:paraId="0EB49F33" w14:textId="47D9B4D8" w:rsidR="00452ED5" w:rsidRDefault="00452ED5">
      <w:pPr>
        <w:pStyle w:val="FootnoteText"/>
      </w:pPr>
      <w:r>
        <w:rPr>
          <w:rStyle w:val="FootnoteReference"/>
        </w:rPr>
        <w:footnoteRef/>
      </w:r>
      <w:r>
        <w:t xml:space="preserve"> Handcock P.S.P</w:t>
      </w:r>
      <w:r w:rsidR="000D0902">
        <w:t>.</w:t>
      </w:r>
      <w:r w:rsidR="00C115B6">
        <w:t>, 1912</w:t>
      </w:r>
      <w:r w:rsidR="000D0902">
        <w:t>; p 361-3</w:t>
      </w:r>
    </w:p>
  </w:footnote>
  <w:footnote w:id="15">
    <w:p w14:paraId="7895E573" w14:textId="18820A60" w:rsidR="00C115B6" w:rsidRDefault="00C115B6">
      <w:pPr>
        <w:pStyle w:val="FootnoteText"/>
      </w:pPr>
      <w:r>
        <w:rPr>
          <w:rStyle w:val="FootnoteReference"/>
        </w:rPr>
        <w:footnoteRef/>
      </w:r>
      <w:r>
        <w:t xml:space="preserve"> Handcock P.S.P.</w:t>
      </w:r>
      <w:r w:rsidR="00057F28">
        <w:t>, 1912</w:t>
      </w:r>
      <w:r>
        <w:t>; p 362</w:t>
      </w:r>
    </w:p>
  </w:footnote>
  <w:footnote w:id="16">
    <w:p w14:paraId="1AD7C2A0" w14:textId="31E46183" w:rsidR="00F24C67" w:rsidRDefault="00F24C67">
      <w:pPr>
        <w:pStyle w:val="FootnoteText"/>
      </w:pPr>
      <w:r>
        <w:rPr>
          <w:rStyle w:val="FootnoteReference"/>
        </w:rPr>
        <w:footnoteRef/>
      </w:r>
      <w:r>
        <w:t xml:space="preserve"> Handcock P.S.P.</w:t>
      </w:r>
      <w:r w:rsidR="00057F28">
        <w:t>, 1912</w:t>
      </w:r>
      <w:r>
        <w:t>; p 362</w:t>
      </w:r>
    </w:p>
  </w:footnote>
  <w:footnote w:id="17">
    <w:p w14:paraId="0B86B039" w14:textId="6B7E6F25" w:rsidR="00DE1D13" w:rsidRDefault="00DE1D13">
      <w:pPr>
        <w:pStyle w:val="FootnoteText"/>
      </w:pPr>
      <w:r>
        <w:rPr>
          <w:rStyle w:val="FootnoteReference"/>
        </w:rPr>
        <w:footnoteRef/>
      </w:r>
      <w:r>
        <w:t xml:space="preserve"> Handcock P.S.P.</w:t>
      </w:r>
      <w:r w:rsidR="00057F28">
        <w:t>, 1912</w:t>
      </w:r>
      <w:r>
        <w:t>; p 362</w:t>
      </w:r>
    </w:p>
  </w:footnote>
  <w:footnote w:id="18">
    <w:p w14:paraId="49D00F3E" w14:textId="3DB134A9" w:rsidR="00AD430B" w:rsidRDefault="00AD430B">
      <w:pPr>
        <w:pStyle w:val="FootnoteText"/>
      </w:pPr>
      <w:r>
        <w:rPr>
          <w:rStyle w:val="FootnoteReference"/>
        </w:rPr>
        <w:footnoteRef/>
      </w:r>
      <w:r>
        <w:t xml:space="preserve"> Handcock P.S.P.</w:t>
      </w:r>
      <w:r w:rsidR="00057F28">
        <w:t>, 1912</w:t>
      </w:r>
      <w:r>
        <w:t>; p 362</w:t>
      </w:r>
    </w:p>
  </w:footnote>
  <w:footnote w:id="19">
    <w:p w14:paraId="7A0A1C09" w14:textId="5B182A6D" w:rsidR="001251B9" w:rsidRDefault="001251B9">
      <w:pPr>
        <w:pStyle w:val="FootnoteText"/>
      </w:pPr>
      <w:r>
        <w:rPr>
          <w:rStyle w:val="FootnoteReference"/>
        </w:rPr>
        <w:footnoteRef/>
      </w:r>
      <w:r>
        <w:t xml:space="preserve"> Douglass S, 2014; p 1</w:t>
      </w:r>
    </w:p>
  </w:footnote>
  <w:footnote w:id="20">
    <w:p w14:paraId="22A624C6" w14:textId="5D174D31" w:rsidR="001A288E" w:rsidRDefault="001A288E">
      <w:pPr>
        <w:pStyle w:val="FootnoteText"/>
      </w:pPr>
      <w:r>
        <w:rPr>
          <w:rStyle w:val="FootnoteReference"/>
        </w:rPr>
        <w:footnoteRef/>
      </w:r>
      <w:r>
        <w:t xml:space="preserve"> </w:t>
      </w:r>
      <w:r w:rsidR="005C49DA">
        <w:t>Rawlinson G, 2005; p 149-64</w:t>
      </w:r>
    </w:p>
  </w:footnote>
  <w:footnote w:id="21">
    <w:p w14:paraId="28D5505F" w14:textId="019D04DF" w:rsidR="00ED71D9" w:rsidRDefault="00ED71D9">
      <w:pPr>
        <w:pStyle w:val="FootnoteText"/>
      </w:pPr>
      <w:r>
        <w:rPr>
          <w:rStyle w:val="FootnoteReference"/>
        </w:rPr>
        <w:footnoteRef/>
      </w:r>
      <w:r>
        <w:t xml:space="preserve"> </w:t>
      </w:r>
      <w:r w:rsidR="00E00BFC">
        <w:t>P</w:t>
      </w:r>
      <w:r w:rsidR="003C5047">
        <w:t>o</w:t>
      </w:r>
      <w:r w:rsidR="00E00BFC">
        <w:t>d</w:t>
      </w:r>
      <w:r w:rsidR="003C5047">
        <w:t>any A.H., 2010; p 26-28</w:t>
      </w:r>
      <w:r w:rsidR="00D64397">
        <w:t xml:space="preserve"> </w:t>
      </w:r>
    </w:p>
  </w:footnote>
  <w:footnote w:id="22">
    <w:p w14:paraId="264F8A23" w14:textId="2D3282D4" w:rsidR="00ED71D9" w:rsidRDefault="00ED71D9">
      <w:pPr>
        <w:pStyle w:val="FootnoteText"/>
      </w:pPr>
      <w:r>
        <w:rPr>
          <w:rStyle w:val="FootnoteReference"/>
        </w:rPr>
        <w:footnoteRef/>
      </w:r>
      <w:r>
        <w:t xml:space="preserve"> </w:t>
      </w:r>
      <w:r w:rsidR="00D64397">
        <w:t>Podany A.H., 2010; p 53-4</w:t>
      </w:r>
    </w:p>
  </w:footnote>
  <w:footnote w:id="23">
    <w:p w14:paraId="4D1D3F93" w14:textId="672250C0" w:rsidR="00097CC9" w:rsidRDefault="00097CC9">
      <w:pPr>
        <w:pStyle w:val="FootnoteText"/>
      </w:pPr>
      <w:r>
        <w:rPr>
          <w:rStyle w:val="FootnoteReference"/>
        </w:rPr>
        <w:footnoteRef/>
      </w:r>
      <w:r>
        <w:t xml:space="preserve"> </w:t>
      </w:r>
      <w:r w:rsidR="00D64397">
        <w:t>Podany A.H., 2010; p 260,275,282</w:t>
      </w:r>
    </w:p>
  </w:footnote>
  <w:footnote w:id="24">
    <w:p w14:paraId="1BB843D4" w14:textId="1539AE80" w:rsidR="00BA7C83" w:rsidRDefault="00BA7C83">
      <w:pPr>
        <w:pStyle w:val="FootnoteText"/>
      </w:pPr>
      <w:r>
        <w:rPr>
          <w:rStyle w:val="FootnoteReference"/>
        </w:rPr>
        <w:footnoteRef/>
      </w:r>
      <w:r>
        <w:t xml:space="preserve"> Douglass S, 2014; p 1</w:t>
      </w:r>
    </w:p>
  </w:footnote>
  <w:footnote w:id="25">
    <w:p w14:paraId="156B7FC9" w14:textId="34A42B36" w:rsidR="003A73AC" w:rsidRDefault="003A73AC">
      <w:pPr>
        <w:pStyle w:val="FootnoteText"/>
      </w:pPr>
      <w:r>
        <w:rPr>
          <w:rStyle w:val="FootnoteReference"/>
        </w:rPr>
        <w:footnoteRef/>
      </w:r>
      <w:r>
        <w:t xml:space="preserve"> Douglass </w:t>
      </w:r>
      <w:r w:rsidR="00F026FE">
        <w:t>S, 2014</w:t>
      </w:r>
      <w:r>
        <w:t>; p1</w:t>
      </w:r>
    </w:p>
  </w:footnote>
  <w:footnote w:id="26">
    <w:p w14:paraId="2C7619C3" w14:textId="1D6AF81F" w:rsidR="00DE1A8D" w:rsidRDefault="00DE1A8D">
      <w:pPr>
        <w:pStyle w:val="FootnoteText"/>
      </w:pPr>
      <w:r>
        <w:rPr>
          <w:rStyle w:val="FootnoteReference"/>
        </w:rPr>
        <w:footnoteRef/>
      </w:r>
      <w:r>
        <w:t xml:space="preserve"> Douglass S, 2014; p1</w:t>
      </w:r>
    </w:p>
  </w:footnote>
  <w:footnote w:id="27">
    <w:p w14:paraId="75BB72B8" w14:textId="3D89D9AC" w:rsidR="002153E4" w:rsidRDefault="002153E4">
      <w:pPr>
        <w:pStyle w:val="FootnoteText"/>
      </w:pPr>
      <w:r>
        <w:rPr>
          <w:rStyle w:val="FootnoteReference"/>
        </w:rPr>
        <w:footnoteRef/>
      </w:r>
      <w:r>
        <w:t xml:space="preserve"> </w:t>
      </w:r>
      <w:r w:rsidR="00D414F8">
        <w:t>Rawlinson G, 2005; p 72-88</w:t>
      </w:r>
    </w:p>
  </w:footnote>
  <w:footnote w:id="28">
    <w:p w14:paraId="689D5EAF" w14:textId="079F1F22" w:rsidR="002153E4" w:rsidRDefault="002153E4">
      <w:pPr>
        <w:pStyle w:val="FootnoteText"/>
      </w:pPr>
      <w:r>
        <w:rPr>
          <w:rStyle w:val="FootnoteReference"/>
        </w:rPr>
        <w:footnoteRef/>
      </w:r>
      <w:r>
        <w:t xml:space="preserve"> </w:t>
      </w:r>
      <w:r w:rsidR="00D414F8">
        <w:t>Rawlinson G, 2005; p 72-88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262"/>
    <w:rsid w:val="0000383D"/>
    <w:rsid w:val="000555CD"/>
    <w:rsid w:val="00057F28"/>
    <w:rsid w:val="00075F0D"/>
    <w:rsid w:val="00097CC9"/>
    <w:rsid w:val="000A623C"/>
    <w:rsid w:val="000D0902"/>
    <w:rsid w:val="001073AC"/>
    <w:rsid w:val="001251B9"/>
    <w:rsid w:val="0014555A"/>
    <w:rsid w:val="00153053"/>
    <w:rsid w:val="00162E5A"/>
    <w:rsid w:val="00164C1B"/>
    <w:rsid w:val="00194276"/>
    <w:rsid w:val="00195E7A"/>
    <w:rsid w:val="001A288E"/>
    <w:rsid w:val="001D5095"/>
    <w:rsid w:val="001D539A"/>
    <w:rsid w:val="001E14BA"/>
    <w:rsid w:val="001E5E1B"/>
    <w:rsid w:val="001E66EB"/>
    <w:rsid w:val="001F654B"/>
    <w:rsid w:val="001F749A"/>
    <w:rsid w:val="002153E4"/>
    <w:rsid w:val="00225FC5"/>
    <w:rsid w:val="002270E7"/>
    <w:rsid w:val="00236DEC"/>
    <w:rsid w:val="002522CF"/>
    <w:rsid w:val="002811F4"/>
    <w:rsid w:val="002E359C"/>
    <w:rsid w:val="002F106D"/>
    <w:rsid w:val="002F2102"/>
    <w:rsid w:val="00306F56"/>
    <w:rsid w:val="0033239B"/>
    <w:rsid w:val="00334661"/>
    <w:rsid w:val="00337C96"/>
    <w:rsid w:val="00343847"/>
    <w:rsid w:val="0036505F"/>
    <w:rsid w:val="00383C46"/>
    <w:rsid w:val="003A73AC"/>
    <w:rsid w:val="003C5047"/>
    <w:rsid w:val="003C7220"/>
    <w:rsid w:val="0040113A"/>
    <w:rsid w:val="0041050C"/>
    <w:rsid w:val="00411A6D"/>
    <w:rsid w:val="0041673F"/>
    <w:rsid w:val="004258DD"/>
    <w:rsid w:val="004436D9"/>
    <w:rsid w:val="00452ED5"/>
    <w:rsid w:val="00464245"/>
    <w:rsid w:val="00493FF7"/>
    <w:rsid w:val="004F7632"/>
    <w:rsid w:val="00522B87"/>
    <w:rsid w:val="005341C8"/>
    <w:rsid w:val="00544B9E"/>
    <w:rsid w:val="005A707D"/>
    <w:rsid w:val="005C44A9"/>
    <w:rsid w:val="005C49DA"/>
    <w:rsid w:val="00650822"/>
    <w:rsid w:val="00651A9D"/>
    <w:rsid w:val="00653D3D"/>
    <w:rsid w:val="00666B5F"/>
    <w:rsid w:val="0068011D"/>
    <w:rsid w:val="006A5314"/>
    <w:rsid w:val="006E32BF"/>
    <w:rsid w:val="006F15EB"/>
    <w:rsid w:val="007678D5"/>
    <w:rsid w:val="007705D1"/>
    <w:rsid w:val="00783CCE"/>
    <w:rsid w:val="007A4086"/>
    <w:rsid w:val="007B4534"/>
    <w:rsid w:val="007C095D"/>
    <w:rsid w:val="007D2D31"/>
    <w:rsid w:val="0081204A"/>
    <w:rsid w:val="0083229F"/>
    <w:rsid w:val="008552EA"/>
    <w:rsid w:val="008678B9"/>
    <w:rsid w:val="00873CDA"/>
    <w:rsid w:val="00875DE5"/>
    <w:rsid w:val="0087786A"/>
    <w:rsid w:val="00891F84"/>
    <w:rsid w:val="008E5D4F"/>
    <w:rsid w:val="00931542"/>
    <w:rsid w:val="00943177"/>
    <w:rsid w:val="009704D7"/>
    <w:rsid w:val="00981D61"/>
    <w:rsid w:val="009F7262"/>
    <w:rsid w:val="00A13363"/>
    <w:rsid w:val="00A521C6"/>
    <w:rsid w:val="00A55591"/>
    <w:rsid w:val="00A645E4"/>
    <w:rsid w:val="00A712B8"/>
    <w:rsid w:val="00A77BC4"/>
    <w:rsid w:val="00AB1462"/>
    <w:rsid w:val="00AB5E95"/>
    <w:rsid w:val="00AC0F4E"/>
    <w:rsid w:val="00AC21DB"/>
    <w:rsid w:val="00AD430B"/>
    <w:rsid w:val="00AF533F"/>
    <w:rsid w:val="00B01285"/>
    <w:rsid w:val="00B02846"/>
    <w:rsid w:val="00B3088B"/>
    <w:rsid w:val="00B33997"/>
    <w:rsid w:val="00B36A5B"/>
    <w:rsid w:val="00B5610B"/>
    <w:rsid w:val="00B664AB"/>
    <w:rsid w:val="00B8469A"/>
    <w:rsid w:val="00B938DD"/>
    <w:rsid w:val="00B94120"/>
    <w:rsid w:val="00BA7C83"/>
    <w:rsid w:val="00BC4142"/>
    <w:rsid w:val="00BF5295"/>
    <w:rsid w:val="00C115B6"/>
    <w:rsid w:val="00C36B37"/>
    <w:rsid w:val="00CB6FE9"/>
    <w:rsid w:val="00CC6BBC"/>
    <w:rsid w:val="00D2525D"/>
    <w:rsid w:val="00D26785"/>
    <w:rsid w:val="00D414F8"/>
    <w:rsid w:val="00D52933"/>
    <w:rsid w:val="00D64397"/>
    <w:rsid w:val="00D92A6F"/>
    <w:rsid w:val="00DC67F9"/>
    <w:rsid w:val="00DE0474"/>
    <w:rsid w:val="00DE1A8D"/>
    <w:rsid w:val="00DE1D13"/>
    <w:rsid w:val="00E00BFC"/>
    <w:rsid w:val="00E15B4D"/>
    <w:rsid w:val="00E72510"/>
    <w:rsid w:val="00EA1140"/>
    <w:rsid w:val="00EA25C7"/>
    <w:rsid w:val="00EA6EA9"/>
    <w:rsid w:val="00ED71D9"/>
    <w:rsid w:val="00EF1622"/>
    <w:rsid w:val="00F026FE"/>
    <w:rsid w:val="00F03349"/>
    <w:rsid w:val="00F03A41"/>
    <w:rsid w:val="00F12E10"/>
    <w:rsid w:val="00F24C67"/>
    <w:rsid w:val="00F307D6"/>
    <w:rsid w:val="00F558BE"/>
    <w:rsid w:val="00F90B44"/>
    <w:rsid w:val="00F90CFC"/>
    <w:rsid w:val="00FA04FC"/>
    <w:rsid w:val="00FE3344"/>
    <w:rsid w:val="00FF39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B118B"/>
  <w15:chartTrackingRefBased/>
  <w15:docId w15:val="{957C356A-BDB4-4FB8-B5E6-EA8DF0D2D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645E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45E4"/>
    <w:rPr>
      <w:sz w:val="20"/>
      <w:szCs w:val="20"/>
    </w:rPr>
  </w:style>
  <w:style w:type="character" w:styleId="FootnoteReference">
    <w:name w:val="footnote reference"/>
    <w:basedOn w:val="DefaultParagraphFont"/>
    <w:uiPriority w:val="99"/>
    <w:semiHidden/>
    <w:unhideWhenUsed/>
    <w:rsid w:val="00A645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737CF-E3D3-432C-B759-6BAC9152E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1987</Words>
  <Characters>11332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Aubrey</dc:creator>
  <cp:keywords/>
  <dc:description/>
  <cp:lastModifiedBy>Aubrey</cp:lastModifiedBy>
  <cp:revision>2</cp:revision>
  <dcterms:created xsi:type="dcterms:W3CDTF">2018-03-26T13:21:00Z</dcterms:created>
  <dcterms:modified xsi:type="dcterms:W3CDTF">2018-03-26T13:21:00Z</dcterms:modified>
</cp:coreProperties>
</file>