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
          <w:bCs/>
          <w:sz w:val="28"/>
          <w:szCs w:val="28"/>
          <w:highlight w:val="none"/>
        </w:rPr>
      </w:pPr>
      <w:r>
        <w:rPr>
          <w:rFonts w:ascii="Times New Roman" w:hAnsi="Times New Roman" w:cs="Times New Roman"/>
          <w:b/>
          <w:bCs/>
          <w:sz w:val="28"/>
          <w:szCs w:val="28"/>
          <w:highlight w:val="none"/>
        </w:rPr>
        <w:drawing>
          <wp:inline distT="0" distB="0" distL="0" distR="0">
            <wp:extent cx="4990465" cy="1958975"/>
            <wp:effectExtent l="0" t="0" r="635" b="0"/>
            <wp:docPr id="1"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a:picLocks noChangeAspect="1"/>
                    </pic:cNvPicPr>
                  </pic:nvPicPr>
                  <pic:blipFill>
                    <a:blip r:embed="rId5"/>
                    <a:stretch>
                      <a:fillRect/>
                    </a:stretch>
                  </pic:blipFill>
                  <pic:spPr>
                    <a:xfrm>
                      <a:off x="0" y="0"/>
                      <a:ext cx="5014643" cy="1968397"/>
                    </a:xfrm>
                    <a:prstGeom prst="rect">
                      <a:avLst/>
                    </a:prstGeom>
                  </pic:spPr>
                </pic:pic>
              </a:graphicData>
            </a:graphic>
          </wp:inline>
        </w:drawing>
      </w:r>
    </w:p>
    <w:p>
      <w:pPr>
        <w:spacing w:line="360" w:lineRule="auto"/>
        <w:rPr>
          <w:rFonts w:ascii="Times New Roman" w:hAnsi="Times New Roman" w:cs="Times New Roman"/>
          <w:b/>
          <w:bCs/>
          <w:sz w:val="28"/>
          <w:szCs w:val="28"/>
          <w:highlight w:val="none"/>
        </w:rPr>
      </w:pPr>
    </w:p>
    <w:p>
      <w:pPr>
        <w:widowControl/>
        <w:rPr>
          <w:rFonts w:ascii="Times New Roman" w:hAnsi="Times New Roman" w:cs="Times New Roman"/>
          <w:b/>
          <w:bCs/>
          <w:sz w:val="44"/>
          <w:szCs w:val="44"/>
          <w:highlight w:val="none"/>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r>
        <w:rPr>
          <w:rFonts w:hint="default" w:ascii="Times New Roman Regular" w:hAnsi="Times New Roman Regular" w:cs="Times New Roman Regular"/>
          <w:b/>
          <w:bCs/>
          <w:sz w:val="48"/>
          <w:szCs w:val="48"/>
          <w:highlight w:val="none"/>
          <w:lang w:eastAsia="en-GB"/>
        </w:rPr>
        <w:t>Li Miaoshan</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r>
        <w:rPr>
          <w:rFonts w:hint="default" w:ascii="Times New Roman Regular" w:hAnsi="Times New Roman Regular" w:cs="Times New Roman Regular"/>
          <w:b/>
          <w:bCs/>
          <w:sz w:val="48"/>
          <w:szCs w:val="48"/>
          <w:highlight w:val="none"/>
          <w:lang w:eastAsia="en-GB"/>
        </w:rPr>
        <w:t>Student ID: 2100726</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r>
        <w:rPr>
          <w:rFonts w:hint="default" w:ascii="Times New Roman Regular" w:hAnsi="Times New Roman Regular" w:cs="Times New Roman Regular"/>
          <w:b/>
          <w:bCs/>
          <w:sz w:val="48"/>
          <w:szCs w:val="48"/>
          <w:highlight w:val="none"/>
        </w:rPr>
        <w:t>International Business Communication</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r>
        <w:rPr>
          <w:rFonts w:hint="default" w:ascii="Times New Roman Regular" w:hAnsi="Times New Roman Regular" w:cs="Times New Roman Regular"/>
          <w:b/>
          <w:bCs/>
          <w:sz w:val="48"/>
          <w:szCs w:val="48"/>
          <w:highlight w:val="none"/>
          <w:lang w:eastAsia="en-GB"/>
        </w:rPr>
        <w:t>MODULE CODE</w:t>
      </w:r>
      <w:r>
        <w:rPr>
          <w:rFonts w:hint="default" w:ascii="Times New Roman Regular" w:hAnsi="Times New Roman Regular" w:cs="Times New Roman Regular"/>
          <w:b/>
          <w:bCs/>
          <w:sz w:val="48"/>
          <w:szCs w:val="48"/>
          <w:highlight w:val="none"/>
          <w:lang w:eastAsia="en-GB"/>
        </w:rPr>
        <w:t>：BMBM6021</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bCs/>
          <w:sz w:val="48"/>
          <w:szCs w:val="48"/>
          <w:highlight w:val="none"/>
          <w:lang w:eastAsia="en-GB"/>
        </w:rPr>
      </w:pPr>
      <w:r>
        <w:rPr>
          <w:rFonts w:hint="default" w:ascii="Times New Roman Regular" w:hAnsi="Times New Roman Regular" w:cs="Times New Roman Regular"/>
          <w:b/>
          <w:bCs/>
          <w:sz w:val="48"/>
          <w:szCs w:val="48"/>
          <w:highlight w:val="none"/>
          <w:lang w:eastAsia="en-GB"/>
        </w:rPr>
        <w:t xml:space="preserve">UK and Luxembourg International Business Communication Strategies </w:t>
      </w:r>
    </w:p>
    <w:p>
      <w:pPr>
        <w:widowControl/>
        <w:rPr>
          <w:rFonts w:hint="default" w:ascii="Times New Roman" w:hAnsi="Times New Roman" w:cs="Times New Roman"/>
          <w:b/>
          <w:bCs/>
          <w:sz w:val="44"/>
          <w:szCs w:val="44"/>
          <w:highlight w:val="none"/>
          <w:lang w:eastAsia="en-GB"/>
        </w:rPr>
      </w:pPr>
    </w:p>
    <w:p>
      <w:pPr>
        <w:widowControl/>
        <w:rPr>
          <w:rFonts w:ascii="Times New Roman" w:hAnsi="Times New Roman" w:cs="Times New Roman"/>
          <w:b/>
          <w:bCs/>
          <w:sz w:val="44"/>
          <w:szCs w:val="44"/>
          <w:highlight w:val="none"/>
        </w:rPr>
      </w:pPr>
    </w:p>
    <w:p>
      <w:pPr>
        <w:widowControl/>
        <w:jc w:val="left"/>
        <w:rPr>
          <w:rFonts w:ascii="Times New Roman" w:hAnsi="Times New Roman" w:cs="Times New Roman"/>
          <w:b/>
          <w:bCs/>
          <w:sz w:val="28"/>
          <w:szCs w:val="28"/>
          <w:highlight w:val="none"/>
        </w:rPr>
      </w:pPr>
    </w:p>
    <w:p>
      <w:pPr>
        <w:widowControl/>
        <w:jc w:val="left"/>
        <w:rPr>
          <w:rFonts w:ascii="Times New Roman" w:hAnsi="Times New Roman" w:cs="Times New Roman"/>
          <w:b/>
          <w:bCs/>
          <w:sz w:val="28"/>
          <w:szCs w:val="28"/>
          <w:highlight w:val="none"/>
        </w:rPr>
      </w:pPr>
    </w:p>
    <w:p>
      <w:pPr>
        <w:widowControl/>
        <w:jc w:val="left"/>
        <w:rPr>
          <w:rFonts w:ascii="Times New Roman" w:hAnsi="Times New Roman" w:cs="Times New Roman"/>
          <w:b/>
          <w:bCs/>
          <w:sz w:val="28"/>
          <w:szCs w:val="28"/>
          <w:highlight w:val="none"/>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 xml:space="preserve">This essay explains the analysis and critical assessment of the challenges of doing business with Luxembourg from the perspective of the United Kingdom. The Main findings of this essay mainly introduces </w:t>
      </w:r>
      <w:r>
        <w:rPr>
          <w:rFonts w:hint="eastAsia" w:ascii="Times New Roman Regular" w:hAnsi="Times New Roman Regular" w:cs="Times New Roman Regular"/>
          <w:color w:val="auto"/>
          <w:sz w:val="24"/>
          <w:szCs w:val="24"/>
          <w:highlight w:val="none"/>
          <w:lang w:val="en-US" w:eastAsia="zh-Hans"/>
        </w:rPr>
        <w:t>i</w:t>
      </w:r>
      <w:r>
        <w:rPr>
          <w:rFonts w:hint="default" w:ascii="Times New Roman Regular" w:hAnsi="Times New Roman Regular" w:cs="Times New Roman Regular"/>
          <w:color w:val="auto"/>
          <w:sz w:val="24"/>
          <w:szCs w:val="24"/>
          <w:highlight w:val="none"/>
        </w:rPr>
        <w:t xml:space="preserve">ntercultural </w:t>
      </w:r>
      <w:r>
        <w:rPr>
          <w:rFonts w:hint="eastAsia" w:ascii="Times New Roman Regular" w:hAnsi="Times New Roman Regular" w:cs="Times New Roman Regular"/>
          <w:color w:val="auto"/>
          <w:sz w:val="24"/>
          <w:szCs w:val="24"/>
          <w:highlight w:val="none"/>
          <w:lang w:val="en-US" w:eastAsia="zh-Hans"/>
        </w:rPr>
        <w:t>c</w:t>
      </w:r>
      <w:r>
        <w:rPr>
          <w:rFonts w:hint="default" w:ascii="Times New Roman Regular" w:hAnsi="Times New Roman Regular" w:cs="Times New Roman Regular"/>
          <w:color w:val="auto"/>
          <w:sz w:val="24"/>
          <w:szCs w:val="24"/>
          <w:highlight w:val="none"/>
        </w:rPr>
        <w:t xml:space="preserve">ommunication and its importance. Introduce the two countries of the United Kingdom and Luxembourg, as well as the challenges that the two countries will encounter in the process of </w:t>
      </w:r>
      <w:r>
        <w:rPr>
          <w:rFonts w:hint="default" w:ascii="Times New Roman Regular" w:hAnsi="Times New Roman Regular" w:cs="Times New Roman Regular"/>
          <w:color w:val="auto"/>
          <w:sz w:val="24"/>
          <w:szCs w:val="24"/>
          <w:highlight w:val="none"/>
        </w:rPr>
        <w:t>Intercultural communication</w:t>
      </w:r>
      <w:r>
        <w:rPr>
          <w:rFonts w:hint="default" w:ascii="Times New Roman Regular" w:hAnsi="Times New Roman Regular" w:cs="Times New Roman Regular"/>
          <w:color w:val="auto"/>
          <w:sz w:val="24"/>
          <w:szCs w:val="24"/>
          <w:highlight w:val="none"/>
        </w:rPr>
        <w:t>, and use</w:t>
      </w:r>
      <w:r>
        <w:rPr>
          <w:rFonts w:hint="default" w:ascii="Times New Roman Regular" w:hAnsi="Times New Roman Regular" w:cs="Times New Roman Regular"/>
          <w:color w:val="auto"/>
          <w:sz w:val="24"/>
          <w:szCs w:val="24"/>
          <w:highlight w:val="none"/>
        </w:rPr>
        <w:t xml:space="preserve"> Achievement versus Ascription and Sequential time versus synchronous time </w:t>
      </w:r>
      <w:r>
        <w:rPr>
          <w:rFonts w:hint="default" w:ascii="Times New Roman Regular" w:hAnsi="Times New Roman Regular" w:cs="Times New Roman Regular"/>
          <w:color w:val="auto"/>
          <w:sz w:val="24"/>
          <w:szCs w:val="24"/>
          <w:highlight w:val="none"/>
        </w:rPr>
        <w:t xml:space="preserve">in Trompenaars Cultural Dimensions. Individualism Versus in Hofstede's criteria Collectivism and Uncertainty Avoidance. The two cultural dimension theories analyze the United Kingdom and Luxembourg, discuss the cultural differences between the two countries, and then propose strategies to overcome communication challenges and make recommendations for effective </w:t>
      </w:r>
      <w:r>
        <w:rPr>
          <w:rFonts w:hint="default" w:ascii="Times New Roman Regular" w:hAnsi="Times New Roman Regular" w:cs="Times New Roman Regular"/>
          <w:color w:val="auto"/>
          <w:sz w:val="24"/>
          <w:szCs w:val="24"/>
          <w:highlight w:val="none"/>
        </w:rPr>
        <w:t>Intercultural communication</w:t>
      </w:r>
      <w:r>
        <w:rPr>
          <w:rFonts w:hint="default" w:ascii="Times New Roman Regular" w:hAnsi="Times New Roman Regular" w:cs="Times New Roman Regular"/>
          <w:color w:val="auto"/>
          <w:sz w:val="24"/>
          <w:szCs w:val="24"/>
          <w:highlight w:val="none"/>
        </w:rPr>
        <w:t>, and finally write conclusions.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hint="eastAsia" w:ascii="Times New Roman Regular" w:hAnsi="Times New Roman Regular" w:cs="Times New Roman Regular"/>
          <w:sz w:val="24"/>
          <w:highlight w:val="none"/>
          <w:lang w:val="en-US" w:eastAsia="zh-Hans"/>
        </w:rPr>
        <w:t>I</w:t>
      </w:r>
      <w:r>
        <w:rPr>
          <w:rFonts w:hint="eastAsia" w:ascii="Times New Roman Regular" w:hAnsi="Times New Roman Regular" w:cs="Times New Roman Regular"/>
          <w:sz w:val="24"/>
          <w:highlight w:val="none"/>
        </w:rPr>
        <w:t>ntercultural communication</w:t>
      </w:r>
      <w:r>
        <w:rPr>
          <w:rFonts w:ascii="Times New Roman Regular" w:hAnsi="Times New Roman Regular" w:cs="Times New Roman Regular"/>
          <w:sz w:val="24"/>
          <w:highlight w:val="none"/>
        </w:rPr>
        <w:t xml:space="preserve"> refers to the research and practice of </w:t>
      </w:r>
      <w:r>
        <w:rPr>
          <w:rFonts w:ascii="Times New Roman Regular" w:hAnsi="Times New Roman Regular" w:cs="Times New Roman Regular"/>
          <w:sz w:val="24"/>
          <w:highlight w:val="none"/>
        </w:rPr>
        <w:t>Intercultural communication</w:t>
      </w:r>
      <w:r>
        <w:rPr>
          <w:rFonts w:ascii="Times New Roman Regular" w:hAnsi="Times New Roman Regular" w:cs="Times New Roman Regular"/>
          <w:sz w:val="24"/>
          <w:highlight w:val="none"/>
        </w:rPr>
        <w:t>, domestic cultural differences like gender and race, a</w:t>
      </w:r>
      <w:r>
        <w:rPr>
          <w:rFonts w:hint="eastAsia" w:ascii="Times New Roman Regular" w:hAnsi="Times New Roman Regular" w:cs="Times New Roman Regular"/>
          <w:sz w:val="24"/>
          <w:highlight w:val="none"/>
        </w:rPr>
        <w:t>nd</w:t>
      </w:r>
      <w:r>
        <w:rPr>
          <w:rFonts w:ascii="Times New Roman Regular" w:hAnsi="Times New Roman Regular" w:cs="Times New Roman Regular"/>
          <w:sz w:val="24"/>
          <w:highlight w:val="none"/>
        </w:rPr>
        <w:t xml:space="preserve"> differences associated with nationality and regions. </w:t>
      </w:r>
      <w:r>
        <w:rPr>
          <w:rFonts w:hint="eastAsia" w:ascii="Times New Roman Regular" w:hAnsi="Times New Roman Regular" w:cs="Times New Roman Regular"/>
          <w:sz w:val="24"/>
          <w:highlight w:val="none"/>
          <w:lang w:val="en-US" w:eastAsia="zh-Hans"/>
        </w:rPr>
        <w:t>I</w:t>
      </w:r>
      <w:r>
        <w:rPr>
          <w:rFonts w:hint="eastAsia" w:ascii="Times New Roman Regular" w:hAnsi="Times New Roman Regular" w:cs="Times New Roman Regular"/>
          <w:sz w:val="24"/>
          <w:highlight w:val="none"/>
        </w:rPr>
        <w:t>ntercultural communication</w:t>
      </w:r>
      <w:r>
        <w:rPr>
          <w:rFonts w:ascii="Times New Roman Regular" w:hAnsi="Times New Roman Regular" w:cs="Times New Roman Regular"/>
          <w:sz w:val="24"/>
          <w:highlight w:val="none"/>
        </w:rPr>
        <w:t xml:space="preserve"> is a way to deal with the relationship between members of these groups. It emphasizes on recognizing and respecting cultural differences, seeks mutual adaptative aims, results in biculturalism rather than homogenization, and supports individuals and organizations to cultivate </w:t>
      </w:r>
      <w:r>
        <w:rPr>
          <w:rFonts w:hint="eastAsia" w:ascii="Times New Roman Regular" w:hAnsi="Times New Roman Regular" w:cs="Times New Roman Regular"/>
          <w:sz w:val="24"/>
          <w:highlight w:val="none"/>
        </w:rPr>
        <w:t xml:space="preserve">intercultural </w:t>
      </w:r>
      <w:r>
        <w:rPr>
          <w:rFonts w:ascii="Times New Roman Regular" w:hAnsi="Times New Roman Regular" w:cs="Times New Roman Regular"/>
          <w:sz w:val="24"/>
          <w:highlight w:val="none"/>
        </w:rPr>
        <w:t xml:space="preserve">sensitivity in order to achieve strong coordination of actions for mutual understanding and </w:t>
      </w:r>
      <w:r>
        <w:rPr>
          <w:rFonts w:ascii="Times New Roman Regular" w:hAnsi="Times New Roman Regular" w:cs="Times New Roman Regular"/>
          <w:sz w:val="24"/>
          <w:highlight w:val="none"/>
        </w:rPr>
        <w:t xml:space="preserve">intercultural </w:t>
      </w:r>
      <w:r>
        <w:rPr>
          <w:rFonts w:ascii="Times New Roman Regular" w:hAnsi="Times New Roman Regular" w:cs="Times New Roman Regular"/>
          <w:sz w:val="24"/>
          <w:highlight w:val="none"/>
        </w:rPr>
        <w:t xml:space="preserve">differences(Bennett, 2013). In a </w:t>
      </w:r>
      <w:r>
        <w:rPr>
          <w:rFonts w:ascii="Times New Roman Regular" w:hAnsi="Times New Roman Regular" w:cs="Times New Roman Regular"/>
          <w:sz w:val="24"/>
          <w:highlight w:val="none"/>
        </w:rPr>
        <w:t xml:space="preserve">intercultural </w:t>
      </w:r>
      <w:r>
        <w:rPr>
          <w:rFonts w:ascii="Times New Roman Regular" w:hAnsi="Times New Roman Regular" w:cs="Times New Roman Regular"/>
          <w:sz w:val="24"/>
          <w:highlight w:val="none"/>
        </w:rPr>
        <w:t xml:space="preserve">context, interlocutors cannot share enough knowledge, which requires interlocutors to work together to build common meaning (Kurylo, 2013). Communication is a circular process of mutual influence (God and Zhang, 2018), so </w:t>
      </w:r>
      <w:r>
        <w:rPr>
          <w:rFonts w:ascii="Times New Roman Regular" w:hAnsi="Times New Roman Regular" w:cs="Times New Roman Regular"/>
          <w:sz w:val="24"/>
          <w:highlight w:val="none"/>
        </w:rPr>
        <w:t>Intercultural communication</w:t>
      </w:r>
      <w:r>
        <w:rPr>
          <w:rFonts w:ascii="Times New Roman Regular" w:hAnsi="Times New Roman Regular" w:cs="Times New Roman Regular"/>
          <w:sz w:val="24"/>
          <w:highlight w:val="none"/>
        </w:rPr>
        <w:t xml:space="preserve"> is very important.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Regular" w:hAnsi="Times New Roman Regular" w:cs="Times New Roman Regular"/>
          <w:sz w:val="24"/>
          <w:highlight w:val="none"/>
        </w:rPr>
      </w:pPr>
      <w:r>
        <w:rPr>
          <w:rFonts w:hint="eastAsia" w:ascii="Times New Roman Regular" w:hAnsi="Times New Roman Regular" w:cs="Times New Roman Regular"/>
          <w:sz w:val="24"/>
          <w:highlight w:val="none"/>
        </w:rPr>
        <w:t xml:space="preserve">Luxembourg is located in northwestern Europe. It is the smallest country in the European Union and </w:t>
      </w:r>
      <w:r>
        <w:rPr>
          <w:rFonts w:hint="eastAsia" w:ascii="Times New Roman Regular" w:hAnsi="Times New Roman Regular" w:cs="Times New Roman Regular"/>
          <w:sz w:val="24"/>
          <w:highlight w:val="none"/>
          <w:lang w:val="en-US" w:eastAsia="zh-Hans"/>
        </w:rPr>
        <w:t>i</w:t>
      </w:r>
      <w:r>
        <w:rPr>
          <w:rFonts w:hint="eastAsia" w:ascii="Times New Roman Regular" w:hAnsi="Times New Roman Regular" w:cs="Times New Roman Regular"/>
          <w:sz w:val="24"/>
          <w:highlight w:val="none"/>
        </w:rPr>
        <w:t>t is also the only remaining Grand Duchy in the world. Its neighbors are Germany, France and Belgium. Luxembourg is part of Europe's main urbanization and development axis, extending from western England to Milan.</w:t>
      </w:r>
      <w:r>
        <w:rPr>
          <w:rFonts w:hint="default" w:ascii="Times New Roman Regular" w:hAnsi="Times New Roman Regular" w:cs="Times New Roman Regular"/>
          <w:sz w:val="24"/>
          <w:highlight w:val="none"/>
        </w:rPr>
        <w:t xml:space="preserve"> </w:t>
      </w:r>
      <w:r>
        <w:rPr>
          <w:rFonts w:hint="eastAsia" w:ascii="Times New Roman Regular" w:hAnsi="Times New Roman Regular" w:cs="Times New Roman Regular"/>
          <w:sz w:val="24"/>
          <w:highlight w:val="none"/>
        </w:rPr>
        <w:t>The language spoken in Luxembourg is Luxembourgish, and French and German are the official languages. The locals in Luxembourg mainly speak Luxembourgish, but there is usually no Luxembourgish in official documents. French, German and Luxembourgish are recruited for administrative and judicial purposes (Formatcomunicacion, 2017. French is the only legislative language. Most people in Luxembourg are Roman Catholic The minority are Protestants, Jews, and Muslims, which will be reflected in respect for hierarchical relationships, formal and ritualized behavior, and the family as the foundation of the social structure (Commisceo-global, 2019).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British culture originated from the long history of the United Kingdom. The people and the four countries are England, Wales, Scotland and Northern Ireland. It is composed of each country and has its own unique traditions and customs (Nationsonline, 2015). The language is English, and the United Kingdom also uses Welsh, Scottish languages, Gaelic, Shelta, Angloromani, Cornish. The United Kingdom is a pluralistic country, and there are other languages (Listen &amp; Learn, 2019). According to the 2011 Census According to the data, 92.3% of the population speak English (or Welsh) as their main language, the other major language is spoken by 7.7% of the population, and Polish ranked top in the list of "other" major languages (Office for National Statistics, 2011). According to the 2011 British Census, 25.1% of the British population are atheist. Among religious people, 59.5% are Christians, 4.8% are Muslims, and 1.5% are Hindus. Every country in the United Kingdom has its own church, such as the Church of British (Cultural Atlas, 2011).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The cultural dimension refers to the degree of difference between cultural groups in values, beliefs, self-discipline, personality, and behavior (Phologyanswers, 2019).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 xml:space="preserve">The UK and Luxembourg will face challenges in </w:t>
      </w:r>
      <w:r>
        <w:rPr>
          <w:rFonts w:ascii="Times New Roman Regular" w:hAnsi="Times New Roman Regular" w:cs="Times New Roman Regular"/>
          <w:sz w:val="24"/>
          <w:highlight w:val="none"/>
        </w:rPr>
        <w:t>Intercultural communication</w:t>
      </w:r>
      <w:r>
        <w:rPr>
          <w:rFonts w:ascii="Times New Roman Regular" w:hAnsi="Times New Roman Regular" w:cs="Times New Roman Regular"/>
          <w:sz w:val="24"/>
          <w:highlight w:val="none"/>
        </w:rPr>
        <w:t>. The two countries have different cultures and languages, and they will also be different in terms of business contacts, work styles and cultural levels. Luxembourg pays attention to professional titles, and meetings are more formal. On the contrary, meeting in the UK is easier, and the position in the UK is less important. Britain is highly individualistic, while Luxembourg is collectivistic. Luxembourg is a country with a high degree of uncertainty aversion, while the United Kingdom is the oppose. These differences will all be challenges when the two countries communicate in the future.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The Trompenaars cultural dimension model is also known as the 7 dimensions of culture. The correct use of it can be more effective in cooperating with people from different cultures (Trompenaars and Hampden-Turner, 2014).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 xml:space="preserve">In Achievement, people in Luxembourg tend to prefer titles, especially in the company hierarchy. Therefore, in most social situations, the surname of the honorary title is used. This is a hierarchical culture, and people must give proper respect to those who have obtained important positions. Luxembourg’s traditional business structure is often very authoritarian and follows a strict hierarchical model. The formal meeting is to inform the boss about the situation and make a formal decision with the input of relevant experts. Nowadays, more and more companies are trying to change this traditional way of decision-making by accepting more participation and informality. Companies with more than 15 employees must establish an elected employee representative committee in Luxembourg. The more employees there are, the more committees will be elected. Elections are held every four years and all employees can choose their representatives (Business Culture, 2013).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In the Ascription, the British must abide by the established agreement to establish and maintain a business relationship in the UK. British businessmen often pursued an open policy. People tend to work with the office door open, although colleagues should knock on the door and wait to be invited in.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In the UK business, with the authorization of the business unit, the hierarchy has become flatter, thereby increasing overlap. This means that the responsibilities are unclear and less differentiated between roles and departments. Britain is known for taking risks in business exchanges. This mentality is at the core of the innovation drive of many British organizations, but the true style of British business is subtle and mature. Although the British are friendly, enthusiastic, and focus on fair competition, they stick to traditions and tend to be paranoid. It is difficult for them to understand the different values ​​of other people. In business communication, if there are disputes or conflicts with British people at work, the best way to resolve the dispute or conflict is to communicate with them directly (rather than through mediation by superiors), and clearly express their concerns about the problem at work view. A peaceful way. It is also necessary to effectively distinguish between personal feelings and work. In the UK, professional level and status are usually defined according to an individual's achievements and professional knowledge in a specific field, while academic titles and backgrounds are not so important in business (Business Culture, 2013).</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 xml:space="preserve">In </w:t>
      </w:r>
      <w:r>
        <w:rPr>
          <w:rFonts w:hint="eastAsia" w:ascii="Times New Roman Regular" w:hAnsi="Times New Roman Regular" w:cs="Times New Roman Regular"/>
          <w:sz w:val="24"/>
          <w:highlight w:val="none"/>
          <w:lang w:val="en-US" w:eastAsia="zh-Hans"/>
        </w:rPr>
        <w:t>sequential</w:t>
      </w:r>
      <w:r>
        <w:rPr>
          <w:rFonts w:ascii="Times New Roman Regular" w:hAnsi="Times New Roman Regular" w:cs="Times New Roman Regular"/>
          <w:sz w:val="24"/>
          <w:highlight w:val="none"/>
        </w:rPr>
        <w:t xml:space="preserve"> time, time is key. Time is money, so people tend to complete projects in stages on time. In these cultures, being late in a meeting is impolite. In Luxembourg, punctuality is essential for building positive business relationships (Carolina, 2019). Luxembourg business professionals strictly adhere to timetables. Even being five to ten minutes late is considered disrespectful. When late arrival is unavoidable, please contact the meeting coordinator as soon as possible. Meetings are often quite formal, with a rather strict agenda. Before the meeting is over, there is very little time spent on small talk and very little interruption (Communicaid, 2018). </w:t>
      </w:r>
      <w:r>
        <w:rPr>
          <w:rFonts w:ascii="Times New Roman Regular" w:hAnsi="Times New Roman Regular" w:cs="Times New Roman Regular"/>
          <w:sz w:val="24"/>
          <w:highlight w:val="none"/>
        </w:rPr>
        <w:t>In synchronous time, people think the past, present and future are intertwined. Therefore, people can carry out several things at the same time, resulting in flexible schedules and deadlines. It is also the reason that punctuality is insignificant. British people usually prefer to work with people they are familiar, with whom they can connect, or with whom they can identify. Meetings are time-consuming and scheduled long in advance with set agenda where people usually get down to business after some introductory small talk. The discussion at the meeting can be casual. And their task-oriented nature make every participant leaves the table with a specific task (Expatica, 2021).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Hofstede’s criteria refer to the cultural dimension theory of Hofstede created by the Dutch management researcher Hofstede (1980). This framework is employed to distinguish different ethnic cultures and cultural dimensions, and to assess their effects on the business environment (Taras, Steel and Kirkman, 2012).</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 xml:space="preserve">Uncertainty Avoidance refers to when a society is affected by uncertain events and unconventional environmental threats, whether the uncertainty can be avoid and controlled through formal channels (Swoboda and Hirschmann, 2017). </w:t>
      </w:r>
      <w:r>
        <w:rPr>
          <w:rFonts w:hint="eastAsia" w:ascii="Times New Roman Regular" w:hAnsi="Times New Roman Regular" w:cs="Times New Roman Regular"/>
          <w:sz w:val="24"/>
          <w:highlight w:val="none"/>
        </w:rPr>
        <w:t>Organizations with a high degree of uncertainty avoidance may establish more work rules and regulations to deal with uncertainty. The management of organizations with high uncertainty avoidance focuses on work orientation, and management decisions are mostly static and planned. Organizations with weak uncertainty avoidance ability pay less attention to control, and the degree of standardization and degree of work norms and processes is lower</w:t>
      </w:r>
      <w:r>
        <w:rPr>
          <w:rFonts w:ascii="Times New Roman Regular" w:hAnsi="Times New Roman Regular" w:cs="Times New Roman Regular"/>
          <w:sz w:val="24"/>
          <w:highlight w:val="none"/>
        </w:rPr>
        <w:t xml:space="preserve"> (Baidu, 2019).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rPr>
      </w:pPr>
      <w:r>
        <w:rPr>
          <w:rFonts w:ascii="Times New Roman Regular" w:hAnsi="Times New Roman Regular" w:cs="Times New Roman Regular"/>
          <w:sz w:val="24"/>
          <w:highlight w:val="none"/>
        </w:rPr>
        <w:t>In the score of Uncertainty Avoidance. Luxembourg’s score is 95, which means that as a country, it pays more attention to authority, status, seniority, age, etc., build more formal rules, does not tolerate extreme views and behaviors, believes in absolute knowledge, and expert evaluation are used to provide greater occupational safety (Peterson and Hofstede, 2001). The British score is 35, which means that British society usually does not have too many rules. In terms of work, this has led to planning that does not pay attention to details, but the ultimate goal is clear. The details of how this will be implemented will be clear and realistic process flows and flexible in response to the emerging and changing environment. For the United Kingdom, there is more tolerance for abnormal behavior and opinions, and less rules and regulations. For example, they allow different religions exist at the same time (Hofstede Insights, 2019).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Times New Roman Regular" w:hAnsi="Times New Roman Regular" w:cs="Times New Roman Regular"/>
          <w:sz w:val="24"/>
          <w:highlight w:val="none"/>
          <w:lang w:eastAsia="zh-Hans"/>
        </w:rPr>
      </w:pPr>
      <w:r>
        <w:rPr>
          <w:rFonts w:hint="eastAsia" w:ascii="Times New Roman Regular" w:hAnsi="Times New Roman Regular" w:cs="Times New Roman Regular"/>
          <w:sz w:val="24"/>
          <w:highlight w:val="none"/>
          <w:lang w:eastAsia="zh-Hans"/>
        </w:rPr>
        <w:t>In the UK, where the uncertainty avoidance rate is low, people are more receptive to uncertainty at work and are more open to ideas. The code of conduct in British companies allows employees to adapt to a rather vague management style. The superiors delegate power to the subordinates more thoroughly, and employees have more time for independent management and independent work. On the contrary, in Luxembourg, the superiors often impose strict controls and clear instructions</w:t>
      </w:r>
      <w:r>
        <w:rPr>
          <w:rFonts w:hint="default" w:ascii="Times New Roman Regular" w:hAnsi="Times New Roman Regular" w:cs="Times New Roman Regular"/>
          <w:sz w:val="24"/>
          <w:highlight w:val="none"/>
          <w:lang w:eastAsia="zh-Hans"/>
        </w:rPr>
        <w:t xml:space="preserve"> </w:t>
      </w:r>
      <w:r>
        <w:rPr>
          <w:rFonts w:ascii="Times New Roman Regular" w:hAnsi="Times New Roman Regular" w:cs="Times New Roman Regular"/>
          <w:sz w:val="24"/>
          <w:highlight w:val="none"/>
        </w:rPr>
        <w:t>(Baidu, 2019).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Regular" w:hAnsi="Times New Roman Regular" w:cs="Times New Roman Regular"/>
          <w:sz w:val="24"/>
          <w:highlight w:val="none"/>
        </w:rPr>
      </w:pPr>
      <w:r>
        <w:rPr>
          <w:rFonts w:ascii="Times New Roman Regular" w:hAnsi="Times New Roman Regular" w:cs="Times New Roman Regular"/>
          <w:sz w:val="24"/>
          <w:highlight w:val="none"/>
        </w:rPr>
        <w:t>Individualism Versus Collectivism refers to the fundamental issue involved is the degree to which members of society depend on each other. In a collectivist society, members belong to a “group” in exchange for loyalty (Brewer and Venaik, 2011).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Luxembourg is a highly collectivized country. Individualism is low 34 points. People in Luxembourg prefer collective and national well-being rather than personal honor and accomplishment (Schinzel, 2</w:t>
      </w:r>
      <w:bookmarkStart w:id="0" w:name="_GoBack"/>
      <w:bookmarkEnd w:id="0"/>
      <w:r>
        <w:rPr>
          <w:rFonts w:hint="default" w:ascii="Times New Roman Regular" w:hAnsi="Times New Roman Regular" w:cs="Times New Roman Regular"/>
          <w:color w:val="auto"/>
          <w:sz w:val="24"/>
          <w:szCs w:val="24"/>
          <w:highlight w:val="none"/>
        </w:rPr>
        <w:t>015). The British Individualism score is very high at 89 points. He is a highly individualistic person. Teamwork in the UK is very important, but there is a strong sense of personal responsibility and responsibility for implementation errors (Hofstede Insights,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If the United Kingdom wants to cooperate and exchange with Luxembourg, then the United Kingdom must recognize that the hierarchical system has a more important role in Luxembourg, and at the same time, it must adjust its communication style and be more formal in meetings. Most Luxembourgers can hold meetings in English, but this does not mean that they are familiar with the latest expressions, so they have to slow down when communicating. Luxembourgians prefer subtlety to directness, and straightforwardness is considered rude. Luxembourg people prefer logical and rational communication. If you don't understand what is said or want to clarify a little bit during the communication process, you can ask questions when you are communicating, as long as you ask questions politely. Fully understand Luxembourg’s communication habits and methods before communicating. For example, Luxembourgers do not ask personal questions. If their privacy is violated, they will refuse to answer. Personal life in Luxembourg and the UK is always separate from business. Luxembourg is a collectivized country, and collective honor is more important than individuals. Therefore, the United Kingdom has to adjust its model and pay attention to group cooperation when working with Luxembourg. At the same time, the UK must pay attention to detailed planning. When communicating with Luxembourg, it must hire professional experts, and it must also find people who can speak French and German to communicate. Also business cards are very important in Luxembourg. After arriving at the office, hand the business card to the receptionist and print the card in English, preferably with French or German on the back (Theintactone, 2019).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It is important for Britons to be rational and disciplined when conducting business communications. An informal, humorous tone can sometimes obscure the actual seriousness of the issues discussed. Most British businessmen follow a rational and pragmatic approach. Only in rare cases will the commitment be announced immediately, and the agreement needs to be formalized in writing</w:t>
      </w:r>
      <w:r>
        <w:rPr>
          <w:rFonts w:hint="default" w:ascii="Times New Roman Regular" w:hAnsi="Times New Roman Regular" w:cs="Times New Roman Regular"/>
          <w:color w:val="auto"/>
          <w:sz w:val="24"/>
          <w:szCs w:val="24"/>
          <w:highlight w:val="none"/>
        </w:rPr>
        <w:t xml:space="preserve"> (Business Culture, 2013). </w:t>
      </w:r>
      <w:r>
        <w:rPr>
          <w:rFonts w:hint="default" w:ascii="Times New Roman Regular" w:hAnsi="Times New Roman Regular" w:cs="Times New Roman Regular"/>
          <w:color w:val="auto"/>
          <w:sz w:val="24"/>
          <w:szCs w:val="24"/>
          <w:highlight w:val="none"/>
        </w:rPr>
        <w:t>Luxembourg’s business relations are similar to those in the United Kingdom. Luxembourg’s decision-making progress during business communications is slow and business progress is slow. But it's very formal. Commercial transactions are also negotiated and negotiated verbally. Then follow up and formally confirm, and sign the document with both parties as confirmation of the agreement (Business Culture, 2013).</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 xml:space="preserve">It is recommended that the UK and Luxembourg conduct </w:t>
      </w:r>
      <w:r>
        <w:rPr>
          <w:rFonts w:hint="default" w:ascii="Times New Roman Regular" w:hAnsi="Times New Roman Regular" w:cs="Times New Roman Regular"/>
          <w:color w:val="auto"/>
          <w:sz w:val="24"/>
          <w:szCs w:val="24"/>
          <w:highlight w:val="none"/>
        </w:rPr>
        <w:t xml:space="preserve">intercultural </w:t>
      </w:r>
      <w:r>
        <w:rPr>
          <w:rFonts w:hint="default" w:ascii="Times New Roman Regular" w:hAnsi="Times New Roman Regular" w:cs="Times New Roman Regular"/>
          <w:color w:val="auto"/>
          <w:sz w:val="24"/>
          <w:szCs w:val="24"/>
          <w:highlight w:val="none"/>
        </w:rPr>
        <w:t xml:space="preserve">exchanges before conducting research on Luxembourg’s business communication and culture. </w:t>
      </w:r>
      <w:r>
        <w:rPr>
          <w:rFonts w:hint="eastAsia" w:ascii="Times New Roman Regular" w:hAnsi="Times New Roman Regular" w:cs="Times New Roman Regular"/>
          <w:color w:val="auto"/>
          <w:sz w:val="24"/>
          <w:szCs w:val="24"/>
          <w:highlight w:val="none"/>
          <w:lang w:val="en-US" w:eastAsia="zh-Hans"/>
        </w:rPr>
        <w:t>UK</w:t>
      </w:r>
      <w:r>
        <w:rPr>
          <w:rFonts w:hint="default" w:ascii="Times New Roman Regular" w:hAnsi="Times New Roman Regular" w:cs="Times New Roman Regular"/>
          <w:color w:val="auto"/>
          <w:sz w:val="24"/>
          <w:szCs w:val="24"/>
          <w:highlight w:val="none"/>
        </w:rPr>
        <w:t xml:space="preserve"> should treat cultural differences correctly and listen actively. When conducting </w:t>
      </w:r>
      <w:r>
        <w:rPr>
          <w:rFonts w:hint="default" w:ascii="Times New Roman Regular" w:hAnsi="Times New Roman Regular" w:cs="Times New Roman Regular"/>
          <w:color w:val="auto"/>
          <w:sz w:val="24"/>
          <w:szCs w:val="24"/>
          <w:highlight w:val="none"/>
        </w:rPr>
        <w:t>Intercultural communication</w:t>
      </w:r>
      <w:r>
        <w:rPr>
          <w:rFonts w:hint="default" w:ascii="Times New Roman Regular" w:hAnsi="Times New Roman Regular" w:cs="Times New Roman Regular"/>
          <w:color w:val="auto"/>
          <w:sz w:val="24"/>
          <w:szCs w:val="24"/>
          <w:highlight w:val="none"/>
        </w:rPr>
        <w:t xml:space="preserve">, one must be familiar with communication skills, pay attention to other people’s voices and messages, and learn the local language. Besides oral communication, there are some non-verbal communication skills. In </w:t>
      </w:r>
      <w:r>
        <w:rPr>
          <w:rFonts w:hint="default" w:ascii="Times New Roman Regular" w:hAnsi="Times New Roman Regular" w:cs="Times New Roman Regular"/>
          <w:color w:val="auto"/>
          <w:sz w:val="24"/>
          <w:szCs w:val="24"/>
          <w:highlight w:val="none"/>
        </w:rPr>
        <w:t>Intercultural communication</w:t>
      </w:r>
      <w:r>
        <w:rPr>
          <w:rFonts w:hint="default" w:ascii="Times New Roman Regular" w:hAnsi="Times New Roman Regular" w:cs="Times New Roman Regular"/>
          <w:color w:val="auto"/>
          <w:sz w:val="24"/>
          <w:szCs w:val="24"/>
          <w:highlight w:val="none"/>
        </w:rPr>
        <w:t>, listeners should pay attention to each other's body language and understand each other's meaning by observing various gestures and facial expressions (Baidu, 2021). Make sure to fully understand the long-term prospects before starting business in both countries.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t>This essay has discussed potential challenges in business communication between the UK and Luxembourg, Through the introduction of the cultural background of Britain and Luxembourg, It is concluded that there are differences in language between the two countries. The UK mainly speaks English, while Luxembourg’s official languagesare French, German, and Lutherberg. This will create challenges in communication. By using Achievement versus Ascription in Trompenaars Cultural Dimensions, it is proved that people in Luxembourg prefer to use titles, which are also very important to grades. On the contrary, they are not so important in the UK. Sequential time versus synchronous time. People in Luxembourg are very punctual, and the meeting is very formal. The meeting agenda is quite strict. Although the British are very punctual, they will have small talks during the meeting and the meeting time will be very long. Not very formal. In Hofstede’s criteria, the United Kingdom and Luxembourg are both very important in Individualism Versus Collectivism and Uncertainty Avoidance. The difference is that the UK is Individualism and Luxembourg is Collectivism. The UK’s Uncertainty Avoidance score is very low, while Luxembourg’s Uncertainty Avoidance score is very high. The UK and Luxembourg must understand clearly when conducting business communication and cooperation, and overcome challenges in order to better conduct business communication and cooperation.</w:t>
      </w:r>
    </w:p>
    <w:p>
      <w:pPr>
        <w:widowControl/>
        <w:jc w:val="left"/>
        <w:rPr>
          <w:rFonts w:ascii="Times New Roman" w:hAnsi="Times New Roman" w:cs="Times New Roman"/>
          <w:b/>
          <w:bCs/>
          <w:sz w:val="28"/>
          <w:szCs w:val="28"/>
          <w:highlight w:val="none"/>
        </w:rPr>
      </w:pPr>
      <w:r>
        <w:rPr>
          <w:rFonts w:ascii="Times New Roman" w:hAnsi="Times New Roman" w:cs="Times New Roman"/>
          <w:sz w:val="24"/>
          <w:highlight w:val="none"/>
        </w:rPr>
        <w:br w:type="page"/>
      </w: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Baidu. (2021). </w:t>
      </w:r>
      <w:r>
        <w:rPr>
          <w:rFonts w:ascii="Times New Roman" w:hAnsi="Times New Roman" w:cs="Times New Roman"/>
          <w:i/>
          <w:iCs/>
          <w:highlight w:val="none"/>
        </w:rPr>
        <w:t>How to effectively communicate across cultures</w:t>
      </w:r>
      <w:r>
        <w:rPr>
          <w:rFonts w:ascii="Times New Roman" w:hAnsi="Times New Roman" w:cs="Times New Roman"/>
          <w:highlight w:val="none"/>
        </w:rPr>
        <w:t xml:space="preserve"> [online] Available at: </w:t>
      </w:r>
      <w:r>
        <w:rPr>
          <w:highlight w:val="none"/>
        </w:rPr>
        <w:fldChar w:fldCharType="begin"/>
      </w:r>
      <w:r>
        <w:rPr>
          <w:highlight w:val="none"/>
        </w:rPr>
        <w:instrText xml:space="preserve"> HYPERLINK "https://wenku.baidu.com/view/6aaf2634a78da0116c175f0e7cd184254a351b3f.html" </w:instrText>
      </w:r>
      <w:r>
        <w:rPr>
          <w:highlight w:val="none"/>
        </w:rPr>
        <w:fldChar w:fldCharType="separate"/>
      </w:r>
      <w:r>
        <w:rPr>
          <w:rStyle w:val="7"/>
          <w:rFonts w:ascii="Times New Roman" w:hAnsi="Times New Roman" w:cs="Times New Roman"/>
          <w:highlight w:val="none"/>
        </w:rPr>
        <w:t>https://wenku.baidu.com/view/6aaf2634a78da0116c175f0e7cd184254a351b3f.html</w:t>
      </w:r>
      <w:r>
        <w:rPr>
          <w:rStyle w:val="7"/>
          <w:rFonts w:ascii="Times New Roman" w:hAnsi="Times New Roman" w:cs="Times New Roman"/>
          <w:highlight w:val="none"/>
        </w:rPr>
        <w:fldChar w:fldCharType="end"/>
      </w:r>
      <w:r>
        <w:rPr>
          <w:rFonts w:ascii="Times New Roman" w:hAnsi="Times New Roman" w:cs="Times New Roman"/>
          <w:highlight w:val="none"/>
        </w:rPr>
        <w:t>. [Accessed 14 December 2021]</w:t>
      </w:r>
    </w:p>
    <w:p>
      <w:pPr>
        <w:pStyle w:val="10"/>
        <w:numPr>
          <w:ilvl w:val="0"/>
          <w:numId w:val="0"/>
        </w:numPr>
        <w:spacing w:line="360" w:lineRule="auto"/>
        <w:ind w:left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hint="eastAsia" w:ascii="Times New Roman" w:hAnsi="Times New Roman" w:cs="Times New Roman"/>
          <w:highlight w:val="none"/>
        </w:rPr>
        <w:t>Baidu.</w:t>
      </w:r>
      <w:r>
        <w:rPr>
          <w:rFonts w:hint="default" w:ascii="Times New Roman" w:hAnsi="Times New Roman" w:cs="Times New Roman"/>
          <w:highlight w:val="none"/>
        </w:rPr>
        <w:t xml:space="preserve"> </w:t>
      </w:r>
      <w:r>
        <w:rPr>
          <w:rFonts w:hint="eastAsia" w:ascii="Times New Roman" w:hAnsi="Times New Roman" w:cs="Times New Roman"/>
          <w:highlight w:val="none"/>
        </w:rPr>
        <w:t xml:space="preserve">(2019). </w:t>
      </w:r>
      <w:r>
        <w:rPr>
          <w:rFonts w:hint="default" w:ascii="Times New Roman Italic" w:hAnsi="Times New Roman Italic" w:cs="Times New Roman Italic"/>
          <w:i/>
          <w:iCs/>
          <w:highlight w:val="none"/>
        </w:rPr>
        <w:t>Uncertainty Avoidance.</w:t>
      </w:r>
      <w:r>
        <w:rPr>
          <w:rFonts w:hint="eastAsia" w:ascii="Times New Roman" w:hAnsi="Times New Roman" w:cs="Times New Roman"/>
          <w:highlight w:val="none"/>
        </w:rPr>
        <w:t xml:space="preserve"> [online] Available at: </w:t>
      </w:r>
      <w:r>
        <w:rPr>
          <w:rFonts w:hint="default" w:ascii="Times New Roman" w:hAnsi="Times New Roman" w:cs="Times New Roman"/>
          <w:highlight w:val="none"/>
        </w:rPr>
        <w:t xml:space="preserve"> </w:t>
      </w:r>
      <w:r>
        <w:rPr>
          <w:rFonts w:hint="eastAsia" w:ascii="Times New Roman" w:hAnsi="Times New Roman" w:cs="Times New Roman"/>
          <w:highlight w:val="none"/>
        </w:rPr>
        <w:fldChar w:fldCharType="begin"/>
      </w:r>
      <w:r>
        <w:rPr>
          <w:rFonts w:hint="eastAsia" w:ascii="Times New Roman" w:hAnsi="Times New Roman" w:cs="Times New Roman"/>
          <w:highlight w:val="none"/>
        </w:rPr>
        <w:instrText xml:space="preserve"> HYPERLINK "https://baike.baidu.com/item/." </w:instrText>
      </w:r>
      <w:r>
        <w:rPr>
          <w:rFonts w:hint="eastAsia" w:ascii="Times New Roman" w:hAnsi="Times New Roman" w:cs="Times New Roman"/>
          <w:highlight w:val="none"/>
        </w:rPr>
        <w:fldChar w:fldCharType="separate"/>
      </w:r>
      <w:r>
        <w:rPr>
          <w:rStyle w:val="7"/>
          <w:rFonts w:hint="eastAsia" w:ascii="Times New Roman" w:hAnsi="Times New Roman" w:cs="Times New Roman"/>
          <w:highlight w:val="none"/>
        </w:rPr>
        <w:t>https://baike.baidu.com/item/.</w:t>
      </w:r>
      <w:r>
        <w:rPr>
          <w:rFonts w:hint="eastAsia" w:ascii="Times New Roman" w:hAnsi="Times New Roman" w:cs="Times New Roman"/>
          <w:highlight w:val="none"/>
        </w:rPr>
        <w:fldChar w:fldCharType="end"/>
      </w:r>
      <w:r>
        <w:rPr>
          <w:rFonts w:hint="default" w:ascii="Times New Roman" w:hAnsi="Times New Roman" w:cs="Times New Roman"/>
          <w:highlight w:val="none"/>
        </w:rPr>
        <w:t xml:space="preserve"> </w:t>
      </w:r>
      <w:r>
        <w:rPr>
          <w:rFonts w:ascii="Times New Roman" w:hAnsi="Times New Roman" w:cs="Times New Roman"/>
          <w:highlight w:val="none"/>
        </w:rPr>
        <w:t>[Accessed 14 December 2021]</w:t>
      </w:r>
    </w:p>
    <w:p>
      <w:pPr>
        <w:pStyle w:val="10"/>
        <w:numPr>
          <w:ilvl w:val="0"/>
          <w:numId w:val="0"/>
        </w:numPr>
        <w:spacing w:line="360" w:lineRule="auto"/>
        <w:ind w:left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Bennett, M. (2013). Entry in C. Cortes (Ed) </w:t>
      </w:r>
      <w:r>
        <w:rPr>
          <w:rFonts w:hint="default" w:ascii="Times New Roman" w:hAnsi="Times New Roman" w:cs="Times New Roman"/>
          <w:highlight w:val="none"/>
        </w:rPr>
        <w:t xml:space="preserve">Multicultural America: A multimedia encyclopedia. New York: Sage </w:t>
      </w:r>
    </w:p>
    <w:p>
      <w:pPr>
        <w:pStyle w:val="10"/>
        <w:numPr>
          <w:ilvl w:val="0"/>
          <w:numId w:val="0"/>
        </w:numPr>
        <w:spacing w:line="360" w:lineRule="auto"/>
        <w:ind w:left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Brewer, P. and Venaik, S. (2011). Individualism–Collectivism in Hofstede and GLOBE. </w:t>
      </w:r>
      <w:r>
        <w:rPr>
          <w:rFonts w:ascii="Times New Roman" w:hAnsi="Times New Roman" w:cs="Times New Roman"/>
          <w:i/>
          <w:iCs/>
          <w:highlight w:val="none"/>
        </w:rPr>
        <w:t>Journal of International Business Studies</w:t>
      </w:r>
      <w:r>
        <w:rPr>
          <w:rFonts w:ascii="Times New Roman" w:hAnsi="Times New Roman" w:cs="Times New Roman"/>
          <w:highlight w:val="none"/>
        </w:rPr>
        <w:t>, 42(3), pp.436–445.</w:t>
      </w:r>
    </w:p>
    <w:p>
      <w:pPr>
        <w:spacing w:line="360" w:lineRule="auto"/>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color w:val="141412"/>
          <w:highlight w:val="none"/>
          <w:shd w:val="clear" w:color="auto" w:fill="FFFFFF"/>
        </w:rPr>
        <w:t>Business Culture. (2013). </w:t>
      </w:r>
      <w:r>
        <w:rPr>
          <w:rFonts w:ascii="Times New Roman" w:hAnsi="Times New Roman" w:cs="Times New Roman"/>
          <w:i/>
          <w:iCs/>
          <w:color w:val="141412"/>
          <w:highlight w:val="none"/>
          <w:shd w:val="clear" w:color="auto" w:fill="FFFFFF"/>
        </w:rPr>
        <w:t>Business communication</w:t>
      </w:r>
      <w:r>
        <w:rPr>
          <w:rFonts w:ascii="Times New Roman" w:hAnsi="Times New Roman" w:cs="Times New Roman"/>
          <w:color w:val="141412"/>
          <w:highlight w:val="none"/>
          <w:shd w:val="clear" w:color="auto" w:fill="FFFFFF"/>
        </w:rPr>
        <w:t xml:space="preserve">. [online] Available at: </w:t>
      </w:r>
      <w:r>
        <w:rPr>
          <w:highlight w:val="none"/>
        </w:rPr>
        <w:fldChar w:fldCharType="begin"/>
      </w:r>
      <w:r>
        <w:rPr>
          <w:highlight w:val="none"/>
        </w:rPr>
        <w:instrText xml:space="preserve"> HYPERLINK "https://businessculture.org/western-europe/business-culture-in-luxembourg/business-communication-in-luxembourg/" </w:instrText>
      </w:r>
      <w:r>
        <w:rPr>
          <w:highlight w:val="none"/>
        </w:rPr>
        <w:fldChar w:fldCharType="separate"/>
      </w:r>
      <w:r>
        <w:rPr>
          <w:rStyle w:val="7"/>
          <w:rFonts w:ascii="Times New Roman" w:hAnsi="Times New Roman" w:cs="Times New Roman"/>
          <w:highlight w:val="none"/>
          <w:shd w:val="clear" w:color="auto" w:fill="FFFFFF"/>
        </w:rPr>
        <w:t>https://businessculture.org/western-europe/business-culture-in-luxembourg/business-communication-in-luxembourg/</w:t>
      </w:r>
      <w:r>
        <w:rPr>
          <w:rStyle w:val="7"/>
          <w:rFonts w:ascii="Times New Roman" w:hAnsi="Times New Roman" w:cs="Times New Roman"/>
          <w:highlight w:val="none"/>
          <w:shd w:val="clear" w:color="auto" w:fill="FFFFFF"/>
        </w:rPr>
        <w:fldChar w:fldCharType="end"/>
      </w:r>
      <w:r>
        <w:rPr>
          <w:rFonts w:ascii="Times New Roman" w:hAnsi="Times New Roman" w:cs="Times New Roman"/>
          <w:color w:val="141412"/>
          <w:highlight w:val="none"/>
          <w:shd w:val="clear" w:color="auto" w:fill="FFFFFF"/>
        </w:rPr>
        <w:t xml:space="preserve">. </w:t>
      </w:r>
      <w:r>
        <w:rPr>
          <w:rFonts w:ascii="Times New Roman" w:hAnsi="Times New Roman" w:cs="Times New Roman"/>
          <w:highlight w:val="none"/>
        </w:rPr>
        <w:t>[Accessed 10 December 2021]</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Business Culture. (2013). </w:t>
      </w:r>
      <w:r>
        <w:rPr>
          <w:rFonts w:ascii="Times New Roman" w:hAnsi="Times New Roman" w:cs="Times New Roman"/>
          <w:i/>
          <w:iCs/>
          <w:highlight w:val="none"/>
        </w:rPr>
        <w:t>Business communication</w:t>
      </w:r>
      <w:r>
        <w:rPr>
          <w:rFonts w:ascii="Times New Roman" w:hAnsi="Times New Roman" w:cs="Times New Roman"/>
          <w:highlight w:val="none"/>
        </w:rPr>
        <w:t xml:space="preserve">. [online] Available at: </w:t>
      </w:r>
      <w:r>
        <w:rPr>
          <w:highlight w:val="none"/>
        </w:rPr>
        <w:fldChar w:fldCharType="begin"/>
      </w:r>
      <w:r>
        <w:rPr>
          <w:highlight w:val="none"/>
        </w:rPr>
        <w:instrText xml:space="preserve"> HYPERLINK "https://businessculture.org/northern-europe/united-kingdom-business-culture/business-communication/" </w:instrText>
      </w:r>
      <w:r>
        <w:rPr>
          <w:highlight w:val="none"/>
        </w:rPr>
        <w:fldChar w:fldCharType="separate"/>
      </w:r>
      <w:r>
        <w:rPr>
          <w:rStyle w:val="7"/>
          <w:rFonts w:ascii="Times New Roman" w:hAnsi="Times New Roman" w:cs="Times New Roman"/>
          <w:highlight w:val="none"/>
        </w:rPr>
        <w:t>https://businessculture.org/northern-europe/united-kingdom-business-culture/business-communication/</w:t>
      </w:r>
      <w:r>
        <w:rPr>
          <w:rStyle w:val="7"/>
          <w:rFonts w:ascii="Times New Roman" w:hAnsi="Times New Roman" w:cs="Times New Roman"/>
          <w:highlight w:val="none"/>
        </w:rPr>
        <w:fldChar w:fldCharType="end"/>
      </w:r>
      <w:r>
        <w:rPr>
          <w:rFonts w:ascii="Times New Roman" w:hAnsi="Times New Roman" w:cs="Times New Roman"/>
          <w:highlight w:val="none"/>
        </w:rPr>
        <w:t>. [Accessed 10 December 2021]</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Carolina, Ț. (2019). Dimensions of National Culture – Cross-cultural Theories. </w:t>
      </w:r>
      <w:r>
        <w:rPr>
          <w:rFonts w:ascii="Times New Roman" w:hAnsi="Times New Roman" w:cs="Times New Roman"/>
          <w:i/>
          <w:iCs/>
          <w:highlight w:val="none"/>
        </w:rPr>
        <w:t>Studies in Business and Economics</w:t>
      </w:r>
      <w:r>
        <w:rPr>
          <w:rFonts w:ascii="Times New Roman" w:hAnsi="Times New Roman" w:cs="Times New Roman"/>
          <w:highlight w:val="none"/>
        </w:rPr>
        <w:t>, 14(3), pp.220–230.</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Communicaid (2018).  </w:t>
      </w:r>
      <w:r>
        <w:rPr>
          <w:rFonts w:ascii="Times New Roman" w:hAnsi="Times New Roman" w:cs="Times New Roman"/>
          <w:i/>
          <w:iCs/>
          <w:highlight w:val="none"/>
        </w:rPr>
        <w:t>Luxembourg Cross-cultural and Language Training | Communicaid</w:t>
      </w:r>
      <w:r>
        <w:rPr>
          <w:rFonts w:ascii="Times New Roman" w:hAnsi="Times New Roman" w:cs="Times New Roman"/>
          <w:highlight w:val="none"/>
        </w:rPr>
        <w:t xml:space="preserve">. [online] Available at: </w:t>
      </w:r>
    </w:p>
    <w:p>
      <w:pPr>
        <w:pStyle w:val="10"/>
        <w:spacing w:line="360" w:lineRule="auto"/>
        <w:ind w:left="420" w:firstLine="0" w:firstLineChars="0"/>
        <w:jc w:val="both"/>
        <w:rPr>
          <w:rFonts w:ascii="Times New Roman" w:hAnsi="Times New Roman" w:cs="Times New Roman"/>
          <w:color w:val="000000" w:themeColor="text1"/>
          <w:highlight w:val="none"/>
          <w14:textFill>
            <w14:solidFill>
              <w14:schemeClr w14:val="tx1"/>
            </w14:solidFill>
          </w14:textFill>
        </w:rPr>
      </w:pPr>
      <w:r>
        <w:rPr>
          <w:highlight w:val="none"/>
        </w:rPr>
        <w:fldChar w:fldCharType="begin"/>
      </w:r>
      <w:r>
        <w:rPr>
          <w:highlight w:val="none"/>
        </w:rPr>
        <w:instrText xml:space="preserve"> HYPERLINK "https://www.communicaid.com/country/luxembourg/" </w:instrText>
      </w:r>
      <w:r>
        <w:rPr>
          <w:highlight w:val="none"/>
        </w:rPr>
        <w:fldChar w:fldCharType="separate"/>
      </w:r>
      <w:r>
        <w:rPr>
          <w:rStyle w:val="7"/>
          <w:rFonts w:ascii="Times New Roman" w:hAnsi="Times New Roman" w:cs="Times New Roman"/>
          <w:highlight w:val="none"/>
        </w:rPr>
        <w:t>https://www.communicaid.com/country/luxembourg/</w:t>
      </w:r>
      <w:r>
        <w:rPr>
          <w:rStyle w:val="7"/>
          <w:rFonts w:ascii="Times New Roman" w:hAnsi="Times New Roman" w:cs="Times New Roman"/>
          <w:highlight w:val="none"/>
        </w:rPr>
        <w:fldChar w:fldCharType="end"/>
      </w:r>
      <w:r>
        <w:rPr>
          <w:rFonts w:ascii="Times New Roman" w:hAnsi="Times New Roman" w:cs="Times New Roman"/>
          <w:highlight w:val="none"/>
        </w:rPr>
        <w:t xml:space="preserve"> [Accessed 10 December 2021</w:t>
      </w:r>
      <w:r>
        <w:rPr>
          <w:rFonts w:ascii="Times New Roman" w:hAnsi="Times New Roman" w:cs="Times New Roman"/>
          <w:color w:val="000000" w:themeColor="text1"/>
          <w:highlight w:val="none"/>
          <w14:textFill>
            <w14:solidFill>
              <w14:schemeClr w14:val="tx1"/>
            </w14:solidFill>
          </w14:textFill>
        </w:rPr>
        <w:t>]</w:t>
      </w:r>
    </w:p>
    <w:p>
      <w:pPr>
        <w:pStyle w:val="10"/>
        <w:spacing w:line="360" w:lineRule="auto"/>
        <w:ind w:left="420" w:firstLine="0" w:firstLineChars="0"/>
        <w:jc w:val="both"/>
        <w:rPr>
          <w:rFonts w:ascii="Times New Roman" w:hAnsi="Times New Roman" w:cs="Times New Roman"/>
          <w:color w:val="000000" w:themeColor="text1"/>
          <w:highlight w:val="none"/>
          <w14:textFill>
            <w14:solidFill>
              <w14:schemeClr w14:val="tx1"/>
            </w14:solidFill>
          </w14:textFill>
        </w:rPr>
      </w:pPr>
    </w:p>
    <w:p>
      <w:pPr>
        <w:pStyle w:val="10"/>
        <w:numPr>
          <w:ilvl w:val="0"/>
          <w:numId w:val="1"/>
        </w:numPr>
        <w:spacing w:line="360" w:lineRule="auto"/>
        <w:ind w:firstLineChars="0"/>
        <w:jc w:val="both"/>
        <w:rPr>
          <w:rFonts w:ascii="Times New Roman" w:hAnsi="Times New Roman" w:cs="Times New Roman"/>
          <w:color w:val="000000" w:themeColor="text1"/>
          <w:highlight w:val="none"/>
          <w14:textFill>
            <w14:solidFill>
              <w14:schemeClr w14:val="tx1"/>
            </w14:solidFill>
          </w14:textFill>
        </w:rPr>
      </w:pPr>
      <w:r>
        <w:rPr>
          <w:rFonts w:ascii="Times New Roman" w:hAnsi="Times New Roman" w:cs="Times New Roman"/>
          <w:color w:val="000000" w:themeColor="text1"/>
          <w:highlight w:val="none"/>
          <w14:textFill>
            <w14:solidFill>
              <w14:schemeClr w14:val="tx1"/>
            </w14:solidFill>
          </w14:textFill>
        </w:rPr>
        <w:t xml:space="preserve">Commisceo-global. (2019). </w:t>
      </w:r>
      <w:r>
        <w:rPr>
          <w:rFonts w:ascii="Times New Roman" w:hAnsi="Times New Roman" w:cs="Times New Roman"/>
          <w:i/>
          <w:iCs/>
          <w:color w:val="000000" w:themeColor="text1"/>
          <w:highlight w:val="none"/>
          <w14:textFill>
            <w14:solidFill>
              <w14:schemeClr w14:val="tx1"/>
            </w14:solidFill>
          </w14:textFill>
        </w:rPr>
        <w:t>Luxembourg - Language, Culture, Customs and Etiquette</w:t>
      </w:r>
      <w:r>
        <w:rPr>
          <w:rFonts w:ascii="Times New Roman" w:hAnsi="Times New Roman" w:cs="Times New Roman"/>
          <w:color w:val="000000" w:themeColor="text1"/>
          <w:highlight w:val="none"/>
          <w14:textFill>
            <w14:solidFill>
              <w14:schemeClr w14:val="tx1"/>
            </w14:solidFill>
          </w14:textFill>
        </w:rPr>
        <w:t xml:space="preserve">. [online] Available at: </w:t>
      </w:r>
    </w:p>
    <w:p>
      <w:pPr>
        <w:pStyle w:val="10"/>
        <w:spacing w:line="360" w:lineRule="auto"/>
        <w:ind w:left="420" w:firstLine="0" w:firstLineChars="0"/>
        <w:jc w:val="both"/>
        <w:rPr>
          <w:rFonts w:ascii="Times New Roman" w:hAnsi="Times New Roman" w:cs="Times New Roman"/>
          <w:highlight w:val="none"/>
        </w:rPr>
      </w:pPr>
      <w:r>
        <w:rPr>
          <w:highlight w:val="none"/>
        </w:rPr>
        <w:fldChar w:fldCharType="begin"/>
      </w:r>
      <w:r>
        <w:rPr>
          <w:highlight w:val="none"/>
        </w:rPr>
        <w:instrText xml:space="preserve"> HYPERLINK "https://www.commisceo-global.com/resources/country-guides/luxembourg-guide" </w:instrText>
      </w:r>
      <w:r>
        <w:rPr>
          <w:highlight w:val="none"/>
        </w:rPr>
        <w:fldChar w:fldCharType="separate"/>
      </w:r>
      <w:r>
        <w:rPr>
          <w:rStyle w:val="7"/>
          <w:rFonts w:ascii="Times New Roman" w:hAnsi="Times New Roman" w:cs="Times New Roman"/>
          <w:highlight w:val="none"/>
        </w:rPr>
        <w:t>https://www.commisceo-global.com/resources/country-guides/luxembourg-guide</w:t>
      </w:r>
      <w:r>
        <w:rPr>
          <w:rStyle w:val="7"/>
          <w:rFonts w:ascii="Times New Roman" w:hAnsi="Times New Roman" w:cs="Times New Roman"/>
          <w:highlight w:val="none"/>
        </w:rPr>
        <w:fldChar w:fldCharType="end"/>
      </w:r>
      <w:r>
        <w:rPr>
          <w:rFonts w:ascii="Times New Roman" w:hAnsi="Times New Roman" w:cs="Times New Roman"/>
          <w:color w:val="000000" w:themeColor="text1"/>
          <w:highlight w:val="none"/>
          <w14:textFill>
            <w14:solidFill>
              <w14:schemeClr w14:val="tx1"/>
            </w14:solidFill>
          </w14:textFill>
        </w:rPr>
        <w:t xml:space="preserve">. </w:t>
      </w:r>
      <w:r>
        <w:rPr>
          <w:rFonts w:ascii="Times New Roman" w:hAnsi="Times New Roman" w:cs="Times New Roman"/>
          <w:highlight w:val="none"/>
        </w:rPr>
        <w:t>[Accessed 11 December 2021]</w:t>
      </w:r>
    </w:p>
    <w:p>
      <w:pPr>
        <w:pStyle w:val="10"/>
        <w:spacing w:line="360" w:lineRule="auto"/>
        <w:ind w:left="42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color w:val="000000" w:themeColor="text1"/>
          <w:highlight w:val="none"/>
          <w14:textFill>
            <w14:solidFill>
              <w14:schemeClr w14:val="tx1"/>
            </w14:solidFill>
          </w14:textFill>
        </w:rPr>
      </w:pPr>
      <w:r>
        <w:rPr>
          <w:rFonts w:ascii="Times New Roman" w:hAnsi="Times New Roman" w:cs="Times New Roman"/>
          <w:color w:val="000000" w:themeColor="text1"/>
          <w:highlight w:val="none"/>
          <w14:textFill>
            <w14:solidFill>
              <w14:schemeClr w14:val="tx1"/>
            </w14:solidFill>
          </w14:textFill>
        </w:rPr>
        <w:t>Cultural Atlas. (2011). </w:t>
      </w:r>
      <w:r>
        <w:rPr>
          <w:rFonts w:ascii="Times New Roman" w:hAnsi="Times New Roman" w:cs="Times New Roman"/>
          <w:i/>
          <w:iCs/>
          <w:color w:val="000000" w:themeColor="text1"/>
          <w:highlight w:val="none"/>
          <w14:textFill>
            <w14:solidFill>
              <w14:schemeClr w14:val="tx1"/>
            </w14:solidFill>
          </w14:textFill>
        </w:rPr>
        <w:t>British Culture - Religion</w:t>
      </w:r>
      <w:r>
        <w:rPr>
          <w:rFonts w:ascii="Times New Roman" w:hAnsi="Times New Roman" w:cs="Times New Roman"/>
          <w:color w:val="000000" w:themeColor="text1"/>
          <w:highlight w:val="none"/>
          <w14:textFill>
            <w14:solidFill>
              <w14:schemeClr w14:val="tx1"/>
            </w14:solidFill>
          </w14:textFill>
        </w:rPr>
        <w:t xml:space="preserve">. [online] Available at: </w:t>
      </w:r>
      <w:r>
        <w:rPr>
          <w:highlight w:val="none"/>
        </w:rPr>
        <w:fldChar w:fldCharType="begin"/>
      </w:r>
      <w:r>
        <w:rPr>
          <w:highlight w:val="none"/>
        </w:rPr>
        <w:instrText xml:space="preserve"> HYPERLINK "https://culturalatlas.sbs.com.au/british-culture/british-culture-religion" </w:instrText>
      </w:r>
      <w:r>
        <w:rPr>
          <w:highlight w:val="none"/>
        </w:rPr>
        <w:fldChar w:fldCharType="separate"/>
      </w:r>
      <w:r>
        <w:rPr>
          <w:rStyle w:val="7"/>
          <w:rFonts w:ascii="Times New Roman" w:hAnsi="Times New Roman" w:cs="Times New Roman"/>
          <w:highlight w:val="none"/>
        </w:rPr>
        <w:t>https://culturalatlas.sbs.com.au/british-culture/british-culture-religion</w:t>
      </w:r>
      <w:r>
        <w:rPr>
          <w:rStyle w:val="7"/>
          <w:rFonts w:ascii="Times New Roman" w:hAnsi="Times New Roman" w:cs="Times New Roman"/>
          <w:highlight w:val="none"/>
        </w:rPr>
        <w:fldChar w:fldCharType="end"/>
      </w:r>
      <w:r>
        <w:rPr>
          <w:rFonts w:ascii="Times New Roman" w:hAnsi="Times New Roman" w:cs="Times New Roman"/>
          <w:color w:val="000000" w:themeColor="text1"/>
          <w:highlight w:val="none"/>
          <w14:textFill>
            <w14:solidFill>
              <w14:schemeClr w14:val="tx1"/>
            </w14:solidFill>
          </w14:textFill>
        </w:rPr>
        <w:t xml:space="preserve">. </w:t>
      </w:r>
      <w:r>
        <w:rPr>
          <w:rFonts w:ascii="Times New Roman" w:hAnsi="Times New Roman" w:cs="Times New Roman"/>
          <w:highlight w:val="none"/>
        </w:rPr>
        <w:t>[Accessed 11 December 2021]</w:t>
      </w:r>
    </w:p>
    <w:p>
      <w:pPr>
        <w:pStyle w:val="10"/>
        <w:spacing w:line="360" w:lineRule="auto"/>
        <w:ind w:left="360" w:firstLine="0" w:firstLineChars="0"/>
        <w:jc w:val="both"/>
        <w:rPr>
          <w:rFonts w:ascii="Times New Roman" w:hAnsi="Times New Roman" w:cs="Times New Roman"/>
          <w:color w:val="000000" w:themeColor="text1"/>
          <w:highlight w:val="none"/>
          <w14:textFill>
            <w14:solidFill>
              <w14:schemeClr w14:val="tx1"/>
            </w14:solidFill>
          </w14:textFill>
        </w:rPr>
      </w:pPr>
    </w:p>
    <w:p>
      <w:pPr>
        <w:pStyle w:val="10"/>
        <w:numPr>
          <w:ilvl w:val="0"/>
          <w:numId w:val="1"/>
        </w:numPr>
        <w:spacing w:line="360" w:lineRule="auto"/>
        <w:ind w:firstLineChars="0"/>
        <w:jc w:val="both"/>
        <w:rPr>
          <w:rFonts w:ascii="Times New Roman" w:hAnsi="Times New Roman" w:cs="Times New Roman"/>
          <w:color w:val="000000" w:themeColor="text1"/>
          <w:highlight w:val="none"/>
          <w14:textFill>
            <w14:solidFill>
              <w14:schemeClr w14:val="tx1"/>
            </w14:solidFill>
          </w14:textFill>
        </w:rPr>
      </w:pPr>
      <w:r>
        <w:rPr>
          <w:rFonts w:ascii="Times New Roman" w:hAnsi="Times New Roman" w:cs="Times New Roman"/>
          <w:highlight w:val="none"/>
        </w:rPr>
        <w:t>Expatica. (2021). </w:t>
      </w:r>
      <w:r>
        <w:rPr>
          <w:rFonts w:ascii="Times New Roman" w:hAnsi="Times New Roman" w:cs="Times New Roman"/>
          <w:i/>
          <w:iCs/>
          <w:highlight w:val="none"/>
        </w:rPr>
        <w:t>A guide to business culture in the United Kingdom | Expatica</w:t>
      </w:r>
      <w:r>
        <w:rPr>
          <w:rFonts w:ascii="Times New Roman" w:hAnsi="Times New Roman" w:cs="Times New Roman"/>
          <w:highlight w:val="none"/>
        </w:rPr>
        <w:t xml:space="preserve">. [online] Available at: </w:t>
      </w:r>
    </w:p>
    <w:p>
      <w:pPr>
        <w:pStyle w:val="10"/>
        <w:spacing w:line="360" w:lineRule="auto"/>
        <w:ind w:left="420" w:firstLine="0" w:firstLineChars="0"/>
        <w:jc w:val="both"/>
        <w:rPr>
          <w:rFonts w:ascii="Times New Roman" w:hAnsi="Times New Roman" w:cs="Times New Roman"/>
          <w:highlight w:val="none"/>
        </w:rPr>
      </w:pPr>
      <w:r>
        <w:rPr>
          <w:highlight w:val="none"/>
        </w:rPr>
        <w:fldChar w:fldCharType="begin"/>
      </w:r>
      <w:r>
        <w:rPr>
          <w:highlight w:val="none"/>
        </w:rPr>
        <w:instrText xml:space="preserve"> HYPERLINK "https://www.expatica.com/uk/working/employment-basics/uk-business-culture-103182/" </w:instrText>
      </w:r>
      <w:r>
        <w:rPr>
          <w:highlight w:val="none"/>
        </w:rPr>
        <w:fldChar w:fldCharType="separate"/>
      </w:r>
      <w:r>
        <w:rPr>
          <w:rStyle w:val="7"/>
          <w:rFonts w:ascii="Times New Roman" w:hAnsi="Times New Roman" w:cs="Times New Roman"/>
          <w:highlight w:val="none"/>
        </w:rPr>
        <w:t>https://www.expatica.com/uk/working/employment-basics/uk-business-culture-103182/</w:t>
      </w:r>
      <w:r>
        <w:rPr>
          <w:rStyle w:val="7"/>
          <w:rFonts w:ascii="Times New Roman" w:hAnsi="Times New Roman" w:cs="Times New Roman"/>
          <w:highlight w:val="none"/>
        </w:rPr>
        <w:fldChar w:fldCharType="end"/>
      </w:r>
      <w:r>
        <w:rPr>
          <w:rFonts w:ascii="Times New Roman" w:hAnsi="Times New Roman" w:cs="Times New Roman"/>
          <w:highlight w:val="none"/>
        </w:rPr>
        <w:t>. [Accessed 10 December 2021]</w:t>
      </w:r>
    </w:p>
    <w:p>
      <w:pPr>
        <w:pStyle w:val="10"/>
        <w:spacing w:line="360" w:lineRule="auto"/>
        <w:ind w:left="42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Formatcomunicacion. (2017). </w:t>
      </w:r>
      <w:r>
        <w:rPr>
          <w:rFonts w:ascii="Times New Roman" w:hAnsi="Times New Roman" w:cs="Times New Roman"/>
          <w:i/>
          <w:iCs/>
          <w:highlight w:val="none"/>
        </w:rPr>
        <w:t>International Business Communication Luxembourg.</w:t>
      </w:r>
      <w:r>
        <w:rPr>
          <w:rFonts w:ascii="Times New Roman" w:hAnsi="Times New Roman" w:cs="Times New Roman"/>
          <w:highlight w:val="none"/>
        </w:rPr>
        <w:t xml:space="preserve"> [online] Available at: </w:t>
      </w:r>
    </w:p>
    <w:p>
      <w:pPr>
        <w:pStyle w:val="10"/>
        <w:spacing w:line="360" w:lineRule="auto"/>
        <w:ind w:left="360" w:firstLine="0" w:firstLineChars="0"/>
        <w:jc w:val="both"/>
        <w:rPr>
          <w:rFonts w:ascii="Times New Roman" w:hAnsi="Times New Roman" w:cs="Times New Roman"/>
          <w:highlight w:val="none"/>
        </w:rPr>
      </w:pPr>
      <w:r>
        <w:rPr>
          <w:highlight w:val="none"/>
        </w:rPr>
        <w:fldChar w:fldCharType="begin"/>
      </w:r>
      <w:r>
        <w:rPr>
          <w:highlight w:val="none"/>
        </w:rPr>
        <w:instrText xml:space="preserve"> HYPERLINK "http://formatcomunicacion.com/InternationalBusinessCommunication/international-business-communication-luxembourg" </w:instrText>
      </w:r>
      <w:r>
        <w:rPr>
          <w:highlight w:val="none"/>
        </w:rPr>
        <w:fldChar w:fldCharType="separate"/>
      </w:r>
      <w:r>
        <w:rPr>
          <w:rStyle w:val="7"/>
          <w:rFonts w:ascii="Times New Roman" w:hAnsi="Times New Roman" w:cs="Times New Roman"/>
          <w:highlight w:val="none"/>
        </w:rPr>
        <w:t>http://formatcomunicacion.com/InternationalBusinessCommunication/international-business-communication-luxembourg</w:t>
      </w:r>
      <w:r>
        <w:rPr>
          <w:rStyle w:val="7"/>
          <w:rFonts w:ascii="Times New Roman" w:hAnsi="Times New Roman" w:cs="Times New Roman"/>
          <w:highlight w:val="none"/>
        </w:rPr>
        <w:fldChar w:fldCharType="end"/>
      </w:r>
      <w:r>
        <w:rPr>
          <w:rFonts w:ascii="Times New Roman" w:hAnsi="Times New Roman" w:cs="Times New Roman"/>
          <w:highlight w:val="none"/>
        </w:rPr>
        <w:t xml:space="preserve">  [Accessed 14 December 2021]</w:t>
      </w:r>
    </w:p>
    <w:p>
      <w:pPr>
        <w:pStyle w:val="10"/>
        <w:spacing w:line="360" w:lineRule="auto"/>
        <w:ind w:left="36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color w:val="000000" w:themeColor="text1"/>
          <w:highlight w:val="none"/>
          <w14:textFill>
            <w14:solidFill>
              <w14:schemeClr w14:val="tx1"/>
            </w14:solidFill>
          </w14:textFill>
        </w:rPr>
      </w:pPr>
      <w:r>
        <w:rPr>
          <w:rFonts w:ascii="Times New Roman" w:hAnsi="Times New Roman" w:cs="Times New Roman"/>
          <w:color w:val="000000" w:themeColor="text1"/>
          <w:highlight w:val="none"/>
          <w:shd w:val="clear" w:color="auto" w:fill="FFFFFF"/>
          <w14:textFill>
            <w14:solidFill>
              <w14:schemeClr w14:val="tx1"/>
            </w14:solidFill>
          </w14:textFill>
        </w:rPr>
        <w:t>God, Y.T. and Zhang, H. (2019). ‘Intercultural challenges, intracultural practices : how Chinese and Australian sudents understand and experience intercultural communication at an Australian university’,</w:t>
      </w:r>
      <w:r>
        <w:rPr>
          <w:rStyle w:val="11"/>
          <w:rFonts w:ascii="Times New Roman" w:hAnsi="Times New Roman" w:cs="Times New Roman"/>
          <w:color w:val="000000" w:themeColor="text1"/>
          <w:highlight w:val="none"/>
          <w:shd w:val="clear" w:color="auto" w:fill="FFFFFF"/>
          <w14:textFill>
            <w14:solidFill>
              <w14:schemeClr w14:val="tx1"/>
            </w14:solidFill>
          </w14:textFill>
        </w:rPr>
        <w:t> </w:t>
      </w:r>
      <w:r>
        <w:rPr>
          <w:rFonts w:ascii="Times New Roman" w:hAnsi="Times New Roman" w:cs="Times New Roman"/>
          <w:i/>
          <w:iCs/>
          <w:color w:val="000000" w:themeColor="text1"/>
          <w:highlight w:val="none"/>
          <w14:textFill>
            <w14:solidFill>
              <w14:schemeClr w14:val="tx1"/>
            </w14:solidFill>
          </w14:textFill>
        </w:rPr>
        <w:t>Higher education</w:t>
      </w:r>
      <w:r>
        <w:rPr>
          <w:rFonts w:ascii="Times New Roman" w:hAnsi="Times New Roman" w:cs="Times New Roman"/>
          <w:color w:val="000000" w:themeColor="text1"/>
          <w:highlight w:val="none"/>
          <w:shd w:val="clear" w:color="auto" w:fill="FFFFFF"/>
          <w14:textFill>
            <w14:solidFill>
              <w14:schemeClr w14:val="tx1"/>
            </w14:solidFill>
          </w14:textFill>
        </w:rPr>
        <w:t xml:space="preserve">, 78(2), pp. 305–322. </w:t>
      </w:r>
    </w:p>
    <w:p>
      <w:pPr>
        <w:pStyle w:val="10"/>
        <w:spacing w:line="360" w:lineRule="auto"/>
        <w:ind w:left="36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Hofstede, G. (1980). </w:t>
      </w:r>
      <w:r>
        <w:rPr>
          <w:rFonts w:ascii="Times New Roman" w:hAnsi="Times New Roman" w:cs="Times New Roman"/>
          <w:i/>
          <w:iCs/>
          <w:highlight w:val="none"/>
        </w:rPr>
        <w:t>Culture’s consequences: International differences in work-related values.</w:t>
      </w:r>
      <w:r>
        <w:rPr>
          <w:rFonts w:ascii="Times New Roman" w:hAnsi="Times New Roman" w:cs="Times New Roman"/>
          <w:highlight w:val="none"/>
        </w:rPr>
        <w:t xml:space="preserve"> Beverly Hills: Sage Publications.</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Hofstede Insights (2018). </w:t>
      </w:r>
      <w:r>
        <w:rPr>
          <w:rFonts w:ascii="Times New Roman" w:hAnsi="Times New Roman" w:cs="Times New Roman"/>
          <w:i/>
          <w:iCs/>
          <w:highlight w:val="none"/>
        </w:rPr>
        <w:t>Country Comparison - Hofstede Insights</w:t>
      </w:r>
      <w:r>
        <w:rPr>
          <w:rFonts w:ascii="Times New Roman" w:hAnsi="Times New Roman" w:cs="Times New Roman"/>
          <w:highlight w:val="none"/>
        </w:rPr>
        <w:t xml:space="preserve">. [online] Available at: </w:t>
      </w:r>
      <w:r>
        <w:rPr>
          <w:highlight w:val="none"/>
        </w:rPr>
        <w:fldChar w:fldCharType="begin"/>
      </w:r>
      <w:r>
        <w:rPr>
          <w:highlight w:val="none"/>
        </w:rPr>
        <w:instrText xml:space="preserve"> HYPERLINK "https://www.hofstede-insights.com/country-comparison/the-uk/" </w:instrText>
      </w:r>
      <w:r>
        <w:rPr>
          <w:highlight w:val="none"/>
        </w:rPr>
        <w:fldChar w:fldCharType="separate"/>
      </w:r>
      <w:r>
        <w:rPr>
          <w:rStyle w:val="7"/>
          <w:rFonts w:ascii="Times New Roman" w:hAnsi="Times New Roman" w:cs="Times New Roman"/>
          <w:highlight w:val="none"/>
        </w:rPr>
        <w:t>https://www.hofstede-insights.com/country-comparison/the-uk/</w:t>
      </w:r>
      <w:r>
        <w:rPr>
          <w:rStyle w:val="7"/>
          <w:rFonts w:ascii="Times New Roman" w:hAnsi="Times New Roman" w:cs="Times New Roman"/>
          <w:highlight w:val="none"/>
        </w:rPr>
        <w:fldChar w:fldCharType="end"/>
      </w:r>
      <w:r>
        <w:rPr>
          <w:rFonts w:ascii="Times New Roman" w:hAnsi="Times New Roman" w:cs="Times New Roman"/>
          <w:highlight w:val="none"/>
        </w:rPr>
        <w:t>. [Accessed 12 December 2021]</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Hofstede Insights. (2019). </w:t>
      </w:r>
      <w:r>
        <w:rPr>
          <w:rFonts w:ascii="Times New Roman" w:hAnsi="Times New Roman" w:cs="Times New Roman"/>
          <w:i/>
          <w:iCs/>
          <w:highlight w:val="none"/>
        </w:rPr>
        <w:t>Luxembourg</w:t>
      </w:r>
      <w:r>
        <w:rPr>
          <w:rFonts w:ascii="Times New Roman" w:hAnsi="Times New Roman" w:cs="Times New Roman"/>
          <w:highlight w:val="none"/>
        </w:rPr>
        <w:t xml:space="preserve">. [online] Available at: </w:t>
      </w:r>
      <w:r>
        <w:rPr>
          <w:highlight w:val="none"/>
        </w:rPr>
        <w:fldChar w:fldCharType="begin"/>
      </w:r>
      <w:r>
        <w:rPr>
          <w:highlight w:val="none"/>
        </w:rPr>
        <w:instrText xml:space="preserve"> HYPERLINK "https://www.hofstede-insights.com/country/luxembourg/" </w:instrText>
      </w:r>
      <w:r>
        <w:rPr>
          <w:highlight w:val="none"/>
        </w:rPr>
        <w:fldChar w:fldCharType="separate"/>
      </w:r>
      <w:r>
        <w:rPr>
          <w:rStyle w:val="7"/>
          <w:rFonts w:ascii="Times New Roman" w:hAnsi="Times New Roman" w:cs="Times New Roman"/>
          <w:highlight w:val="none"/>
        </w:rPr>
        <w:t>https://www.hofstede-insights.com/country/luxembourg/</w:t>
      </w:r>
      <w:r>
        <w:rPr>
          <w:rStyle w:val="7"/>
          <w:rFonts w:ascii="Times New Roman" w:hAnsi="Times New Roman" w:cs="Times New Roman"/>
          <w:highlight w:val="none"/>
        </w:rPr>
        <w:fldChar w:fldCharType="end"/>
      </w:r>
      <w:r>
        <w:rPr>
          <w:rFonts w:ascii="Times New Roman" w:hAnsi="Times New Roman" w:cs="Times New Roman"/>
          <w:highlight w:val="none"/>
        </w:rPr>
        <w:t>. [Accessed 12 December 2021]</w:t>
      </w:r>
    </w:p>
    <w:p>
      <w:pPr>
        <w:pStyle w:val="10"/>
        <w:numPr>
          <w:ilvl w:val="0"/>
          <w:numId w:val="0"/>
        </w:numPr>
        <w:spacing w:line="360" w:lineRule="auto"/>
        <w:ind w:left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hint="eastAsia" w:ascii="Times New Roman" w:hAnsi="Times New Roman" w:cs="Times New Roman"/>
          <w:highlight w:val="none"/>
          <w:lang w:val="en-US" w:eastAsia="zh-Hans"/>
        </w:rPr>
        <w:t>N</w:t>
      </w:r>
      <w:r>
        <w:rPr>
          <w:rFonts w:hint="eastAsia" w:ascii="Times New Roman" w:hAnsi="Times New Roman" w:cs="Times New Roman"/>
          <w:highlight w:val="none"/>
        </w:rPr>
        <w:t>ationsonline</w:t>
      </w:r>
      <w:r>
        <w:rPr>
          <w:rFonts w:hint="default" w:ascii="Times New Roman" w:hAnsi="Times New Roman" w:cs="Times New Roman"/>
          <w:highlight w:val="none"/>
        </w:rPr>
        <w:t xml:space="preserve">. </w:t>
      </w:r>
      <w:r>
        <w:rPr>
          <w:rFonts w:hint="eastAsia" w:ascii="Times New Roman" w:hAnsi="Times New Roman" w:cs="Times New Roman"/>
          <w:highlight w:val="none"/>
        </w:rPr>
        <w:t>(2015). United Kingdom - Country Profile - Nations Online Project. [online]</w:t>
      </w:r>
      <w:r>
        <w:rPr>
          <w:rFonts w:hint="default" w:ascii="Times New Roman" w:hAnsi="Times New Roman" w:cs="Times New Roman"/>
          <w:highlight w:val="none"/>
        </w:rPr>
        <w:t xml:space="preserve"> </w:t>
      </w:r>
      <w:r>
        <w:rPr>
          <w:rFonts w:hint="eastAsia" w:ascii="Times New Roman" w:hAnsi="Times New Roman" w:cs="Times New Roman"/>
          <w:highlight w:val="none"/>
        </w:rPr>
        <w:t xml:space="preserve">Available at: </w:t>
      </w:r>
    </w:p>
    <w:p>
      <w:pPr>
        <w:pStyle w:val="10"/>
        <w:numPr>
          <w:ilvl w:val="0"/>
          <w:numId w:val="0"/>
        </w:numPr>
        <w:spacing w:line="360" w:lineRule="auto"/>
        <w:ind w:leftChars="0"/>
        <w:jc w:val="both"/>
        <w:rPr>
          <w:rFonts w:hint="default" w:ascii="Times New Roman" w:hAnsi="Times New Roman" w:cs="Times New Roman"/>
          <w:highlight w:val="none"/>
        </w:rPr>
      </w:pPr>
      <w:r>
        <w:rPr>
          <w:rFonts w:hint="eastAsia" w:ascii="Times New Roman" w:hAnsi="Times New Roman" w:cs="Times New Roman"/>
          <w:highlight w:val="none"/>
        </w:rPr>
        <w:fldChar w:fldCharType="begin"/>
      </w:r>
      <w:r>
        <w:rPr>
          <w:rFonts w:hint="eastAsia" w:ascii="Times New Roman" w:hAnsi="Times New Roman" w:cs="Times New Roman"/>
          <w:highlight w:val="none"/>
        </w:rPr>
        <w:instrText xml:space="preserve"> HYPERLINK "https://www.nationsonline.org/oneworld/united_kingdom.htm." </w:instrText>
      </w:r>
      <w:r>
        <w:rPr>
          <w:rFonts w:hint="eastAsia" w:ascii="Times New Roman" w:hAnsi="Times New Roman" w:cs="Times New Roman"/>
          <w:highlight w:val="none"/>
        </w:rPr>
        <w:fldChar w:fldCharType="separate"/>
      </w:r>
      <w:r>
        <w:rPr>
          <w:rStyle w:val="7"/>
          <w:rFonts w:hint="eastAsia" w:ascii="Times New Roman" w:hAnsi="Times New Roman" w:cs="Times New Roman"/>
          <w:highlight w:val="none"/>
        </w:rPr>
        <w:t>https://www.nationsonline.org/oneworld/united_kingdom.htm.</w:t>
      </w:r>
      <w:r>
        <w:rPr>
          <w:rFonts w:hint="eastAsia" w:ascii="Times New Roman" w:hAnsi="Times New Roman" w:cs="Times New Roman"/>
          <w:highlight w:val="none"/>
        </w:rPr>
        <w:fldChar w:fldCharType="end"/>
      </w:r>
      <w:r>
        <w:rPr>
          <w:rFonts w:hint="default" w:ascii="Times New Roman" w:hAnsi="Times New Roman" w:cs="Times New Roman"/>
          <w:highlight w:val="none"/>
        </w:rPr>
        <w:t xml:space="preserve"> [Accessed 20 December 2021]</w:t>
      </w:r>
    </w:p>
    <w:p>
      <w:pPr>
        <w:pStyle w:val="10"/>
        <w:numPr>
          <w:ilvl w:val="0"/>
          <w:numId w:val="0"/>
        </w:numPr>
        <w:spacing w:line="360" w:lineRule="auto"/>
        <w:ind w:left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color w:val="333333"/>
          <w:highlight w:val="none"/>
          <w:shd w:val="clear" w:color="auto" w:fill="FFFFFF"/>
        </w:rPr>
        <w:t>Kurylo, A. (2013).  </w:t>
      </w:r>
      <w:r>
        <w:rPr>
          <w:rFonts w:ascii="Times New Roman" w:hAnsi="Times New Roman" w:cs="Times New Roman"/>
          <w:i/>
          <w:iCs/>
          <w:color w:val="333333"/>
          <w:highlight w:val="none"/>
        </w:rPr>
        <w:t>Inter/Cultural Communication: Representation and Construction of Culture</w:t>
      </w:r>
      <w:r>
        <w:rPr>
          <w:rFonts w:ascii="Times New Roman" w:hAnsi="Times New Roman" w:cs="Times New Roman"/>
          <w:color w:val="333333"/>
          <w:highlight w:val="none"/>
          <w:shd w:val="clear" w:color="auto" w:fill="FFFFFF"/>
        </w:rPr>
        <w:t xml:space="preserve">. 55 City Road, London: SAGE Publications, Inc. </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color w:val="000000" w:themeColor="text1"/>
          <w:highlight w:val="none"/>
          <w14:textFill>
            <w14:solidFill>
              <w14:schemeClr w14:val="tx1"/>
            </w14:solidFill>
          </w14:textFill>
        </w:rPr>
      </w:pPr>
      <w:r>
        <w:rPr>
          <w:rFonts w:ascii="Times New Roman" w:hAnsi="Times New Roman" w:cs="Times New Roman"/>
          <w:color w:val="000000" w:themeColor="text1"/>
          <w:highlight w:val="none"/>
          <w14:textFill>
            <w14:solidFill>
              <w14:schemeClr w14:val="tx1"/>
            </w14:solidFill>
          </w14:textFill>
        </w:rPr>
        <w:t>Listen &amp; Learn. (2019). </w:t>
      </w:r>
      <w:r>
        <w:rPr>
          <w:rFonts w:ascii="Times New Roman" w:hAnsi="Times New Roman" w:cs="Times New Roman"/>
          <w:i/>
          <w:iCs/>
          <w:color w:val="000000" w:themeColor="text1"/>
          <w:highlight w:val="none"/>
          <w14:textFill>
            <w14:solidFill>
              <w14:schemeClr w14:val="tx1"/>
            </w14:solidFill>
          </w14:textFill>
        </w:rPr>
        <w:t>7 languages spoken in the UK besides English</w:t>
      </w:r>
      <w:r>
        <w:rPr>
          <w:rFonts w:ascii="Times New Roman" w:hAnsi="Times New Roman" w:cs="Times New Roman"/>
          <w:color w:val="000000" w:themeColor="text1"/>
          <w:highlight w:val="none"/>
          <w14:textFill>
            <w14:solidFill>
              <w14:schemeClr w14:val="tx1"/>
            </w14:solidFill>
          </w14:textFill>
        </w:rPr>
        <w:t xml:space="preserve">. [online] Available at: </w:t>
      </w:r>
      <w:r>
        <w:rPr>
          <w:highlight w:val="none"/>
        </w:rPr>
        <w:fldChar w:fldCharType="begin"/>
      </w:r>
      <w:r>
        <w:rPr>
          <w:highlight w:val="none"/>
        </w:rPr>
        <w:instrText xml:space="preserve"> HYPERLINK "https://www.listenandlearn.org/blog/7-languages-spoken-uk-besides-english/" \l ":~:text=7%20languages%20spoken%20in%20the%20UK%20besides%20English" </w:instrText>
      </w:r>
      <w:r>
        <w:rPr>
          <w:highlight w:val="none"/>
        </w:rPr>
        <w:fldChar w:fldCharType="separate"/>
      </w:r>
      <w:r>
        <w:rPr>
          <w:rStyle w:val="7"/>
          <w:rFonts w:ascii="Times New Roman" w:hAnsi="Times New Roman" w:cs="Times New Roman"/>
          <w:highlight w:val="none"/>
        </w:rPr>
        <w:t>https://www.listenandlearn.org/blog/7-languages-spoken-uk-besides-english/#:~:text=7%20languages%20spoken%20in%20the%20UK%20besides%20English</w:t>
      </w:r>
      <w:r>
        <w:rPr>
          <w:rStyle w:val="7"/>
          <w:rFonts w:ascii="Times New Roman" w:hAnsi="Times New Roman" w:cs="Times New Roman"/>
          <w:highlight w:val="none"/>
        </w:rPr>
        <w:fldChar w:fldCharType="end"/>
      </w:r>
      <w:r>
        <w:rPr>
          <w:rFonts w:ascii="Times New Roman" w:hAnsi="Times New Roman" w:cs="Times New Roman"/>
          <w:color w:val="000000" w:themeColor="text1"/>
          <w:highlight w:val="none"/>
          <w14:textFill>
            <w14:solidFill>
              <w14:schemeClr w14:val="tx1"/>
            </w14:solidFill>
          </w14:textFill>
        </w:rPr>
        <w:t xml:space="preserve">  [Accessed 11 December 2021]</w:t>
      </w:r>
    </w:p>
    <w:p>
      <w:pPr>
        <w:pStyle w:val="10"/>
        <w:spacing w:line="360" w:lineRule="auto"/>
        <w:ind w:firstLine="480"/>
        <w:jc w:val="both"/>
        <w:rPr>
          <w:rFonts w:ascii="Times New Roman" w:hAnsi="Times New Roman" w:cs="Times New Roman"/>
          <w:color w:val="000000" w:themeColor="text1"/>
          <w:highlight w:val="none"/>
          <w14:textFill>
            <w14:solidFill>
              <w14:schemeClr w14:val="tx1"/>
            </w14:solidFill>
          </w14:textFill>
        </w:rPr>
      </w:pPr>
    </w:p>
    <w:p>
      <w:pPr>
        <w:pStyle w:val="10"/>
        <w:numPr>
          <w:ilvl w:val="0"/>
          <w:numId w:val="1"/>
        </w:numPr>
        <w:spacing w:line="360" w:lineRule="auto"/>
        <w:ind w:firstLineChars="0"/>
        <w:jc w:val="both"/>
        <w:rPr>
          <w:rFonts w:ascii="Times New Roman" w:hAnsi="Times New Roman" w:cs="Times New Roman"/>
          <w:color w:val="000000" w:themeColor="text1"/>
          <w:highlight w:val="none"/>
          <w14:textFill>
            <w14:solidFill>
              <w14:schemeClr w14:val="tx1"/>
            </w14:solidFill>
          </w14:textFill>
        </w:rPr>
      </w:pPr>
      <w:r>
        <w:rPr>
          <w:rFonts w:ascii="Times New Roman" w:hAnsi="Times New Roman" w:cs="Times New Roman"/>
          <w:color w:val="000000" w:themeColor="text1"/>
          <w:highlight w:val="none"/>
          <w14:textFill>
            <w14:solidFill>
              <w14:schemeClr w14:val="tx1"/>
            </w14:solidFill>
          </w14:textFill>
        </w:rPr>
        <w:t>Office for National Statistics (2011). </w:t>
      </w:r>
      <w:r>
        <w:rPr>
          <w:rFonts w:ascii="Times New Roman" w:hAnsi="Times New Roman" w:cs="Times New Roman"/>
          <w:i/>
          <w:iCs/>
          <w:color w:val="000000" w:themeColor="text1"/>
          <w:highlight w:val="none"/>
          <w14:textFill>
            <w14:solidFill>
              <w14:schemeClr w14:val="tx1"/>
            </w14:solidFill>
          </w14:textFill>
        </w:rPr>
        <w:t>Language in England and Wales - Office for National Statistics</w:t>
      </w:r>
      <w:r>
        <w:rPr>
          <w:rFonts w:ascii="Times New Roman" w:hAnsi="Times New Roman" w:cs="Times New Roman"/>
          <w:color w:val="000000" w:themeColor="text1"/>
          <w:highlight w:val="none"/>
          <w14:textFill>
            <w14:solidFill>
              <w14:schemeClr w14:val="tx1"/>
            </w14:solidFill>
          </w14:textFill>
        </w:rPr>
        <w:t xml:space="preserve">. [online] Available at: </w:t>
      </w:r>
    </w:p>
    <w:p>
      <w:pPr>
        <w:spacing w:line="360" w:lineRule="auto"/>
        <w:rPr>
          <w:rFonts w:ascii="Times New Roman" w:hAnsi="Times New Roman" w:cs="Times New Roman"/>
          <w:sz w:val="24"/>
          <w:highlight w:val="none"/>
        </w:rPr>
      </w:pPr>
      <w:r>
        <w:rPr>
          <w:highlight w:val="none"/>
        </w:rPr>
        <w:fldChar w:fldCharType="begin"/>
      </w:r>
      <w:r>
        <w:rPr>
          <w:highlight w:val="none"/>
        </w:rPr>
        <w:instrText xml:space="preserve"> HYPERLINK "https://www.ons.gov.uk/peoplepopulationandcommunity/culturalidentity/language/articles/languageinenglandandwales/2013-03-04" </w:instrText>
      </w:r>
      <w:r>
        <w:rPr>
          <w:highlight w:val="none"/>
        </w:rPr>
        <w:fldChar w:fldCharType="separate"/>
      </w:r>
      <w:r>
        <w:rPr>
          <w:rStyle w:val="7"/>
          <w:rFonts w:ascii="Times New Roman" w:hAnsi="Times New Roman" w:cs="Times New Roman"/>
          <w:sz w:val="24"/>
          <w:highlight w:val="none"/>
        </w:rPr>
        <w:t>https://www.ons.gov.uk/peoplepopulationandcommunity/culturalidentity/language/articles/languageinenglandandwales/2013-03-04</w:t>
      </w:r>
      <w:r>
        <w:rPr>
          <w:rStyle w:val="7"/>
          <w:rFonts w:ascii="Times New Roman" w:hAnsi="Times New Roman" w:cs="Times New Roman"/>
          <w:sz w:val="24"/>
          <w:highlight w:val="none"/>
        </w:rPr>
        <w:fldChar w:fldCharType="end"/>
      </w:r>
      <w:r>
        <w:rPr>
          <w:rFonts w:ascii="Times New Roman" w:hAnsi="Times New Roman" w:cs="Times New Roman"/>
          <w:color w:val="000000" w:themeColor="text1"/>
          <w:sz w:val="24"/>
          <w:highlight w:val="none"/>
          <w14:textFill>
            <w14:solidFill>
              <w14:schemeClr w14:val="tx1"/>
            </w14:solidFill>
          </w14:textFill>
        </w:rPr>
        <w:t xml:space="preserve">. </w:t>
      </w:r>
      <w:r>
        <w:rPr>
          <w:rFonts w:ascii="Times New Roman" w:hAnsi="Times New Roman" w:cs="Times New Roman"/>
          <w:sz w:val="24"/>
          <w:highlight w:val="none"/>
        </w:rPr>
        <w:t>[Accessed 11 December 2021]</w:t>
      </w:r>
    </w:p>
    <w:p>
      <w:pPr>
        <w:spacing w:line="360" w:lineRule="auto"/>
        <w:rPr>
          <w:rFonts w:ascii="Times New Roman" w:hAnsi="Times New Roman" w:cs="Times New Roman"/>
          <w:sz w:val="24"/>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Peterson, M.F. and Hofstede, G. (2001). Culture’s Consequences: Comparing Values, Behaviors, Institutions, and Organizations across Nations. </w:t>
      </w:r>
      <w:r>
        <w:rPr>
          <w:rFonts w:ascii="Times New Roman" w:hAnsi="Times New Roman" w:cs="Times New Roman"/>
          <w:i/>
          <w:iCs/>
          <w:highlight w:val="none"/>
        </w:rPr>
        <w:t>Administrative Science Quarterly</w:t>
      </w:r>
      <w:r>
        <w:rPr>
          <w:rFonts w:ascii="Times New Roman" w:hAnsi="Times New Roman" w:cs="Times New Roman"/>
          <w:highlight w:val="none"/>
        </w:rPr>
        <w:t>, 48(1), p.127.</w:t>
      </w:r>
    </w:p>
    <w:p>
      <w:pPr>
        <w:pStyle w:val="10"/>
        <w:spacing w:line="360" w:lineRule="auto"/>
        <w:ind w:left="360" w:firstLine="0" w:firstLineChars="0"/>
        <w:jc w:val="both"/>
        <w:rPr>
          <w:rFonts w:hint="eastAsia" w:ascii="Times New Roman" w:hAnsi="Times New Roman" w:cs="Times New Roman"/>
          <w:highlight w:val="none"/>
        </w:rPr>
      </w:pPr>
    </w:p>
    <w:p>
      <w:pPr>
        <w:pStyle w:val="10"/>
        <w:numPr>
          <w:ilvl w:val="0"/>
          <w:numId w:val="1"/>
        </w:numPr>
        <w:ind w:firstLineChars="0"/>
        <w:jc w:val="both"/>
        <w:rPr>
          <w:rFonts w:ascii="Times New Roman" w:hAnsi="Times New Roman" w:cs="Times New Roman"/>
          <w:highlight w:val="none"/>
        </w:rPr>
      </w:pPr>
      <w:r>
        <w:rPr>
          <w:rFonts w:hint="eastAsia" w:ascii="Times New Roman" w:hAnsi="Times New Roman" w:cs="Times New Roman"/>
          <w:highlight w:val="none"/>
        </w:rPr>
        <w:t>P</w:t>
      </w:r>
      <w:r>
        <w:rPr>
          <w:rFonts w:ascii="Times New Roman" w:hAnsi="Times New Roman" w:cs="Times New Roman"/>
          <w:highlight w:val="none"/>
        </w:rPr>
        <w:t>sichologyanswers. (2019). </w:t>
      </w:r>
      <w:r>
        <w:rPr>
          <w:rFonts w:ascii="Times New Roman" w:hAnsi="Times New Roman" w:cs="Times New Roman"/>
          <w:i/>
          <w:iCs/>
          <w:highlight w:val="none"/>
        </w:rPr>
        <w:t>What is the meaning of cultural dimension?</w:t>
      </w:r>
      <w:r>
        <w:rPr>
          <w:rFonts w:ascii="Times New Roman" w:hAnsi="Times New Roman" w:cs="Times New Roman"/>
          <w:highlight w:val="none"/>
        </w:rPr>
        <w:t xml:space="preserve"> [online] Available at: </w:t>
      </w:r>
      <w:r>
        <w:rPr>
          <w:highlight w:val="none"/>
        </w:rPr>
        <w:fldChar w:fldCharType="begin"/>
      </w:r>
      <w:r>
        <w:rPr>
          <w:highlight w:val="none"/>
        </w:rPr>
        <w:instrText xml:space="preserve"> HYPERLINK "https://psichologyanswers.com/library/lecture/read/69367-what-is-the-meaning-of-cultural-dimension#0" </w:instrText>
      </w:r>
      <w:r>
        <w:rPr>
          <w:highlight w:val="none"/>
        </w:rPr>
        <w:fldChar w:fldCharType="separate"/>
      </w:r>
      <w:r>
        <w:rPr>
          <w:rStyle w:val="7"/>
          <w:rFonts w:ascii="Times New Roman" w:hAnsi="Times New Roman" w:cs="Times New Roman"/>
          <w:highlight w:val="none"/>
        </w:rPr>
        <w:t>https://psichologyanswers.com/library/lecture/read/69367-what-is-the-meaning-of-cultural-dimension#0</w:t>
      </w:r>
      <w:r>
        <w:rPr>
          <w:rStyle w:val="7"/>
          <w:rFonts w:ascii="Times New Roman" w:hAnsi="Times New Roman" w:cs="Times New Roman"/>
          <w:highlight w:val="none"/>
        </w:rPr>
        <w:fldChar w:fldCharType="end"/>
      </w:r>
      <w:r>
        <w:rPr>
          <w:rFonts w:ascii="Times New Roman" w:hAnsi="Times New Roman" w:cs="Times New Roman"/>
          <w:highlight w:val="none"/>
        </w:rPr>
        <w:t xml:space="preserve">  [Accessed 20 Dec</w:t>
      </w:r>
      <w:r>
        <w:rPr>
          <w:rFonts w:hint="eastAsia" w:ascii="Times New Roman" w:hAnsi="Times New Roman" w:cs="Times New Roman"/>
          <w:highlight w:val="none"/>
        </w:rPr>
        <w:t>ember</w:t>
      </w:r>
      <w:r>
        <w:rPr>
          <w:rFonts w:ascii="Times New Roman" w:hAnsi="Times New Roman" w:cs="Times New Roman"/>
          <w:highlight w:val="none"/>
        </w:rPr>
        <w:t xml:space="preserve"> 2021]</w:t>
      </w:r>
    </w:p>
    <w:p>
      <w:pPr>
        <w:pStyle w:val="10"/>
        <w:spacing w:line="360" w:lineRule="auto"/>
        <w:ind w:left="0" w:leftChars="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Schinzel, U. (2015). Hofstede in Luxembourg. </w:t>
      </w:r>
      <w:r>
        <w:rPr>
          <w:rFonts w:ascii="Times New Roman" w:hAnsi="Times New Roman" w:cs="Times New Roman"/>
          <w:i/>
          <w:iCs/>
          <w:highlight w:val="none"/>
        </w:rPr>
        <w:t>Journal of Business and Economics</w:t>
      </w:r>
      <w:r>
        <w:rPr>
          <w:rFonts w:ascii="Times New Roman" w:hAnsi="Times New Roman" w:cs="Times New Roman"/>
          <w:highlight w:val="none"/>
        </w:rPr>
        <w:t>, 6(2), pp.348–355.</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Soares, A.M., Farhangmehr, M. and Shoham, A. (2007). Hofstede’s dimensions of culture in international marketing studies. </w:t>
      </w:r>
      <w:r>
        <w:rPr>
          <w:rFonts w:ascii="Times New Roman" w:hAnsi="Times New Roman" w:cs="Times New Roman"/>
          <w:i/>
          <w:iCs/>
          <w:highlight w:val="none"/>
        </w:rPr>
        <w:t xml:space="preserve">Journal of Business Research, </w:t>
      </w:r>
      <w:r>
        <w:rPr>
          <w:rFonts w:ascii="Times New Roman" w:hAnsi="Times New Roman" w:cs="Times New Roman"/>
          <w:highlight w:val="none"/>
        </w:rPr>
        <w:t>60(3), pp.277–284.</w:t>
      </w:r>
    </w:p>
    <w:p>
      <w:pPr>
        <w:pStyle w:val="10"/>
        <w:spacing w:line="360" w:lineRule="auto"/>
        <w:ind w:firstLine="48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Swoboda, B. and Hirschmann, J. (2017). Perceptions and effects of cross-national corporate reputation. </w:t>
      </w:r>
      <w:r>
        <w:rPr>
          <w:rFonts w:ascii="Times New Roman" w:hAnsi="Times New Roman" w:cs="Times New Roman"/>
          <w:i/>
          <w:iCs/>
          <w:highlight w:val="none"/>
        </w:rPr>
        <w:t>International Marketing Review</w:t>
      </w:r>
      <w:r>
        <w:rPr>
          <w:rFonts w:ascii="Times New Roman" w:hAnsi="Times New Roman" w:cs="Times New Roman"/>
          <w:highlight w:val="none"/>
        </w:rPr>
        <w:t>, 34(6), pp.909–944.</w:t>
      </w:r>
    </w:p>
    <w:p>
      <w:pPr>
        <w:pStyle w:val="10"/>
        <w:spacing w:line="360" w:lineRule="auto"/>
        <w:ind w:left="36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 xml:space="preserve">Taras, V., Steel, P. and Kirkman, B.L. (2012). Improving national cultural indices using a longitudinal meta-analysis of Hofstede’s dimensions. </w:t>
      </w:r>
      <w:r>
        <w:rPr>
          <w:rFonts w:ascii="Times New Roman" w:hAnsi="Times New Roman" w:cs="Times New Roman"/>
          <w:i/>
          <w:iCs/>
          <w:highlight w:val="none"/>
        </w:rPr>
        <w:t>Journal of World Business,</w:t>
      </w:r>
      <w:r>
        <w:rPr>
          <w:rFonts w:ascii="Times New Roman" w:hAnsi="Times New Roman" w:cs="Times New Roman"/>
          <w:highlight w:val="none"/>
        </w:rPr>
        <w:t xml:space="preserve"> 47(3), pp.329–341.</w:t>
      </w:r>
    </w:p>
    <w:p>
      <w:pPr>
        <w:pStyle w:val="10"/>
        <w:spacing w:line="360" w:lineRule="auto"/>
        <w:ind w:left="36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Theintactone. (2019). </w:t>
      </w:r>
      <w:r>
        <w:rPr>
          <w:rFonts w:ascii="Times New Roman" w:hAnsi="Times New Roman" w:cs="Times New Roman"/>
          <w:i/>
          <w:iCs/>
          <w:highlight w:val="none"/>
        </w:rPr>
        <w:t>Overcoming Cross Cultural Communication</w:t>
      </w:r>
      <w:r>
        <w:rPr>
          <w:rFonts w:ascii="Times New Roman" w:hAnsi="Times New Roman" w:cs="Times New Roman"/>
          <w:highlight w:val="none"/>
        </w:rPr>
        <w:t xml:space="preserve">. [online] Available at: </w:t>
      </w:r>
    </w:p>
    <w:p>
      <w:pPr>
        <w:pStyle w:val="10"/>
        <w:spacing w:line="360" w:lineRule="auto"/>
        <w:ind w:left="360" w:firstLine="0" w:firstLineChars="0"/>
        <w:jc w:val="both"/>
        <w:rPr>
          <w:rFonts w:ascii="Times New Roman" w:hAnsi="Times New Roman" w:cs="Times New Roman"/>
          <w:highlight w:val="none"/>
        </w:rPr>
      </w:pPr>
      <w:r>
        <w:rPr>
          <w:highlight w:val="none"/>
        </w:rPr>
        <w:fldChar w:fldCharType="begin"/>
      </w:r>
      <w:r>
        <w:rPr>
          <w:highlight w:val="none"/>
        </w:rPr>
        <w:instrText xml:space="preserve"> HYPERLINK "https://theintactone.com/2019/02/11/bc-u2-topic-7-overcoming-cross-cultural-communication/" \l ":~:text=%20Overcoming%20Cross%20Cultural%20Communication%20%201%20Run" </w:instrText>
      </w:r>
      <w:r>
        <w:rPr>
          <w:highlight w:val="none"/>
        </w:rPr>
        <w:fldChar w:fldCharType="separate"/>
      </w:r>
      <w:r>
        <w:rPr>
          <w:rStyle w:val="7"/>
          <w:rFonts w:ascii="Times New Roman" w:hAnsi="Times New Roman" w:cs="Times New Roman"/>
          <w:highlight w:val="none"/>
        </w:rPr>
        <w:t>https://theintactone.com/2019/02/11/bc-u2-topic-7-overcoming-cross-cultural-communication/#:~:text=%20Overcoming%20Cross%20Cultural%20Communication%20%201%20Run</w:t>
      </w:r>
      <w:r>
        <w:rPr>
          <w:rStyle w:val="7"/>
          <w:rFonts w:ascii="Times New Roman" w:hAnsi="Times New Roman" w:cs="Times New Roman"/>
          <w:highlight w:val="none"/>
        </w:rPr>
        <w:fldChar w:fldCharType="end"/>
      </w:r>
      <w:r>
        <w:rPr>
          <w:rFonts w:ascii="Times New Roman" w:hAnsi="Times New Roman" w:cs="Times New Roman"/>
          <w:highlight w:val="none"/>
        </w:rPr>
        <w:t xml:space="preserve">  [Accessed 16 December 2021].</w:t>
      </w:r>
    </w:p>
    <w:p>
      <w:pPr>
        <w:pStyle w:val="10"/>
        <w:spacing w:line="360" w:lineRule="auto"/>
        <w:ind w:left="360" w:firstLine="0" w:firstLineChars="0"/>
        <w:jc w:val="both"/>
        <w:rPr>
          <w:rFonts w:ascii="Times New Roman" w:hAnsi="Times New Roman" w:cs="Times New Roman"/>
          <w:highlight w:val="none"/>
        </w:rPr>
      </w:pPr>
    </w:p>
    <w:p>
      <w:pPr>
        <w:pStyle w:val="10"/>
        <w:numPr>
          <w:ilvl w:val="0"/>
          <w:numId w:val="1"/>
        </w:numPr>
        <w:spacing w:line="360" w:lineRule="auto"/>
        <w:ind w:firstLineChars="0"/>
        <w:jc w:val="both"/>
        <w:rPr>
          <w:rFonts w:ascii="Times New Roman" w:hAnsi="Times New Roman" w:cs="Times New Roman"/>
          <w:highlight w:val="none"/>
        </w:rPr>
      </w:pPr>
      <w:r>
        <w:rPr>
          <w:rFonts w:ascii="Times New Roman" w:hAnsi="Times New Roman" w:cs="Times New Roman"/>
          <w:highlight w:val="none"/>
        </w:rPr>
        <w:t>Trompenaars, F. and Hampden-Turner, C. (2014). </w:t>
      </w:r>
      <w:r>
        <w:rPr>
          <w:rFonts w:ascii="Times New Roman" w:hAnsi="Times New Roman" w:cs="Times New Roman"/>
          <w:i/>
          <w:iCs/>
          <w:highlight w:val="none"/>
        </w:rPr>
        <w:t xml:space="preserve">Minute Guide From Mind Tools Corporate Essential Skills for Your Organization About the Model. </w:t>
      </w:r>
      <w:r>
        <w:rPr>
          <w:rFonts w:ascii="Times New Roman" w:hAnsi="Times New Roman" w:cs="Times New Roman"/>
          <w:highlight w:val="none"/>
        </w:rPr>
        <w:t xml:space="preserve">[online] Available at: </w:t>
      </w:r>
    </w:p>
    <w:p>
      <w:pPr>
        <w:spacing w:line="360" w:lineRule="auto"/>
        <w:rPr>
          <w:rFonts w:ascii="Times New Roman" w:hAnsi="Times New Roman" w:cs="Times New Roman"/>
          <w:sz w:val="24"/>
          <w:highlight w:val="none"/>
        </w:rPr>
      </w:pPr>
      <w:r>
        <w:rPr>
          <w:highlight w:val="none"/>
        </w:rPr>
        <w:fldChar w:fldCharType="begin"/>
      </w:r>
      <w:r>
        <w:rPr>
          <w:highlight w:val="none"/>
        </w:rPr>
        <w:instrText xml:space="preserve"> HYPERLINK "https://eastsideforall.org/wp-content/uploads/2020/01/Copy-of-7-Dimensions-of-Culture_handout.pdf" </w:instrText>
      </w:r>
      <w:r>
        <w:rPr>
          <w:highlight w:val="none"/>
        </w:rPr>
        <w:fldChar w:fldCharType="separate"/>
      </w:r>
      <w:r>
        <w:rPr>
          <w:rStyle w:val="7"/>
          <w:rFonts w:ascii="Times New Roman" w:hAnsi="Times New Roman" w:cs="Times New Roman"/>
          <w:sz w:val="24"/>
          <w:highlight w:val="none"/>
        </w:rPr>
        <w:t>https://eastsideforall.org/wp-content/uploads/2020/01/Copy-of-7-Dimensions-of-Culture_handout.pdf</w:t>
      </w:r>
      <w:r>
        <w:rPr>
          <w:rStyle w:val="7"/>
          <w:rFonts w:ascii="Times New Roman" w:hAnsi="Times New Roman" w:cs="Times New Roman"/>
          <w:sz w:val="24"/>
          <w:highlight w:val="none"/>
        </w:rPr>
        <w:fldChar w:fldCharType="end"/>
      </w:r>
      <w:r>
        <w:rPr>
          <w:rFonts w:ascii="Times New Roman" w:hAnsi="Times New Roman" w:cs="Times New Roman"/>
          <w:sz w:val="24"/>
          <w:highlight w:val="none"/>
        </w:rPr>
        <w:t xml:space="preserve"> . [Accessed 9 December 2021]</w:t>
      </w:r>
    </w:p>
    <w:p>
      <w:pPr>
        <w:pStyle w:val="10"/>
        <w:ind w:left="360" w:firstLine="0" w:firstLineChars="0"/>
        <w:rPr>
          <w:rFonts w:ascii="Times New Roman" w:hAnsi="Times New Roman" w:cs="Times New Roman"/>
          <w:highlight w:val="none"/>
        </w:rPr>
      </w:pPr>
    </w:p>
    <w:p>
      <w:pPr>
        <w:pStyle w:val="10"/>
        <w:ind w:left="360" w:firstLine="0" w:firstLineChars="0"/>
        <w:rPr>
          <w:rFonts w:ascii="Times New Roman" w:hAnsi="Times New Roman" w:cs="Times New Roman"/>
          <w:highlight w:val="none"/>
        </w:rPr>
      </w:pPr>
    </w:p>
    <w:p>
      <w:pPr>
        <w:widowControl/>
        <w:jc w:val="left"/>
        <w:rPr>
          <w:rFonts w:ascii="Times New Roman" w:hAnsi="Times New Roman" w:cs="Times New Roman"/>
          <w:b/>
          <w:bCs/>
          <w:sz w:val="24"/>
          <w:highlight w:val="none"/>
        </w:rPr>
      </w:pPr>
    </w:p>
    <w:sectPr>
      <w:footerReference r:id="rId3" w:type="default"/>
      <w:pgSz w:w="11900" w:h="16840"/>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Times New Roman"/>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Verdana">
    <w:panose1 w:val="020B0604030504040204"/>
    <w:charset w:val="00"/>
    <w:family w:val="auto"/>
    <w:pitch w:val="default"/>
    <w:sig w:usb0="A10006FF" w:usb1="4000205B" w:usb2="00000010" w:usb3="00000000" w:csb0="2000019F" w:csb1="00000000"/>
  </w:font>
  <w:font w:name="宋体-简">
    <w:panose1 w:val="02010800040101010101"/>
    <w:charset w:val="86"/>
    <w:family w:val="auto"/>
    <w:pitch w:val="default"/>
    <w:sig w:usb0="00000001" w:usb1="080F0000" w:usb2="00000000" w:usb3="00000000" w:csb0="00040000" w:csb1="00000000"/>
  </w:font>
  <w:font w:name="Times">
    <w:panose1 w:val="00000500000000020000"/>
    <w:charset w:val="00"/>
    <w:family w:val="auto"/>
    <w:pitch w:val="default"/>
    <w:sig w:usb0="E00002FF" w:usb1="5000205A" w:usb2="00000000" w:usb3="00000000" w:csb0="2000019F" w:csb1="4F010000"/>
  </w:font>
  <w:font w:name="Symbol">
    <w:altName w:val="Kingsoft Sign"/>
    <w:panose1 w:val="00000000000000000000"/>
    <w:charset w:val="00"/>
    <w:family w:val="auto"/>
    <w:pitch w:val="default"/>
    <w:sig w:usb0="00000000" w:usb1="00000000" w:usb2="00000000" w:usb3="00000000" w:csb0="00000000" w:csb1="00000000"/>
  </w:font>
  <w:font w:name="Courier New">
    <w:panose1 w:val="02070609020205090404"/>
    <w:charset w:val="00"/>
    <w:family w:val="auto"/>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Kingsoft Sign">
    <w:panose1 w:val="05050102010706020507"/>
    <w:charset w:val="00"/>
    <w:family w:val="auto"/>
    <w:pitch w:val="default"/>
    <w:sig w:usb0="00000000" w:usb1="10000000" w:usb2="00000000" w:usb3="00000000" w:csb0="00000001" w:csb1="00000000"/>
  </w:font>
  <w:font w:name="Open Sans">
    <w:altName w:val="苹方-简"/>
    <w:panose1 w:val="00000000000000000000"/>
    <w:charset w:val="00"/>
    <w:family w:val="auto"/>
    <w:pitch w:val="default"/>
    <w:sig w:usb0="00000000" w:usb1="00000000" w:usb2="00000000" w:usb3="00000000" w:csb0="00000000" w:csb1="00000000"/>
  </w:font>
  <w:font w:name="Times New Roman Italic">
    <w:panose1 w:val="02020603050405020304"/>
    <w:charset w:val="00"/>
    <w:family w:val="auto"/>
    <w:pitch w:val="default"/>
    <w:sig w:usb0="E0002AEF" w:usb1="C0007841" w:usb2="00000009" w:usb3="00000000" w:csb0="400001FF" w:csb1="FFFF0000"/>
  </w:font>
  <w:font w:name="Symbol">
    <w:altName w:val="Kingsoft Sign"/>
    <w:panose1 w:val="05050102010706020507"/>
    <w:charset w:val="02"/>
    <w:family w:val="decorative"/>
    <w:pitch w:val="default"/>
    <w:sig w:usb0="00000000" w:usb1="00000000" w:usb2="00000000" w:usb3="00000000" w:csb0="80000000" w:csb1="00000000"/>
  </w:font>
  <w:font w:name="AdvTT27336364.I">
    <w:altName w:val="苹方-简"/>
    <w:panose1 w:val="020B0604020202020204"/>
    <w:charset w:val="00"/>
    <w:family w:val="roman"/>
    <w:pitch w:val="default"/>
    <w:sig w:usb0="00000000" w:usb1="00000000" w:usb2="00000000" w:usb3="00000000" w:csb0="00000000" w:csb1="00000000"/>
  </w:font>
  <w:font w:name="Times New Roman Bold">
    <w:panose1 w:val="02020603050405020304"/>
    <w:charset w:val="00"/>
    <w:family w:val="auto"/>
    <w:pitch w:val="default"/>
    <w:sig w:usb0="E0002AEF" w:usb1="C0007841" w:usb2="00000009" w:usb3="00000000" w:csb0="400001FF" w:csb1="FFFF0000"/>
  </w:font>
  <w:font w:name="Times New Roman Regular">
    <w:panose1 w:val="02020603050405020304"/>
    <w:charset w:val="00"/>
    <w:family w:val="auto"/>
    <w:pitch w:val="default"/>
    <w:sig w:usb0="E0002AEF" w:usb1="C0007841" w:usb2="00000009" w:usb3="00000000" w:csb0="400001FF" w:csb1="FFFF0000"/>
  </w:font>
  <w:font w:name="Calibri Light">
    <w:altName w:val="Helvetica Neue"/>
    <w:panose1 w:val="020F0302020204030204"/>
    <w:charset w:val="00"/>
    <w:family w:val="swiss"/>
    <w:pitch w:val="default"/>
    <w:sig w:usb0="00000000" w:usb1="00000000" w:usb2="00000009" w:usb3="00000000" w:csb0="000001FF" w:csb1="00000000"/>
  </w:font>
  <w:font w:name="Source Sans Pro">
    <w:altName w:val="苹方-简"/>
    <w:panose1 w:val="00000000000000000000"/>
    <w:charset w:val="00"/>
    <w:family w:val="auto"/>
    <w:pitch w:val="default"/>
    <w:sig w:usb0="00000000" w:usb1="00000000" w:usb2="00000000" w:usb3="00000000" w:csb0="00000000" w:csb1="00000000"/>
  </w:font>
  <w:font w:name="Raleway">
    <w:altName w:val="苹方-简"/>
    <w:panose1 w:val="00000000000000000000"/>
    <w:charset w:val="00"/>
    <w:family w:val="auto"/>
    <w:pitch w:val="default"/>
    <w:sig w:usb0="00000000" w:usb1="00000000" w:usb2="00000000" w:usb3="00000000" w:csb0="00000197" w:csb1="00000000"/>
  </w:font>
  <w:font w:name="冬青黑体简体中文">
    <w:panose1 w:val="020B0300000000000000"/>
    <w:charset w:val="86"/>
    <w:family w:val="auto"/>
    <w:pitch w:val="default"/>
    <w:sig w:usb0="A00002BF" w:usb1="1ACF7CFA" w:usb2="00000016" w:usb3="00000000" w:csb0="00060007" w:csb1="00000000"/>
  </w:font>
  <w:font w:name="Arial Regular">
    <w:panose1 w:val="020B0604020202090204"/>
    <w:charset w:val="00"/>
    <w:family w:val="auto"/>
    <w:pitch w:val="default"/>
    <w:sig w:usb0="E0000AFF" w:usb1="00007843" w:usb2="00000001" w:usb3="00000000" w:csb0="400001BF" w:csb1="DFF70000"/>
  </w:font>
  <w:font w:name="Roboto">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A580CCC"/>
    <w:multiLevelType w:val="multilevel"/>
    <w:tmpl w:val="6A580CCC"/>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5"/>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1E1"/>
    <w:rsid w:val="000209C5"/>
    <w:rsid w:val="00065EAF"/>
    <w:rsid w:val="000F69DA"/>
    <w:rsid w:val="00327AB4"/>
    <w:rsid w:val="003405B2"/>
    <w:rsid w:val="003D2879"/>
    <w:rsid w:val="004F4B87"/>
    <w:rsid w:val="005C3673"/>
    <w:rsid w:val="005D5025"/>
    <w:rsid w:val="005D7032"/>
    <w:rsid w:val="007111E1"/>
    <w:rsid w:val="00785F69"/>
    <w:rsid w:val="007E59C1"/>
    <w:rsid w:val="00890479"/>
    <w:rsid w:val="008F2E3B"/>
    <w:rsid w:val="009B2252"/>
    <w:rsid w:val="00C05DC9"/>
    <w:rsid w:val="00D0195D"/>
    <w:rsid w:val="00FB3AC7"/>
    <w:rsid w:val="00FC79E6"/>
    <w:rsid w:val="16353659"/>
    <w:rsid w:val="17CF3B35"/>
    <w:rsid w:val="2EFD2EBF"/>
    <w:rsid w:val="37EB1B83"/>
    <w:rsid w:val="3BB773A8"/>
    <w:rsid w:val="3FFD46F7"/>
    <w:rsid w:val="5FED562B"/>
    <w:rsid w:val="66EE082F"/>
    <w:rsid w:val="6BB442E2"/>
    <w:rsid w:val="6FA7308C"/>
    <w:rsid w:val="7BDFC740"/>
    <w:rsid w:val="7EEF929C"/>
    <w:rsid w:val="7F9EAF0F"/>
    <w:rsid w:val="9DE2999B"/>
    <w:rsid w:val="EAF7E204"/>
    <w:rsid w:val="EDFE567C"/>
    <w:rsid w:val="F3D633C9"/>
    <w:rsid w:val="F3FF22CD"/>
    <w:rsid w:val="FAD35D97"/>
    <w:rsid w:val="FBDFD738"/>
    <w:rsid w:val="FC5F2746"/>
    <w:rsid w:val="FFF72C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0"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unhideWhenUsed/>
    <w:qFormat/>
    <w:uiPriority w:val="1"/>
  </w:style>
  <w:style w:type="table" w:default="1" w:styleId="8">
    <w:name w:val="Normal Table"/>
    <w:unhideWhenUsed/>
    <w:qFormat/>
    <w:uiPriority w:val="99"/>
    <w:tblPr>
      <w:tblCellMar>
        <w:top w:w="0" w:type="dxa"/>
        <w:left w:w="108" w:type="dxa"/>
        <w:bottom w:w="0" w:type="dxa"/>
        <w:right w:w="108" w:type="dxa"/>
      </w:tblCellMar>
    </w:tblPr>
  </w:style>
  <w:style w:type="paragraph" w:styleId="2">
    <w:name w:val="footer"/>
    <w:basedOn w:val="1"/>
    <w:unhideWhenUsed/>
    <w:qFormat/>
    <w:uiPriority w:val="99"/>
    <w:pPr>
      <w:tabs>
        <w:tab w:val="center" w:pos="4153"/>
        <w:tab w:val="right" w:pos="8306"/>
      </w:tabs>
      <w:snapToGrid w:val="0"/>
      <w:jc w:val="left"/>
    </w:pPr>
    <w:rPr>
      <w:sz w:val="18"/>
    </w:rPr>
  </w:style>
  <w:style w:type="paragraph" w:styleId="3">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4">
    <w:name w:val="Normal (Web)"/>
    <w:basedOn w:val="1"/>
    <w:unhideWhenUsed/>
    <w:qFormat/>
    <w:uiPriority w:val="99"/>
    <w:pPr>
      <w:spacing w:before="0" w:beforeAutospacing="1" w:after="0" w:afterAutospacing="1"/>
      <w:ind w:left="0" w:right="0"/>
      <w:jc w:val="left"/>
    </w:pPr>
    <w:rPr>
      <w:kern w:val="0"/>
      <w:sz w:val="24"/>
      <w:lang w:val="en-US" w:eastAsia="zh-CN" w:bidi="ar"/>
    </w:rPr>
  </w:style>
  <w:style w:type="character" w:styleId="6">
    <w:name w:val="FollowedHyperlink"/>
    <w:basedOn w:val="5"/>
    <w:unhideWhenUsed/>
    <w:qFormat/>
    <w:uiPriority w:val="99"/>
    <w:rPr>
      <w:color w:val="954F72" w:themeColor="followedHyperlink"/>
      <w:u w:val="single"/>
      <w14:textFill>
        <w14:solidFill>
          <w14:schemeClr w14:val="folHlink"/>
        </w14:solidFill>
      </w14:textFill>
    </w:rPr>
  </w:style>
  <w:style w:type="character" w:styleId="7">
    <w:name w:val="Hyperlink"/>
    <w:basedOn w:val="5"/>
    <w:unhideWhenUsed/>
    <w:qFormat/>
    <w:uiPriority w:val="0"/>
    <w:rPr>
      <w:color w:val="0563C1" w:themeColor="hyperlink"/>
      <w:u w:val="single"/>
      <w14:textFill>
        <w14:solidFill>
          <w14:schemeClr w14:val="hlink"/>
        </w14:solidFill>
      </w14:textFill>
    </w:rPr>
  </w:style>
  <w:style w:type="character" w:customStyle="1" w:styleId="9">
    <w:name w:val="未处理的提及1"/>
    <w:basedOn w:val="5"/>
    <w:unhideWhenUsed/>
    <w:qFormat/>
    <w:uiPriority w:val="99"/>
    <w:rPr>
      <w:color w:val="605E5C"/>
      <w:shd w:val="clear" w:color="auto" w:fill="E1DFDD"/>
    </w:rPr>
  </w:style>
  <w:style w:type="paragraph" w:customStyle="1" w:styleId="10">
    <w:name w:val="列表段落1"/>
    <w:basedOn w:val="1"/>
    <w:qFormat/>
    <w:uiPriority w:val="34"/>
    <w:pPr>
      <w:widowControl/>
      <w:ind w:firstLine="420" w:firstLineChars="200"/>
      <w:jc w:val="left"/>
    </w:pPr>
    <w:rPr>
      <w:rFonts w:ascii="宋体" w:hAnsi="宋体" w:eastAsia="宋体" w:cs="宋体"/>
      <w:kern w:val="0"/>
      <w:sz w:val="24"/>
    </w:rPr>
  </w:style>
  <w:style w:type="character" w:customStyle="1" w:styleId="11">
    <w:name w:val="apple-converted-space"/>
    <w:basedOn w:val="5"/>
    <w:qFormat/>
    <w:uiPriority w:val="0"/>
  </w:style>
  <w:style w:type="character" w:customStyle="1" w:styleId="12">
    <w:name w:val="Unresolved Mention"/>
    <w:basedOn w:val="5"/>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3305</Words>
  <Characters>18840</Characters>
  <Lines>157</Lines>
  <Paragraphs>44</Paragraphs>
  <ScaleCrop>false</ScaleCrop>
  <LinksUpToDate>false</LinksUpToDate>
  <CharactersWithSpaces>22101</CharactersWithSpaces>
  <Application>WPS Office_3.9.6.6441_F1E327BC-269C-435d-A152-05C5408002CA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2021-12-23T20:53:00Z</dcterms:created>
  <dc:creator>Miaoshan Li (2100726)</dc:creator>
  <cp:lastModifiedBy>limiaoshan0910</cp:lastModifiedBy>
  <dcterms:modified xsi:type="dcterms:W3CDTF">2022-01-07T11:33:45Z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