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17BD0F" w14:textId="6705BB33" w:rsidR="00506C79" w:rsidRPr="000172E5" w:rsidRDefault="00F91A7E">
      <w:pPr>
        <w:pStyle w:val="Title"/>
        <w:rPr>
          <w:rFonts w:asciiTheme="minorBidi" w:hAnsiTheme="minorBidi" w:cstheme="minorBidi"/>
          <w:color w:val="auto"/>
          <w:sz w:val="40"/>
          <w:szCs w:val="40"/>
        </w:rPr>
      </w:pPr>
      <w:r w:rsidRPr="000172E5">
        <w:rPr>
          <w:rFonts w:asciiTheme="minorBidi" w:hAnsiTheme="minorBidi" w:cstheme="minorBidi"/>
          <w:color w:val="auto"/>
          <w:sz w:val="40"/>
          <w:szCs w:val="40"/>
        </w:rPr>
        <w:t>Week 5 | Case Study Pack</w:t>
      </w:r>
    </w:p>
    <w:p w14:paraId="51BCCBBA" w14:textId="77777777" w:rsidR="00506C79" w:rsidRPr="000172E5" w:rsidRDefault="00F91A7E">
      <w:pPr>
        <w:rPr>
          <w:rFonts w:asciiTheme="minorBidi" w:hAnsiTheme="minorBidi"/>
          <w:sz w:val="24"/>
          <w:szCs w:val="24"/>
        </w:rPr>
      </w:pPr>
      <w:r w:rsidRPr="000172E5">
        <w:rPr>
          <w:rFonts w:asciiTheme="minorBidi" w:hAnsiTheme="minorBidi"/>
          <w:sz w:val="24"/>
          <w:szCs w:val="24"/>
        </w:rPr>
        <w:t>LCMB7023 • Human Resource Management • 150-minute MBA workshop</w:t>
      </w:r>
    </w:p>
    <w:p w14:paraId="52E09242" w14:textId="77777777" w:rsidR="00506C79" w:rsidRPr="000172E5" w:rsidRDefault="00F91A7E">
      <w:pPr>
        <w:rPr>
          <w:rFonts w:asciiTheme="minorBidi" w:hAnsiTheme="minorBidi"/>
          <w:sz w:val="24"/>
          <w:szCs w:val="24"/>
        </w:rPr>
      </w:pPr>
      <w:r w:rsidRPr="000172E5">
        <w:rPr>
          <w:rFonts w:asciiTheme="minorBidi" w:hAnsiTheme="minorBidi"/>
          <w:sz w:val="24"/>
          <w:szCs w:val="24"/>
        </w:rPr>
        <w:t>Diversity • Equity • Inclusion | Lecturer-ready instructions and facilitator guidance</w:t>
      </w:r>
    </w:p>
    <w:p w14:paraId="0C57D934" w14:textId="77777777" w:rsidR="00506C79" w:rsidRPr="000172E5" w:rsidRDefault="00F91A7E">
      <w:pPr>
        <w:pStyle w:val="Heading1"/>
        <w:rPr>
          <w:rFonts w:asciiTheme="minorBidi" w:hAnsiTheme="minorBidi" w:cstheme="minorBidi"/>
          <w:color w:val="auto"/>
          <w:sz w:val="24"/>
          <w:szCs w:val="24"/>
        </w:rPr>
      </w:pPr>
      <w:r w:rsidRPr="000172E5">
        <w:rPr>
          <w:rFonts w:asciiTheme="minorBidi" w:hAnsiTheme="minorBidi" w:cstheme="minorBidi"/>
          <w:color w:val="auto"/>
          <w:sz w:val="24"/>
          <w:szCs w:val="24"/>
        </w:rPr>
        <w:t>How to use this companion pack</w:t>
      </w:r>
    </w:p>
    <w:p w14:paraId="6F04B39A" w14:textId="61EB7A41" w:rsidR="00506C79" w:rsidRPr="000172E5" w:rsidRDefault="00506C79">
      <w:pPr>
        <w:rPr>
          <w:rFonts w:asciiTheme="minorBidi" w:hAnsiTheme="minorBidi"/>
          <w:sz w:val="24"/>
          <w:szCs w:val="24"/>
        </w:rPr>
      </w:pPr>
    </w:p>
    <w:tbl>
      <w:tblPr>
        <w:tblStyle w:val="LightShading-Accent1"/>
        <w:tblW w:w="0" w:type="auto"/>
        <w:jc w:val="center"/>
        <w:tblLook w:val="04A0" w:firstRow="1" w:lastRow="0" w:firstColumn="1" w:lastColumn="0" w:noHBand="0" w:noVBand="1"/>
      </w:tblPr>
      <w:tblGrid>
        <w:gridCol w:w="3264"/>
        <w:gridCol w:w="3264"/>
        <w:gridCol w:w="3264"/>
      </w:tblGrid>
      <w:tr w:rsidR="00506C79" w:rsidRPr="000172E5" w14:paraId="19227F7F" w14:textId="77777777" w:rsidTr="00506C7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64" w:type="dxa"/>
          </w:tcPr>
          <w:p w14:paraId="226B19BA"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Workshop segment</w:t>
            </w:r>
          </w:p>
        </w:tc>
        <w:tc>
          <w:tcPr>
            <w:tcW w:w="3264" w:type="dxa"/>
          </w:tcPr>
          <w:p w14:paraId="01C6B4F0" w14:textId="77777777" w:rsidR="00506C79" w:rsidRPr="000172E5" w:rsidRDefault="00F91A7E">
            <w:pPr>
              <w:cnfStyle w:val="100000000000" w:firstRow="1"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Minutes</w:t>
            </w:r>
          </w:p>
        </w:tc>
        <w:tc>
          <w:tcPr>
            <w:tcW w:w="3264" w:type="dxa"/>
          </w:tcPr>
          <w:p w14:paraId="3F180FCA" w14:textId="77777777" w:rsidR="00506C79" w:rsidRPr="000172E5" w:rsidRDefault="00F91A7E">
            <w:pPr>
              <w:cnfStyle w:val="100000000000" w:firstRow="1"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Slides</w:t>
            </w:r>
          </w:p>
        </w:tc>
      </w:tr>
      <w:tr w:rsidR="00506C79" w:rsidRPr="000172E5" w14:paraId="45747A3C" w14:textId="77777777" w:rsidTr="00506C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64" w:type="dxa"/>
          </w:tcPr>
          <w:p w14:paraId="5B81DDB6"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Opening and foundations</w:t>
            </w:r>
          </w:p>
        </w:tc>
        <w:tc>
          <w:tcPr>
            <w:tcW w:w="3264" w:type="dxa"/>
          </w:tcPr>
          <w:p w14:paraId="20238043"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8</w:t>
            </w:r>
          </w:p>
        </w:tc>
        <w:tc>
          <w:tcPr>
            <w:tcW w:w="3264" w:type="dxa"/>
          </w:tcPr>
          <w:p w14:paraId="0CFC4875"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1–4</w:t>
            </w:r>
          </w:p>
        </w:tc>
      </w:tr>
      <w:tr w:rsidR="00506C79" w:rsidRPr="000172E5" w14:paraId="5E0DC835" w14:textId="77777777" w:rsidTr="00506C79">
        <w:trPr>
          <w:jc w:val="center"/>
        </w:trPr>
        <w:tc>
          <w:tcPr>
            <w:cnfStyle w:val="001000000000" w:firstRow="0" w:lastRow="0" w:firstColumn="1" w:lastColumn="0" w:oddVBand="0" w:evenVBand="0" w:oddHBand="0" w:evenHBand="0" w:firstRowFirstColumn="0" w:firstRowLastColumn="0" w:lastRowFirstColumn="0" w:lastRowLastColumn="0"/>
            <w:tcW w:w="3264" w:type="dxa"/>
          </w:tcPr>
          <w:p w14:paraId="20821F73"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Equity and fair opportunity</w:t>
            </w:r>
          </w:p>
        </w:tc>
        <w:tc>
          <w:tcPr>
            <w:tcW w:w="3264" w:type="dxa"/>
          </w:tcPr>
          <w:p w14:paraId="3AFD357A"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38</w:t>
            </w:r>
          </w:p>
        </w:tc>
        <w:tc>
          <w:tcPr>
            <w:tcW w:w="3264" w:type="dxa"/>
          </w:tcPr>
          <w:p w14:paraId="1EF953BA"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5–12</w:t>
            </w:r>
          </w:p>
        </w:tc>
      </w:tr>
      <w:tr w:rsidR="00506C79" w:rsidRPr="000172E5" w14:paraId="3BA3073C" w14:textId="77777777" w:rsidTr="00506C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64" w:type="dxa"/>
          </w:tcPr>
          <w:p w14:paraId="51C67796"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Diversity and recruitment</w:t>
            </w:r>
          </w:p>
        </w:tc>
        <w:tc>
          <w:tcPr>
            <w:tcW w:w="3264" w:type="dxa"/>
          </w:tcPr>
          <w:p w14:paraId="45E6A9A2"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35</w:t>
            </w:r>
          </w:p>
        </w:tc>
        <w:tc>
          <w:tcPr>
            <w:tcW w:w="3264" w:type="dxa"/>
          </w:tcPr>
          <w:p w14:paraId="3D067428"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13–19</w:t>
            </w:r>
          </w:p>
        </w:tc>
      </w:tr>
      <w:tr w:rsidR="00506C79" w:rsidRPr="000172E5" w14:paraId="486E4D80" w14:textId="77777777" w:rsidTr="00506C79">
        <w:trPr>
          <w:jc w:val="center"/>
        </w:trPr>
        <w:tc>
          <w:tcPr>
            <w:cnfStyle w:val="001000000000" w:firstRow="0" w:lastRow="0" w:firstColumn="1" w:lastColumn="0" w:oddVBand="0" w:evenVBand="0" w:oddHBand="0" w:evenHBand="0" w:firstRowFirstColumn="0" w:firstRowLastColumn="0" w:lastRowFirstColumn="0" w:lastRowLastColumn="0"/>
            <w:tcW w:w="3264" w:type="dxa"/>
          </w:tcPr>
          <w:p w14:paraId="7859676E"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Inclusion and team voice</w:t>
            </w:r>
          </w:p>
        </w:tc>
        <w:tc>
          <w:tcPr>
            <w:tcW w:w="3264" w:type="dxa"/>
          </w:tcPr>
          <w:p w14:paraId="18E1D09D"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35</w:t>
            </w:r>
          </w:p>
        </w:tc>
        <w:tc>
          <w:tcPr>
            <w:tcW w:w="3264" w:type="dxa"/>
          </w:tcPr>
          <w:p w14:paraId="2A0CCF02"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20–26</w:t>
            </w:r>
          </w:p>
        </w:tc>
      </w:tr>
      <w:tr w:rsidR="00506C79" w:rsidRPr="000172E5" w14:paraId="0FED52BF" w14:textId="77777777" w:rsidTr="00506C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64" w:type="dxa"/>
          </w:tcPr>
          <w:p w14:paraId="4AA0162B"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Ethics and professionalism</w:t>
            </w:r>
          </w:p>
        </w:tc>
        <w:tc>
          <w:tcPr>
            <w:tcW w:w="3264" w:type="dxa"/>
          </w:tcPr>
          <w:p w14:paraId="7A7F5452"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29</w:t>
            </w:r>
          </w:p>
        </w:tc>
        <w:tc>
          <w:tcPr>
            <w:tcW w:w="3264" w:type="dxa"/>
          </w:tcPr>
          <w:p w14:paraId="01D2D2CA"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27–33</w:t>
            </w:r>
          </w:p>
        </w:tc>
      </w:tr>
      <w:tr w:rsidR="00506C79" w:rsidRPr="000172E5" w14:paraId="3C11BEF9" w14:textId="77777777" w:rsidTr="00506C79">
        <w:trPr>
          <w:jc w:val="center"/>
        </w:trPr>
        <w:tc>
          <w:tcPr>
            <w:cnfStyle w:val="001000000000" w:firstRow="0" w:lastRow="0" w:firstColumn="1" w:lastColumn="0" w:oddVBand="0" w:evenVBand="0" w:oddHBand="0" w:evenHBand="0" w:firstRowFirstColumn="0" w:firstRowLastColumn="0" w:lastRowFirstColumn="0" w:lastRowLastColumn="0"/>
            <w:tcW w:w="3264" w:type="dxa"/>
          </w:tcPr>
          <w:p w14:paraId="1E8C282E"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Integration and exit</w:t>
            </w:r>
          </w:p>
        </w:tc>
        <w:tc>
          <w:tcPr>
            <w:tcW w:w="3264" w:type="dxa"/>
          </w:tcPr>
          <w:p w14:paraId="01EE3F70"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5</w:t>
            </w:r>
          </w:p>
        </w:tc>
        <w:tc>
          <w:tcPr>
            <w:tcW w:w="3264" w:type="dxa"/>
          </w:tcPr>
          <w:p w14:paraId="2C044D2F"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34–36</w:t>
            </w:r>
          </w:p>
        </w:tc>
      </w:tr>
    </w:tbl>
    <w:p w14:paraId="70212F0D" w14:textId="77777777" w:rsidR="00506C79" w:rsidRPr="000172E5" w:rsidRDefault="00F91A7E">
      <w:pPr>
        <w:pStyle w:val="Heading1"/>
        <w:rPr>
          <w:rFonts w:asciiTheme="minorBidi" w:hAnsiTheme="minorBidi" w:cstheme="minorBidi"/>
          <w:color w:val="auto"/>
          <w:sz w:val="24"/>
          <w:szCs w:val="24"/>
        </w:rPr>
      </w:pPr>
      <w:r w:rsidRPr="000172E5">
        <w:rPr>
          <w:rFonts w:asciiTheme="minorBidi" w:hAnsiTheme="minorBidi" w:cstheme="minorBidi"/>
          <w:color w:val="auto"/>
          <w:sz w:val="24"/>
          <w:szCs w:val="24"/>
        </w:rPr>
        <w:t>Team roles and assessment standard</w:t>
      </w:r>
    </w:p>
    <w:p w14:paraId="4416F9DD" w14:textId="707710DC" w:rsidR="00506C79" w:rsidRPr="000172E5" w:rsidRDefault="00F91A7E">
      <w:pPr>
        <w:pStyle w:val="ListBullet"/>
        <w:rPr>
          <w:rFonts w:asciiTheme="minorBidi" w:hAnsiTheme="minorBidi"/>
          <w:sz w:val="24"/>
          <w:szCs w:val="24"/>
        </w:rPr>
      </w:pPr>
      <w:r w:rsidRPr="000172E5">
        <w:rPr>
          <w:rFonts w:asciiTheme="minorBidi" w:hAnsiTheme="minorBidi"/>
          <w:sz w:val="24"/>
          <w:szCs w:val="24"/>
        </w:rPr>
        <w:t>Form groups of</w:t>
      </w:r>
      <w:r w:rsidR="0039254A" w:rsidRPr="000172E5">
        <w:rPr>
          <w:rFonts w:asciiTheme="minorBidi" w:hAnsiTheme="minorBidi"/>
          <w:sz w:val="24"/>
          <w:szCs w:val="24"/>
        </w:rPr>
        <w:t xml:space="preserve"> 4</w:t>
      </w:r>
      <w:r w:rsidRPr="000172E5">
        <w:rPr>
          <w:rFonts w:asciiTheme="minorBidi" w:hAnsiTheme="minorBidi"/>
          <w:sz w:val="24"/>
          <w:szCs w:val="24"/>
        </w:rPr>
        <w:t>; assign chair/timekeeper, evidence challenger, recorder and spokesperson.</w:t>
      </w:r>
    </w:p>
    <w:p w14:paraId="407C5BBE" w14:textId="77777777" w:rsidR="00506C79" w:rsidRPr="000172E5" w:rsidRDefault="00F91A7E">
      <w:pPr>
        <w:pStyle w:val="ListBullet"/>
        <w:rPr>
          <w:rFonts w:asciiTheme="minorBidi" w:hAnsiTheme="minorBidi"/>
          <w:sz w:val="24"/>
          <w:szCs w:val="24"/>
        </w:rPr>
      </w:pPr>
      <w:r w:rsidRPr="000172E5">
        <w:rPr>
          <w:rFonts w:asciiTheme="minorBidi" w:hAnsiTheme="minorBidi"/>
          <w:sz w:val="24"/>
          <w:szCs w:val="24"/>
        </w:rPr>
        <w:t>Separate known facts from interpretations and missing evidence; do not label a disparity as unlawful discrimination without investigation.</w:t>
      </w:r>
    </w:p>
    <w:p w14:paraId="7DD8544C" w14:textId="77777777" w:rsidR="00506C79" w:rsidRPr="000172E5" w:rsidRDefault="00F91A7E">
      <w:pPr>
        <w:pStyle w:val="ListBullet"/>
        <w:rPr>
          <w:rFonts w:asciiTheme="minorBidi" w:hAnsiTheme="minorBidi"/>
          <w:sz w:val="24"/>
          <w:szCs w:val="24"/>
        </w:rPr>
      </w:pPr>
      <w:r w:rsidRPr="000172E5">
        <w:rPr>
          <w:rFonts w:asciiTheme="minorBidi" w:hAnsiTheme="minorBidi"/>
          <w:sz w:val="24"/>
          <w:szCs w:val="24"/>
        </w:rPr>
        <w:t>For each case, deliver a specific recommendation, accountable owner, trade-off, measure and review point.</w:t>
      </w:r>
    </w:p>
    <w:p w14:paraId="6F26E45D" w14:textId="77777777" w:rsidR="00506C79" w:rsidRPr="000172E5" w:rsidRDefault="00F91A7E">
      <w:pPr>
        <w:pStyle w:val="ListBullet"/>
        <w:rPr>
          <w:rFonts w:asciiTheme="minorBidi" w:hAnsiTheme="minorBidi"/>
          <w:sz w:val="24"/>
          <w:szCs w:val="24"/>
        </w:rPr>
      </w:pPr>
      <w:r w:rsidRPr="000172E5">
        <w:rPr>
          <w:rFonts w:asciiTheme="minorBidi" w:hAnsiTheme="minorBidi"/>
          <w:sz w:val="24"/>
          <w:szCs w:val="24"/>
        </w:rPr>
        <w:t>Use the same four quality criteria: evidence, concepts, trade-offs and actionable recommendations.</w:t>
      </w:r>
    </w:p>
    <w:p w14:paraId="4213AE42" w14:textId="77777777" w:rsidR="00506C79" w:rsidRPr="000172E5" w:rsidRDefault="00F91A7E">
      <w:pPr>
        <w:rPr>
          <w:rFonts w:asciiTheme="minorBidi" w:hAnsiTheme="minorBidi"/>
          <w:sz w:val="24"/>
          <w:szCs w:val="24"/>
        </w:rPr>
      </w:pPr>
      <w:r w:rsidRPr="000172E5">
        <w:rPr>
          <w:rFonts w:asciiTheme="minorBidi" w:hAnsiTheme="minorBidi"/>
          <w:sz w:val="24"/>
          <w:szCs w:val="24"/>
        </w:rPr>
        <w:br w:type="page"/>
      </w:r>
    </w:p>
    <w:p w14:paraId="0810F82A" w14:textId="77777777" w:rsidR="00506C79" w:rsidRPr="000172E5" w:rsidRDefault="00F91A7E">
      <w:pPr>
        <w:pStyle w:val="Heading1"/>
        <w:rPr>
          <w:rFonts w:asciiTheme="minorBidi" w:hAnsiTheme="minorBidi" w:cstheme="minorBidi"/>
          <w:color w:val="auto"/>
          <w:sz w:val="24"/>
          <w:szCs w:val="24"/>
        </w:rPr>
      </w:pPr>
      <w:r w:rsidRPr="000172E5">
        <w:rPr>
          <w:rFonts w:asciiTheme="minorBidi" w:hAnsiTheme="minorBidi" w:cstheme="minorBidi"/>
          <w:color w:val="auto"/>
          <w:sz w:val="24"/>
          <w:szCs w:val="24"/>
        </w:rPr>
        <w:lastRenderedPageBreak/>
        <w:t>CASE 1 | EQUITY: The Fair Access Audit — Westbridge Services Ltd</w:t>
      </w:r>
    </w:p>
    <w:p w14:paraId="290846A2" w14:textId="77777777" w:rsidR="00506C79" w:rsidRPr="000172E5" w:rsidRDefault="00F91A7E">
      <w:pPr>
        <w:rPr>
          <w:rFonts w:asciiTheme="minorBidi" w:hAnsiTheme="minorBidi"/>
          <w:sz w:val="24"/>
          <w:szCs w:val="24"/>
        </w:rPr>
      </w:pPr>
      <w:r w:rsidRPr="000172E5">
        <w:rPr>
          <w:rFonts w:asciiTheme="minorBidi" w:hAnsiTheme="minorBidi"/>
          <w:sz w:val="24"/>
          <w:szCs w:val="24"/>
        </w:rPr>
        <w:t>Westbridge is a UK facilities and professional services employer with 1,200 staff across six sites. Senior leaders describe promotion as merit-based. In practice, supervisors often arise through personal recommendations and informal acting-up opportunities. An HR analyst has found inconsistent access and documentation.</w:t>
      </w:r>
    </w:p>
    <w:tbl>
      <w:tblPr>
        <w:tblStyle w:val="LightShading-Accent1"/>
        <w:tblW w:w="0" w:type="auto"/>
        <w:jc w:val="center"/>
        <w:tblLook w:val="04A0" w:firstRow="1" w:lastRow="0" w:firstColumn="1" w:lastColumn="0" w:noHBand="0" w:noVBand="1"/>
      </w:tblPr>
      <w:tblGrid>
        <w:gridCol w:w="4896"/>
        <w:gridCol w:w="4896"/>
      </w:tblGrid>
      <w:tr w:rsidR="00506C79" w:rsidRPr="000172E5" w14:paraId="78545210" w14:textId="77777777" w:rsidTr="00506C7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3D8A7271"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Evidence (fictional, last 12 months)</w:t>
            </w:r>
          </w:p>
        </w:tc>
        <w:tc>
          <w:tcPr>
            <w:tcW w:w="4896" w:type="dxa"/>
          </w:tcPr>
          <w:p w14:paraId="03553EBC" w14:textId="77777777" w:rsidR="00506C79" w:rsidRPr="000172E5" w:rsidRDefault="00F91A7E">
            <w:pPr>
              <w:cnfStyle w:val="100000000000" w:firstRow="1"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Finding</w:t>
            </w:r>
          </w:p>
        </w:tc>
      </w:tr>
      <w:tr w:rsidR="00506C79" w:rsidRPr="000172E5" w14:paraId="6993FB6F" w14:textId="77777777" w:rsidTr="00506C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55DD309E"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Management vacancies filled by informal referrals</w:t>
            </w:r>
          </w:p>
        </w:tc>
        <w:tc>
          <w:tcPr>
            <w:tcW w:w="4896" w:type="dxa"/>
          </w:tcPr>
          <w:p w14:paraId="219EF118"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70%</w:t>
            </w:r>
          </w:p>
        </w:tc>
      </w:tr>
      <w:tr w:rsidR="00506C79" w:rsidRPr="000172E5" w14:paraId="2730B665" w14:textId="77777777" w:rsidTr="00506C79">
        <w:trPr>
          <w:jc w:val="center"/>
        </w:trPr>
        <w:tc>
          <w:tcPr>
            <w:cnfStyle w:val="001000000000" w:firstRow="0" w:lastRow="0" w:firstColumn="1" w:lastColumn="0" w:oddVBand="0" w:evenVBand="0" w:oddHBand="0" w:evenHBand="0" w:firstRowFirstColumn="0" w:firstRowLastColumn="0" w:lastRowFirstColumn="0" w:lastRowLastColumn="0"/>
            <w:tcW w:w="4896" w:type="dxa"/>
          </w:tcPr>
          <w:p w14:paraId="6D21C9BB"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Management vacancies openly advertised</w:t>
            </w:r>
          </w:p>
        </w:tc>
        <w:tc>
          <w:tcPr>
            <w:tcW w:w="4896" w:type="dxa"/>
          </w:tcPr>
          <w:p w14:paraId="4445072A"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30%</w:t>
            </w:r>
          </w:p>
        </w:tc>
      </w:tr>
      <w:tr w:rsidR="00506C79" w:rsidRPr="000172E5" w14:paraId="09598520" w14:textId="77777777" w:rsidTr="00506C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12D1F5E5"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Promotion applicants with recorded assessment scores</w:t>
            </w:r>
          </w:p>
        </w:tc>
        <w:tc>
          <w:tcPr>
            <w:tcW w:w="4896" w:type="dxa"/>
          </w:tcPr>
          <w:p w14:paraId="1BD30452"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45%</w:t>
            </w:r>
          </w:p>
        </w:tc>
      </w:tr>
      <w:tr w:rsidR="00506C79" w:rsidRPr="000172E5" w14:paraId="5A7497A9" w14:textId="77777777" w:rsidTr="00506C79">
        <w:trPr>
          <w:jc w:val="center"/>
        </w:trPr>
        <w:tc>
          <w:tcPr>
            <w:cnfStyle w:val="001000000000" w:firstRow="0" w:lastRow="0" w:firstColumn="1" w:lastColumn="0" w:oddVBand="0" w:evenVBand="0" w:oddHBand="0" w:evenHBand="0" w:firstRowFirstColumn="0" w:firstRowLastColumn="0" w:lastRowFirstColumn="0" w:lastRowLastColumn="0"/>
            <w:tcW w:w="4896" w:type="dxa"/>
          </w:tcPr>
          <w:p w14:paraId="4A54CD1A"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Staff aware of promotion criteria</w:t>
            </w:r>
          </w:p>
        </w:tc>
        <w:tc>
          <w:tcPr>
            <w:tcW w:w="4896" w:type="dxa"/>
          </w:tcPr>
          <w:p w14:paraId="324D4C4B"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41%</w:t>
            </w:r>
          </w:p>
        </w:tc>
      </w:tr>
      <w:tr w:rsidR="00506C79" w:rsidRPr="000172E5" w14:paraId="326540D2" w14:textId="77777777" w:rsidTr="00506C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45EB13FF"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Staff who consider acting-up allocation fair</w:t>
            </w:r>
          </w:p>
        </w:tc>
        <w:tc>
          <w:tcPr>
            <w:tcW w:w="4896" w:type="dxa"/>
          </w:tcPr>
          <w:p w14:paraId="666B032A"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38%</w:t>
            </w:r>
          </w:p>
        </w:tc>
      </w:tr>
    </w:tbl>
    <w:p w14:paraId="7174749B" w14:textId="77777777" w:rsidR="00506C79" w:rsidRPr="000172E5" w:rsidRDefault="00F91A7E">
      <w:pPr>
        <w:rPr>
          <w:rFonts w:asciiTheme="minorBidi" w:hAnsiTheme="minorBidi"/>
          <w:sz w:val="24"/>
          <w:szCs w:val="24"/>
        </w:rPr>
      </w:pPr>
      <w:r w:rsidRPr="000172E5">
        <w:rPr>
          <w:rFonts w:asciiTheme="minorBidi" w:hAnsiTheme="minorBidi"/>
          <w:sz w:val="24"/>
          <w:szCs w:val="24"/>
        </w:rPr>
        <w:t>Additional evidence: one employee says opportunities are discussed “over coffee with the manager”; another says interview times conflict with shift patterns. A line manager argues referrals are quicker and identify people who “fit”. The managing director will not fund a new HR system this year; urgent vacancies must still be filled promptly.</w:t>
      </w:r>
    </w:p>
    <w:p w14:paraId="1BAA409E" w14:textId="77777777" w:rsidR="00506C79" w:rsidRPr="000172E5" w:rsidRDefault="00F91A7E">
      <w:pPr>
        <w:pStyle w:val="Heading2"/>
        <w:rPr>
          <w:rFonts w:asciiTheme="minorBidi" w:hAnsiTheme="minorBidi" w:cstheme="minorBidi"/>
          <w:color w:val="auto"/>
          <w:sz w:val="24"/>
          <w:szCs w:val="24"/>
        </w:rPr>
      </w:pPr>
      <w:r w:rsidRPr="000172E5">
        <w:rPr>
          <w:rFonts w:asciiTheme="minorBidi" w:hAnsiTheme="minorBidi" w:cstheme="minorBidi"/>
          <w:color w:val="auto"/>
          <w:sz w:val="24"/>
          <w:szCs w:val="24"/>
        </w:rPr>
        <w:t>Timed group instructions</w:t>
      </w:r>
    </w:p>
    <w:tbl>
      <w:tblPr>
        <w:tblStyle w:val="LightShading-Accent1"/>
        <w:tblW w:w="0" w:type="auto"/>
        <w:jc w:val="center"/>
        <w:tblLook w:val="04A0" w:firstRow="1" w:lastRow="0" w:firstColumn="1" w:lastColumn="0" w:noHBand="0" w:noVBand="1"/>
      </w:tblPr>
      <w:tblGrid>
        <w:gridCol w:w="4896"/>
        <w:gridCol w:w="4896"/>
      </w:tblGrid>
      <w:tr w:rsidR="00506C79" w:rsidRPr="000172E5" w14:paraId="605F6B67" w14:textId="77777777" w:rsidTr="00506C7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6D7DACDC"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Time</w:t>
            </w:r>
          </w:p>
        </w:tc>
        <w:tc>
          <w:tcPr>
            <w:tcW w:w="4896" w:type="dxa"/>
          </w:tcPr>
          <w:p w14:paraId="095D6E5C" w14:textId="77777777" w:rsidR="00506C79" w:rsidRPr="000172E5" w:rsidRDefault="00F91A7E">
            <w:pPr>
              <w:cnfStyle w:val="100000000000" w:firstRow="1"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Task and expected output</w:t>
            </w:r>
          </w:p>
        </w:tc>
      </w:tr>
      <w:tr w:rsidR="00506C79" w:rsidRPr="000172E5" w14:paraId="7B90D5D0" w14:textId="77777777" w:rsidTr="00506C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47A84029"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0–3 min</w:t>
            </w:r>
          </w:p>
        </w:tc>
        <w:tc>
          <w:tcPr>
            <w:tcW w:w="4896" w:type="dxa"/>
          </w:tcPr>
          <w:p w14:paraId="1CB23465"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Read facts; identify three barriers across access, assessment and progression.</w:t>
            </w:r>
          </w:p>
        </w:tc>
      </w:tr>
      <w:tr w:rsidR="00506C79" w:rsidRPr="000172E5" w14:paraId="07E5F136" w14:textId="77777777" w:rsidTr="00506C79">
        <w:trPr>
          <w:jc w:val="center"/>
        </w:trPr>
        <w:tc>
          <w:tcPr>
            <w:cnfStyle w:val="001000000000" w:firstRow="0" w:lastRow="0" w:firstColumn="1" w:lastColumn="0" w:oddVBand="0" w:evenVBand="0" w:oddHBand="0" w:evenHBand="0" w:firstRowFirstColumn="0" w:firstRowLastColumn="0" w:lastRowFirstColumn="0" w:lastRowLastColumn="0"/>
            <w:tcW w:w="4896" w:type="dxa"/>
          </w:tcPr>
          <w:p w14:paraId="7E678591"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3–9 min</w:t>
            </w:r>
          </w:p>
        </w:tc>
        <w:tc>
          <w:tcPr>
            <w:tcW w:w="4896" w:type="dxa"/>
          </w:tcPr>
          <w:p w14:paraId="647C195D"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Choose two proportionate reforms and name an implementation owner for each.</w:t>
            </w:r>
          </w:p>
        </w:tc>
      </w:tr>
      <w:tr w:rsidR="00506C79" w:rsidRPr="000172E5" w14:paraId="43654703" w14:textId="77777777" w:rsidTr="00506C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1B6351BA"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9–14 min</w:t>
            </w:r>
          </w:p>
        </w:tc>
        <w:tc>
          <w:tcPr>
            <w:tcW w:w="4896" w:type="dxa"/>
          </w:tcPr>
          <w:p w14:paraId="4C430D62"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Choose one six-month measure and specify what additional evidence is needed.</w:t>
            </w:r>
          </w:p>
        </w:tc>
      </w:tr>
      <w:tr w:rsidR="00506C79" w:rsidRPr="000172E5" w14:paraId="1B61EC2E" w14:textId="77777777" w:rsidTr="00506C79">
        <w:trPr>
          <w:jc w:val="center"/>
        </w:trPr>
        <w:tc>
          <w:tcPr>
            <w:cnfStyle w:val="001000000000" w:firstRow="0" w:lastRow="0" w:firstColumn="1" w:lastColumn="0" w:oddVBand="0" w:evenVBand="0" w:oddHBand="0" w:evenHBand="0" w:firstRowFirstColumn="0" w:firstRowLastColumn="0" w:lastRowFirstColumn="0" w:lastRowLastColumn="0"/>
            <w:tcW w:w="4896" w:type="dxa"/>
          </w:tcPr>
          <w:p w14:paraId="1F6212D6"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14–18 min</w:t>
            </w:r>
          </w:p>
        </w:tc>
        <w:tc>
          <w:tcPr>
            <w:tcW w:w="4896" w:type="dxa"/>
          </w:tcPr>
          <w:p w14:paraId="10795FEE"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Prepare a 90-second HR committee recommendation; identify one operational trade-off.</w:t>
            </w:r>
          </w:p>
        </w:tc>
      </w:tr>
    </w:tbl>
    <w:p w14:paraId="16AE5577" w14:textId="77777777" w:rsidR="00506C79" w:rsidRPr="000172E5" w:rsidRDefault="00F91A7E">
      <w:pPr>
        <w:pStyle w:val="Heading2"/>
        <w:rPr>
          <w:rFonts w:asciiTheme="minorBidi" w:hAnsiTheme="minorBidi" w:cstheme="minorBidi"/>
          <w:color w:val="auto"/>
          <w:sz w:val="24"/>
          <w:szCs w:val="24"/>
        </w:rPr>
      </w:pPr>
      <w:r w:rsidRPr="000172E5">
        <w:rPr>
          <w:rFonts w:asciiTheme="minorBidi" w:hAnsiTheme="minorBidi" w:cstheme="minorBidi"/>
          <w:color w:val="auto"/>
          <w:sz w:val="24"/>
          <w:szCs w:val="24"/>
        </w:rPr>
        <w:t>Group worksheet</w:t>
      </w:r>
    </w:p>
    <w:tbl>
      <w:tblPr>
        <w:tblStyle w:val="LightShading-Accent1"/>
        <w:tblW w:w="0" w:type="auto"/>
        <w:jc w:val="center"/>
        <w:tblLook w:val="04A0" w:firstRow="1" w:lastRow="0" w:firstColumn="1" w:lastColumn="0" w:noHBand="0" w:noVBand="1"/>
      </w:tblPr>
      <w:tblGrid>
        <w:gridCol w:w="3169"/>
        <w:gridCol w:w="6623"/>
      </w:tblGrid>
      <w:tr w:rsidR="00506C79" w:rsidRPr="000172E5" w14:paraId="54FBB3FC" w14:textId="77777777" w:rsidTr="00506C7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391164E9"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Decision area</w:t>
            </w:r>
          </w:p>
        </w:tc>
        <w:tc>
          <w:tcPr>
            <w:tcW w:w="4896" w:type="dxa"/>
          </w:tcPr>
          <w:p w14:paraId="6B591EB3" w14:textId="77777777" w:rsidR="00506C79" w:rsidRPr="000172E5" w:rsidRDefault="00F91A7E">
            <w:pPr>
              <w:cnfStyle w:val="100000000000" w:firstRow="1"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Team notes / proposed response</w:t>
            </w:r>
          </w:p>
        </w:tc>
      </w:tr>
      <w:tr w:rsidR="00506C79" w:rsidRPr="000172E5" w14:paraId="1ED76D74" w14:textId="77777777" w:rsidTr="00506C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5734A73B"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Barrier 1 + evidence</w:t>
            </w:r>
          </w:p>
        </w:tc>
        <w:tc>
          <w:tcPr>
            <w:tcW w:w="4896" w:type="dxa"/>
          </w:tcPr>
          <w:p w14:paraId="1A0076BA"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________________________________________________</w:t>
            </w:r>
          </w:p>
        </w:tc>
      </w:tr>
      <w:tr w:rsidR="00506C79" w:rsidRPr="000172E5" w14:paraId="5F48C71A" w14:textId="77777777" w:rsidTr="00506C79">
        <w:trPr>
          <w:jc w:val="center"/>
        </w:trPr>
        <w:tc>
          <w:tcPr>
            <w:cnfStyle w:val="001000000000" w:firstRow="0" w:lastRow="0" w:firstColumn="1" w:lastColumn="0" w:oddVBand="0" w:evenVBand="0" w:oddHBand="0" w:evenHBand="0" w:firstRowFirstColumn="0" w:firstRowLastColumn="0" w:lastRowFirstColumn="0" w:lastRowLastColumn="0"/>
            <w:tcW w:w="4896" w:type="dxa"/>
          </w:tcPr>
          <w:p w14:paraId="498EB13D"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Barrier 2 + evidence</w:t>
            </w:r>
          </w:p>
        </w:tc>
        <w:tc>
          <w:tcPr>
            <w:tcW w:w="4896" w:type="dxa"/>
          </w:tcPr>
          <w:p w14:paraId="0232508C"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________________________________________________</w:t>
            </w:r>
          </w:p>
        </w:tc>
      </w:tr>
      <w:tr w:rsidR="00506C79" w:rsidRPr="000172E5" w14:paraId="7581434C" w14:textId="77777777" w:rsidTr="00506C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060B0BCA"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Barrier 3 + evidence</w:t>
            </w:r>
          </w:p>
        </w:tc>
        <w:tc>
          <w:tcPr>
            <w:tcW w:w="4896" w:type="dxa"/>
          </w:tcPr>
          <w:p w14:paraId="70CFF89B"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________________________________________________</w:t>
            </w:r>
          </w:p>
        </w:tc>
      </w:tr>
      <w:tr w:rsidR="00506C79" w:rsidRPr="000172E5" w14:paraId="32A276F2" w14:textId="77777777" w:rsidTr="00506C79">
        <w:trPr>
          <w:jc w:val="center"/>
        </w:trPr>
        <w:tc>
          <w:tcPr>
            <w:cnfStyle w:val="001000000000" w:firstRow="0" w:lastRow="0" w:firstColumn="1" w:lastColumn="0" w:oddVBand="0" w:evenVBand="0" w:oddHBand="0" w:evenHBand="0" w:firstRowFirstColumn="0" w:firstRowLastColumn="0" w:lastRowFirstColumn="0" w:lastRowLastColumn="0"/>
            <w:tcW w:w="4896" w:type="dxa"/>
          </w:tcPr>
          <w:p w14:paraId="7AFFB783"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Reform 1 + owner</w:t>
            </w:r>
          </w:p>
        </w:tc>
        <w:tc>
          <w:tcPr>
            <w:tcW w:w="4896" w:type="dxa"/>
          </w:tcPr>
          <w:p w14:paraId="3F301500"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________________________________________________</w:t>
            </w:r>
          </w:p>
        </w:tc>
      </w:tr>
      <w:tr w:rsidR="00506C79" w:rsidRPr="000172E5" w14:paraId="6B064F41" w14:textId="77777777" w:rsidTr="00506C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1DB9E281"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Reform 2 + owner</w:t>
            </w:r>
          </w:p>
        </w:tc>
        <w:tc>
          <w:tcPr>
            <w:tcW w:w="4896" w:type="dxa"/>
          </w:tcPr>
          <w:p w14:paraId="7F33385D"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________________________________________________</w:t>
            </w:r>
          </w:p>
        </w:tc>
      </w:tr>
      <w:tr w:rsidR="00506C79" w:rsidRPr="000172E5" w14:paraId="46FE8F28" w14:textId="77777777" w:rsidTr="00506C79">
        <w:trPr>
          <w:jc w:val="center"/>
        </w:trPr>
        <w:tc>
          <w:tcPr>
            <w:cnfStyle w:val="001000000000" w:firstRow="0" w:lastRow="0" w:firstColumn="1" w:lastColumn="0" w:oddVBand="0" w:evenVBand="0" w:oddHBand="0" w:evenHBand="0" w:firstRowFirstColumn="0" w:firstRowLastColumn="0" w:lastRowFirstColumn="0" w:lastRowLastColumn="0"/>
            <w:tcW w:w="4896" w:type="dxa"/>
          </w:tcPr>
          <w:p w14:paraId="6C1B5A09"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Six-month metric + baseline</w:t>
            </w:r>
          </w:p>
        </w:tc>
        <w:tc>
          <w:tcPr>
            <w:tcW w:w="4896" w:type="dxa"/>
          </w:tcPr>
          <w:p w14:paraId="7059FAFC"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________________________________________________</w:t>
            </w:r>
          </w:p>
        </w:tc>
      </w:tr>
      <w:tr w:rsidR="00506C79" w:rsidRPr="000172E5" w14:paraId="576F0065" w14:textId="77777777" w:rsidTr="00506C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2EC6C3E1"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Unknowns / evidence gaps</w:t>
            </w:r>
          </w:p>
        </w:tc>
        <w:tc>
          <w:tcPr>
            <w:tcW w:w="4896" w:type="dxa"/>
          </w:tcPr>
          <w:p w14:paraId="1A555A1E"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________________________________________________</w:t>
            </w:r>
          </w:p>
        </w:tc>
      </w:tr>
      <w:tr w:rsidR="00506C79" w:rsidRPr="000172E5" w14:paraId="3A5FDD4F" w14:textId="77777777" w:rsidTr="00506C79">
        <w:trPr>
          <w:jc w:val="center"/>
        </w:trPr>
        <w:tc>
          <w:tcPr>
            <w:cnfStyle w:val="001000000000" w:firstRow="0" w:lastRow="0" w:firstColumn="1" w:lastColumn="0" w:oddVBand="0" w:evenVBand="0" w:oddHBand="0" w:evenHBand="0" w:firstRowFirstColumn="0" w:firstRowLastColumn="0" w:lastRowFirstColumn="0" w:lastRowLastColumn="0"/>
            <w:tcW w:w="4896" w:type="dxa"/>
          </w:tcPr>
          <w:p w14:paraId="586F182E"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90-second committee message</w:t>
            </w:r>
          </w:p>
        </w:tc>
        <w:tc>
          <w:tcPr>
            <w:tcW w:w="4896" w:type="dxa"/>
          </w:tcPr>
          <w:p w14:paraId="38FF6F5C"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________________________________________________</w:t>
            </w:r>
          </w:p>
        </w:tc>
      </w:tr>
    </w:tbl>
    <w:p w14:paraId="39B5B15B" w14:textId="77777777" w:rsidR="00506C79" w:rsidRPr="000172E5" w:rsidRDefault="00F91A7E">
      <w:pPr>
        <w:pStyle w:val="Heading2"/>
        <w:rPr>
          <w:rFonts w:asciiTheme="minorBidi" w:hAnsiTheme="minorBidi" w:cstheme="minorBidi"/>
          <w:color w:val="auto"/>
          <w:sz w:val="24"/>
          <w:szCs w:val="24"/>
        </w:rPr>
      </w:pPr>
      <w:r w:rsidRPr="000172E5">
        <w:rPr>
          <w:rFonts w:asciiTheme="minorBidi" w:hAnsiTheme="minorBidi" w:cstheme="minorBidi"/>
          <w:color w:val="auto"/>
          <w:sz w:val="24"/>
          <w:szCs w:val="24"/>
        </w:rPr>
        <w:t>Watch for these pitfalls</w:t>
      </w:r>
    </w:p>
    <w:p w14:paraId="0A61D584" w14:textId="77777777" w:rsidR="00506C79" w:rsidRPr="000172E5" w:rsidRDefault="00F91A7E">
      <w:pPr>
        <w:pStyle w:val="ListBullet"/>
        <w:rPr>
          <w:rFonts w:asciiTheme="minorBidi" w:hAnsiTheme="minorBidi"/>
          <w:sz w:val="24"/>
          <w:szCs w:val="24"/>
        </w:rPr>
      </w:pPr>
      <w:r w:rsidRPr="000172E5">
        <w:rPr>
          <w:rFonts w:asciiTheme="minorBidi" w:hAnsiTheme="minorBidi"/>
          <w:sz w:val="24"/>
          <w:szCs w:val="24"/>
        </w:rPr>
        <w:t>Treating low awareness percentages as proof of unlawful discrimination.</w:t>
      </w:r>
    </w:p>
    <w:p w14:paraId="6648DA2E" w14:textId="77777777" w:rsidR="00506C79" w:rsidRPr="000172E5" w:rsidRDefault="00F91A7E">
      <w:pPr>
        <w:pStyle w:val="ListBullet"/>
        <w:rPr>
          <w:rFonts w:asciiTheme="minorBidi" w:hAnsiTheme="minorBidi"/>
          <w:sz w:val="24"/>
          <w:szCs w:val="24"/>
        </w:rPr>
      </w:pPr>
      <w:r w:rsidRPr="000172E5">
        <w:rPr>
          <w:rFonts w:asciiTheme="minorBidi" w:hAnsiTheme="minorBidi"/>
          <w:sz w:val="24"/>
          <w:szCs w:val="24"/>
        </w:rPr>
        <w:t>Recommending an expensive HR platform despite the budget constraint.</w:t>
      </w:r>
    </w:p>
    <w:p w14:paraId="13E6FD84" w14:textId="77777777" w:rsidR="00506C79" w:rsidRPr="000172E5" w:rsidRDefault="00F91A7E">
      <w:pPr>
        <w:pStyle w:val="ListBullet"/>
        <w:rPr>
          <w:rFonts w:asciiTheme="minorBidi" w:hAnsiTheme="minorBidi"/>
          <w:sz w:val="24"/>
          <w:szCs w:val="24"/>
        </w:rPr>
      </w:pPr>
      <w:r w:rsidRPr="000172E5">
        <w:rPr>
          <w:rFonts w:asciiTheme="minorBidi" w:hAnsiTheme="minorBidi"/>
          <w:sz w:val="24"/>
          <w:szCs w:val="24"/>
        </w:rPr>
        <w:t>Monitoring only hires without checking who could apply.</w:t>
      </w:r>
    </w:p>
    <w:p w14:paraId="1F986C86" w14:textId="77777777" w:rsidR="00506C79" w:rsidRPr="000172E5" w:rsidRDefault="00F91A7E">
      <w:pPr>
        <w:rPr>
          <w:rFonts w:asciiTheme="minorBidi" w:hAnsiTheme="minorBidi"/>
          <w:sz w:val="24"/>
          <w:szCs w:val="24"/>
        </w:rPr>
      </w:pPr>
      <w:r w:rsidRPr="000172E5">
        <w:rPr>
          <w:rFonts w:asciiTheme="minorBidi" w:hAnsiTheme="minorBidi"/>
          <w:sz w:val="24"/>
          <w:szCs w:val="24"/>
        </w:rPr>
        <w:br w:type="page"/>
      </w:r>
    </w:p>
    <w:p w14:paraId="358813AB" w14:textId="77777777" w:rsidR="00506C79" w:rsidRPr="000172E5" w:rsidRDefault="00F91A7E">
      <w:pPr>
        <w:pStyle w:val="Heading1"/>
        <w:rPr>
          <w:rFonts w:asciiTheme="minorBidi" w:hAnsiTheme="minorBidi" w:cstheme="minorBidi"/>
          <w:color w:val="auto"/>
          <w:sz w:val="24"/>
          <w:szCs w:val="24"/>
        </w:rPr>
      </w:pPr>
      <w:r w:rsidRPr="000172E5">
        <w:rPr>
          <w:rFonts w:asciiTheme="minorBidi" w:hAnsiTheme="minorBidi" w:cstheme="minorBidi"/>
          <w:color w:val="auto"/>
          <w:sz w:val="24"/>
          <w:szCs w:val="24"/>
        </w:rPr>
        <w:t>CASE 2 | DIVERSITY: Inclusive Recruitment Lab — BrightPath Digital</w:t>
      </w:r>
    </w:p>
    <w:p w14:paraId="5578F7A5" w14:textId="77777777" w:rsidR="00506C79" w:rsidRPr="000172E5" w:rsidRDefault="00F91A7E">
      <w:pPr>
        <w:rPr>
          <w:rFonts w:asciiTheme="minorBidi" w:hAnsiTheme="minorBidi"/>
          <w:sz w:val="24"/>
          <w:szCs w:val="24"/>
        </w:rPr>
      </w:pPr>
      <w:r w:rsidRPr="000172E5">
        <w:rPr>
          <w:rFonts w:asciiTheme="minorBidi" w:hAnsiTheme="minorBidi"/>
          <w:sz w:val="24"/>
          <w:szCs w:val="24"/>
        </w:rPr>
        <w:t>BrightPath Digital is a 350-person software and analytics company hiring 20 client-delivery analysts within four months. Managers complain that the talent pool is too small, but HR suspects the existing process unnecessarily excludes capable applicants.</w:t>
      </w:r>
    </w:p>
    <w:tbl>
      <w:tblPr>
        <w:tblStyle w:val="LightShading-Accent1"/>
        <w:tblW w:w="0" w:type="auto"/>
        <w:jc w:val="center"/>
        <w:tblLook w:val="04A0" w:firstRow="1" w:lastRow="0" w:firstColumn="1" w:lastColumn="0" w:noHBand="0" w:noVBand="1"/>
      </w:tblPr>
      <w:tblGrid>
        <w:gridCol w:w="4896"/>
        <w:gridCol w:w="4896"/>
      </w:tblGrid>
      <w:tr w:rsidR="00506C79" w:rsidRPr="000172E5" w14:paraId="553547AB" w14:textId="77777777" w:rsidTr="00506C7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1CC16A5B"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Recruitment stage</w:t>
            </w:r>
          </w:p>
        </w:tc>
        <w:tc>
          <w:tcPr>
            <w:tcW w:w="4896" w:type="dxa"/>
          </w:tcPr>
          <w:p w14:paraId="4319F0BC" w14:textId="77777777" w:rsidR="00506C79" w:rsidRPr="000172E5" w:rsidRDefault="00F91A7E">
            <w:pPr>
              <w:cnfStyle w:val="100000000000" w:firstRow="1"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Current practice</w:t>
            </w:r>
          </w:p>
        </w:tc>
      </w:tr>
      <w:tr w:rsidR="00506C79" w:rsidRPr="000172E5" w14:paraId="591CF1CE" w14:textId="77777777" w:rsidTr="00506C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780B501F"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Advert</w:t>
            </w:r>
          </w:p>
        </w:tc>
        <w:tc>
          <w:tcPr>
            <w:tcW w:w="4896" w:type="dxa"/>
          </w:tcPr>
          <w:p w14:paraId="650DAFC4"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“Rock-star analyst”; degree from a leading university; five years of experience</w:t>
            </w:r>
          </w:p>
        </w:tc>
      </w:tr>
      <w:tr w:rsidR="00506C79" w:rsidRPr="000172E5" w14:paraId="4274B602" w14:textId="77777777" w:rsidTr="00506C79">
        <w:trPr>
          <w:jc w:val="center"/>
        </w:trPr>
        <w:tc>
          <w:tcPr>
            <w:cnfStyle w:val="001000000000" w:firstRow="0" w:lastRow="0" w:firstColumn="1" w:lastColumn="0" w:oddVBand="0" w:evenVBand="0" w:oddHBand="0" w:evenHBand="0" w:firstRowFirstColumn="0" w:firstRowLastColumn="0" w:lastRowFirstColumn="0" w:lastRowLastColumn="0"/>
            <w:tcW w:w="4896" w:type="dxa"/>
          </w:tcPr>
          <w:p w14:paraId="4675527D"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Sourcing</w:t>
            </w:r>
          </w:p>
        </w:tc>
        <w:tc>
          <w:tcPr>
            <w:tcW w:w="4896" w:type="dxa"/>
          </w:tcPr>
          <w:p w14:paraId="1DEA5968"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Employee referrals and two specialist agencies</w:t>
            </w:r>
          </w:p>
        </w:tc>
      </w:tr>
      <w:tr w:rsidR="00506C79" w:rsidRPr="000172E5" w14:paraId="5BFD332A" w14:textId="77777777" w:rsidTr="00506C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127752A8"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Shortlisting</w:t>
            </w:r>
          </w:p>
        </w:tc>
        <w:tc>
          <w:tcPr>
            <w:tcW w:w="4896" w:type="dxa"/>
          </w:tcPr>
          <w:p w14:paraId="06AAA80A"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Managers assess CVs without a shared scoring rubric</w:t>
            </w:r>
          </w:p>
        </w:tc>
      </w:tr>
      <w:tr w:rsidR="00506C79" w:rsidRPr="000172E5" w14:paraId="22C80DA8" w14:textId="77777777" w:rsidTr="00506C79">
        <w:trPr>
          <w:jc w:val="center"/>
        </w:trPr>
        <w:tc>
          <w:tcPr>
            <w:cnfStyle w:val="001000000000" w:firstRow="0" w:lastRow="0" w:firstColumn="1" w:lastColumn="0" w:oddVBand="0" w:evenVBand="0" w:oddHBand="0" w:evenHBand="0" w:firstRowFirstColumn="0" w:firstRowLastColumn="0" w:lastRowFirstColumn="0" w:lastRowLastColumn="0"/>
            <w:tcW w:w="4896" w:type="dxa"/>
          </w:tcPr>
          <w:p w14:paraId="1BA0C08E"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Interview</w:t>
            </w:r>
          </w:p>
        </w:tc>
        <w:tc>
          <w:tcPr>
            <w:tcW w:w="4896" w:type="dxa"/>
          </w:tcPr>
          <w:p w14:paraId="0107C974"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Unstructured discussion emphasizing “team chemistry”</w:t>
            </w:r>
          </w:p>
        </w:tc>
      </w:tr>
      <w:tr w:rsidR="00506C79" w:rsidRPr="000172E5" w14:paraId="784239CA" w14:textId="77777777" w:rsidTr="00506C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6FC0A771"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Offer/onboarding</w:t>
            </w:r>
          </w:p>
        </w:tc>
        <w:tc>
          <w:tcPr>
            <w:tcW w:w="4896" w:type="dxa"/>
          </w:tcPr>
          <w:p w14:paraId="4CE49558"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Office-first; little information about adjustments or flexibility</w:t>
            </w:r>
          </w:p>
        </w:tc>
      </w:tr>
    </w:tbl>
    <w:p w14:paraId="1FAFFF02" w14:textId="77777777" w:rsidR="00506C79" w:rsidRPr="000172E5" w:rsidRDefault="00F91A7E">
      <w:pPr>
        <w:rPr>
          <w:rFonts w:asciiTheme="minorBidi" w:hAnsiTheme="minorBidi"/>
          <w:sz w:val="24"/>
          <w:szCs w:val="24"/>
        </w:rPr>
      </w:pPr>
      <w:r w:rsidRPr="000172E5">
        <w:rPr>
          <w:rFonts w:asciiTheme="minorBidi" w:hAnsiTheme="minorBidi"/>
          <w:sz w:val="24"/>
          <w:szCs w:val="24"/>
        </w:rPr>
        <w:t>Applicant feedback: career changers perform well in trial projects but rarely reach interview; one applicant requesting an accessible format waited a week for a reply. A manager fears structured interviews will make personality harder to judge. Analytical competence and the four-month deadline are non-negotiable.</w:t>
      </w:r>
    </w:p>
    <w:p w14:paraId="3DD6B6AF" w14:textId="77777777" w:rsidR="00506C79" w:rsidRPr="000172E5" w:rsidRDefault="00F91A7E">
      <w:pPr>
        <w:pStyle w:val="Heading2"/>
        <w:rPr>
          <w:rFonts w:asciiTheme="minorBidi" w:hAnsiTheme="minorBidi" w:cstheme="minorBidi"/>
          <w:color w:val="auto"/>
          <w:sz w:val="24"/>
          <w:szCs w:val="24"/>
        </w:rPr>
      </w:pPr>
      <w:r w:rsidRPr="000172E5">
        <w:rPr>
          <w:rFonts w:asciiTheme="minorBidi" w:hAnsiTheme="minorBidi" w:cstheme="minorBidi"/>
          <w:color w:val="auto"/>
          <w:sz w:val="24"/>
          <w:szCs w:val="24"/>
        </w:rPr>
        <w:t>Timed group instructions</w:t>
      </w:r>
    </w:p>
    <w:tbl>
      <w:tblPr>
        <w:tblStyle w:val="LightShading-Accent1"/>
        <w:tblW w:w="0" w:type="auto"/>
        <w:jc w:val="center"/>
        <w:tblLook w:val="04A0" w:firstRow="1" w:lastRow="0" w:firstColumn="1" w:lastColumn="0" w:noHBand="0" w:noVBand="1"/>
      </w:tblPr>
      <w:tblGrid>
        <w:gridCol w:w="4896"/>
        <w:gridCol w:w="4896"/>
      </w:tblGrid>
      <w:tr w:rsidR="00506C79" w:rsidRPr="000172E5" w14:paraId="083C806A" w14:textId="77777777" w:rsidTr="00506C7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712B31EF"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Time</w:t>
            </w:r>
          </w:p>
        </w:tc>
        <w:tc>
          <w:tcPr>
            <w:tcW w:w="4896" w:type="dxa"/>
          </w:tcPr>
          <w:p w14:paraId="2127A047" w14:textId="77777777" w:rsidR="00506C79" w:rsidRPr="000172E5" w:rsidRDefault="00F91A7E">
            <w:pPr>
              <w:cnfStyle w:val="100000000000" w:firstRow="1"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Task and expected output</w:t>
            </w:r>
          </w:p>
        </w:tc>
      </w:tr>
      <w:tr w:rsidR="00506C79" w:rsidRPr="000172E5" w14:paraId="58C6B0AF" w14:textId="77777777" w:rsidTr="00506C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141713F7"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0–3 min</w:t>
            </w:r>
          </w:p>
        </w:tc>
        <w:tc>
          <w:tcPr>
            <w:tcW w:w="4896" w:type="dxa"/>
          </w:tcPr>
          <w:p w14:paraId="546599B6"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Locate four exclusion points; distinguish evidence from assumptions about the talent pool.</w:t>
            </w:r>
          </w:p>
        </w:tc>
      </w:tr>
      <w:tr w:rsidR="00506C79" w:rsidRPr="000172E5" w14:paraId="355F50D4" w14:textId="77777777" w:rsidTr="00506C79">
        <w:trPr>
          <w:jc w:val="center"/>
        </w:trPr>
        <w:tc>
          <w:tcPr>
            <w:cnfStyle w:val="001000000000" w:firstRow="0" w:lastRow="0" w:firstColumn="1" w:lastColumn="0" w:oddVBand="0" w:evenVBand="0" w:oddHBand="0" w:evenHBand="0" w:firstRowFirstColumn="0" w:firstRowLastColumn="0" w:lastRowFirstColumn="0" w:lastRowLastColumn="0"/>
            <w:tcW w:w="4896" w:type="dxa"/>
          </w:tcPr>
          <w:p w14:paraId="5975140C"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3–10 min</w:t>
            </w:r>
          </w:p>
        </w:tc>
        <w:tc>
          <w:tcPr>
            <w:tcW w:w="4896" w:type="dxa"/>
          </w:tcPr>
          <w:p w14:paraId="7B8EEE77"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Redesign advert, sourcing, shortlisting and interview/offer using job-relevant criteria.</w:t>
            </w:r>
          </w:p>
        </w:tc>
      </w:tr>
      <w:tr w:rsidR="00506C79" w:rsidRPr="000172E5" w14:paraId="10326543" w14:textId="77777777" w:rsidTr="00506C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24ACA9C3"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10–15 min</w:t>
            </w:r>
          </w:p>
        </w:tc>
        <w:tc>
          <w:tcPr>
            <w:tcW w:w="4896" w:type="dxa"/>
          </w:tcPr>
          <w:p w14:paraId="0EF96207"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Choose two success measures and one unintended risk with a safeguard.</w:t>
            </w:r>
          </w:p>
        </w:tc>
      </w:tr>
      <w:tr w:rsidR="00506C79" w:rsidRPr="000172E5" w14:paraId="5A52E430" w14:textId="77777777" w:rsidTr="00506C79">
        <w:trPr>
          <w:jc w:val="center"/>
        </w:trPr>
        <w:tc>
          <w:tcPr>
            <w:cnfStyle w:val="001000000000" w:firstRow="0" w:lastRow="0" w:firstColumn="1" w:lastColumn="0" w:oddVBand="0" w:evenVBand="0" w:oddHBand="0" w:evenHBand="0" w:firstRowFirstColumn="0" w:firstRowLastColumn="0" w:lastRowFirstColumn="0" w:lastRowLastColumn="0"/>
            <w:tcW w:w="4896" w:type="dxa"/>
          </w:tcPr>
          <w:p w14:paraId="78637016"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15–18 min</w:t>
            </w:r>
          </w:p>
        </w:tc>
        <w:tc>
          <w:tcPr>
            <w:tcW w:w="4896" w:type="dxa"/>
          </w:tcPr>
          <w:p w14:paraId="19CFF767"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Deliver a short hiring-manager pitch explaining why quality is protected.</w:t>
            </w:r>
          </w:p>
        </w:tc>
      </w:tr>
    </w:tbl>
    <w:p w14:paraId="3908E100" w14:textId="77777777" w:rsidR="00506C79" w:rsidRPr="000172E5" w:rsidRDefault="00F91A7E">
      <w:pPr>
        <w:pStyle w:val="Heading2"/>
        <w:rPr>
          <w:rFonts w:asciiTheme="minorBidi" w:hAnsiTheme="minorBidi" w:cstheme="minorBidi"/>
          <w:color w:val="auto"/>
          <w:sz w:val="24"/>
          <w:szCs w:val="24"/>
        </w:rPr>
      </w:pPr>
      <w:r w:rsidRPr="000172E5">
        <w:rPr>
          <w:rFonts w:asciiTheme="minorBidi" w:hAnsiTheme="minorBidi" w:cstheme="minorBidi"/>
          <w:color w:val="auto"/>
          <w:sz w:val="24"/>
          <w:szCs w:val="24"/>
        </w:rPr>
        <w:t>Group worksheet</w:t>
      </w:r>
    </w:p>
    <w:tbl>
      <w:tblPr>
        <w:tblStyle w:val="LightShading-Accent1"/>
        <w:tblW w:w="0" w:type="auto"/>
        <w:jc w:val="center"/>
        <w:tblLook w:val="04A0" w:firstRow="1" w:lastRow="0" w:firstColumn="1" w:lastColumn="0" w:noHBand="0" w:noVBand="1"/>
      </w:tblPr>
      <w:tblGrid>
        <w:gridCol w:w="3169"/>
        <w:gridCol w:w="6623"/>
      </w:tblGrid>
      <w:tr w:rsidR="00506C79" w:rsidRPr="000172E5" w14:paraId="092944A7" w14:textId="77777777" w:rsidTr="00506C7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24AC957E"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Decision area</w:t>
            </w:r>
          </w:p>
        </w:tc>
        <w:tc>
          <w:tcPr>
            <w:tcW w:w="4896" w:type="dxa"/>
          </w:tcPr>
          <w:p w14:paraId="0BEFCA1C" w14:textId="77777777" w:rsidR="00506C79" w:rsidRPr="000172E5" w:rsidRDefault="00F91A7E">
            <w:pPr>
              <w:cnfStyle w:val="100000000000" w:firstRow="1"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Team notes / proposed response</w:t>
            </w:r>
          </w:p>
        </w:tc>
      </w:tr>
      <w:tr w:rsidR="00506C79" w:rsidRPr="000172E5" w14:paraId="15DAC9BC" w14:textId="77777777" w:rsidTr="00506C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0F3B8227"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Advert and essential skills</w:t>
            </w:r>
          </w:p>
        </w:tc>
        <w:tc>
          <w:tcPr>
            <w:tcW w:w="4896" w:type="dxa"/>
          </w:tcPr>
          <w:p w14:paraId="78FCD095"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________________________________________________</w:t>
            </w:r>
          </w:p>
        </w:tc>
      </w:tr>
      <w:tr w:rsidR="00506C79" w:rsidRPr="000172E5" w14:paraId="6111E147" w14:textId="77777777" w:rsidTr="00506C79">
        <w:trPr>
          <w:jc w:val="center"/>
        </w:trPr>
        <w:tc>
          <w:tcPr>
            <w:cnfStyle w:val="001000000000" w:firstRow="0" w:lastRow="0" w:firstColumn="1" w:lastColumn="0" w:oddVBand="0" w:evenVBand="0" w:oddHBand="0" w:evenHBand="0" w:firstRowFirstColumn="0" w:firstRowLastColumn="0" w:lastRowFirstColumn="0" w:lastRowLastColumn="0"/>
            <w:tcW w:w="4896" w:type="dxa"/>
          </w:tcPr>
          <w:p w14:paraId="0579F077"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Sourcing and outreach</w:t>
            </w:r>
          </w:p>
        </w:tc>
        <w:tc>
          <w:tcPr>
            <w:tcW w:w="4896" w:type="dxa"/>
          </w:tcPr>
          <w:p w14:paraId="320ABD6E"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________________________________________________</w:t>
            </w:r>
          </w:p>
        </w:tc>
      </w:tr>
      <w:tr w:rsidR="00506C79" w:rsidRPr="000172E5" w14:paraId="561AEDB7" w14:textId="77777777" w:rsidTr="00506C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05FC431A"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Shortlisting rubric</w:t>
            </w:r>
          </w:p>
        </w:tc>
        <w:tc>
          <w:tcPr>
            <w:tcW w:w="4896" w:type="dxa"/>
          </w:tcPr>
          <w:p w14:paraId="39A6FBE9"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________________________________________________</w:t>
            </w:r>
          </w:p>
        </w:tc>
      </w:tr>
      <w:tr w:rsidR="00506C79" w:rsidRPr="000172E5" w14:paraId="142CBD69" w14:textId="77777777" w:rsidTr="00506C79">
        <w:trPr>
          <w:jc w:val="center"/>
        </w:trPr>
        <w:tc>
          <w:tcPr>
            <w:cnfStyle w:val="001000000000" w:firstRow="0" w:lastRow="0" w:firstColumn="1" w:lastColumn="0" w:oddVBand="0" w:evenVBand="0" w:oddHBand="0" w:evenHBand="0" w:firstRowFirstColumn="0" w:firstRowLastColumn="0" w:lastRowFirstColumn="0" w:lastRowLastColumn="0"/>
            <w:tcW w:w="4896" w:type="dxa"/>
          </w:tcPr>
          <w:p w14:paraId="621E57AD"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Interview/work sample + access</w:t>
            </w:r>
          </w:p>
        </w:tc>
        <w:tc>
          <w:tcPr>
            <w:tcW w:w="4896" w:type="dxa"/>
          </w:tcPr>
          <w:p w14:paraId="41166BA7"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________________________________________________</w:t>
            </w:r>
          </w:p>
        </w:tc>
      </w:tr>
      <w:tr w:rsidR="00506C79" w:rsidRPr="000172E5" w14:paraId="4477C376" w14:textId="77777777" w:rsidTr="00506C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136B3386"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Metric 1: access</w:t>
            </w:r>
          </w:p>
        </w:tc>
        <w:tc>
          <w:tcPr>
            <w:tcW w:w="4896" w:type="dxa"/>
          </w:tcPr>
          <w:p w14:paraId="12A44F02"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________________________________________________</w:t>
            </w:r>
          </w:p>
        </w:tc>
      </w:tr>
      <w:tr w:rsidR="00506C79" w:rsidRPr="000172E5" w14:paraId="2010579E" w14:textId="77777777" w:rsidTr="00506C79">
        <w:trPr>
          <w:jc w:val="center"/>
        </w:trPr>
        <w:tc>
          <w:tcPr>
            <w:cnfStyle w:val="001000000000" w:firstRow="0" w:lastRow="0" w:firstColumn="1" w:lastColumn="0" w:oddVBand="0" w:evenVBand="0" w:oddHBand="0" w:evenHBand="0" w:firstRowFirstColumn="0" w:firstRowLastColumn="0" w:lastRowFirstColumn="0" w:lastRowLastColumn="0"/>
            <w:tcW w:w="4896" w:type="dxa"/>
          </w:tcPr>
          <w:p w14:paraId="41926780"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Metric 2: selection quality</w:t>
            </w:r>
          </w:p>
        </w:tc>
        <w:tc>
          <w:tcPr>
            <w:tcW w:w="4896" w:type="dxa"/>
          </w:tcPr>
          <w:p w14:paraId="289966FA"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________________________________________________</w:t>
            </w:r>
          </w:p>
        </w:tc>
      </w:tr>
      <w:tr w:rsidR="00506C79" w:rsidRPr="000172E5" w14:paraId="7BB8A9D6" w14:textId="77777777" w:rsidTr="00506C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2DFE1739"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Unintended risk + safeguard</w:t>
            </w:r>
          </w:p>
        </w:tc>
        <w:tc>
          <w:tcPr>
            <w:tcW w:w="4896" w:type="dxa"/>
          </w:tcPr>
          <w:p w14:paraId="07CDC2D9"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________________________________________________</w:t>
            </w:r>
          </w:p>
        </w:tc>
      </w:tr>
      <w:tr w:rsidR="00506C79" w:rsidRPr="000172E5" w14:paraId="4286E82D" w14:textId="77777777" w:rsidTr="00506C79">
        <w:trPr>
          <w:jc w:val="center"/>
        </w:trPr>
        <w:tc>
          <w:tcPr>
            <w:cnfStyle w:val="001000000000" w:firstRow="0" w:lastRow="0" w:firstColumn="1" w:lastColumn="0" w:oddVBand="0" w:evenVBand="0" w:oddHBand="0" w:evenHBand="0" w:firstRowFirstColumn="0" w:firstRowLastColumn="0" w:lastRowFirstColumn="0" w:lastRowLastColumn="0"/>
            <w:tcW w:w="4896" w:type="dxa"/>
          </w:tcPr>
          <w:p w14:paraId="765880FB"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Manager pitch</w:t>
            </w:r>
          </w:p>
        </w:tc>
        <w:tc>
          <w:tcPr>
            <w:tcW w:w="4896" w:type="dxa"/>
          </w:tcPr>
          <w:p w14:paraId="3C592255"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________________________________________________</w:t>
            </w:r>
          </w:p>
        </w:tc>
      </w:tr>
    </w:tbl>
    <w:p w14:paraId="2AF61053" w14:textId="77777777" w:rsidR="00506C79" w:rsidRPr="000172E5" w:rsidRDefault="00F91A7E">
      <w:pPr>
        <w:pStyle w:val="Heading2"/>
        <w:rPr>
          <w:rFonts w:asciiTheme="minorBidi" w:hAnsiTheme="minorBidi" w:cstheme="minorBidi"/>
          <w:color w:val="auto"/>
          <w:sz w:val="24"/>
          <w:szCs w:val="24"/>
        </w:rPr>
      </w:pPr>
      <w:r w:rsidRPr="000172E5">
        <w:rPr>
          <w:rFonts w:asciiTheme="minorBidi" w:hAnsiTheme="minorBidi" w:cstheme="minorBidi"/>
          <w:color w:val="auto"/>
          <w:sz w:val="24"/>
          <w:szCs w:val="24"/>
        </w:rPr>
        <w:t>Watch for these pitfalls</w:t>
      </w:r>
    </w:p>
    <w:p w14:paraId="3CDD0B9B" w14:textId="77777777" w:rsidR="00506C79" w:rsidRPr="000172E5" w:rsidRDefault="00F91A7E">
      <w:pPr>
        <w:pStyle w:val="ListBullet"/>
        <w:rPr>
          <w:rFonts w:asciiTheme="minorBidi" w:hAnsiTheme="minorBidi"/>
          <w:sz w:val="24"/>
          <w:szCs w:val="24"/>
        </w:rPr>
      </w:pPr>
      <w:r w:rsidRPr="000172E5">
        <w:rPr>
          <w:rFonts w:asciiTheme="minorBidi" w:hAnsiTheme="minorBidi"/>
          <w:sz w:val="24"/>
          <w:szCs w:val="24"/>
        </w:rPr>
        <w:t>Removing essential technical standards in the name of diversity.</w:t>
      </w:r>
    </w:p>
    <w:p w14:paraId="07130FC8" w14:textId="77777777" w:rsidR="00506C79" w:rsidRPr="000172E5" w:rsidRDefault="00F91A7E">
      <w:pPr>
        <w:pStyle w:val="ListBullet"/>
        <w:rPr>
          <w:rFonts w:asciiTheme="minorBidi" w:hAnsiTheme="minorBidi"/>
          <w:sz w:val="24"/>
          <w:szCs w:val="24"/>
        </w:rPr>
      </w:pPr>
      <w:r w:rsidRPr="000172E5">
        <w:rPr>
          <w:rFonts w:asciiTheme="minorBidi" w:hAnsiTheme="minorBidi"/>
          <w:sz w:val="24"/>
          <w:szCs w:val="24"/>
        </w:rPr>
        <w:t>Using demographic assumptions to choose individuals.</w:t>
      </w:r>
    </w:p>
    <w:p w14:paraId="0151104D" w14:textId="77777777" w:rsidR="00506C79" w:rsidRPr="000172E5" w:rsidRDefault="00F91A7E">
      <w:pPr>
        <w:pStyle w:val="ListBullet"/>
        <w:rPr>
          <w:rFonts w:asciiTheme="minorBidi" w:hAnsiTheme="minorBidi"/>
          <w:sz w:val="24"/>
          <w:szCs w:val="24"/>
        </w:rPr>
      </w:pPr>
      <w:r w:rsidRPr="000172E5">
        <w:rPr>
          <w:rFonts w:asciiTheme="minorBidi" w:hAnsiTheme="minorBidi"/>
          <w:sz w:val="24"/>
          <w:szCs w:val="24"/>
        </w:rPr>
        <w:t>Claiming broader sourcing automatically improves performance.</w:t>
      </w:r>
    </w:p>
    <w:p w14:paraId="1DEB06A2" w14:textId="77777777" w:rsidR="00506C79" w:rsidRPr="000172E5" w:rsidRDefault="00F91A7E">
      <w:pPr>
        <w:rPr>
          <w:rFonts w:asciiTheme="minorBidi" w:hAnsiTheme="minorBidi"/>
          <w:sz w:val="24"/>
          <w:szCs w:val="24"/>
        </w:rPr>
      </w:pPr>
      <w:r w:rsidRPr="000172E5">
        <w:rPr>
          <w:rFonts w:asciiTheme="minorBidi" w:hAnsiTheme="minorBidi"/>
          <w:sz w:val="24"/>
          <w:szCs w:val="24"/>
        </w:rPr>
        <w:br w:type="page"/>
      </w:r>
    </w:p>
    <w:p w14:paraId="5C6A3238" w14:textId="77777777" w:rsidR="00506C79" w:rsidRPr="000172E5" w:rsidRDefault="00F91A7E">
      <w:pPr>
        <w:pStyle w:val="Heading1"/>
        <w:rPr>
          <w:rFonts w:asciiTheme="minorBidi" w:hAnsiTheme="minorBidi" w:cstheme="minorBidi"/>
          <w:color w:val="auto"/>
          <w:sz w:val="24"/>
          <w:szCs w:val="24"/>
        </w:rPr>
      </w:pPr>
      <w:r w:rsidRPr="000172E5">
        <w:rPr>
          <w:rFonts w:asciiTheme="minorBidi" w:hAnsiTheme="minorBidi" w:cstheme="minorBidi"/>
          <w:color w:val="auto"/>
          <w:sz w:val="24"/>
          <w:szCs w:val="24"/>
        </w:rPr>
        <w:t>CASE 3 | INCLUSION: Global Project Team — Voice and Belonging</w:t>
      </w:r>
    </w:p>
    <w:p w14:paraId="5DA81081" w14:textId="77777777" w:rsidR="00506C79" w:rsidRPr="000172E5" w:rsidRDefault="00F91A7E">
      <w:pPr>
        <w:rPr>
          <w:rFonts w:asciiTheme="minorBidi" w:hAnsiTheme="minorBidi"/>
          <w:sz w:val="24"/>
          <w:szCs w:val="24"/>
        </w:rPr>
      </w:pPr>
      <w:r w:rsidRPr="000172E5">
        <w:rPr>
          <w:rFonts w:asciiTheme="minorBidi" w:hAnsiTheme="minorBidi"/>
          <w:sz w:val="24"/>
          <w:szCs w:val="24"/>
        </w:rPr>
        <w:t>A UK-led project team works across London, Mumbai and São Paulo. The team is diverse in location, professional experience and working style, yet members report repeated misunderstandings. The team leader insists everyone is invited to meetings, but decisions are often informally agreed by London-based colleagues beforehand. This is a fictional expansion of the global-team culture problem in the supplied slides.</w:t>
      </w:r>
    </w:p>
    <w:p w14:paraId="138E0E4A" w14:textId="77777777" w:rsidR="00506C79" w:rsidRPr="000172E5" w:rsidRDefault="00F91A7E">
      <w:pPr>
        <w:pStyle w:val="Heading2"/>
        <w:rPr>
          <w:rFonts w:asciiTheme="minorBidi" w:hAnsiTheme="minorBidi" w:cstheme="minorBidi"/>
          <w:color w:val="auto"/>
          <w:sz w:val="24"/>
          <w:szCs w:val="24"/>
        </w:rPr>
      </w:pPr>
      <w:r w:rsidRPr="000172E5">
        <w:rPr>
          <w:rFonts w:asciiTheme="minorBidi" w:hAnsiTheme="minorBidi" w:cstheme="minorBidi"/>
          <w:color w:val="auto"/>
          <w:sz w:val="24"/>
          <w:szCs w:val="24"/>
        </w:rPr>
        <w:t>Evidence presented to the team</w:t>
      </w:r>
    </w:p>
    <w:p w14:paraId="4BC6F62A" w14:textId="77777777" w:rsidR="00506C79" w:rsidRPr="000172E5" w:rsidRDefault="00F91A7E">
      <w:pPr>
        <w:pStyle w:val="ListBullet"/>
        <w:rPr>
          <w:rFonts w:asciiTheme="minorBidi" w:hAnsiTheme="minorBidi"/>
          <w:sz w:val="24"/>
          <w:szCs w:val="24"/>
        </w:rPr>
      </w:pPr>
      <w:r w:rsidRPr="000172E5">
        <w:rPr>
          <w:rFonts w:asciiTheme="minorBidi" w:hAnsiTheme="minorBidi"/>
          <w:sz w:val="24"/>
          <w:szCs w:val="24"/>
        </w:rPr>
        <w:t>Most video calls are scheduled at convenient London times; some colleagues join outside their normal working hours.</w:t>
      </w:r>
    </w:p>
    <w:p w14:paraId="2ADE7576" w14:textId="77777777" w:rsidR="00506C79" w:rsidRPr="000172E5" w:rsidRDefault="00F91A7E">
      <w:pPr>
        <w:pStyle w:val="ListBullet"/>
        <w:rPr>
          <w:rFonts w:asciiTheme="minorBidi" w:hAnsiTheme="minorBidi"/>
          <w:sz w:val="24"/>
          <w:szCs w:val="24"/>
        </w:rPr>
      </w:pPr>
      <w:r w:rsidRPr="000172E5">
        <w:rPr>
          <w:rFonts w:asciiTheme="minorBidi" w:hAnsiTheme="minorBidi"/>
          <w:sz w:val="24"/>
          <w:szCs w:val="24"/>
        </w:rPr>
        <w:t>During calls, two senior colleagues dominate discussion; quieter participants contribute afterwards by private message.</w:t>
      </w:r>
    </w:p>
    <w:p w14:paraId="334CFF4B" w14:textId="77777777" w:rsidR="00506C79" w:rsidRPr="000172E5" w:rsidRDefault="00F91A7E">
      <w:pPr>
        <w:pStyle w:val="ListBullet"/>
        <w:rPr>
          <w:rFonts w:asciiTheme="minorBidi" w:hAnsiTheme="minorBidi"/>
          <w:sz w:val="24"/>
          <w:szCs w:val="24"/>
        </w:rPr>
      </w:pPr>
      <w:r w:rsidRPr="000172E5">
        <w:rPr>
          <w:rFonts w:asciiTheme="minorBidi" w:hAnsiTheme="minorBidi"/>
          <w:sz w:val="24"/>
          <w:szCs w:val="24"/>
        </w:rPr>
        <w:t>A remote colleague reports that a client-risk concern was overlooked until it became urgent; meeting notes rarely show who made decisions.</w:t>
      </w:r>
    </w:p>
    <w:p w14:paraId="2BEAA867" w14:textId="77777777" w:rsidR="00506C79" w:rsidRPr="000172E5" w:rsidRDefault="00F91A7E">
      <w:pPr>
        <w:pStyle w:val="ListBullet"/>
        <w:rPr>
          <w:rFonts w:asciiTheme="minorBidi" w:hAnsiTheme="minorBidi"/>
          <w:sz w:val="24"/>
          <w:szCs w:val="24"/>
        </w:rPr>
      </w:pPr>
      <w:r w:rsidRPr="000172E5">
        <w:rPr>
          <w:rFonts w:asciiTheme="minorBidi" w:hAnsiTheme="minorBidi"/>
          <w:sz w:val="24"/>
          <w:szCs w:val="24"/>
        </w:rPr>
        <w:t>Some team members call the problem “cultural differences”; no systematic review of meeting practices has occurred.</w:t>
      </w:r>
    </w:p>
    <w:p w14:paraId="644B4E2F" w14:textId="77777777" w:rsidR="00506C79" w:rsidRPr="000172E5" w:rsidRDefault="00F91A7E">
      <w:pPr>
        <w:rPr>
          <w:rFonts w:asciiTheme="minorBidi" w:hAnsiTheme="minorBidi"/>
          <w:sz w:val="24"/>
          <w:szCs w:val="24"/>
        </w:rPr>
      </w:pPr>
      <w:r w:rsidRPr="000172E5">
        <w:rPr>
          <w:rFonts w:asciiTheme="minorBidi" w:hAnsiTheme="minorBidi"/>
          <w:sz w:val="24"/>
          <w:szCs w:val="24"/>
        </w:rPr>
        <w:t>Constraints: the team cannot add headcount, and the next client milestone is in 30 days. It must preserve fast decision-making while giving remote members genuine input. Avoid stereotyping national or cultural groups.</w:t>
      </w:r>
    </w:p>
    <w:p w14:paraId="380347F4" w14:textId="77777777" w:rsidR="00506C79" w:rsidRPr="000172E5" w:rsidRDefault="00F91A7E">
      <w:pPr>
        <w:pStyle w:val="Heading2"/>
        <w:rPr>
          <w:rFonts w:asciiTheme="minorBidi" w:hAnsiTheme="minorBidi" w:cstheme="minorBidi"/>
          <w:color w:val="auto"/>
          <w:sz w:val="24"/>
          <w:szCs w:val="24"/>
        </w:rPr>
      </w:pPr>
      <w:r w:rsidRPr="000172E5">
        <w:rPr>
          <w:rFonts w:asciiTheme="minorBidi" w:hAnsiTheme="minorBidi" w:cstheme="minorBidi"/>
          <w:color w:val="auto"/>
          <w:sz w:val="24"/>
          <w:szCs w:val="24"/>
        </w:rPr>
        <w:t>Timed group instructions</w:t>
      </w:r>
    </w:p>
    <w:tbl>
      <w:tblPr>
        <w:tblStyle w:val="LightShading-Accent1"/>
        <w:tblW w:w="0" w:type="auto"/>
        <w:jc w:val="center"/>
        <w:tblLook w:val="04A0" w:firstRow="1" w:lastRow="0" w:firstColumn="1" w:lastColumn="0" w:noHBand="0" w:noVBand="1"/>
      </w:tblPr>
      <w:tblGrid>
        <w:gridCol w:w="4896"/>
        <w:gridCol w:w="4896"/>
      </w:tblGrid>
      <w:tr w:rsidR="00506C79" w:rsidRPr="000172E5" w14:paraId="3900B587" w14:textId="77777777" w:rsidTr="00506C7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70EC1E2D"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Time</w:t>
            </w:r>
          </w:p>
        </w:tc>
        <w:tc>
          <w:tcPr>
            <w:tcW w:w="4896" w:type="dxa"/>
          </w:tcPr>
          <w:p w14:paraId="2D4E8994" w14:textId="77777777" w:rsidR="00506C79" w:rsidRPr="000172E5" w:rsidRDefault="00F91A7E">
            <w:pPr>
              <w:cnfStyle w:val="100000000000" w:firstRow="1"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Task and expected output</w:t>
            </w:r>
          </w:p>
        </w:tc>
      </w:tr>
      <w:tr w:rsidR="00506C79" w:rsidRPr="000172E5" w14:paraId="02FAD441" w14:textId="77777777" w:rsidTr="00506C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6B40CFCF"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0–3 min</w:t>
            </w:r>
          </w:p>
        </w:tc>
        <w:tc>
          <w:tcPr>
            <w:tcW w:w="4896" w:type="dxa"/>
          </w:tcPr>
          <w:p w14:paraId="30713B40"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Identify three observable exclusion mechanisms; separate behaviours from cultural guesses.</w:t>
            </w:r>
          </w:p>
        </w:tc>
      </w:tr>
      <w:tr w:rsidR="00506C79" w:rsidRPr="000172E5" w14:paraId="22012B04" w14:textId="77777777" w:rsidTr="00506C79">
        <w:trPr>
          <w:jc w:val="center"/>
        </w:trPr>
        <w:tc>
          <w:tcPr>
            <w:cnfStyle w:val="001000000000" w:firstRow="0" w:lastRow="0" w:firstColumn="1" w:lastColumn="0" w:oddVBand="0" w:evenVBand="0" w:oddHBand="0" w:evenHBand="0" w:firstRowFirstColumn="0" w:firstRowLastColumn="0" w:lastRowFirstColumn="0" w:lastRowLastColumn="0"/>
            <w:tcW w:w="4896" w:type="dxa"/>
          </w:tcPr>
          <w:p w14:paraId="6BAD7875"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3–10 min</w:t>
            </w:r>
          </w:p>
        </w:tc>
        <w:tc>
          <w:tcPr>
            <w:tcW w:w="4896" w:type="dxa"/>
          </w:tcPr>
          <w:p w14:paraId="78F31F35"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Design meeting, decision and feedback practices; assign a team lead or rotating owner.</w:t>
            </w:r>
          </w:p>
        </w:tc>
      </w:tr>
      <w:tr w:rsidR="00506C79" w:rsidRPr="000172E5" w14:paraId="78549A39" w14:textId="77777777" w:rsidTr="00506C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21DC0E8C"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10–15 min</w:t>
            </w:r>
          </w:p>
        </w:tc>
        <w:tc>
          <w:tcPr>
            <w:tcW w:w="4896" w:type="dxa"/>
          </w:tcPr>
          <w:p w14:paraId="1226DF63"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Choose two indicators to review after 30 days and one safeguard against slower decisions.</w:t>
            </w:r>
          </w:p>
        </w:tc>
      </w:tr>
      <w:tr w:rsidR="00506C79" w:rsidRPr="000172E5" w14:paraId="298EA6DC" w14:textId="77777777" w:rsidTr="00506C79">
        <w:trPr>
          <w:jc w:val="center"/>
        </w:trPr>
        <w:tc>
          <w:tcPr>
            <w:cnfStyle w:val="001000000000" w:firstRow="0" w:lastRow="0" w:firstColumn="1" w:lastColumn="0" w:oddVBand="0" w:evenVBand="0" w:oddHBand="0" w:evenHBand="0" w:firstRowFirstColumn="0" w:firstRowLastColumn="0" w:lastRowFirstColumn="0" w:lastRowLastColumn="0"/>
            <w:tcW w:w="4896" w:type="dxa"/>
          </w:tcPr>
          <w:p w14:paraId="60AD84ED"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15–18 min</w:t>
            </w:r>
          </w:p>
        </w:tc>
        <w:tc>
          <w:tcPr>
            <w:tcW w:w="4896" w:type="dxa"/>
          </w:tcPr>
          <w:p w14:paraId="7BD15AA0"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Deliver a 90-second briefing: what changes tomorrow and how will we know?</w:t>
            </w:r>
          </w:p>
        </w:tc>
      </w:tr>
    </w:tbl>
    <w:p w14:paraId="60A40DC7" w14:textId="77777777" w:rsidR="00506C79" w:rsidRPr="000172E5" w:rsidRDefault="00F91A7E">
      <w:pPr>
        <w:pStyle w:val="Heading2"/>
        <w:rPr>
          <w:rFonts w:asciiTheme="minorBidi" w:hAnsiTheme="minorBidi" w:cstheme="minorBidi"/>
          <w:color w:val="auto"/>
          <w:sz w:val="24"/>
          <w:szCs w:val="24"/>
        </w:rPr>
      </w:pPr>
      <w:r w:rsidRPr="000172E5">
        <w:rPr>
          <w:rFonts w:asciiTheme="minorBidi" w:hAnsiTheme="minorBidi" w:cstheme="minorBidi"/>
          <w:color w:val="auto"/>
          <w:sz w:val="24"/>
          <w:szCs w:val="24"/>
        </w:rPr>
        <w:t>Group worksheet</w:t>
      </w:r>
    </w:p>
    <w:tbl>
      <w:tblPr>
        <w:tblStyle w:val="LightShading-Accent1"/>
        <w:tblW w:w="0" w:type="auto"/>
        <w:jc w:val="center"/>
        <w:tblLook w:val="04A0" w:firstRow="1" w:lastRow="0" w:firstColumn="1" w:lastColumn="0" w:noHBand="0" w:noVBand="1"/>
      </w:tblPr>
      <w:tblGrid>
        <w:gridCol w:w="3169"/>
        <w:gridCol w:w="6623"/>
      </w:tblGrid>
      <w:tr w:rsidR="00506C79" w:rsidRPr="000172E5" w14:paraId="2C6001BF" w14:textId="77777777" w:rsidTr="00506C7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10B16C8E"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Decision area</w:t>
            </w:r>
          </w:p>
        </w:tc>
        <w:tc>
          <w:tcPr>
            <w:tcW w:w="4896" w:type="dxa"/>
          </w:tcPr>
          <w:p w14:paraId="019E2E39" w14:textId="77777777" w:rsidR="00506C79" w:rsidRPr="000172E5" w:rsidRDefault="00F91A7E">
            <w:pPr>
              <w:cnfStyle w:val="100000000000" w:firstRow="1"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Team notes / proposed response</w:t>
            </w:r>
          </w:p>
        </w:tc>
      </w:tr>
      <w:tr w:rsidR="00506C79" w:rsidRPr="000172E5" w14:paraId="783CA967" w14:textId="77777777" w:rsidTr="00506C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7A2FC956"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Observed barrier 1</w:t>
            </w:r>
          </w:p>
        </w:tc>
        <w:tc>
          <w:tcPr>
            <w:tcW w:w="4896" w:type="dxa"/>
          </w:tcPr>
          <w:p w14:paraId="164BE27E"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________________________________________________</w:t>
            </w:r>
          </w:p>
        </w:tc>
      </w:tr>
      <w:tr w:rsidR="00506C79" w:rsidRPr="000172E5" w14:paraId="08C6380A" w14:textId="77777777" w:rsidTr="00506C79">
        <w:trPr>
          <w:jc w:val="center"/>
        </w:trPr>
        <w:tc>
          <w:tcPr>
            <w:cnfStyle w:val="001000000000" w:firstRow="0" w:lastRow="0" w:firstColumn="1" w:lastColumn="0" w:oddVBand="0" w:evenVBand="0" w:oddHBand="0" w:evenHBand="0" w:firstRowFirstColumn="0" w:firstRowLastColumn="0" w:lastRowFirstColumn="0" w:lastRowLastColumn="0"/>
            <w:tcW w:w="4896" w:type="dxa"/>
          </w:tcPr>
          <w:p w14:paraId="4A3BC602"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Observed barrier 2</w:t>
            </w:r>
          </w:p>
        </w:tc>
        <w:tc>
          <w:tcPr>
            <w:tcW w:w="4896" w:type="dxa"/>
          </w:tcPr>
          <w:p w14:paraId="722822A6"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________________________________________________</w:t>
            </w:r>
          </w:p>
        </w:tc>
      </w:tr>
      <w:tr w:rsidR="00506C79" w:rsidRPr="000172E5" w14:paraId="209E6D3B" w14:textId="77777777" w:rsidTr="00506C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37608351"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Observed barrier 3</w:t>
            </w:r>
          </w:p>
        </w:tc>
        <w:tc>
          <w:tcPr>
            <w:tcW w:w="4896" w:type="dxa"/>
          </w:tcPr>
          <w:p w14:paraId="0C9A904C"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________________________________________________</w:t>
            </w:r>
          </w:p>
        </w:tc>
      </w:tr>
      <w:tr w:rsidR="00506C79" w:rsidRPr="000172E5" w14:paraId="47621FBB" w14:textId="77777777" w:rsidTr="00506C79">
        <w:trPr>
          <w:jc w:val="center"/>
        </w:trPr>
        <w:tc>
          <w:tcPr>
            <w:cnfStyle w:val="001000000000" w:firstRow="0" w:lastRow="0" w:firstColumn="1" w:lastColumn="0" w:oddVBand="0" w:evenVBand="0" w:oddHBand="0" w:evenHBand="0" w:firstRowFirstColumn="0" w:firstRowLastColumn="0" w:lastRowFirstColumn="0" w:lastRowLastColumn="0"/>
            <w:tcW w:w="4896" w:type="dxa"/>
          </w:tcPr>
          <w:p w14:paraId="78D13E0E"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Meeting access reform + owner</w:t>
            </w:r>
          </w:p>
        </w:tc>
        <w:tc>
          <w:tcPr>
            <w:tcW w:w="4896" w:type="dxa"/>
          </w:tcPr>
          <w:p w14:paraId="0E46A62F"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________________________________________________</w:t>
            </w:r>
          </w:p>
        </w:tc>
      </w:tr>
      <w:tr w:rsidR="00506C79" w:rsidRPr="000172E5" w14:paraId="156CD644" w14:textId="77777777" w:rsidTr="00506C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1A682DCA"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Decision / voice reform + owner</w:t>
            </w:r>
          </w:p>
        </w:tc>
        <w:tc>
          <w:tcPr>
            <w:tcW w:w="4896" w:type="dxa"/>
          </w:tcPr>
          <w:p w14:paraId="29B16498"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________________________________________________</w:t>
            </w:r>
          </w:p>
        </w:tc>
      </w:tr>
      <w:tr w:rsidR="00506C79" w:rsidRPr="000172E5" w14:paraId="4499F98E" w14:textId="77777777" w:rsidTr="00506C79">
        <w:trPr>
          <w:jc w:val="center"/>
        </w:trPr>
        <w:tc>
          <w:tcPr>
            <w:cnfStyle w:val="001000000000" w:firstRow="0" w:lastRow="0" w:firstColumn="1" w:lastColumn="0" w:oddVBand="0" w:evenVBand="0" w:oddHBand="0" w:evenHBand="0" w:firstRowFirstColumn="0" w:firstRowLastColumn="0" w:lastRowFirstColumn="0" w:lastRowLastColumn="0"/>
            <w:tcW w:w="4896" w:type="dxa"/>
          </w:tcPr>
          <w:p w14:paraId="0B64A747"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30-day metric 1</w:t>
            </w:r>
          </w:p>
        </w:tc>
        <w:tc>
          <w:tcPr>
            <w:tcW w:w="4896" w:type="dxa"/>
          </w:tcPr>
          <w:p w14:paraId="2F720797"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________________________________________________</w:t>
            </w:r>
          </w:p>
        </w:tc>
      </w:tr>
      <w:tr w:rsidR="00506C79" w:rsidRPr="000172E5" w14:paraId="750DA73A" w14:textId="77777777" w:rsidTr="00506C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96" w:type="dxa"/>
          </w:tcPr>
          <w:p w14:paraId="6207A449"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30-day metric 2</w:t>
            </w:r>
          </w:p>
        </w:tc>
        <w:tc>
          <w:tcPr>
            <w:tcW w:w="4896" w:type="dxa"/>
          </w:tcPr>
          <w:p w14:paraId="5A366D58"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________________________________________________</w:t>
            </w:r>
          </w:p>
        </w:tc>
      </w:tr>
      <w:tr w:rsidR="00506C79" w:rsidRPr="000172E5" w14:paraId="6DD97D79" w14:textId="77777777" w:rsidTr="00506C79">
        <w:trPr>
          <w:jc w:val="center"/>
        </w:trPr>
        <w:tc>
          <w:tcPr>
            <w:cnfStyle w:val="001000000000" w:firstRow="0" w:lastRow="0" w:firstColumn="1" w:lastColumn="0" w:oddVBand="0" w:evenVBand="0" w:oddHBand="0" w:evenHBand="0" w:firstRowFirstColumn="0" w:firstRowLastColumn="0" w:lastRowFirstColumn="0" w:lastRowLastColumn="0"/>
            <w:tcW w:w="4896" w:type="dxa"/>
          </w:tcPr>
          <w:p w14:paraId="27D5493E"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Speed safeguard + briefing</w:t>
            </w:r>
          </w:p>
        </w:tc>
        <w:tc>
          <w:tcPr>
            <w:tcW w:w="4896" w:type="dxa"/>
          </w:tcPr>
          <w:p w14:paraId="3C679C07"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________________________________________________</w:t>
            </w:r>
          </w:p>
        </w:tc>
      </w:tr>
    </w:tbl>
    <w:p w14:paraId="1C7ED2D0" w14:textId="77777777" w:rsidR="00506C79" w:rsidRPr="000172E5" w:rsidRDefault="00F91A7E">
      <w:pPr>
        <w:pStyle w:val="Heading2"/>
        <w:rPr>
          <w:rFonts w:asciiTheme="minorBidi" w:hAnsiTheme="minorBidi" w:cstheme="minorBidi"/>
          <w:color w:val="auto"/>
          <w:sz w:val="24"/>
          <w:szCs w:val="24"/>
        </w:rPr>
      </w:pPr>
      <w:r w:rsidRPr="000172E5">
        <w:rPr>
          <w:rFonts w:asciiTheme="minorBidi" w:hAnsiTheme="minorBidi" w:cstheme="minorBidi"/>
          <w:color w:val="auto"/>
          <w:sz w:val="24"/>
          <w:szCs w:val="24"/>
        </w:rPr>
        <w:t>Watch for these pitfalls</w:t>
      </w:r>
    </w:p>
    <w:p w14:paraId="486A401E" w14:textId="77777777" w:rsidR="00506C79" w:rsidRPr="000172E5" w:rsidRDefault="00F91A7E">
      <w:pPr>
        <w:pStyle w:val="ListBullet"/>
        <w:rPr>
          <w:rFonts w:asciiTheme="minorBidi" w:hAnsiTheme="minorBidi"/>
          <w:sz w:val="24"/>
          <w:szCs w:val="24"/>
        </w:rPr>
      </w:pPr>
      <w:r w:rsidRPr="000172E5">
        <w:rPr>
          <w:rFonts w:asciiTheme="minorBidi" w:hAnsiTheme="minorBidi"/>
          <w:sz w:val="24"/>
          <w:szCs w:val="24"/>
        </w:rPr>
        <w:t>Treating nationality as a proxy for communication behaviour.</w:t>
      </w:r>
    </w:p>
    <w:p w14:paraId="2F2A8E79" w14:textId="77777777" w:rsidR="00506C79" w:rsidRPr="000172E5" w:rsidRDefault="00F91A7E">
      <w:pPr>
        <w:pStyle w:val="ListBullet"/>
        <w:rPr>
          <w:rFonts w:asciiTheme="minorBidi" w:hAnsiTheme="minorBidi"/>
          <w:sz w:val="24"/>
          <w:szCs w:val="24"/>
        </w:rPr>
      </w:pPr>
      <w:r w:rsidRPr="000172E5">
        <w:rPr>
          <w:rFonts w:asciiTheme="minorBidi" w:hAnsiTheme="minorBidi"/>
          <w:sz w:val="24"/>
          <w:szCs w:val="24"/>
        </w:rPr>
        <w:t>Confusing a friendly atmosphere with genuine influence on decisions.</w:t>
      </w:r>
    </w:p>
    <w:p w14:paraId="0EA88E0E" w14:textId="77777777" w:rsidR="00506C79" w:rsidRPr="000172E5" w:rsidRDefault="00F91A7E">
      <w:pPr>
        <w:pStyle w:val="ListBullet"/>
        <w:rPr>
          <w:rFonts w:asciiTheme="minorBidi" w:hAnsiTheme="minorBidi"/>
          <w:sz w:val="24"/>
          <w:szCs w:val="24"/>
        </w:rPr>
      </w:pPr>
      <w:r w:rsidRPr="000172E5">
        <w:rPr>
          <w:rFonts w:asciiTheme="minorBidi" w:hAnsiTheme="minorBidi"/>
          <w:sz w:val="24"/>
          <w:szCs w:val="24"/>
        </w:rPr>
        <w:t>Creating a slow consensus rule that ignores the client deadline.</w:t>
      </w:r>
    </w:p>
    <w:p w14:paraId="735E573F" w14:textId="77777777" w:rsidR="00506C79" w:rsidRPr="000172E5" w:rsidRDefault="00F91A7E">
      <w:pPr>
        <w:rPr>
          <w:rFonts w:asciiTheme="minorBidi" w:hAnsiTheme="minorBidi"/>
          <w:sz w:val="24"/>
          <w:szCs w:val="24"/>
        </w:rPr>
      </w:pPr>
      <w:r w:rsidRPr="000172E5">
        <w:rPr>
          <w:rFonts w:asciiTheme="minorBidi" w:hAnsiTheme="minorBidi"/>
          <w:sz w:val="24"/>
          <w:szCs w:val="24"/>
        </w:rPr>
        <w:br w:type="page"/>
      </w:r>
    </w:p>
    <w:p w14:paraId="0545F384" w14:textId="77777777" w:rsidR="00506C79" w:rsidRPr="000172E5" w:rsidRDefault="00F91A7E">
      <w:pPr>
        <w:pStyle w:val="Heading1"/>
        <w:rPr>
          <w:rFonts w:asciiTheme="minorBidi" w:hAnsiTheme="minorBidi" w:cstheme="minorBidi"/>
          <w:color w:val="auto"/>
          <w:sz w:val="24"/>
          <w:szCs w:val="24"/>
        </w:rPr>
      </w:pPr>
      <w:r w:rsidRPr="000172E5">
        <w:rPr>
          <w:rFonts w:asciiTheme="minorBidi" w:hAnsiTheme="minorBidi" w:cstheme="minorBidi"/>
          <w:color w:val="auto"/>
          <w:sz w:val="24"/>
          <w:szCs w:val="24"/>
        </w:rPr>
        <w:t>Lecturer synthesis | Ethical judgement remains central</w:t>
      </w:r>
    </w:p>
    <w:p w14:paraId="679BCA85" w14:textId="77777777" w:rsidR="00506C79" w:rsidRPr="000172E5" w:rsidRDefault="00F91A7E">
      <w:pPr>
        <w:rPr>
          <w:rFonts w:asciiTheme="minorBidi" w:hAnsiTheme="minorBidi"/>
          <w:sz w:val="24"/>
          <w:szCs w:val="24"/>
        </w:rPr>
      </w:pPr>
      <w:r w:rsidRPr="000172E5">
        <w:rPr>
          <w:rFonts w:asciiTheme="minorBidi" w:hAnsiTheme="minorBidi"/>
          <w:sz w:val="24"/>
          <w:szCs w:val="24"/>
        </w:rPr>
        <w:t>The fourth original activity, Ethics Tribunal, is removed as a group case to meet the three-case requirement. Its key learning is preserved in PowerPoint slides 28–33 as worked teaching examples rather than a fourth case study.</w:t>
      </w:r>
    </w:p>
    <w:tbl>
      <w:tblPr>
        <w:tblStyle w:val="LightShading-Accent1"/>
        <w:tblW w:w="0" w:type="auto"/>
        <w:jc w:val="center"/>
        <w:tblLook w:val="04A0" w:firstRow="1" w:lastRow="0" w:firstColumn="1" w:lastColumn="0" w:noHBand="0" w:noVBand="1"/>
      </w:tblPr>
      <w:tblGrid>
        <w:gridCol w:w="3264"/>
        <w:gridCol w:w="3264"/>
        <w:gridCol w:w="3264"/>
      </w:tblGrid>
      <w:tr w:rsidR="00506C79" w:rsidRPr="000172E5" w14:paraId="0253285C" w14:textId="77777777" w:rsidTr="00506C7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64" w:type="dxa"/>
          </w:tcPr>
          <w:p w14:paraId="5EB539AA"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Lens</w:t>
            </w:r>
          </w:p>
        </w:tc>
        <w:tc>
          <w:tcPr>
            <w:tcW w:w="3264" w:type="dxa"/>
          </w:tcPr>
          <w:p w14:paraId="6972176E" w14:textId="77777777" w:rsidR="00506C79" w:rsidRPr="000172E5" w:rsidRDefault="00F91A7E">
            <w:pPr>
              <w:cnfStyle w:val="100000000000" w:firstRow="1"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Question for lecturers to ask</w:t>
            </w:r>
          </w:p>
        </w:tc>
        <w:tc>
          <w:tcPr>
            <w:tcW w:w="3264" w:type="dxa"/>
          </w:tcPr>
          <w:p w14:paraId="58F9CDA5" w14:textId="77777777" w:rsidR="00506C79" w:rsidRPr="000172E5" w:rsidRDefault="00F91A7E">
            <w:pPr>
              <w:cnfStyle w:val="100000000000" w:firstRow="1"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Illustrative application</w:t>
            </w:r>
          </w:p>
        </w:tc>
      </w:tr>
      <w:tr w:rsidR="00506C79" w:rsidRPr="000172E5" w14:paraId="37EE4624" w14:textId="77777777" w:rsidTr="00506C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64" w:type="dxa"/>
          </w:tcPr>
          <w:p w14:paraId="4B3FF6BC"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Utilitarianism</w:t>
            </w:r>
          </w:p>
        </w:tc>
        <w:tc>
          <w:tcPr>
            <w:tcW w:w="3264" w:type="dxa"/>
          </w:tcPr>
          <w:p w14:paraId="6FE975AB"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What are the likely benefits and harms?</w:t>
            </w:r>
          </w:p>
        </w:tc>
        <w:tc>
          <w:tcPr>
            <w:tcW w:w="3264" w:type="dxa"/>
          </w:tcPr>
          <w:p w14:paraId="6A541D20"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Does an urgent appointment justify the risk of a poor or unfair selection?</w:t>
            </w:r>
          </w:p>
        </w:tc>
      </w:tr>
      <w:tr w:rsidR="00506C79" w:rsidRPr="000172E5" w14:paraId="7F63F773" w14:textId="77777777" w:rsidTr="00506C79">
        <w:trPr>
          <w:jc w:val="center"/>
        </w:trPr>
        <w:tc>
          <w:tcPr>
            <w:cnfStyle w:val="001000000000" w:firstRow="0" w:lastRow="0" w:firstColumn="1" w:lastColumn="0" w:oddVBand="0" w:evenVBand="0" w:oddHBand="0" w:evenHBand="0" w:firstRowFirstColumn="0" w:firstRowLastColumn="0" w:lastRowFirstColumn="0" w:lastRowLastColumn="0"/>
            <w:tcW w:w="3264" w:type="dxa"/>
          </w:tcPr>
          <w:p w14:paraId="4B05B409"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Deontology</w:t>
            </w:r>
          </w:p>
        </w:tc>
        <w:tc>
          <w:tcPr>
            <w:tcW w:w="3264" w:type="dxa"/>
          </w:tcPr>
          <w:p w14:paraId="34D898C2"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What duties, rights and procedures apply?</w:t>
            </w:r>
          </w:p>
        </w:tc>
        <w:tc>
          <w:tcPr>
            <w:tcW w:w="3264" w:type="dxa"/>
          </w:tcPr>
          <w:p w14:paraId="74691BFF"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Follow documented scoring and manage conflicts of interest.</w:t>
            </w:r>
          </w:p>
        </w:tc>
      </w:tr>
      <w:tr w:rsidR="00506C79" w:rsidRPr="000172E5" w14:paraId="26A7C779" w14:textId="77777777" w:rsidTr="00506C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64" w:type="dxa"/>
          </w:tcPr>
          <w:p w14:paraId="3918F3AF"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Virtue ethics</w:t>
            </w:r>
          </w:p>
        </w:tc>
        <w:tc>
          <w:tcPr>
            <w:tcW w:w="3264" w:type="dxa"/>
          </w:tcPr>
          <w:p w14:paraId="0D4952A0"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What would integrity and courage require?</w:t>
            </w:r>
          </w:p>
        </w:tc>
        <w:tc>
          <w:tcPr>
            <w:tcW w:w="3264" w:type="dxa"/>
          </w:tcPr>
          <w:p w14:paraId="50F373A1"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Challenge a manager’s favoritism respectfully and record reasons.</w:t>
            </w:r>
          </w:p>
        </w:tc>
      </w:tr>
    </w:tbl>
    <w:p w14:paraId="0D9C3A96" w14:textId="77777777" w:rsidR="00506C79" w:rsidRPr="000172E5" w:rsidRDefault="00F91A7E">
      <w:pPr>
        <w:pStyle w:val="Heading1"/>
        <w:rPr>
          <w:rFonts w:asciiTheme="minorBidi" w:hAnsiTheme="minorBidi" w:cstheme="minorBidi"/>
          <w:color w:val="auto"/>
          <w:sz w:val="24"/>
          <w:szCs w:val="24"/>
        </w:rPr>
      </w:pPr>
      <w:r w:rsidRPr="000172E5">
        <w:rPr>
          <w:rFonts w:asciiTheme="minorBidi" w:hAnsiTheme="minorBidi" w:cstheme="minorBidi"/>
          <w:color w:val="auto"/>
          <w:sz w:val="24"/>
          <w:szCs w:val="24"/>
        </w:rPr>
        <w:t>Professional practice reminders</w:t>
      </w:r>
    </w:p>
    <w:p w14:paraId="3D8046DD" w14:textId="77777777" w:rsidR="00506C79" w:rsidRPr="000172E5" w:rsidRDefault="00F91A7E">
      <w:pPr>
        <w:pStyle w:val="ListBullet"/>
        <w:rPr>
          <w:rFonts w:asciiTheme="minorBidi" w:hAnsiTheme="minorBidi"/>
          <w:sz w:val="24"/>
          <w:szCs w:val="24"/>
        </w:rPr>
      </w:pPr>
      <w:r w:rsidRPr="000172E5">
        <w:rPr>
          <w:rFonts w:asciiTheme="minorBidi" w:hAnsiTheme="minorBidi"/>
          <w:sz w:val="24"/>
          <w:szCs w:val="24"/>
        </w:rPr>
        <w:t>UK equality law is fact-specific: unequal outcomes are not, by themselves, proof of unlawful discrimination.</w:t>
      </w:r>
    </w:p>
    <w:p w14:paraId="7D2B52DD" w14:textId="77777777" w:rsidR="00506C79" w:rsidRPr="000172E5" w:rsidRDefault="00F91A7E">
      <w:pPr>
        <w:pStyle w:val="ListBullet"/>
        <w:rPr>
          <w:rFonts w:asciiTheme="minorBidi" w:hAnsiTheme="minorBidi"/>
          <w:sz w:val="24"/>
          <w:szCs w:val="24"/>
        </w:rPr>
      </w:pPr>
      <w:r w:rsidRPr="000172E5">
        <w:rPr>
          <w:rFonts w:asciiTheme="minorBidi" w:hAnsiTheme="minorBidi"/>
          <w:sz w:val="24"/>
          <w:szCs w:val="24"/>
        </w:rPr>
        <w:t>In data incidents, contain and document the disclosure, involve the privacy lead and assess risk and reporting duties.</w:t>
      </w:r>
    </w:p>
    <w:p w14:paraId="0216EC8A" w14:textId="77777777" w:rsidR="00506C79" w:rsidRPr="000172E5" w:rsidRDefault="00F91A7E">
      <w:pPr>
        <w:pStyle w:val="ListBullet"/>
        <w:rPr>
          <w:rFonts w:asciiTheme="minorBidi" w:hAnsiTheme="minorBidi"/>
          <w:sz w:val="24"/>
          <w:szCs w:val="24"/>
        </w:rPr>
      </w:pPr>
      <w:r w:rsidRPr="000172E5">
        <w:rPr>
          <w:rFonts w:asciiTheme="minorBidi" w:hAnsiTheme="minorBidi"/>
          <w:sz w:val="24"/>
          <w:szCs w:val="24"/>
        </w:rPr>
        <w:t>In complaints, protect against retaliation and separate impartial investigation from final decision-making.</w:t>
      </w:r>
    </w:p>
    <w:p w14:paraId="447D0E2C" w14:textId="77777777" w:rsidR="00506C79" w:rsidRPr="000172E5" w:rsidRDefault="00F91A7E">
      <w:pPr>
        <w:pStyle w:val="Heading1"/>
        <w:rPr>
          <w:rFonts w:asciiTheme="minorBidi" w:hAnsiTheme="minorBidi" w:cstheme="minorBidi"/>
          <w:color w:val="auto"/>
          <w:sz w:val="24"/>
          <w:szCs w:val="24"/>
        </w:rPr>
      </w:pPr>
      <w:r w:rsidRPr="000172E5">
        <w:rPr>
          <w:rFonts w:asciiTheme="minorBidi" w:hAnsiTheme="minorBidi" w:cstheme="minorBidi"/>
          <w:color w:val="auto"/>
          <w:sz w:val="24"/>
          <w:szCs w:val="24"/>
        </w:rPr>
        <w:t>Quick group self-assessment</w:t>
      </w:r>
    </w:p>
    <w:tbl>
      <w:tblPr>
        <w:tblStyle w:val="LightShading-Accent1"/>
        <w:tblW w:w="0" w:type="auto"/>
        <w:jc w:val="center"/>
        <w:tblLook w:val="04A0" w:firstRow="1" w:lastRow="0" w:firstColumn="1" w:lastColumn="0" w:noHBand="0" w:noVBand="1"/>
      </w:tblPr>
      <w:tblGrid>
        <w:gridCol w:w="3264"/>
        <w:gridCol w:w="3264"/>
        <w:gridCol w:w="3264"/>
      </w:tblGrid>
      <w:tr w:rsidR="00506C79" w:rsidRPr="000172E5" w14:paraId="6BE6ED7A" w14:textId="77777777" w:rsidTr="00506C7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64" w:type="dxa"/>
          </w:tcPr>
          <w:p w14:paraId="0C9595FE"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Criterion</w:t>
            </w:r>
          </w:p>
        </w:tc>
        <w:tc>
          <w:tcPr>
            <w:tcW w:w="3264" w:type="dxa"/>
          </w:tcPr>
          <w:p w14:paraId="61A7D9E2" w14:textId="77777777" w:rsidR="00506C79" w:rsidRPr="000172E5" w:rsidRDefault="00F91A7E">
            <w:pPr>
              <w:cnfStyle w:val="100000000000" w:firstRow="1"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Emerging</w:t>
            </w:r>
          </w:p>
        </w:tc>
        <w:tc>
          <w:tcPr>
            <w:tcW w:w="3264" w:type="dxa"/>
          </w:tcPr>
          <w:p w14:paraId="7F5E9E2C" w14:textId="77777777" w:rsidR="00506C79" w:rsidRPr="000172E5" w:rsidRDefault="00F91A7E">
            <w:pPr>
              <w:cnfStyle w:val="100000000000" w:firstRow="1"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Strong</w:t>
            </w:r>
          </w:p>
        </w:tc>
      </w:tr>
      <w:tr w:rsidR="00506C79" w:rsidRPr="000172E5" w14:paraId="2E59F27E" w14:textId="77777777" w:rsidTr="00506C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64" w:type="dxa"/>
          </w:tcPr>
          <w:p w14:paraId="153145F4"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Uses evidence</w:t>
            </w:r>
          </w:p>
        </w:tc>
        <w:tc>
          <w:tcPr>
            <w:tcW w:w="3264" w:type="dxa"/>
          </w:tcPr>
          <w:p w14:paraId="1E555305"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Repeats assumptions</w:t>
            </w:r>
          </w:p>
        </w:tc>
        <w:tc>
          <w:tcPr>
            <w:tcW w:w="3264" w:type="dxa"/>
          </w:tcPr>
          <w:p w14:paraId="4A5EB531"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Separates facts, interpretations and gaps</w:t>
            </w:r>
          </w:p>
        </w:tc>
      </w:tr>
      <w:tr w:rsidR="00506C79" w:rsidRPr="000172E5" w14:paraId="21A1B3DB" w14:textId="77777777" w:rsidTr="00506C79">
        <w:trPr>
          <w:jc w:val="center"/>
        </w:trPr>
        <w:tc>
          <w:tcPr>
            <w:cnfStyle w:val="001000000000" w:firstRow="0" w:lastRow="0" w:firstColumn="1" w:lastColumn="0" w:oddVBand="0" w:evenVBand="0" w:oddHBand="0" w:evenHBand="0" w:firstRowFirstColumn="0" w:firstRowLastColumn="0" w:lastRowFirstColumn="0" w:lastRowLastColumn="0"/>
            <w:tcW w:w="3264" w:type="dxa"/>
          </w:tcPr>
          <w:p w14:paraId="4BB88F82"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Applies concepts</w:t>
            </w:r>
          </w:p>
        </w:tc>
        <w:tc>
          <w:tcPr>
            <w:tcW w:w="3264" w:type="dxa"/>
          </w:tcPr>
          <w:p w14:paraId="02664FDD"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Names E/D/I</w:t>
            </w:r>
          </w:p>
        </w:tc>
        <w:tc>
          <w:tcPr>
            <w:tcW w:w="3264" w:type="dxa"/>
          </w:tcPr>
          <w:p w14:paraId="2A127866"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Uses concepts to justify an action</w:t>
            </w:r>
          </w:p>
        </w:tc>
      </w:tr>
      <w:tr w:rsidR="00506C79" w:rsidRPr="000172E5" w14:paraId="74252037" w14:textId="77777777" w:rsidTr="00506C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64" w:type="dxa"/>
          </w:tcPr>
          <w:p w14:paraId="537D9806"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Recognizes trade-offs</w:t>
            </w:r>
          </w:p>
        </w:tc>
        <w:tc>
          <w:tcPr>
            <w:tcW w:w="3264" w:type="dxa"/>
          </w:tcPr>
          <w:p w14:paraId="143DF241"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Ignores constraints</w:t>
            </w:r>
          </w:p>
        </w:tc>
        <w:tc>
          <w:tcPr>
            <w:tcW w:w="3264" w:type="dxa"/>
          </w:tcPr>
          <w:p w14:paraId="27835373" w14:textId="77777777" w:rsidR="00506C79" w:rsidRPr="000172E5" w:rsidRDefault="00F91A7E">
            <w:pPr>
              <w:cnfStyle w:val="000000100000" w:firstRow="0" w:lastRow="0" w:firstColumn="0" w:lastColumn="0" w:oddVBand="0" w:evenVBand="0" w:oddHBand="1"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Names risk and proportionate safeguard</w:t>
            </w:r>
          </w:p>
        </w:tc>
      </w:tr>
      <w:tr w:rsidR="00506C79" w:rsidRPr="000172E5" w14:paraId="3F05EEBB" w14:textId="77777777" w:rsidTr="00506C79">
        <w:trPr>
          <w:jc w:val="center"/>
        </w:trPr>
        <w:tc>
          <w:tcPr>
            <w:cnfStyle w:val="001000000000" w:firstRow="0" w:lastRow="0" w:firstColumn="1" w:lastColumn="0" w:oddVBand="0" w:evenVBand="0" w:oddHBand="0" w:evenHBand="0" w:firstRowFirstColumn="0" w:firstRowLastColumn="0" w:lastRowFirstColumn="0" w:lastRowLastColumn="0"/>
            <w:tcW w:w="3264" w:type="dxa"/>
          </w:tcPr>
          <w:p w14:paraId="4F51DC16" w14:textId="77777777" w:rsidR="00506C79" w:rsidRPr="000172E5" w:rsidRDefault="00F91A7E">
            <w:pPr>
              <w:rPr>
                <w:rFonts w:asciiTheme="minorBidi" w:hAnsiTheme="minorBidi"/>
                <w:color w:val="auto"/>
                <w:sz w:val="24"/>
                <w:szCs w:val="24"/>
              </w:rPr>
            </w:pPr>
            <w:r w:rsidRPr="000172E5">
              <w:rPr>
                <w:rFonts w:asciiTheme="minorBidi" w:hAnsiTheme="minorBidi"/>
                <w:color w:val="auto"/>
                <w:sz w:val="24"/>
                <w:szCs w:val="24"/>
              </w:rPr>
              <w:t>Actionable recommendation</w:t>
            </w:r>
          </w:p>
        </w:tc>
        <w:tc>
          <w:tcPr>
            <w:tcW w:w="3264" w:type="dxa"/>
          </w:tcPr>
          <w:p w14:paraId="12750672"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Vague intention</w:t>
            </w:r>
          </w:p>
        </w:tc>
        <w:tc>
          <w:tcPr>
            <w:tcW w:w="3264" w:type="dxa"/>
          </w:tcPr>
          <w:p w14:paraId="2E84FDB6" w14:textId="77777777" w:rsidR="00506C79" w:rsidRPr="000172E5" w:rsidRDefault="00F91A7E">
            <w:pPr>
              <w:cnfStyle w:val="000000000000" w:firstRow="0" w:lastRow="0" w:firstColumn="0" w:lastColumn="0" w:oddVBand="0" w:evenVBand="0" w:oddHBand="0" w:evenHBand="0" w:firstRowFirstColumn="0" w:firstRowLastColumn="0" w:lastRowFirstColumn="0" w:lastRowLastColumn="0"/>
              <w:rPr>
                <w:rFonts w:asciiTheme="minorBidi" w:hAnsiTheme="minorBidi"/>
                <w:color w:val="auto"/>
                <w:sz w:val="24"/>
                <w:szCs w:val="24"/>
              </w:rPr>
            </w:pPr>
            <w:r w:rsidRPr="000172E5">
              <w:rPr>
                <w:rFonts w:asciiTheme="minorBidi" w:hAnsiTheme="minorBidi"/>
                <w:color w:val="auto"/>
                <w:sz w:val="24"/>
                <w:szCs w:val="24"/>
              </w:rPr>
              <w:t>Action + owner + measure + review date</w:t>
            </w:r>
          </w:p>
        </w:tc>
      </w:tr>
    </w:tbl>
    <w:p w14:paraId="61A45DF0" w14:textId="77777777" w:rsidR="00506C79" w:rsidRPr="000172E5" w:rsidRDefault="00F91A7E">
      <w:pPr>
        <w:pStyle w:val="Heading1"/>
        <w:rPr>
          <w:rFonts w:asciiTheme="minorBidi" w:hAnsiTheme="minorBidi" w:cstheme="minorBidi"/>
          <w:color w:val="auto"/>
          <w:sz w:val="24"/>
          <w:szCs w:val="24"/>
        </w:rPr>
      </w:pPr>
      <w:r w:rsidRPr="000172E5">
        <w:rPr>
          <w:rFonts w:asciiTheme="minorBidi" w:hAnsiTheme="minorBidi" w:cstheme="minorBidi"/>
          <w:color w:val="auto"/>
          <w:sz w:val="24"/>
          <w:szCs w:val="24"/>
        </w:rPr>
        <w:t>Selected reading</w:t>
      </w:r>
    </w:p>
    <w:p w14:paraId="79B4B080" w14:textId="77777777" w:rsidR="00506C79" w:rsidRPr="000172E5" w:rsidRDefault="00F91A7E">
      <w:pPr>
        <w:pStyle w:val="ListBullet"/>
        <w:rPr>
          <w:rFonts w:asciiTheme="minorBidi" w:hAnsiTheme="minorBidi"/>
          <w:sz w:val="24"/>
          <w:szCs w:val="24"/>
        </w:rPr>
      </w:pPr>
      <w:r w:rsidRPr="000172E5">
        <w:rPr>
          <w:rFonts w:asciiTheme="minorBidi" w:hAnsiTheme="minorBidi"/>
          <w:sz w:val="24"/>
          <w:szCs w:val="24"/>
        </w:rPr>
        <w:t>Equality Act 2010; CIPD resources on equality, diversity, inclusion, recruitment and professional conduct.</w:t>
      </w:r>
    </w:p>
    <w:p w14:paraId="23E4296B" w14:textId="77777777" w:rsidR="00506C79" w:rsidRPr="000172E5" w:rsidRDefault="00F91A7E">
      <w:pPr>
        <w:pStyle w:val="ListBullet"/>
        <w:rPr>
          <w:rFonts w:asciiTheme="minorBidi" w:hAnsiTheme="minorBidi"/>
          <w:sz w:val="24"/>
          <w:szCs w:val="24"/>
        </w:rPr>
      </w:pPr>
      <w:r w:rsidRPr="000172E5">
        <w:rPr>
          <w:rFonts w:asciiTheme="minorBidi" w:hAnsiTheme="minorBidi"/>
          <w:sz w:val="24"/>
          <w:szCs w:val="24"/>
        </w:rPr>
        <w:t>Kirton, G. and Greene, A. (2015), The Dynamics of Managing Diversity.</w:t>
      </w:r>
    </w:p>
    <w:p w14:paraId="0315BEB9" w14:textId="77777777" w:rsidR="00506C79" w:rsidRPr="000172E5" w:rsidRDefault="00F91A7E">
      <w:pPr>
        <w:pStyle w:val="ListBullet"/>
        <w:rPr>
          <w:rFonts w:asciiTheme="minorBidi" w:hAnsiTheme="minorBidi"/>
          <w:sz w:val="24"/>
          <w:szCs w:val="24"/>
        </w:rPr>
      </w:pPr>
      <w:r w:rsidRPr="000172E5">
        <w:rPr>
          <w:rFonts w:asciiTheme="minorBidi" w:hAnsiTheme="minorBidi"/>
          <w:sz w:val="24"/>
          <w:szCs w:val="24"/>
        </w:rPr>
        <w:t>Thomas, D.A. and Ely, R.J. (1996), “Making differences matter”, Harvard Business Review.</w:t>
      </w:r>
    </w:p>
    <w:p w14:paraId="7442724E" w14:textId="77777777" w:rsidR="00506C79" w:rsidRPr="000172E5" w:rsidRDefault="00F91A7E">
      <w:pPr>
        <w:pStyle w:val="ListBullet"/>
        <w:rPr>
          <w:rFonts w:asciiTheme="minorBidi" w:hAnsiTheme="minorBidi"/>
          <w:sz w:val="24"/>
          <w:szCs w:val="24"/>
        </w:rPr>
      </w:pPr>
      <w:r w:rsidRPr="000172E5">
        <w:rPr>
          <w:rFonts w:asciiTheme="minorBidi" w:hAnsiTheme="minorBidi"/>
          <w:sz w:val="24"/>
          <w:szCs w:val="24"/>
        </w:rPr>
        <w:t>Crane, A. and Matten, D. (2016), Business Ethics; Treviño, L.K. and Nelson, K.A. (2020), Managing Business Ethics.</w:t>
      </w:r>
    </w:p>
    <w:sectPr w:rsidR="00506C79" w:rsidRPr="000172E5" w:rsidSect="00034616">
      <w:footerReference w:type="default" r:id="rId8"/>
      <w:pgSz w:w="12240" w:h="15840"/>
      <w:pgMar w:top="1123" w:right="1224" w:bottom="1008" w:left="122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A6664C" w14:textId="77777777" w:rsidR="00AF5B85" w:rsidRDefault="00AF5B85">
      <w:pPr>
        <w:spacing w:after="0" w:line="240" w:lineRule="auto"/>
      </w:pPr>
      <w:r>
        <w:separator/>
      </w:r>
    </w:p>
  </w:endnote>
  <w:endnote w:type="continuationSeparator" w:id="0">
    <w:p w14:paraId="67EF25FF" w14:textId="77777777" w:rsidR="00AF5B85" w:rsidRDefault="00AF5B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B0D257" w14:textId="77777777" w:rsidR="00506C79" w:rsidRDefault="00F91A7E">
    <w:pPr>
      <w:pStyle w:val="Footer"/>
      <w:jc w:val="center"/>
    </w:pPr>
    <w:r>
      <w:t>LCMB7023  •  WEEK 5  •  LECTURER CASE PACK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753E0E" w14:textId="77777777" w:rsidR="00AF5B85" w:rsidRDefault="00AF5B85">
      <w:pPr>
        <w:spacing w:after="0" w:line="240" w:lineRule="auto"/>
      </w:pPr>
      <w:r>
        <w:separator/>
      </w:r>
    </w:p>
  </w:footnote>
  <w:footnote w:type="continuationSeparator" w:id="0">
    <w:p w14:paraId="14D1141C" w14:textId="77777777" w:rsidR="00AF5B85" w:rsidRDefault="00AF5B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22226304">
    <w:abstractNumId w:val="8"/>
  </w:num>
  <w:num w:numId="2" w16cid:durableId="1866602354">
    <w:abstractNumId w:val="6"/>
  </w:num>
  <w:num w:numId="3" w16cid:durableId="1866358367">
    <w:abstractNumId w:val="5"/>
  </w:num>
  <w:num w:numId="4" w16cid:durableId="670988407">
    <w:abstractNumId w:val="4"/>
  </w:num>
  <w:num w:numId="5" w16cid:durableId="1529946797">
    <w:abstractNumId w:val="7"/>
  </w:num>
  <w:num w:numId="6" w16cid:durableId="1878855413">
    <w:abstractNumId w:val="3"/>
  </w:num>
  <w:num w:numId="7" w16cid:durableId="792403757">
    <w:abstractNumId w:val="2"/>
  </w:num>
  <w:num w:numId="8" w16cid:durableId="2112317961">
    <w:abstractNumId w:val="1"/>
  </w:num>
  <w:num w:numId="9" w16cid:durableId="1496996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72E5"/>
    <w:rsid w:val="00034616"/>
    <w:rsid w:val="0006063C"/>
    <w:rsid w:val="0015074B"/>
    <w:rsid w:val="0029639D"/>
    <w:rsid w:val="00326F90"/>
    <w:rsid w:val="003745FA"/>
    <w:rsid w:val="0039254A"/>
    <w:rsid w:val="00506C79"/>
    <w:rsid w:val="005E50A8"/>
    <w:rsid w:val="00AA1D8D"/>
    <w:rsid w:val="00AF5B85"/>
    <w:rsid w:val="00B47730"/>
    <w:rsid w:val="00CB0664"/>
    <w:rsid w:val="00F91A7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1EF42E02"/>
  <w14:defaultImageDpi w14:val="300"/>
  <w15:docId w15:val="{6D28BB2F-A477-41C0-96B4-F97C2FA5D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ptos" w:hAnsi="Aptos"/>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0F324E"/>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0F324E"/>
      <w:sz w:val="25"/>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0F324E"/>
      <w:spacing w:val="5"/>
      <w:kern w:val="28"/>
      <w:sz w:val="4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1474</Words>
  <Characters>8406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9861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Gladius David Kulothungan</cp:lastModifiedBy>
  <cp:revision>3</cp:revision>
  <dcterms:created xsi:type="dcterms:W3CDTF">2026-10-24T18:52:00Z</dcterms:created>
  <dcterms:modified xsi:type="dcterms:W3CDTF">2026-10-25T10:49:00Z</dcterms:modified>
  <cp:category/>
</cp:coreProperties>
</file>