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9C1C94" w14:textId="77777777" w:rsidR="00826870" w:rsidRPr="00820F7A" w:rsidRDefault="001E06B6">
      <w:pPr>
        <w:pStyle w:val="Normal1"/>
        <w:widowControl w:val="0"/>
        <w:pBdr>
          <w:top w:val="nil"/>
          <w:left w:val="nil"/>
          <w:bottom w:val="nil"/>
          <w:right w:val="nil"/>
          <w:between w:val="nil"/>
        </w:pBdr>
        <w:spacing w:line="276" w:lineRule="auto"/>
        <w:jc w:val="left"/>
        <w:rPr>
          <w:lang w:val="en-GB"/>
        </w:rPr>
      </w:pPr>
      <w:r>
        <w:rPr>
          <w:noProof/>
          <w:lang w:val="en-GB"/>
        </w:rPr>
        <mc:AlternateContent>
          <mc:Choice Requires="wps">
            <w:drawing>
              <wp:anchor distT="0" distB="0" distL="114300" distR="114300" simplePos="0" relativeHeight="251657728" behindDoc="0" locked="0" layoutInCell="1" allowOverlap="1" wp14:anchorId="6DA89CA3" wp14:editId="5B6ED120">
                <wp:simplePos x="0" y="0"/>
                <wp:positionH relativeFrom="column">
                  <wp:posOffset>0</wp:posOffset>
                </wp:positionH>
                <wp:positionV relativeFrom="paragraph">
                  <wp:posOffset>0</wp:posOffset>
                </wp:positionV>
                <wp:extent cx="635000" cy="635000"/>
                <wp:effectExtent l="0" t="0" r="0" b="0"/>
                <wp:wrapNone/>
                <wp:docPr id="228957429" name="AutoShape 3" hidden="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35000" cy="635000"/>
                        </a:xfrm>
                        <a:prstGeom prst="rightBrace">
                          <a:avLst>
                            <a:gd name="adj1" fmla="val 8333"/>
                            <a:gd name="adj2" fmla="val 50000"/>
                          </a:avLst>
                        </a:pr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266F43F"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AutoShape 3" o:spid="_x0000_s1026" type="#_x0000_t88" style="position:absolute;margin-left:0;margin-top:0;width:50pt;height:50pt;z-index:25165772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"/>
            </w:pict>
          </mc:Fallback>
        </mc:AlternateContent>
      </w:r>
      <w:r>
        <w:rPr>
          <w:noProof/>
          <w:lang w:val="en-GB"/>
        </w:rPr>
        <mc:AlternateContent>
          <mc:Choice Requires="wps">
            <w:drawing>
              <wp:anchor distT="0" distB="0" distL="114300" distR="114300" simplePos="0" relativeHeight="251658752" behindDoc="0" locked="0" layoutInCell="1" allowOverlap="1" wp14:anchorId="788E0CD3" wp14:editId="45598EDE">
                <wp:simplePos x="0" y="0"/>
                <wp:positionH relativeFrom="column">
                  <wp:posOffset>0</wp:posOffset>
                </wp:positionH>
                <wp:positionV relativeFrom="paragraph">
                  <wp:posOffset>0</wp:posOffset>
                </wp:positionV>
                <wp:extent cx="635000" cy="635000"/>
                <wp:effectExtent l="0" t="0" r="0" b="0"/>
                <wp:wrapNone/>
                <wp:docPr id="649038056" name="AutoShape 2" hidden="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35000" cy="635000"/>
                        </a:xfrm>
                        <a:prstGeom prst="rightArrow">
                          <a:avLst>
                            <a:gd name="adj1" fmla="val 50000"/>
                            <a:gd name="adj2" fmla="val 25000"/>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BE23CC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utoShape 2" o:spid="_x0000_s1026" type="#_x0000_t13" style="position:absolute;margin-left:0;margin-top:0;width:50pt;height:50pt;z-index:25165875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">
                <v:path arrowok="t"/>
              </v:shape>
            </w:pict>
          </mc:Fallback>
        </mc:AlternateContent>
      </w:r>
    </w:p>
    <w:p w14:paraId="010142E5" w14:textId="59D64EFE" w:rsidR="00826870" w:rsidRPr="00820F7A" w:rsidRDefault="001E06B6">
      <w:pPr>
        <w:pStyle w:val="Normal1"/>
        <w:widowControl w:val="0"/>
        <w:pBdr>
          <w:top w:val="nil"/>
          <w:left w:val="nil"/>
          <w:bottom w:val="nil"/>
          <w:right w:val="nil"/>
          <w:between w:val="nil"/>
        </w:pBdr>
        <w:spacing w:line="276" w:lineRule="auto"/>
        <w:jc w:val="left"/>
        <w:rPr>
          <w:color w:val="000000"/>
          <w:lang w:val="en-GB"/>
        </w:rPr>
      </w:pPr>
      <w:r>
        <w:rPr>
          <w:noProof/>
        </w:rPr>
        <mc:AlternateContent>
          <mc:Choice Requires="wps">
            <w:drawing>
              <wp:anchor distT="0" distB="0" distL="114300" distR="114300" simplePos="0" relativeHeight="251659776" behindDoc="0" locked="0" layoutInCell="1" allowOverlap="1" wp14:anchorId="2C9B07ED" wp14:editId="17CAB71D">
                <wp:simplePos x="0" y="0"/>
                <wp:positionH relativeFrom="column">
                  <wp:posOffset>107950</wp:posOffset>
                </wp:positionH>
                <wp:positionV relativeFrom="paragraph">
                  <wp:posOffset>-6350</wp:posOffset>
                </wp:positionV>
                <wp:extent cx="647700" cy="647700"/>
                <wp:effectExtent l="0" t="0" r="0" b="0"/>
                <wp:wrapNone/>
                <wp:docPr id="1862352774" name="Freeform: Shape 11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47700" cy="647700"/>
                        </a:xfrm>
                        <a:custGeom>
                          <a:avLst/>
                          <a:gdLst>
                            <a:gd name="T0" fmla="*/ 476250 w 635000"/>
                            <a:gd name="T1" fmla="*/ 0 h 635000"/>
                            <a:gd name="T2" fmla="*/ 476250 w 635000"/>
                            <a:gd name="T3" fmla="*/ 158750 h 635000"/>
                            <a:gd name="T4" fmla="*/ 0 w 635000"/>
                            <a:gd name="T5" fmla="*/ 158750 h 635000"/>
                            <a:gd name="T6" fmla="*/ 0 w 635000"/>
                            <a:gd name="T7" fmla="*/ 476250 h 635000"/>
                            <a:gd name="T8" fmla="*/ 476250 w 635000"/>
                            <a:gd name="T9" fmla="*/ 476250 h 635000"/>
                            <a:gd name="T10" fmla="*/ 476250 w 635000"/>
                            <a:gd name="T11" fmla="*/ 635000 h 635000"/>
                            <a:gd name="T12" fmla="*/ 635000 w 635000"/>
                            <a:gd name="T13" fmla="*/ 317500 h 635000"/>
                            <a:gd name="T14" fmla="*/ 476250 w 635000"/>
                            <a:gd name="T15" fmla="*/ 0 h 635000"/>
                          </a:gdLst>
                          <a:ahLst/>
                          <a:cxnLst>
                            <a:cxn ang="0">
                              <a:pos x="T0" y="T1"/>
                            </a:cxn>
                            <a:cxn ang="0">
                              <a:pos x="T2" y="T3"/>
                            </a:cxn>
                            <a:cxn ang="0">
                              <a:pos x="T4" y="T5"/>
                            </a:cxn>
                            <a:cxn ang="0">
                              <a:pos x="T6" y="T7"/>
                            </a:cxn>
                            <a:cxn ang="0">
                              <a:pos x="T8" y="T9"/>
                            </a:cxn>
                            <a:cxn ang="0">
                              <a:pos x="T10" y="T11"/>
                            </a:cxn>
                            <a:cxn ang="0">
                              <a:pos x="T12" y="T13"/>
                            </a:cxn>
                            <a:cxn ang="0">
                              <a:pos x="T14" y="T15"/>
                            </a:cxn>
                          </a:cxnLst>
                          <a:rect l="0" t="0" r="r" b="b"/>
                          <a:pathLst>
                            <a:path w="635000" h="635000" extrusionOk="0">
                              <a:moveTo>
                                <a:pt x="476250" y="0"/>
                              </a:moveTo>
                              <a:lnTo>
                                <a:pt x="476250" y="158750"/>
                              </a:lnTo>
                              <a:lnTo>
                                <a:pt x="0" y="158750"/>
                              </a:lnTo>
                              <a:lnTo>
                                <a:pt x="0" y="476250"/>
                              </a:lnTo>
                              <a:lnTo>
                                <a:pt x="476250" y="476250"/>
                              </a:lnTo>
                              <a:lnTo>
                                <a:pt x="476250" y="635000"/>
                              </a:lnTo>
                              <a:lnTo>
                                <a:pt x="635000" y="317500"/>
                              </a:lnTo>
                              <a:lnTo>
                                <a:pt x="476250" y="0"/>
                              </a:lnTo>
                              <a:close/>
                            </a:path>
                          </a:pathLst>
                        </a:custGeom>
                        <a:solidFill>
                          <a:srgbClr val="FFFFFF"/>
                        </a:solidFill>
                        <a:ln w="12700">
                          <a:solidFill>
                            <a:srgbClr val="000000"/>
                          </a:solidFill>
                          <a:miter lim="8000"/>
                          <a:headEnd type="none" w="sm" len="sm"/>
                          <a:tailEnd type="none" w="sm" len="sm"/>
                        </a:ln>
                      </wps:spPr>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shape w14:anchorId="6DD3DD8C" id="Freeform: Shape 119" o:spid="_x0000_s1026" style="position:absolute;margin-left:8.5pt;margin-top:-.5pt;width:51pt;height:51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coordsize="635000,6350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" path="m476250,r,158750l,158750,,476250r476250,l476250,635000,635000,317500,476250,xe" strokeweight="1pt">
                <v:stroke startarrowwidth="narrow" startarrowlength="short" endarrowwidth="narrow" endarrowlength="short" miterlimit="5243f" joinstyle="miter"/>
                <v:path arrowok="t" o:extrusionok="f" o:connecttype="custom" o:connectlocs="485775,0;485775,161925;0,161925;0,485775;485775,485775;485775,647700;647700,323850;485775,0" o:connectangles="0,0,0,0,0,0,0,0"/>
              </v:shape>
            </w:pict>
          </mc:Fallback>
        </mc:AlternateContent>
      </w:r>
    </w:p>
    <w:p w14:paraId="286FF8AD" w14:textId="77777777" w:rsidR="00826870" w:rsidRPr="00820F7A" w:rsidRDefault="00826870">
      <w:pPr>
        <w:pStyle w:val="Normal1"/>
        <w:widowControl w:val="0"/>
        <w:pBdr>
          <w:top w:val="nil"/>
          <w:left w:val="nil"/>
          <w:bottom w:val="nil"/>
          <w:right w:val="nil"/>
          <w:between w:val="nil"/>
        </w:pBdr>
        <w:spacing w:line="276" w:lineRule="auto"/>
        <w:jc w:val="left"/>
        <w:rPr>
          <w:color w:val="000000"/>
          <w:lang w:val="en-GB"/>
        </w:rPr>
      </w:pPr>
    </w:p>
    <w:p w14:paraId="6AA3C223" w14:textId="77777777" w:rsidR="00826870" w:rsidRPr="00820F7A" w:rsidRDefault="00826870">
      <w:pPr>
        <w:pStyle w:val="Normal1"/>
        <w:widowControl w:val="0"/>
        <w:pBdr>
          <w:top w:val="nil"/>
          <w:left w:val="nil"/>
          <w:bottom w:val="nil"/>
          <w:right w:val="nil"/>
          <w:between w:val="nil"/>
        </w:pBdr>
        <w:spacing w:line="276" w:lineRule="auto"/>
        <w:jc w:val="left"/>
        <w:rPr>
          <w:color w:val="000000"/>
          <w:lang w:val="en-GB"/>
        </w:rPr>
      </w:pPr>
    </w:p>
    <w:p w14:paraId="275BB463" w14:textId="77777777" w:rsidR="00826870" w:rsidRPr="00820F7A" w:rsidRDefault="00826870">
      <w:pPr>
        <w:pStyle w:val="Normal1"/>
        <w:widowControl w:val="0"/>
        <w:pBdr>
          <w:top w:val="nil"/>
          <w:left w:val="nil"/>
          <w:bottom w:val="nil"/>
          <w:right w:val="nil"/>
          <w:between w:val="nil"/>
        </w:pBdr>
        <w:spacing w:line="276" w:lineRule="auto"/>
        <w:jc w:val="left"/>
        <w:rPr>
          <w:color w:val="000000"/>
          <w:lang w:val="en-GB"/>
        </w:rPr>
      </w:pPr>
    </w:p>
    <w:p w14:paraId="0423F8E9" w14:textId="77777777" w:rsidR="00826870" w:rsidRPr="00820F7A" w:rsidRDefault="00826870">
      <w:pPr>
        <w:pStyle w:val="Normal1"/>
        <w:widowControl w:val="0"/>
        <w:pBdr>
          <w:top w:val="nil"/>
          <w:left w:val="nil"/>
          <w:bottom w:val="nil"/>
          <w:right w:val="nil"/>
          <w:between w:val="nil"/>
        </w:pBdr>
        <w:jc w:val="left"/>
        <w:rPr>
          <w:color w:val="000000"/>
          <w:lang w:val="en-GB"/>
        </w:rPr>
      </w:pPr>
      <w:bookmarkStart w:id="0" w:name="_heading=h.k66fdlktexm" w:colFirst="0" w:colLast="0"/>
      <w:bookmarkEnd w:id="0"/>
    </w:p>
    <w:p w14:paraId="7310A5EF" w14:textId="77777777" w:rsidR="00826870" w:rsidRPr="00820F7A" w:rsidRDefault="00826870">
      <w:pPr>
        <w:pStyle w:val="Normal1"/>
        <w:pBdr>
          <w:top w:val="nil"/>
          <w:left w:val="nil"/>
          <w:bottom w:val="nil"/>
          <w:right w:val="nil"/>
          <w:between w:val="nil"/>
        </w:pBdr>
        <w:jc w:val="center"/>
        <w:rPr>
          <w:b/>
          <w:bCs/>
          <w:color w:val="000000"/>
          <w:sz w:val="32"/>
          <w:szCs w:val="32"/>
          <w:lang w:val="en-GB"/>
        </w:rPr>
      </w:pPr>
    </w:p>
    <w:p w14:paraId="60BAB0DE" w14:textId="77777777" w:rsidR="00826870" w:rsidRPr="00820F7A" w:rsidRDefault="00826870">
      <w:pPr>
        <w:pStyle w:val="Normal1"/>
        <w:pBdr>
          <w:top w:val="nil"/>
          <w:left w:val="nil"/>
          <w:bottom w:val="nil"/>
          <w:right w:val="nil"/>
          <w:between w:val="nil"/>
        </w:pBdr>
        <w:rPr>
          <w:b/>
          <w:bCs/>
          <w:color w:val="000000"/>
          <w:sz w:val="32"/>
          <w:szCs w:val="32"/>
          <w:lang w:val="en-GB"/>
        </w:rPr>
      </w:pPr>
    </w:p>
    <w:p w14:paraId="752015FA" w14:textId="77777777" w:rsidR="00826870" w:rsidRPr="00820F7A" w:rsidRDefault="00B21388">
      <w:pPr>
        <w:pStyle w:val="Normal1"/>
        <w:pBdr>
          <w:top w:val="nil"/>
          <w:left w:val="nil"/>
          <w:bottom w:val="nil"/>
          <w:right w:val="nil"/>
          <w:between w:val="nil"/>
        </w:pBdr>
        <w:jc w:val="center"/>
        <w:rPr>
          <w:b/>
          <w:bCs/>
          <w:color w:val="000000"/>
          <w:sz w:val="32"/>
          <w:szCs w:val="32"/>
          <w:lang w:val="en-GB"/>
        </w:rPr>
      </w:pPr>
      <w:r w:rsidRPr="00820F7A">
        <w:rPr>
          <w:b/>
          <w:bCs/>
          <w:noProof/>
          <w:color w:val="000000"/>
          <w:sz w:val="32"/>
          <w:szCs w:val="32"/>
          <w:lang w:val="en-GB"/>
        </w:rPr>
        <w:drawing>
          <wp:inline distT="0" distB="0" distL="0" distR="0" wp14:anchorId="7034FA75" wp14:editId="3B796007">
            <wp:extent cx="3486150" cy="1396932"/>
            <wp:effectExtent l="0" t="0" r="0" b="0"/>
            <wp:docPr id="12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8"/>
                    <a:srcRect/>
                    <a:stretch>
                      <a:fillRect/>
                    </a:stretch>
                  </pic:blipFill>
                  <pic:spPr>
                    <a:xfrm>
                      <a:off x="0" y="0"/>
                      <a:ext cx="3486150" cy="1396932"/>
                    </a:xfrm>
                    <a:prstGeom prst="rect">
                      <a:avLst/>
                    </a:prstGeom>
                    <a:ln/>
                  </pic:spPr>
                </pic:pic>
              </a:graphicData>
            </a:graphic>
          </wp:inline>
        </w:drawing>
      </w:r>
    </w:p>
    <w:p w14:paraId="6AF81626" w14:textId="77777777" w:rsidR="00826870" w:rsidRPr="00820F7A" w:rsidRDefault="00B21388">
      <w:pPr>
        <w:pStyle w:val="Normal1"/>
        <w:pBdr>
          <w:top w:val="nil"/>
          <w:left w:val="nil"/>
          <w:bottom w:val="nil"/>
          <w:right w:val="nil"/>
          <w:between w:val="nil"/>
        </w:pBdr>
        <w:jc w:val="center"/>
        <w:rPr>
          <w:b/>
          <w:bCs/>
          <w:color w:val="000000"/>
          <w:sz w:val="32"/>
          <w:szCs w:val="32"/>
          <w:lang w:val="en-GB"/>
        </w:rPr>
      </w:pPr>
      <w:r w:rsidRPr="00820F7A">
        <w:rPr>
          <w:b/>
          <w:bCs/>
          <w:color w:val="000000"/>
          <w:sz w:val="32"/>
          <w:szCs w:val="32"/>
          <w:lang w:val="en-GB"/>
        </w:rPr>
        <w:t>LCHS7004 PUBLIC HEALTH AND SOCIAL CARE DISSERTATION</w:t>
      </w:r>
    </w:p>
    <w:p w14:paraId="4A76933C" w14:textId="77777777" w:rsidR="00826870" w:rsidRPr="00820F7A" w:rsidRDefault="00826870">
      <w:pPr>
        <w:pStyle w:val="Normal1"/>
        <w:pBdr>
          <w:top w:val="nil"/>
          <w:left w:val="nil"/>
          <w:bottom w:val="nil"/>
          <w:right w:val="nil"/>
          <w:between w:val="nil"/>
        </w:pBdr>
        <w:jc w:val="center"/>
        <w:rPr>
          <w:b/>
          <w:bCs/>
          <w:color w:val="000000"/>
          <w:sz w:val="32"/>
          <w:szCs w:val="32"/>
          <w:lang w:val="en-GB"/>
        </w:rPr>
      </w:pPr>
    </w:p>
    <w:p w14:paraId="41FB4022" w14:textId="77777777" w:rsidR="00826870" w:rsidRPr="00820F7A" w:rsidRDefault="00B21388">
      <w:pPr>
        <w:pStyle w:val="Normal1"/>
        <w:pBdr>
          <w:top w:val="nil"/>
          <w:left w:val="nil"/>
          <w:bottom w:val="nil"/>
          <w:right w:val="nil"/>
          <w:between w:val="nil"/>
        </w:pBdr>
        <w:jc w:val="center"/>
        <w:rPr>
          <w:b/>
          <w:bCs/>
          <w:color w:val="000000"/>
          <w:sz w:val="32"/>
          <w:szCs w:val="32"/>
          <w:lang w:val="en-GB"/>
        </w:rPr>
      </w:pPr>
      <w:r w:rsidRPr="00820F7A">
        <w:rPr>
          <w:b/>
          <w:bCs/>
          <w:color w:val="000000"/>
          <w:sz w:val="32"/>
          <w:szCs w:val="32"/>
          <w:lang w:val="en-GB"/>
        </w:rPr>
        <w:t>EVALUATING THE ROLE OF CLINICAL LEADERSHIP IN MANAGING PATIENT SAFETY CULTURE IN UK HOSPITALS</w:t>
      </w:r>
    </w:p>
    <w:p w14:paraId="5ED8424C" w14:textId="77777777" w:rsidR="00826870" w:rsidRPr="00820F7A" w:rsidRDefault="00B21388">
      <w:pPr>
        <w:pStyle w:val="Normal1"/>
        <w:pBdr>
          <w:top w:val="nil"/>
          <w:left w:val="nil"/>
          <w:bottom w:val="nil"/>
          <w:right w:val="nil"/>
          <w:between w:val="nil"/>
        </w:pBdr>
        <w:jc w:val="center"/>
        <w:rPr>
          <w:b/>
          <w:bCs/>
          <w:color w:val="000000"/>
          <w:sz w:val="32"/>
          <w:szCs w:val="32"/>
          <w:lang w:val="en-GB"/>
        </w:rPr>
      </w:pPr>
      <w:r w:rsidRPr="00820F7A">
        <w:rPr>
          <w:b/>
          <w:bCs/>
          <w:color w:val="000000"/>
          <w:sz w:val="32"/>
          <w:szCs w:val="32"/>
          <w:lang w:val="en-GB"/>
        </w:rPr>
        <w:t xml:space="preserve">STUDENT NAME: </w:t>
      </w:r>
    </w:p>
    <w:p w14:paraId="297457AB" w14:textId="77777777" w:rsidR="00826870" w:rsidRPr="00820F7A" w:rsidRDefault="00B21388">
      <w:pPr>
        <w:pStyle w:val="Normal1"/>
        <w:pBdr>
          <w:top w:val="nil"/>
          <w:left w:val="nil"/>
          <w:bottom w:val="nil"/>
          <w:right w:val="nil"/>
          <w:between w:val="nil"/>
        </w:pBdr>
        <w:jc w:val="center"/>
        <w:rPr>
          <w:b/>
          <w:bCs/>
          <w:color w:val="000000"/>
          <w:sz w:val="32"/>
          <w:szCs w:val="32"/>
          <w:lang w:val="en-GB"/>
        </w:rPr>
      </w:pPr>
      <w:r w:rsidRPr="00820F7A">
        <w:rPr>
          <w:b/>
          <w:bCs/>
          <w:color w:val="000000"/>
          <w:sz w:val="32"/>
          <w:szCs w:val="32"/>
          <w:lang w:val="en-GB"/>
        </w:rPr>
        <w:t>STUDENT ID NUMBER:</w:t>
      </w:r>
    </w:p>
    <w:p w14:paraId="6F5410D6" w14:textId="77777777" w:rsidR="00826870" w:rsidRPr="00820F7A" w:rsidRDefault="00B21388">
      <w:pPr>
        <w:pStyle w:val="Normal1"/>
        <w:pBdr>
          <w:top w:val="nil"/>
          <w:left w:val="nil"/>
          <w:bottom w:val="nil"/>
          <w:right w:val="nil"/>
          <w:between w:val="nil"/>
        </w:pBdr>
        <w:jc w:val="center"/>
        <w:rPr>
          <w:b/>
          <w:bCs/>
          <w:color w:val="000000"/>
          <w:sz w:val="32"/>
          <w:szCs w:val="32"/>
          <w:lang w:val="en-GB"/>
        </w:rPr>
      </w:pPr>
      <w:r w:rsidRPr="00820F7A">
        <w:rPr>
          <w:b/>
          <w:bCs/>
          <w:color w:val="000000"/>
          <w:sz w:val="32"/>
          <w:szCs w:val="32"/>
          <w:lang w:val="en-GB"/>
        </w:rPr>
        <w:t>PROGRAMME: MSC PUBLIC HEALTH AND SOCIAL CARE IN PRACTICE</w:t>
      </w:r>
    </w:p>
    <w:p w14:paraId="0716DA28" w14:textId="77777777" w:rsidR="00826870" w:rsidRPr="00820F7A" w:rsidRDefault="00B21388">
      <w:pPr>
        <w:pStyle w:val="Normal1"/>
        <w:pBdr>
          <w:top w:val="nil"/>
          <w:left w:val="nil"/>
          <w:bottom w:val="nil"/>
          <w:right w:val="nil"/>
          <w:between w:val="nil"/>
        </w:pBdr>
        <w:jc w:val="center"/>
        <w:rPr>
          <w:b/>
          <w:bCs/>
          <w:color w:val="000000"/>
          <w:sz w:val="32"/>
          <w:szCs w:val="32"/>
          <w:lang w:val="en-GB"/>
        </w:rPr>
      </w:pPr>
      <w:r w:rsidRPr="00820F7A">
        <w:rPr>
          <w:b/>
          <w:bCs/>
          <w:color w:val="000000"/>
          <w:sz w:val="32"/>
          <w:szCs w:val="32"/>
          <w:lang w:val="en-GB"/>
        </w:rPr>
        <w:t>MODULE: PUBLIC HEALTH AND SOCIAL CARE DISSERTATION</w:t>
      </w:r>
    </w:p>
    <w:p w14:paraId="12BBE01D" w14:textId="77777777" w:rsidR="00826870" w:rsidRPr="00820F7A" w:rsidRDefault="00B21388">
      <w:pPr>
        <w:pStyle w:val="Normal1"/>
        <w:pBdr>
          <w:top w:val="nil"/>
          <w:left w:val="nil"/>
          <w:bottom w:val="nil"/>
          <w:right w:val="nil"/>
          <w:between w:val="nil"/>
        </w:pBdr>
        <w:jc w:val="center"/>
        <w:rPr>
          <w:b/>
          <w:bCs/>
          <w:color w:val="000000"/>
          <w:sz w:val="32"/>
          <w:szCs w:val="32"/>
          <w:lang w:val="en-GB"/>
        </w:rPr>
      </w:pPr>
      <w:r w:rsidRPr="00820F7A">
        <w:rPr>
          <w:b/>
          <w:bCs/>
          <w:color w:val="000000"/>
          <w:sz w:val="32"/>
          <w:szCs w:val="32"/>
          <w:lang w:val="en-GB"/>
        </w:rPr>
        <w:t>MODULE CODE: LCHS7004</w:t>
      </w:r>
    </w:p>
    <w:p w14:paraId="4C91791F" w14:textId="77777777" w:rsidR="00826870" w:rsidRPr="00820F7A" w:rsidRDefault="00826870">
      <w:pPr>
        <w:pStyle w:val="Normal1"/>
        <w:pBdr>
          <w:top w:val="nil"/>
          <w:left w:val="nil"/>
          <w:bottom w:val="nil"/>
          <w:right w:val="nil"/>
          <w:between w:val="nil"/>
        </w:pBdr>
        <w:rPr>
          <w:color w:val="000000"/>
          <w:lang w:val="en-GB"/>
        </w:rPr>
      </w:pPr>
    </w:p>
    <w:p w14:paraId="03E08A22" w14:textId="77777777" w:rsidR="00826870" w:rsidRPr="00820F7A" w:rsidRDefault="00B21388">
      <w:pPr>
        <w:pStyle w:val="Normal1"/>
        <w:pBdr>
          <w:top w:val="nil"/>
          <w:left w:val="nil"/>
          <w:bottom w:val="nil"/>
          <w:right w:val="nil"/>
          <w:between w:val="nil"/>
        </w:pBdr>
        <w:jc w:val="center"/>
        <w:rPr>
          <w:b/>
          <w:bCs/>
          <w:color w:val="000000"/>
          <w:lang w:val="en-GB"/>
        </w:rPr>
      </w:pPr>
      <w:bookmarkStart w:id="1" w:name="_heading=h.enoci62rk1f2" w:colFirst="0" w:colLast="0"/>
      <w:bookmarkEnd w:id="1"/>
      <w:r w:rsidRPr="00820F7A">
        <w:rPr>
          <w:lang w:val="en-GB"/>
        </w:rPr>
        <w:br w:type="page"/>
      </w:r>
      <w:r w:rsidRPr="00820F7A">
        <w:rPr>
          <w:b/>
          <w:bCs/>
          <w:color w:val="000000"/>
          <w:lang w:val="en-GB"/>
        </w:rPr>
        <w:t>Declaration</w:t>
      </w:r>
    </w:p>
    <w:p w14:paraId="581FF518" w14:textId="77777777" w:rsidR="00826870" w:rsidRPr="00820F7A" w:rsidRDefault="00B21388">
      <w:pPr>
        <w:pStyle w:val="Normal1"/>
        <w:pBdr>
          <w:top w:val="nil"/>
          <w:left w:val="nil"/>
          <w:bottom w:val="nil"/>
          <w:right w:val="nil"/>
          <w:between w:val="nil"/>
        </w:pBdr>
        <w:spacing w:before="200" w:after="200"/>
        <w:rPr>
          <w:color w:val="000000"/>
          <w:lang w:val="en-GB"/>
        </w:rPr>
      </w:pPr>
      <w:r w:rsidRPr="00820F7A">
        <w:rPr>
          <w:color w:val="000000"/>
          <w:lang w:val="en-GB"/>
        </w:rPr>
        <w:t>I declare that this entire research has been carried out by me with proper dignity. The information derived from different sources has been properly cited and the list of references is provided. No part of this assignment has been previously presented to the university. I have not used any AI tool for producing this assignment.</w:t>
      </w:r>
    </w:p>
    <w:p w14:paraId="5D0A8324" w14:textId="15633E4B" w:rsidR="00826870" w:rsidRPr="00820F7A" w:rsidRDefault="00B21388">
      <w:pPr>
        <w:pStyle w:val="Normal1"/>
        <w:pBdr>
          <w:top w:val="nil"/>
          <w:left w:val="nil"/>
          <w:bottom w:val="nil"/>
          <w:right w:val="nil"/>
          <w:between w:val="nil"/>
        </w:pBdr>
        <w:spacing w:before="200" w:after="200"/>
        <w:rPr>
          <w:color w:val="000000"/>
          <w:lang w:val="en-GB"/>
        </w:rPr>
      </w:pPr>
      <w:r w:rsidRPr="00820F7A">
        <w:rPr>
          <w:color w:val="000000"/>
          <w:lang w:val="en-GB"/>
        </w:rPr>
        <w:t xml:space="preserve"> Sign</w:t>
      </w:r>
      <w:r w:rsidR="00FB74BE">
        <w:rPr>
          <w:color w:val="000000"/>
          <w:lang w:val="en-GB"/>
        </w:rPr>
        <w:t xml:space="preserve">: </w:t>
      </w:r>
      <w:r w:rsidR="00705727">
        <w:rPr>
          <w:color w:val="000000"/>
          <w:lang w:val="en-GB"/>
        </w:rPr>
        <w:t>Mustak</w:t>
      </w:r>
      <w:r w:rsidR="00FB74BE">
        <w:rPr>
          <w:color w:val="000000"/>
          <w:lang w:val="en-GB"/>
        </w:rPr>
        <w:t>im</w:t>
      </w:r>
    </w:p>
    <w:p w14:paraId="7755EBB8" w14:textId="2BFDA157" w:rsidR="00826870" w:rsidRPr="00820F7A" w:rsidRDefault="00B21388">
      <w:pPr>
        <w:pStyle w:val="Normal1"/>
        <w:pBdr>
          <w:top w:val="nil"/>
          <w:left w:val="nil"/>
          <w:bottom w:val="nil"/>
          <w:right w:val="nil"/>
          <w:between w:val="nil"/>
        </w:pBdr>
        <w:spacing w:before="200" w:after="200"/>
        <w:rPr>
          <w:color w:val="000000"/>
          <w:lang w:val="en-GB"/>
        </w:rPr>
      </w:pPr>
      <w:r w:rsidRPr="00820F7A">
        <w:rPr>
          <w:color w:val="000000"/>
          <w:lang w:val="en-GB"/>
        </w:rPr>
        <w:t>Dat</w:t>
      </w:r>
      <w:r w:rsidR="00FB74BE">
        <w:rPr>
          <w:color w:val="000000"/>
          <w:lang w:val="en-GB"/>
        </w:rPr>
        <w:t>e: 02/</w:t>
      </w:r>
      <w:r w:rsidR="00062AED">
        <w:rPr>
          <w:color w:val="000000"/>
          <w:lang w:val="en-GB"/>
        </w:rPr>
        <w:t>02/2026</w:t>
      </w:r>
    </w:p>
    <w:p w14:paraId="3640E469" w14:textId="77777777" w:rsidR="00826870" w:rsidRPr="00820F7A" w:rsidRDefault="00B21388">
      <w:pPr>
        <w:pStyle w:val="Normal1"/>
        <w:pBdr>
          <w:top w:val="nil"/>
          <w:left w:val="nil"/>
          <w:bottom w:val="nil"/>
          <w:right w:val="nil"/>
          <w:between w:val="nil"/>
        </w:pBdr>
        <w:rPr>
          <w:b/>
          <w:bCs/>
          <w:color w:val="000000"/>
          <w:lang w:val="en-GB"/>
        </w:rPr>
      </w:pPr>
      <w:r w:rsidRPr="00820F7A">
        <w:rPr>
          <w:lang w:val="en-GB"/>
        </w:rPr>
        <w:br w:type="page"/>
      </w:r>
    </w:p>
    <w:p w14:paraId="72875FA4" w14:textId="77777777" w:rsidR="00826870" w:rsidRPr="00820F7A" w:rsidRDefault="00B21388">
      <w:pPr>
        <w:pStyle w:val="Normal1"/>
        <w:pBdr>
          <w:top w:val="nil"/>
          <w:left w:val="nil"/>
          <w:bottom w:val="nil"/>
          <w:right w:val="nil"/>
          <w:between w:val="nil"/>
        </w:pBdr>
        <w:spacing w:before="200" w:after="200"/>
        <w:jc w:val="center"/>
        <w:rPr>
          <w:b/>
          <w:bCs/>
          <w:color w:val="000000"/>
          <w:lang w:val="en-GB"/>
        </w:rPr>
      </w:pPr>
      <w:r w:rsidRPr="00820F7A">
        <w:rPr>
          <w:b/>
          <w:bCs/>
          <w:color w:val="000000"/>
          <w:lang w:val="en-GB"/>
        </w:rPr>
        <w:t>Acknowledgement</w:t>
      </w:r>
    </w:p>
    <w:p w14:paraId="4E6D0C11" w14:textId="77777777" w:rsidR="00826870" w:rsidRPr="00820F7A" w:rsidRDefault="00B21388">
      <w:pPr>
        <w:pStyle w:val="Normal1"/>
        <w:pBdr>
          <w:top w:val="nil"/>
          <w:left w:val="nil"/>
          <w:bottom w:val="nil"/>
          <w:right w:val="nil"/>
          <w:between w:val="nil"/>
        </w:pBdr>
        <w:spacing w:before="200" w:after="200"/>
        <w:rPr>
          <w:b/>
          <w:bCs/>
          <w:color w:val="000000"/>
          <w:lang w:val="en-GB"/>
        </w:rPr>
      </w:pPr>
      <w:r w:rsidRPr="00820F7A">
        <w:rPr>
          <w:color w:val="000000"/>
          <w:lang w:val="en-GB"/>
        </w:rPr>
        <w:t xml:space="preserve">I would like to express my gratitude towards my supervisor for guiding me in completing this research and providing me opportunity for growth. I would like to thank my class mates and family members for supporting me in completing this research. </w:t>
      </w:r>
    </w:p>
    <w:p w14:paraId="4874BAD2" w14:textId="77777777" w:rsidR="00826870" w:rsidRPr="00820F7A" w:rsidRDefault="00826870">
      <w:pPr>
        <w:pStyle w:val="Normal1"/>
        <w:pBdr>
          <w:top w:val="nil"/>
          <w:left w:val="nil"/>
          <w:bottom w:val="nil"/>
          <w:right w:val="nil"/>
          <w:between w:val="nil"/>
        </w:pBdr>
        <w:rPr>
          <w:b/>
          <w:bCs/>
          <w:color w:val="000000"/>
          <w:lang w:val="en-GB"/>
        </w:rPr>
      </w:pPr>
    </w:p>
    <w:p w14:paraId="412FF18A" w14:textId="77777777" w:rsidR="00826870" w:rsidRPr="00820F7A" w:rsidRDefault="00B21388">
      <w:pPr>
        <w:pStyle w:val="Normal1"/>
        <w:pBdr>
          <w:top w:val="nil"/>
          <w:left w:val="nil"/>
          <w:bottom w:val="nil"/>
          <w:right w:val="nil"/>
          <w:between w:val="nil"/>
        </w:pBdr>
        <w:rPr>
          <w:b/>
          <w:bCs/>
          <w:color w:val="000000"/>
          <w:lang w:val="en-GB"/>
        </w:rPr>
      </w:pPr>
      <w:bookmarkStart w:id="2" w:name="_heading=h.pbgib2ermq5s" w:colFirst="0" w:colLast="0"/>
      <w:bookmarkEnd w:id="2"/>
      <w:r w:rsidRPr="00820F7A">
        <w:rPr>
          <w:lang w:val="en-GB"/>
        </w:rPr>
        <w:br w:type="page"/>
      </w:r>
    </w:p>
    <w:p w14:paraId="67522082" w14:textId="4BD3FE69" w:rsidR="00826870" w:rsidRPr="00607040" w:rsidRDefault="00B21388">
      <w:pPr>
        <w:pStyle w:val="Normal1"/>
        <w:rPr>
          <w:color w:val="FF0000"/>
          <w:lang w:val="en-GB"/>
        </w:rPr>
      </w:pPr>
      <w:r w:rsidRPr="00820F7A">
        <w:rPr>
          <w:b/>
          <w:bCs/>
          <w:lang w:val="en-GB"/>
        </w:rPr>
        <w:t xml:space="preserve">Abstract: </w:t>
      </w:r>
      <w:r w:rsidRPr="00820F7A">
        <w:rPr>
          <w:b/>
          <w:bCs/>
          <w:color w:val="FF0000"/>
          <w:lang w:val="en-GB"/>
        </w:rPr>
        <w:t xml:space="preserve">Background: </w:t>
      </w:r>
      <w:r w:rsidRPr="00820F7A">
        <w:rPr>
          <w:color w:val="FF0000"/>
          <w:lang w:val="en-GB"/>
        </w:rPr>
        <w:t xml:space="preserve">The FY24 is stated to focus on the </w:t>
      </w:r>
      <w:r w:rsidR="00820F7A" w:rsidRPr="00820F7A">
        <w:rPr>
          <w:color w:val="FF0000"/>
          <w:lang w:val="en-GB"/>
        </w:rPr>
        <w:t xml:space="preserve">amount that </w:t>
      </w:r>
      <w:r w:rsidRPr="00820F7A">
        <w:rPr>
          <w:color w:val="FF0000"/>
          <w:lang w:val="en-GB"/>
        </w:rPr>
        <w:t xml:space="preserve">NHS paid </w:t>
      </w:r>
      <w:r w:rsidR="00820F7A" w:rsidRPr="00820F7A">
        <w:rPr>
          <w:color w:val="FF0000"/>
          <w:lang w:val="en-GB"/>
        </w:rPr>
        <w:t xml:space="preserve">and that is </w:t>
      </w:r>
      <w:r w:rsidRPr="00820F7A">
        <w:rPr>
          <w:color w:val="FF0000"/>
          <w:lang w:val="en-GB"/>
        </w:rPr>
        <w:t>£2.8 billion includ</w:t>
      </w:r>
      <w:r w:rsidR="00820F7A" w:rsidRPr="00820F7A">
        <w:rPr>
          <w:color w:val="FF0000"/>
          <w:lang w:val="en-GB"/>
        </w:rPr>
        <w:t>ing</w:t>
      </w:r>
      <w:r w:rsidRPr="00820F7A">
        <w:rPr>
          <w:color w:val="FF0000"/>
          <w:lang w:val="en-GB"/>
        </w:rPr>
        <w:t xml:space="preserve"> compensation and also legal costs due to the clinical negligence. The </w:t>
      </w:r>
      <w:r w:rsidR="006B65C3" w:rsidRPr="00820F7A">
        <w:rPr>
          <w:color w:val="FF0000"/>
          <w:lang w:val="en-GB"/>
        </w:rPr>
        <w:t>rise of the costs is</w:t>
      </w:r>
      <w:r w:rsidRPr="00820F7A">
        <w:rPr>
          <w:color w:val="FF0000"/>
          <w:lang w:val="en-GB"/>
        </w:rPr>
        <w:t xml:space="preserve"> not further confirmed in the settlement as these are further estimated for the cost of harm from the unsafe care. The financial liabilities are well aligned with the increasing burdensome with the provisions for the future liabilities within over 60%. </w:t>
      </w:r>
      <w:r w:rsidRPr="00820F7A">
        <w:rPr>
          <w:b/>
          <w:bCs/>
          <w:color w:val="FF0000"/>
          <w:lang w:val="en-GB"/>
        </w:rPr>
        <w:t xml:space="preserve">Methods: </w:t>
      </w:r>
      <w:r w:rsidRPr="00820F7A">
        <w:rPr>
          <w:color w:val="FF0000"/>
          <w:lang w:val="en-GB"/>
        </w:rPr>
        <w:t xml:space="preserve">The secondary data collection method is determined to focus on research through the usage of the authentic and the valuable databases. </w:t>
      </w:r>
      <w:r w:rsidR="00820F7A" w:rsidRPr="00820F7A">
        <w:rPr>
          <w:color w:val="FF0000"/>
          <w:lang w:val="en-GB"/>
        </w:rPr>
        <w:t xml:space="preserve">Search engine aggregators like </w:t>
      </w:r>
      <w:r w:rsidR="006B65C3" w:rsidRPr="00820F7A">
        <w:rPr>
          <w:color w:val="FF0000"/>
          <w:lang w:val="en-GB"/>
        </w:rPr>
        <w:t xml:space="preserve">Google Scholar, </w:t>
      </w:r>
      <w:r w:rsidR="00820F7A" w:rsidRPr="00820F7A">
        <w:rPr>
          <w:color w:val="FF0000"/>
          <w:lang w:val="en-GB"/>
        </w:rPr>
        <w:t xml:space="preserve">databases like </w:t>
      </w:r>
      <w:r w:rsidR="006B65C3" w:rsidRPr="00820F7A">
        <w:rPr>
          <w:color w:val="FF0000"/>
          <w:lang w:val="en-GB"/>
        </w:rPr>
        <w:t>PubMed and ProQuest have been used as database for gaining information from 17 articles</w:t>
      </w:r>
      <w:r w:rsidR="006B65C3" w:rsidRPr="00820F7A">
        <w:rPr>
          <w:color w:val="000000"/>
          <w:lang w:val="en-GB"/>
        </w:rPr>
        <w:t xml:space="preserve">. </w:t>
      </w:r>
      <w:r w:rsidRPr="00820F7A">
        <w:rPr>
          <w:color w:val="FF0000"/>
          <w:lang w:val="en-GB"/>
        </w:rPr>
        <w:t xml:space="preserve">The SLR is determined to apply the research based on the outcomes for the PICO frameworks for ensuring maximum transparency about the data sources for the selection process. </w:t>
      </w:r>
      <w:r w:rsidRPr="00820F7A">
        <w:rPr>
          <w:b/>
          <w:bCs/>
          <w:color w:val="FF0000"/>
          <w:lang w:val="en-GB"/>
        </w:rPr>
        <w:t xml:space="preserve">Results: </w:t>
      </w:r>
      <w:r w:rsidRPr="00820F7A">
        <w:rPr>
          <w:color w:val="FF0000"/>
          <w:lang w:val="en-GB"/>
        </w:rPr>
        <w:t xml:space="preserve">The key findings are determined to focus on the UK hospitals and the delegation necessitated as these are significant in complying with the regulatory frameworks for ensuring safety. The transformational leadership within the UK healthcare sector are considered for new efficiency frameworks for developing within collaborative workplace environments and to improve efficiency. </w:t>
      </w:r>
      <w:r w:rsidRPr="00820F7A">
        <w:rPr>
          <w:b/>
          <w:bCs/>
          <w:color w:val="FF0000"/>
          <w:lang w:val="en-GB"/>
        </w:rPr>
        <w:t>Conclusion</w:t>
      </w:r>
      <w:r w:rsidR="005534B7" w:rsidRPr="00820F7A">
        <w:rPr>
          <w:b/>
          <w:bCs/>
          <w:color w:val="FF0000"/>
          <w:lang w:val="en-GB"/>
        </w:rPr>
        <w:t>s</w:t>
      </w:r>
      <w:r w:rsidRPr="00820F7A">
        <w:rPr>
          <w:b/>
          <w:bCs/>
          <w:color w:val="FF0000"/>
          <w:lang w:val="en-GB"/>
        </w:rPr>
        <w:t xml:space="preserve">: </w:t>
      </w:r>
      <w:r w:rsidRPr="00820F7A">
        <w:rPr>
          <w:color w:val="FF0000"/>
          <w:lang w:val="en-GB"/>
        </w:rPr>
        <w:t xml:space="preserve">The research is </w:t>
      </w:r>
      <w:r w:rsidR="00820F7A" w:rsidRPr="00820F7A">
        <w:rPr>
          <w:color w:val="FF0000"/>
          <w:lang w:val="en-GB"/>
        </w:rPr>
        <w:t>summari</w:t>
      </w:r>
      <w:r w:rsidR="00820F7A">
        <w:rPr>
          <w:color w:val="FF0000"/>
          <w:lang w:val="en-GB"/>
        </w:rPr>
        <w:t>s</w:t>
      </w:r>
      <w:r w:rsidR="00820F7A" w:rsidRPr="00820F7A">
        <w:rPr>
          <w:color w:val="FF0000"/>
          <w:lang w:val="en-GB"/>
        </w:rPr>
        <w:t>ing</w:t>
      </w:r>
      <w:r w:rsidRPr="00820F7A">
        <w:rPr>
          <w:color w:val="FF0000"/>
          <w:lang w:val="en-GB"/>
        </w:rPr>
        <w:t xml:space="preserve"> the findings aligned with the SLR demonstrating the clinical leadership styles. The synthesis aligned within 12 peer-reviewed studies tends to confirm that the leadership </w:t>
      </w:r>
      <w:r w:rsidR="00820F7A" w:rsidRPr="00820F7A">
        <w:rPr>
          <w:color w:val="FF0000"/>
          <w:lang w:val="en-GB"/>
        </w:rPr>
        <w:t>behaviours</w:t>
      </w:r>
      <w:r w:rsidRPr="00820F7A">
        <w:rPr>
          <w:color w:val="FF0000"/>
          <w:lang w:val="en-GB"/>
        </w:rPr>
        <w:t xml:space="preserve"> are </w:t>
      </w:r>
      <w:r w:rsidR="00820F7A" w:rsidRPr="00820F7A">
        <w:rPr>
          <w:color w:val="FF0000"/>
          <w:lang w:val="en-GB"/>
        </w:rPr>
        <w:t>characteri</w:t>
      </w:r>
      <w:r w:rsidR="00820F7A">
        <w:rPr>
          <w:color w:val="FF0000"/>
          <w:lang w:val="en-GB"/>
        </w:rPr>
        <w:t>s</w:t>
      </w:r>
      <w:r w:rsidR="00820F7A" w:rsidRPr="00820F7A">
        <w:rPr>
          <w:color w:val="FF0000"/>
          <w:lang w:val="en-GB"/>
        </w:rPr>
        <w:t>ed</w:t>
      </w:r>
      <w:r w:rsidRPr="00820F7A">
        <w:rPr>
          <w:color w:val="FF0000"/>
          <w:lang w:val="en-GB"/>
        </w:rPr>
        <w:t xml:space="preserve"> based on the transparency. </w:t>
      </w:r>
      <w:r w:rsidRPr="00820F7A">
        <w:rPr>
          <w:b/>
          <w:bCs/>
          <w:color w:val="FF0000"/>
          <w:lang w:val="en-GB"/>
        </w:rPr>
        <w:t xml:space="preserve"> </w:t>
      </w:r>
      <w:r w:rsidR="00607040" w:rsidRPr="00607040">
        <w:rPr>
          <w:color w:val="FF0000"/>
          <w:lang w:val="en-GB"/>
        </w:rPr>
        <w:t>Thus, maintaining more transparency has become omnipotent to obtain better and enhanced clinical outcome.</w:t>
      </w:r>
    </w:p>
    <w:p w14:paraId="54B61236" w14:textId="77777777" w:rsidR="00826870" w:rsidRPr="00820F7A" w:rsidRDefault="00826870">
      <w:pPr>
        <w:pStyle w:val="Normal1"/>
        <w:pBdr>
          <w:top w:val="nil"/>
          <w:left w:val="nil"/>
          <w:bottom w:val="nil"/>
          <w:right w:val="nil"/>
          <w:between w:val="nil"/>
        </w:pBdr>
        <w:rPr>
          <w:color w:val="000000"/>
          <w:lang w:val="en-GB"/>
        </w:rPr>
      </w:pPr>
    </w:p>
    <w:p w14:paraId="67E58C8A" w14:textId="77777777" w:rsidR="00826870" w:rsidRPr="00820F7A" w:rsidRDefault="00B21388">
      <w:pPr>
        <w:pStyle w:val="Normal1"/>
        <w:pBdr>
          <w:top w:val="nil"/>
          <w:left w:val="nil"/>
          <w:bottom w:val="nil"/>
          <w:right w:val="nil"/>
          <w:between w:val="nil"/>
        </w:pBdr>
        <w:rPr>
          <w:b/>
          <w:bCs/>
          <w:color w:val="000000"/>
          <w:lang w:val="en-GB"/>
        </w:rPr>
      </w:pPr>
      <w:r w:rsidRPr="00820F7A">
        <w:rPr>
          <w:lang w:val="en-GB"/>
        </w:rPr>
        <w:br w:type="page"/>
      </w:r>
    </w:p>
    <w:p w14:paraId="6C4D6BB0" w14:textId="77777777" w:rsidR="00826870" w:rsidRPr="00820F7A" w:rsidRDefault="00B21388">
      <w:pPr>
        <w:pStyle w:val="Normal1"/>
        <w:keepNext/>
        <w:keepLines/>
        <w:pBdr>
          <w:top w:val="nil"/>
          <w:left w:val="nil"/>
          <w:bottom w:val="nil"/>
          <w:right w:val="nil"/>
          <w:between w:val="nil"/>
        </w:pBdr>
        <w:spacing w:before="480"/>
        <w:jc w:val="center"/>
        <w:rPr>
          <w:b/>
          <w:bCs/>
          <w:color w:val="000000"/>
          <w:sz w:val="28"/>
          <w:szCs w:val="28"/>
          <w:lang w:val="en-GB"/>
        </w:rPr>
      </w:pPr>
      <w:r w:rsidRPr="00820F7A">
        <w:rPr>
          <w:b/>
          <w:bCs/>
          <w:color w:val="000000"/>
          <w:sz w:val="24"/>
          <w:szCs w:val="24"/>
          <w:lang w:val="en-GB"/>
        </w:rPr>
        <w:t>Table of Contents</w:t>
      </w:r>
    </w:p>
    <w:sdt>
      <w:sdtPr>
        <w:rPr>
          <w:lang w:val="en-GB"/>
        </w:rPr>
        <w:id w:val="-295482508"/>
        <w:docPartObj>
          <w:docPartGallery w:val="Table of Contents"/>
          <w:docPartUnique/>
        </w:docPartObj>
      </w:sdtPr>
      <w:sdtEndPr/>
      <w:sdtContent>
        <w:p w14:paraId="75B63123" w14:textId="2C050CF4" w:rsidR="00CE2F07" w:rsidRDefault="00B35016">
          <w:pPr>
            <w:pStyle w:val="TOC1"/>
            <w:tabs>
              <w:tab w:val="right" w:pos="9350"/>
            </w:tabs>
            <w:rPr>
              <w:rFonts w:asciiTheme="minorHAnsi" w:eastAsiaTheme="minorEastAsia" w:hAnsiTheme="minorHAnsi" w:cstheme="minorBidi"/>
              <w:noProof/>
              <w:kern w:val="2"/>
              <w:sz w:val="24"/>
              <w:szCs w:val="24"/>
              <w:lang w:val="en-IN" w:eastAsia="en-IN"/>
              <w14:ligatures w14:val="standardContextual"/>
            </w:rPr>
          </w:pPr>
          <w:r w:rsidRPr="00820F7A">
            <w:rPr>
              <w:lang w:val="en-GB"/>
            </w:rPr>
            <w:fldChar w:fldCharType="begin"/>
          </w:r>
          <w:r w:rsidR="00B21388" w:rsidRPr="00820F7A">
            <w:rPr>
              <w:lang w:val="en-GB"/>
            </w:rPr>
            <w:instrText xml:space="preserve"> TOC \h \u \z \t "Heading 1,1,Heading 2,2,Heading 3,3,"</w:instrText>
          </w:r>
          <w:r w:rsidRPr="00820F7A">
            <w:rPr>
              <w:lang w:val="en-GB"/>
            </w:rPr>
            <w:fldChar w:fldCharType="separate"/>
          </w:r>
          <w:hyperlink w:anchor="_Toc220759465" w:history="1">
            <w:r w:rsidR="00CE2F07" w:rsidRPr="00DF5A72">
              <w:rPr>
                <w:rStyle w:val="Hyperlink"/>
                <w:noProof/>
                <w:lang w:val="en-GB"/>
              </w:rPr>
              <w:t>Chapter 1: Introduction</w:t>
            </w:r>
            <w:r w:rsidR="00CE2F07">
              <w:rPr>
                <w:noProof/>
                <w:webHidden/>
              </w:rPr>
              <w:tab/>
            </w:r>
            <w:r w:rsidR="00CE2F07">
              <w:rPr>
                <w:noProof/>
                <w:webHidden/>
              </w:rPr>
              <w:fldChar w:fldCharType="begin"/>
            </w:r>
            <w:r w:rsidR="00CE2F07">
              <w:rPr>
                <w:noProof/>
                <w:webHidden/>
              </w:rPr>
              <w:instrText xml:space="preserve"> PAGEREF _Toc220759465 \h </w:instrText>
            </w:r>
            <w:r w:rsidR="00CE2F07">
              <w:rPr>
                <w:noProof/>
                <w:webHidden/>
              </w:rPr>
            </w:r>
            <w:r w:rsidR="00CE2F07">
              <w:rPr>
                <w:noProof/>
                <w:webHidden/>
              </w:rPr>
              <w:fldChar w:fldCharType="separate"/>
            </w:r>
            <w:r w:rsidR="00CE2F07">
              <w:rPr>
                <w:noProof/>
                <w:webHidden/>
              </w:rPr>
              <w:t>11</w:t>
            </w:r>
            <w:r w:rsidR="00CE2F07">
              <w:rPr>
                <w:noProof/>
                <w:webHidden/>
              </w:rPr>
              <w:fldChar w:fldCharType="end"/>
            </w:r>
          </w:hyperlink>
        </w:p>
        <w:p w14:paraId="69880492" w14:textId="0F22B40D" w:rsidR="00CE2F07" w:rsidRDefault="00CE2F07">
          <w:pPr>
            <w:pStyle w:val="TOC2"/>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466" w:history="1">
            <w:r w:rsidRPr="00DF5A72">
              <w:rPr>
                <w:rStyle w:val="Hyperlink"/>
                <w:noProof/>
                <w:lang w:val="en-GB"/>
              </w:rPr>
              <w:t>1.1 Introduction</w:t>
            </w:r>
            <w:r>
              <w:rPr>
                <w:noProof/>
                <w:webHidden/>
              </w:rPr>
              <w:tab/>
            </w:r>
            <w:r>
              <w:rPr>
                <w:noProof/>
                <w:webHidden/>
              </w:rPr>
              <w:fldChar w:fldCharType="begin"/>
            </w:r>
            <w:r>
              <w:rPr>
                <w:noProof/>
                <w:webHidden/>
              </w:rPr>
              <w:instrText xml:space="preserve"> PAGEREF _Toc220759466 \h </w:instrText>
            </w:r>
            <w:r>
              <w:rPr>
                <w:noProof/>
                <w:webHidden/>
              </w:rPr>
            </w:r>
            <w:r>
              <w:rPr>
                <w:noProof/>
                <w:webHidden/>
              </w:rPr>
              <w:fldChar w:fldCharType="separate"/>
            </w:r>
            <w:r>
              <w:rPr>
                <w:noProof/>
                <w:webHidden/>
              </w:rPr>
              <w:t>11</w:t>
            </w:r>
            <w:r>
              <w:rPr>
                <w:noProof/>
                <w:webHidden/>
              </w:rPr>
              <w:fldChar w:fldCharType="end"/>
            </w:r>
          </w:hyperlink>
        </w:p>
        <w:p w14:paraId="222454CB" w14:textId="678A6B14" w:rsidR="00CE2F07" w:rsidRDefault="00CE2F07">
          <w:pPr>
            <w:pStyle w:val="TOC2"/>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467" w:history="1">
            <w:r w:rsidRPr="00DF5A72">
              <w:rPr>
                <w:rStyle w:val="Hyperlink"/>
                <w:noProof/>
                <w:lang w:val="en-GB"/>
              </w:rPr>
              <w:t>1.2 Research Background</w:t>
            </w:r>
            <w:r>
              <w:rPr>
                <w:noProof/>
                <w:webHidden/>
              </w:rPr>
              <w:tab/>
            </w:r>
            <w:r>
              <w:rPr>
                <w:noProof/>
                <w:webHidden/>
              </w:rPr>
              <w:fldChar w:fldCharType="begin"/>
            </w:r>
            <w:r>
              <w:rPr>
                <w:noProof/>
                <w:webHidden/>
              </w:rPr>
              <w:instrText xml:space="preserve"> PAGEREF _Toc220759467 \h </w:instrText>
            </w:r>
            <w:r>
              <w:rPr>
                <w:noProof/>
                <w:webHidden/>
              </w:rPr>
            </w:r>
            <w:r>
              <w:rPr>
                <w:noProof/>
                <w:webHidden/>
              </w:rPr>
              <w:fldChar w:fldCharType="separate"/>
            </w:r>
            <w:r>
              <w:rPr>
                <w:noProof/>
                <w:webHidden/>
              </w:rPr>
              <w:t>13</w:t>
            </w:r>
            <w:r>
              <w:rPr>
                <w:noProof/>
                <w:webHidden/>
              </w:rPr>
              <w:fldChar w:fldCharType="end"/>
            </w:r>
          </w:hyperlink>
        </w:p>
        <w:p w14:paraId="66D5BDF8" w14:textId="1F9288FF" w:rsidR="00CE2F07" w:rsidRDefault="00CE2F07">
          <w:pPr>
            <w:pStyle w:val="TOC2"/>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468" w:history="1">
            <w:r w:rsidRPr="00DF5A72">
              <w:rPr>
                <w:rStyle w:val="Hyperlink"/>
                <w:noProof/>
                <w:lang w:val="en-GB"/>
              </w:rPr>
              <w:t>1.3 Problem statement</w:t>
            </w:r>
            <w:r>
              <w:rPr>
                <w:noProof/>
                <w:webHidden/>
              </w:rPr>
              <w:tab/>
            </w:r>
            <w:r>
              <w:rPr>
                <w:noProof/>
                <w:webHidden/>
              </w:rPr>
              <w:fldChar w:fldCharType="begin"/>
            </w:r>
            <w:r>
              <w:rPr>
                <w:noProof/>
                <w:webHidden/>
              </w:rPr>
              <w:instrText xml:space="preserve"> PAGEREF _Toc220759468 \h </w:instrText>
            </w:r>
            <w:r>
              <w:rPr>
                <w:noProof/>
                <w:webHidden/>
              </w:rPr>
            </w:r>
            <w:r>
              <w:rPr>
                <w:noProof/>
                <w:webHidden/>
              </w:rPr>
              <w:fldChar w:fldCharType="separate"/>
            </w:r>
            <w:r>
              <w:rPr>
                <w:noProof/>
                <w:webHidden/>
              </w:rPr>
              <w:t>14</w:t>
            </w:r>
            <w:r>
              <w:rPr>
                <w:noProof/>
                <w:webHidden/>
              </w:rPr>
              <w:fldChar w:fldCharType="end"/>
            </w:r>
          </w:hyperlink>
        </w:p>
        <w:p w14:paraId="30E5C536" w14:textId="7BF4B1E0" w:rsidR="00CE2F07" w:rsidRDefault="00CE2F07">
          <w:pPr>
            <w:pStyle w:val="TOC2"/>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469" w:history="1">
            <w:r w:rsidRPr="00DF5A72">
              <w:rPr>
                <w:rStyle w:val="Hyperlink"/>
                <w:noProof/>
                <w:lang w:val="en-GB"/>
              </w:rPr>
              <w:t>1.4 Research aims, objectives and research questions</w:t>
            </w:r>
            <w:r>
              <w:rPr>
                <w:noProof/>
                <w:webHidden/>
              </w:rPr>
              <w:tab/>
            </w:r>
            <w:r>
              <w:rPr>
                <w:noProof/>
                <w:webHidden/>
              </w:rPr>
              <w:fldChar w:fldCharType="begin"/>
            </w:r>
            <w:r>
              <w:rPr>
                <w:noProof/>
                <w:webHidden/>
              </w:rPr>
              <w:instrText xml:space="preserve"> PAGEREF _Toc220759469 \h </w:instrText>
            </w:r>
            <w:r>
              <w:rPr>
                <w:noProof/>
                <w:webHidden/>
              </w:rPr>
            </w:r>
            <w:r>
              <w:rPr>
                <w:noProof/>
                <w:webHidden/>
              </w:rPr>
              <w:fldChar w:fldCharType="separate"/>
            </w:r>
            <w:r>
              <w:rPr>
                <w:noProof/>
                <w:webHidden/>
              </w:rPr>
              <w:t>14</w:t>
            </w:r>
            <w:r>
              <w:rPr>
                <w:noProof/>
                <w:webHidden/>
              </w:rPr>
              <w:fldChar w:fldCharType="end"/>
            </w:r>
          </w:hyperlink>
        </w:p>
        <w:p w14:paraId="79CB7497" w14:textId="6DB021E4" w:rsidR="00CE2F07" w:rsidRDefault="00CE2F07">
          <w:pPr>
            <w:pStyle w:val="TOC3"/>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470" w:history="1">
            <w:r w:rsidRPr="00DF5A72">
              <w:rPr>
                <w:rStyle w:val="Hyperlink"/>
                <w:noProof/>
                <w:lang w:val="en-GB"/>
              </w:rPr>
              <w:t>Questions</w:t>
            </w:r>
            <w:r>
              <w:rPr>
                <w:noProof/>
                <w:webHidden/>
              </w:rPr>
              <w:tab/>
            </w:r>
            <w:r>
              <w:rPr>
                <w:noProof/>
                <w:webHidden/>
              </w:rPr>
              <w:fldChar w:fldCharType="begin"/>
            </w:r>
            <w:r>
              <w:rPr>
                <w:noProof/>
                <w:webHidden/>
              </w:rPr>
              <w:instrText xml:space="preserve"> PAGEREF _Toc220759470 \h </w:instrText>
            </w:r>
            <w:r>
              <w:rPr>
                <w:noProof/>
                <w:webHidden/>
              </w:rPr>
            </w:r>
            <w:r>
              <w:rPr>
                <w:noProof/>
                <w:webHidden/>
              </w:rPr>
              <w:fldChar w:fldCharType="separate"/>
            </w:r>
            <w:r>
              <w:rPr>
                <w:noProof/>
                <w:webHidden/>
              </w:rPr>
              <w:t>14</w:t>
            </w:r>
            <w:r>
              <w:rPr>
                <w:noProof/>
                <w:webHidden/>
              </w:rPr>
              <w:fldChar w:fldCharType="end"/>
            </w:r>
          </w:hyperlink>
        </w:p>
        <w:p w14:paraId="0D44CC1B" w14:textId="3D6B4401" w:rsidR="00CE2F07" w:rsidRDefault="00CE2F07">
          <w:pPr>
            <w:pStyle w:val="TOC3"/>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471" w:history="1">
            <w:r w:rsidRPr="00DF5A72">
              <w:rPr>
                <w:rStyle w:val="Hyperlink"/>
                <w:noProof/>
                <w:lang w:val="en-GB"/>
              </w:rPr>
              <w:t>Research Aims &amp;Objectives</w:t>
            </w:r>
            <w:r>
              <w:rPr>
                <w:noProof/>
                <w:webHidden/>
              </w:rPr>
              <w:tab/>
            </w:r>
            <w:r>
              <w:rPr>
                <w:noProof/>
                <w:webHidden/>
              </w:rPr>
              <w:fldChar w:fldCharType="begin"/>
            </w:r>
            <w:r>
              <w:rPr>
                <w:noProof/>
                <w:webHidden/>
              </w:rPr>
              <w:instrText xml:space="preserve"> PAGEREF _Toc220759471 \h </w:instrText>
            </w:r>
            <w:r>
              <w:rPr>
                <w:noProof/>
                <w:webHidden/>
              </w:rPr>
            </w:r>
            <w:r>
              <w:rPr>
                <w:noProof/>
                <w:webHidden/>
              </w:rPr>
              <w:fldChar w:fldCharType="separate"/>
            </w:r>
            <w:r>
              <w:rPr>
                <w:noProof/>
                <w:webHidden/>
              </w:rPr>
              <w:t>14</w:t>
            </w:r>
            <w:r>
              <w:rPr>
                <w:noProof/>
                <w:webHidden/>
              </w:rPr>
              <w:fldChar w:fldCharType="end"/>
            </w:r>
          </w:hyperlink>
        </w:p>
        <w:p w14:paraId="2356D60B" w14:textId="041196DE" w:rsidR="00CE2F07" w:rsidRDefault="00CE2F07">
          <w:pPr>
            <w:pStyle w:val="TOC2"/>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472" w:history="1">
            <w:r w:rsidRPr="00DF5A72">
              <w:rPr>
                <w:rStyle w:val="Hyperlink"/>
                <w:noProof/>
                <w:lang w:val="en-GB"/>
              </w:rPr>
              <w:t>1.5 Research Significance and rationale</w:t>
            </w:r>
            <w:r>
              <w:rPr>
                <w:noProof/>
                <w:webHidden/>
              </w:rPr>
              <w:tab/>
            </w:r>
            <w:r>
              <w:rPr>
                <w:noProof/>
                <w:webHidden/>
              </w:rPr>
              <w:fldChar w:fldCharType="begin"/>
            </w:r>
            <w:r>
              <w:rPr>
                <w:noProof/>
                <w:webHidden/>
              </w:rPr>
              <w:instrText xml:space="preserve"> PAGEREF _Toc220759472 \h </w:instrText>
            </w:r>
            <w:r>
              <w:rPr>
                <w:noProof/>
                <w:webHidden/>
              </w:rPr>
            </w:r>
            <w:r>
              <w:rPr>
                <w:noProof/>
                <w:webHidden/>
              </w:rPr>
              <w:fldChar w:fldCharType="separate"/>
            </w:r>
            <w:r>
              <w:rPr>
                <w:noProof/>
                <w:webHidden/>
              </w:rPr>
              <w:t>15</w:t>
            </w:r>
            <w:r>
              <w:rPr>
                <w:noProof/>
                <w:webHidden/>
              </w:rPr>
              <w:fldChar w:fldCharType="end"/>
            </w:r>
          </w:hyperlink>
        </w:p>
        <w:p w14:paraId="555E1A3E" w14:textId="64BCDFD2" w:rsidR="00CE2F07" w:rsidRDefault="00CE2F07">
          <w:pPr>
            <w:pStyle w:val="TOC2"/>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473" w:history="1">
            <w:r w:rsidRPr="00DF5A72">
              <w:rPr>
                <w:rStyle w:val="Hyperlink"/>
                <w:noProof/>
                <w:lang w:val="en-GB"/>
              </w:rPr>
              <w:t>1.6 Chapter summary</w:t>
            </w:r>
            <w:r>
              <w:rPr>
                <w:noProof/>
                <w:webHidden/>
              </w:rPr>
              <w:tab/>
            </w:r>
            <w:r>
              <w:rPr>
                <w:noProof/>
                <w:webHidden/>
              </w:rPr>
              <w:fldChar w:fldCharType="begin"/>
            </w:r>
            <w:r>
              <w:rPr>
                <w:noProof/>
                <w:webHidden/>
              </w:rPr>
              <w:instrText xml:space="preserve"> PAGEREF _Toc220759473 \h </w:instrText>
            </w:r>
            <w:r>
              <w:rPr>
                <w:noProof/>
                <w:webHidden/>
              </w:rPr>
            </w:r>
            <w:r>
              <w:rPr>
                <w:noProof/>
                <w:webHidden/>
              </w:rPr>
              <w:fldChar w:fldCharType="separate"/>
            </w:r>
            <w:r>
              <w:rPr>
                <w:noProof/>
                <w:webHidden/>
              </w:rPr>
              <w:t>16</w:t>
            </w:r>
            <w:r>
              <w:rPr>
                <w:noProof/>
                <w:webHidden/>
              </w:rPr>
              <w:fldChar w:fldCharType="end"/>
            </w:r>
          </w:hyperlink>
        </w:p>
        <w:p w14:paraId="1621A9D9" w14:textId="7C929320" w:rsidR="00CE2F07" w:rsidRDefault="00CE2F07">
          <w:pPr>
            <w:pStyle w:val="TOC1"/>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474" w:history="1">
            <w:r w:rsidRPr="00DF5A72">
              <w:rPr>
                <w:rStyle w:val="Hyperlink"/>
                <w:noProof/>
                <w:lang w:val="en-GB"/>
              </w:rPr>
              <w:t>Chapter 2: Literature Review</w:t>
            </w:r>
            <w:r>
              <w:rPr>
                <w:noProof/>
                <w:webHidden/>
              </w:rPr>
              <w:tab/>
            </w:r>
            <w:r>
              <w:rPr>
                <w:noProof/>
                <w:webHidden/>
              </w:rPr>
              <w:fldChar w:fldCharType="begin"/>
            </w:r>
            <w:r>
              <w:rPr>
                <w:noProof/>
                <w:webHidden/>
              </w:rPr>
              <w:instrText xml:space="preserve"> PAGEREF _Toc220759474 \h </w:instrText>
            </w:r>
            <w:r>
              <w:rPr>
                <w:noProof/>
                <w:webHidden/>
              </w:rPr>
            </w:r>
            <w:r>
              <w:rPr>
                <w:noProof/>
                <w:webHidden/>
              </w:rPr>
              <w:fldChar w:fldCharType="separate"/>
            </w:r>
            <w:r>
              <w:rPr>
                <w:noProof/>
                <w:webHidden/>
              </w:rPr>
              <w:t>18</w:t>
            </w:r>
            <w:r>
              <w:rPr>
                <w:noProof/>
                <w:webHidden/>
              </w:rPr>
              <w:fldChar w:fldCharType="end"/>
            </w:r>
          </w:hyperlink>
        </w:p>
        <w:p w14:paraId="247D9DD6" w14:textId="467EAAE7" w:rsidR="00CE2F07" w:rsidRDefault="00CE2F07">
          <w:pPr>
            <w:pStyle w:val="TOC2"/>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475" w:history="1">
            <w:r w:rsidRPr="00DF5A72">
              <w:rPr>
                <w:rStyle w:val="Hyperlink"/>
                <w:noProof/>
                <w:lang w:val="en-GB"/>
              </w:rPr>
              <w:t>2.1 Chapter introduction</w:t>
            </w:r>
            <w:r>
              <w:rPr>
                <w:noProof/>
                <w:webHidden/>
              </w:rPr>
              <w:tab/>
            </w:r>
            <w:r>
              <w:rPr>
                <w:noProof/>
                <w:webHidden/>
              </w:rPr>
              <w:fldChar w:fldCharType="begin"/>
            </w:r>
            <w:r>
              <w:rPr>
                <w:noProof/>
                <w:webHidden/>
              </w:rPr>
              <w:instrText xml:space="preserve"> PAGEREF _Toc220759475 \h </w:instrText>
            </w:r>
            <w:r>
              <w:rPr>
                <w:noProof/>
                <w:webHidden/>
              </w:rPr>
            </w:r>
            <w:r>
              <w:rPr>
                <w:noProof/>
                <w:webHidden/>
              </w:rPr>
              <w:fldChar w:fldCharType="separate"/>
            </w:r>
            <w:r>
              <w:rPr>
                <w:noProof/>
                <w:webHidden/>
              </w:rPr>
              <w:t>18</w:t>
            </w:r>
            <w:r>
              <w:rPr>
                <w:noProof/>
                <w:webHidden/>
              </w:rPr>
              <w:fldChar w:fldCharType="end"/>
            </w:r>
          </w:hyperlink>
        </w:p>
        <w:p w14:paraId="021CD078" w14:textId="3CC219B9" w:rsidR="00CE2F07" w:rsidRDefault="00CE2F07">
          <w:pPr>
            <w:pStyle w:val="TOC2"/>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476" w:history="1">
            <w:r w:rsidRPr="00DF5A72">
              <w:rPr>
                <w:rStyle w:val="Hyperlink"/>
                <w:noProof/>
                <w:lang w:val="en-GB"/>
              </w:rPr>
              <w:t>2.2 Determining the characteristics of effective clinical leadership in fostering the patient safety</w:t>
            </w:r>
            <w:r>
              <w:rPr>
                <w:noProof/>
                <w:webHidden/>
              </w:rPr>
              <w:tab/>
            </w:r>
            <w:r>
              <w:rPr>
                <w:noProof/>
                <w:webHidden/>
              </w:rPr>
              <w:fldChar w:fldCharType="begin"/>
            </w:r>
            <w:r>
              <w:rPr>
                <w:noProof/>
                <w:webHidden/>
              </w:rPr>
              <w:instrText xml:space="preserve"> PAGEREF _Toc220759476 \h </w:instrText>
            </w:r>
            <w:r>
              <w:rPr>
                <w:noProof/>
                <w:webHidden/>
              </w:rPr>
            </w:r>
            <w:r>
              <w:rPr>
                <w:noProof/>
                <w:webHidden/>
              </w:rPr>
              <w:fldChar w:fldCharType="separate"/>
            </w:r>
            <w:r>
              <w:rPr>
                <w:noProof/>
                <w:webHidden/>
              </w:rPr>
              <w:t>18</w:t>
            </w:r>
            <w:r>
              <w:rPr>
                <w:noProof/>
                <w:webHidden/>
              </w:rPr>
              <w:fldChar w:fldCharType="end"/>
            </w:r>
          </w:hyperlink>
        </w:p>
        <w:p w14:paraId="26764823" w14:textId="25CF0DAA" w:rsidR="00CE2F07" w:rsidRDefault="00CE2F07">
          <w:pPr>
            <w:pStyle w:val="TOC2"/>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477" w:history="1">
            <w:r w:rsidRPr="00DF5A72">
              <w:rPr>
                <w:rStyle w:val="Hyperlink"/>
                <w:noProof/>
                <w:lang w:val="en-GB"/>
              </w:rPr>
              <w:t>2.3 Illustrating the impact of Leadership style for shaping staff perception of patient safety within healthcare system</w:t>
            </w:r>
            <w:r>
              <w:rPr>
                <w:noProof/>
                <w:webHidden/>
              </w:rPr>
              <w:tab/>
            </w:r>
            <w:r>
              <w:rPr>
                <w:noProof/>
                <w:webHidden/>
              </w:rPr>
              <w:fldChar w:fldCharType="begin"/>
            </w:r>
            <w:r>
              <w:rPr>
                <w:noProof/>
                <w:webHidden/>
              </w:rPr>
              <w:instrText xml:space="preserve"> PAGEREF _Toc220759477 \h </w:instrText>
            </w:r>
            <w:r>
              <w:rPr>
                <w:noProof/>
                <w:webHidden/>
              </w:rPr>
            </w:r>
            <w:r>
              <w:rPr>
                <w:noProof/>
                <w:webHidden/>
              </w:rPr>
              <w:fldChar w:fldCharType="separate"/>
            </w:r>
            <w:r>
              <w:rPr>
                <w:noProof/>
                <w:webHidden/>
              </w:rPr>
              <w:t>21</w:t>
            </w:r>
            <w:r>
              <w:rPr>
                <w:noProof/>
                <w:webHidden/>
              </w:rPr>
              <w:fldChar w:fldCharType="end"/>
            </w:r>
          </w:hyperlink>
        </w:p>
        <w:p w14:paraId="22BA3791" w14:textId="63AF47BD" w:rsidR="00CE2F07" w:rsidRDefault="00CE2F07">
          <w:pPr>
            <w:pStyle w:val="TOC2"/>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478" w:history="1">
            <w:r w:rsidRPr="00DF5A72">
              <w:rPr>
                <w:rStyle w:val="Hyperlink"/>
                <w:noProof/>
                <w:lang w:val="en-GB"/>
              </w:rPr>
              <w:t>2.4 Evaluating the key barriers in building a strong safety culture across healthcare system</w:t>
            </w:r>
            <w:r>
              <w:rPr>
                <w:noProof/>
                <w:webHidden/>
              </w:rPr>
              <w:tab/>
            </w:r>
            <w:r>
              <w:rPr>
                <w:noProof/>
                <w:webHidden/>
              </w:rPr>
              <w:fldChar w:fldCharType="begin"/>
            </w:r>
            <w:r>
              <w:rPr>
                <w:noProof/>
                <w:webHidden/>
              </w:rPr>
              <w:instrText xml:space="preserve"> PAGEREF _Toc220759478 \h </w:instrText>
            </w:r>
            <w:r>
              <w:rPr>
                <w:noProof/>
                <w:webHidden/>
              </w:rPr>
            </w:r>
            <w:r>
              <w:rPr>
                <w:noProof/>
                <w:webHidden/>
              </w:rPr>
              <w:fldChar w:fldCharType="separate"/>
            </w:r>
            <w:r>
              <w:rPr>
                <w:noProof/>
                <w:webHidden/>
              </w:rPr>
              <w:t>23</w:t>
            </w:r>
            <w:r>
              <w:rPr>
                <w:noProof/>
                <w:webHidden/>
              </w:rPr>
              <w:fldChar w:fldCharType="end"/>
            </w:r>
          </w:hyperlink>
        </w:p>
        <w:p w14:paraId="5CF27FC7" w14:textId="40103CD6" w:rsidR="00CE2F07" w:rsidRDefault="00CE2F07">
          <w:pPr>
            <w:pStyle w:val="TOC2"/>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479" w:history="1">
            <w:r w:rsidRPr="00DF5A72">
              <w:rPr>
                <w:rStyle w:val="Hyperlink"/>
                <w:noProof/>
                <w:lang w:val="en-GB"/>
              </w:rPr>
              <w:t>2.5 Recommending mitigation strategies for managing clinical leadership in managing patient safety culture across the UK’s hospitals</w:t>
            </w:r>
            <w:r>
              <w:rPr>
                <w:noProof/>
                <w:webHidden/>
              </w:rPr>
              <w:tab/>
            </w:r>
            <w:r>
              <w:rPr>
                <w:noProof/>
                <w:webHidden/>
              </w:rPr>
              <w:fldChar w:fldCharType="begin"/>
            </w:r>
            <w:r>
              <w:rPr>
                <w:noProof/>
                <w:webHidden/>
              </w:rPr>
              <w:instrText xml:space="preserve"> PAGEREF _Toc220759479 \h </w:instrText>
            </w:r>
            <w:r>
              <w:rPr>
                <w:noProof/>
                <w:webHidden/>
              </w:rPr>
            </w:r>
            <w:r>
              <w:rPr>
                <w:noProof/>
                <w:webHidden/>
              </w:rPr>
              <w:fldChar w:fldCharType="separate"/>
            </w:r>
            <w:r>
              <w:rPr>
                <w:noProof/>
                <w:webHidden/>
              </w:rPr>
              <w:t>26</w:t>
            </w:r>
            <w:r>
              <w:rPr>
                <w:noProof/>
                <w:webHidden/>
              </w:rPr>
              <w:fldChar w:fldCharType="end"/>
            </w:r>
          </w:hyperlink>
        </w:p>
        <w:p w14:paraId="5E1CE7C8" w14:textId="339812D6" w:rsidR="00CE2F07" w:rsidRDefault="00CE2F07">
          <w:pPr>
            <w:pStyle w:val="TOC2"/>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480" w:history="1">
            <w:r w:rsidRPr="00DF5A72">
              <w:rPr>
                <w:rStyle w:val="Hyperlink"/>
                <w:noProof/>
                <w:lang w:val="en-GB"/>
              </w:rPr>
              <w:t>2.6 Theoretical perspective</w:t>
            </w:r>
            <w:r>
              <w:rPr>
                <w:noProof/>
                <w:webHidden/>
              </w:rPr>
              <w:tab/>
            </w:r>
            <w:r>
              <w:rPr>
                <w:noProof/>
                <w:webHidden/>
              </w:rPr>
              <w:fldChar w:fldCharType="begin"/>
            </w:r>
            <w:r>
              <w:rPr>
                <w:noProof/>
                <w:webHidden/>
              </w:rPr>
              <w:instrText xml:space="preserve"> PAGEREF _Toc220759480 \h </w:instrText>
            </w:r>
            <w:r>
              <w:rPr>
                <w:noProof/>
                <w:webHidden/>
              </w:rPr>
            </w:r>
            <w:r>
              <w:rPr>
                <w:noProof/>
                <w:webHidden/>
              </w:rPr>
              <w:fldChar w:fldCharType="separate"/>
            </w:r>
            <w:r>
              <w:rPr>
                <w:noProof/>
                <w:webHidden/>
              </w:rPr>
              <w:t>28</w:t>
            </w:r>
            <w:r>
              <w:rPr>
                <w:noProof/>
                <w:webHidden/>
              </w:rPr>
              <w:fldChar w:fldCharType="end"/>
            </w:r>
          </w:hyperlink>
        </w:p>
        <w:p w14:paraId="15F4D27A" w14:textId="57800F68" w:rsidR="00CE2F07" w:rsidRDefault="00CE2F07">
          <w:pPr>
            <w:pStyle w:val="TOC2"/>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481" w:history="1">
            <w:r w:rsidRPr="00DF5A72">
              <w:rPr>
                <w:rStyle w:val="Hyperlink"/>
                <w:noProof/>
                <w:lang w:val="en-GB"/>
              </w:rPr>
              <w:t>2.7 Conceptual framework</w:t>
            </w:r>
            <w:r>
              <w:rPr>
                <w:noProof/>
                <w:webHidden/>
              </w:rPr>
              <w:tab/>
            </w:r>
            <w:r>
              <w:rPr>
                <w:noProof/>
                <w:webHidden/>
              </w:rPr>
              <w:fldChar w:fldCharType="begin"/>
            </w:r>
            <w:r>
              <w:rPr>
                <w:noProof/>
                <w:webHidden/>
              </w:rPr>
              <w:instrText xml:space="preserve"> PAGEREF _Toc220759481 \h </w:instrText>
            </w:r>
            <w:r>
              <w:rPr>
                <w:noProof/>
                <w:webHidden/>
              </w:rPr>
            </w:r>
            <w:r>
              <w:rPr>
                <w:noProof/>
                <w:webHidden/>
              </w:rPr>
              <w:fldChar w:fldCharType="separate"/>
            </w:r>
            <w:r>
              <w:rPr>
                <w:noProof/>
                <w:webHidden/>
              </w:rPr>
              <w:t>31</w:t>
            </w:r>
            <w:r>
              <w:rPr>
                <w:noProof/>
                <w:webHidden/>
              </w:rPr>
              <w:fldChar w:fldCharType="end"/>
            </w:r>
          </w:hyperlink>
        </w:p>
        <w:p w14:paraId="3CA8E9FA" w14:textId="1C452B53" w:rsidR="00CE2F07" w:rsidRDefault="00CE2F07">
          <w:pPr>
            <w:pStyle w:val="TOC2"/>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483" w:history="1">
            <w:r w:rsidRPr="00DF5A72">
              <w:rPr>
                <w:rStyle w:val="Hyperlink"/>
                <w:noProof/>
                <w:lang w:val="en-GB"/>
              </w:rPr>
              <w:t>2.8 Literature gap</w:t>
            </w:r>
            <w:r>
              <w:rPr>
                <w:noProof/>
                <w:webHidden/>
              </w:rPr>
              <w:tab/>
            </w:r>
            <w:r>
              <w:rPr>
                <w:noProof/>
                <w:webHidden/>
              </w:rPr>
              <w:fldChar w:fldCharType="begin"/>
            </w:r>
            <w:r>
              <w:rPr>
                <w:noProof/>
                <w:webHidden/>
              </w:rPr>
              <w:instrText xml:space="preserve"> PAGEREF _Toc220759483 \h </w:instrText>
            </w:r>
            <w:r>
              <w:rPr>
                <w:noProof/>
                <w:webHidden/>
              </w:rPr>
            </w:r>
            <w:r>
              <w:rPr>
                <w:noProof/>
                <w:webHidden/>
              </w:rPr>
              <w:fldChar w:fldCharType="separate"/>
            </w:r>
            <w:r>
              <w:rPr>
                <w:noProof/>
                <w:webHidden/>
              </w:rPr>
              <w:t>32</w:t>
            </w:r>
            <w:r>
              <w:rPr>
                <w:noProof/>
                <w:webHidden/>
              </w:rPr>
              <w:fldChar w:fldCharType="end"/>
            </w:r>
          </w:hyperlink>
        </w:p>
        <w:p w14:paraId="3724DFEE" w14:textId="0B6BB3C7" w:rsidR="00CE2F07" w:rsidRDefault="00CE2F07">
          <w:pPr>
            <w:pStyle w:val="TOC2"/>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484" w:history="1">
            <w:r w:rsidRPr="00DF5A72">
              <w:rPr>
                <w:rStyle w:val="Hyperlink"/>
                <w:noProof/>
                <w:lang w:val="en-GB"/>
              </w:rPr>
              <w:t>2.9 Chapter summary</w:t>
            </w:r>
            <w:r>
              <w:rPr>
                <w:noProof/>
                <w:webHidden/>
              </w:rPr>
              <w:tab/>
            </w:r>
            <w:r>
              <w:rPr>
                <w:noProof/>
                <w:webHidden/>
              </w:rPr>
              <w:fldChar w:fldCharType="begin"/>
            </w:r>
            <w:r>
              <w:rPr>
                <w:noProof/>
                <w:webHidden/>
              </w:rPr>
              <w:instrText xml:space="preserve"> PAGEREF _Toc220759484 \h </w:instrText>
            </w:r>
            <w:r>
              <w:rPr>
                <w:noProof/>
                <w:webHidden/>
              </w:rPr>
            </w:r>
            <w:r>
              <w:rPr>
                <w:noProof/>
                <w:webHidden/>
              </w:rPr>
              <w:fldChar w:fldCharType="separate"/>
            </w:r>
            <w:r>
              <w:rPr>
                <w:noProof/>
                <w:webHidden/>
              </w:rPr>
              <w:t>33</w:t>
            </w:r>
            <w:r>
              <w:rPr>
                <w:noProof/>
                <w:webHidden/>
              </w:rPr>
              <w:fldChar w:fldCharType="end"/>
            </w:r>
          </w:hyperlink>
        </w:p>
        <w:p w14:paraId="1CAF8B93" w14:textId="51F16926" w:rsidR="00CE2F07" w:rsidRDefault="00CE2F07">
          <w:pPr>
            <w:pStyle w:val="TOC1"/>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485" w:history="1">
            <w:r w:rsidRPr="00DF5A72">
              <w:rPr>
                <w:rStyle w:val="Hyperlink"/>
                <w:noProof/>
                <w:lang w:val="en-GB"/>
              </w:rPr>
              <w:t>Chapter 3</w:t>
            </w:r>
            <w:r>
              <w:rPr>
                <w:noProof/>
                <w:webHidden/>
              </w:rPr>
              <w:tab/>
            </w:r>
            <w:r>
              <w:rPr>
                <w:noProof/>
                <w:webHidden/>
              </w:rPr>
              <w:fldChar w:fldCharType="begin"/>
            </w:r>
            <w:r>
              <w:rPr>
                <w:noProof/>
                <w:webHidden/>
              </w:rPr>
              <w:instrText xml:space="preserve"> PAGEREF _Toc220759485 \h </w:instrText>
            </w:r>
            <w:r>
              <w:rPr>
                <w:noProof/>
                <w:webHidden/>
              </w:rPr>
            </w:r>
            <w:r>
              <w:rPr>
                <w:noProof/>
                <w:webHidden/>
              </w:rPr>
              <w:fldChar w:fldCharType="separate"/>
            </w:r>
            <w:r>
              <w:rPr>
                <w:noProof/>
                <w:webHidden/>
              </w:rPr>
              <w:t>34</w:t>
            </w:r>
            <w:r>
              <w:rPr>
                <w:noProof/>
                <w:webHidden/>
              </w:rPr>
              <w:fldChar w:fldCharType="end"/>
            </w:r>
          </w:hyperlink>
        </w:p>
        <w:p w14:paraId="158A3F47" w14:textId="1D155344" w:rsidR="00CE2F07" w:rsidRDefault="00CE2F07">
          <w:pPr>
            <w:pStyle w:val="TOC1"/>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486" w:history="1">
            <w:r w:rsidRPr="00DF5A72">
              <w:rPr>
                <w:rStyle w:val="Hyperlink"/>
                <w:noProof/>
                <w:lang w:val="en-GB"/>
              </w:rPr>
              <w:t>3.1 Methods &amp; Methodology</w:t>
            </w:r>
            <w:r>
              <w:rPr>
                <w:noProof/>
                <w:webHidden/>
              </w:rPr>
              <w:tab/>
            </w:r>
            <w:r>
              <w:rPr>
                <w:noProof/>
                <w:webHidden/>
              </w:rPr>
              <w:fldChar w:fldCharType="begin"/>
            </w:r>
            <w:r>
              <w:rPr>
                <w:noProof/>
                <w:webHidden/>
              </w:rPr>
              <w:instrText xml:space="preserve"> PAGEREF _Toc220759486 \h </w:instrText>
            </w:r>
            <w:r>
              <w:rPr>
                <w:noProof/>
                <w:webHidden/>
              </w:rPr>
            </w:r>
            <w:r>
              <w:rPr>
                <w:noProof/>
                <w:webHidden/>
              </w:rPr>
              <w:fldChar w:fldCharType="separate"/>
            </w:r>
            <w:r>
              <w:rPr>
                <w:noProof/>
                <w:webHidden/>
              </w:rPr>
              <w:t>34</w:t>
            </w:r>
            <w:r>
              <w:rPr>
                <w:noProof/>
                <w:webHidden/>
              </w:rPr>
              <w:fldChar w:fldCharType="end"/>
            </w:r>
          </w:hyperlink>
        </w:p>
        <w:p w14:paraId="73AA3519" w14:textId="5BF95616" w:rsidR="00CE2F07" w:rsidRDefault="00CE2F07">
          <w:pPr>
            <w:pStyle w:val="TOC2"/>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487" w:history="1">
            <w:r w:rsidRPr="00DF5A72">
              <w:rPr>
                <w:rStyle w:val="Hyperlink"/>
                <w:noProof/>
                <w:lang w:val="en-GB"/>
              </w:rPr>
              <w:t>3.2 Introduction</w:t>
            </w:r>
            <w:r>
              <w:rPr>
                <w:noProof/>
                <w:webHidden/>
              </w:rPr>
              <w:tab/>
            </w:r>
            <w:r>
              <w:rPr>
                <w:noProof/>
                <w:webHidden/>
              </w:rPr>
              <w:fldChar w:fldCharType="begin"/>
            </w:r>
            <w:r>
              <w:rPr>
                <w:noProof/>
                <w:webHidden/>
              </w:rPr>
              <w:instrText xml:space="preserve"> PAGEREF _Toc220759487 \h </w:instrText>
            </w:r>
            <w:r>
              <w:rPr>
                <w:noProof/>
                <w:webHidden/>
              </w:rPr>
            </w:r>
            <w:r>
              <w:rPr>
                <w:noProof/>
                <w:webHidden/>
              </w:rPr>
              <w:fldChar w:fldCharType="separate"/>
            </w:r>
            <w:r>
              <w:rPr>
                <w:noProof/>
                <w:webHidden/>
              </w:rPr>
              <w:t>34</w:t>
            </w:r>
            <w:r>
              <w:rPr>
                <w:noProof/>
                <w:webHidden/>
              </w:rPr>
              <w:fldChar w:fldCharType="end"/>
            </w:r>
          </w:hyperlink>
        </w:p>
        <w:p w14:paraId="63C3E3A9" w14:textId="4ABF3491" w:rsidR="00CE2F07" w:rsidRDefault="00CE2F07">
          <w:pPr>
            <w:pStyle w:val="TOC2"/>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488" w:history="1">
            <w:r w:rsidRPr="00DF5A72">
              <w:rPr>
                <w:rStyle w:val="Hyperlink"/>
                <w:noProof/>
                <w:lang w:val="en-GB"/>
              </w:rPr>
              <w:t>3.3 Research philosophy</w:t>
            </w:r>
            <w:r>
              <w:rPr>
                <w:noProof/>
                <w:webHidden/>
              </w:rPr>
              <w:tab/>
            </w:r>
            <w:r>
              <w:rPr>
                <w:noProof/>
                <w:webHidden/>
              </w:rPr>
              <w:fldChar w:fldCharType="begin"/>
            </w:r>
            <w:r>
              <w:rPr>
                <w:noProof/>
                <w:webHidden/>
              </w:rPr>
              <w:instrText xml:space="preserve"> PAGEREF _Toc220759488 \h </w:instrText>
            </w:r>
            <w:r>
              <w:rPr>
                <w:noProof/>
                <w:webHidden/>
              </w:rPr>
            </w:r>
            <w:r>
              <w:rPr>
                <w:noProof/>
                <w:webHidden/>
              </w:rPr>
              <w:fldChar w:fldCharType="separate"/>
            </w:r>
            <w:r>
              <w:rPr>
                <w:noProof/>
                <w:webHidden/>
              </w:rPr>
              <w:t>34</w:t>
            </w:r>
            <w:r>
              <w:rPr>
                <w:noProof/>
                <w:webHidden/>
              </w:rPr>
              <w:fldChar w:fldCharType="end"/>
            </w:r>
          </w:hyperlink>
        </w:p>
        <w:p w14:paraId="6D01B3AB" w14:textId="409355F3" w:rsidR="00CE2F07" w:rsidRDefault="00CE2F07">
          <w:pPr>
            <w:pStyle w:val="TOC2"/>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489" w:history="1">
            <w:r w:rsidRPr="00DF5A72">
              <w:rPr>
                <w:rStyle w:val="Hyperlink"/>
                <w:noProof/>
                <w:lang w:val="en-GB"/>
              </w:rPr>
              <w:t>3.4 Ethical considerations</w:t>
            </w:r>
            <w:r>
              <w:rPr>
                <w:noProof/>
                <w:webHidden/>
              </w:rPr>
              <w:tab/>
            </w:r>
            <w:r>
              <w:rPr>
                <w:noProof/>
                <w:webHidden/>
              </w:rPr>
              <w:fldChar w:fldCharType="begin"/>
            </w:r>
            <w:r>
              <w:rPr>
                <w:noProof/>
                <w:webHidden/>
              </w:rPr>
              <w:instrText xml:space="preserve"> PAGEREF _Toc220759489 \h </w:instrText>
            </w:r>
            <w:r>
              <w:rPr>
                <w:noProof/>
                <w:webHidden/>
              </w:rPr>
            </w:r>
            <w:r>
              <w:rPr>
                <w:noProof/>
                <w:webHidden/>
              </w:rPr>
              <w:fldChar w:fldCharType="separate"/>
            </w:r>
            <w:r>
              <w:rPr>
                <w:noProof/>
                <w:webHidden/>
              </w:rPr>
              <w:t>34</w:t>
            </w:r>
            <w:r>
              <w:rPr>
                <w:noProof/>
                <w:webHidden/>
              </w:rPr>
              <w:fldChar w:fldCharType="end"/>
            </w:r>
          </w:hyperlink>
        </w:p>
        <w:p w14:paraId="755688D3" w14:textId="307DC192" w:rsidR="00CE2F07" w:rsidRDefault="00CE2F07">
          <w:pPr>
            <w:pStyle w:val="TOC2"/>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490" w:history="1">
            <w:r w:rsidRPr="00DF5A72">
              <w:rPr>
                <w:rStyle w:val="Hyperlink"/>
                <w:noProof/>
                <w:lang w:val="en-GB"/>
              </w:rPr>
              <w:t>3.5 Discussion whether with reasons your SR needed ethics or not and why</w:t>
            </w:r>
            <w:r>
              <w:rPr>
                <w:noProof/>
                <w:webHidden/>
              </w:rPr>
              <w:tab/>
            </w:r>
            <w:r>
              <w:rPr>
                <w:noProof/>
                <w:webHidden/>
              </w:rPr>
              <w:fldChar w:fldCharType="begin"/>
            </w:r>
            <w:r>
              <w:rPr>
                <w:noProof/>
                <w:webHidden/>
              </w:rPr>
              <w:instrText xml:space="preserve"> PAGEREF _Toc220759490 \h </w:instrText>
            </w:r>
            <w:r>
              <w:rPr>
                <w:noProof/>
                <w:webHidden/>
              </w:rPr>
            </w:r>
            <w:r>
              <w:rPr>
                <w:noProof/>
                <w:webHidden/>
              </w:rPr>
              <w:fldChar w:fldCharType="separate"/>
            </w:r>
            <w:r>
              <w:rPr>
                <w:noProof/>
                <w:webHidden/>
              </w:rPr>
              <w:t>34</w:t>
            </w:r>
            <w:r>
              <w:rPr>
                <w:noProof/>
                <w:webHidden/>
              </w:rPr>
              <w:fldChar w:fldCharType="end"/>
            </w:r>
          </w:hyperlink>
        </w:p>
        <w:p w14:paraId="13CC0176" w14:textId="079624EE" w:rsidR="00CE2F07" w:rsidRDefault="00CE2F07">
          <w:pPr>
            <w:pStyle w:val="TOC2"/>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491" w:history="1">
            <w:r w:rsidRPr="00DF5A72">
              <w:rPr>
                <w:rStyle w:val="Hyperlink"/>
                <w:noProof/>
                <w:lang w:val="en-GB"/>
              </w:rPr>
              <w:t>3.6 Research approach</w:t>
            </w:r>
            <w:r>
              <w:rPr>
                <w:noProof/>
                <w:webHidden/>
              </w:rPr>
              <w:tab/>
            </w:r>
            <w:r>
              <w:rPr>
                <w:noProof/>
                <w:webHidden/>
              </w:rPr>
              <w:fldChar w:fldCharType="begin"/>
            </w:r>
            <w:r>
              <w:rPr>
                <w:noProof/>
                <w:webHidden/>
              </w:rPr>
              <w:instrText xml:space="preserve"> PAGEREF _Toc220759491 \h </w:instrText>
            </w:r>
            <w:r>
              <w:rPr>
                <w:noProof/>
                <w:webHidden/>
              </w:rPr>
            </w:r>
            <w:r>
              <w:rPr>
                <w:noProof/>
                <w:webHidden/>
              </w:rPr>
              <w:fldChar w:fldCharType="separate"/>
            </w:r>
            <w:r>
              <w:rPr>
                <w:noProof/>
                <w:webHidden/>
              </w:rPr>
              <w:t>35</w:t>
            </w:r>
            <w:r>
              <w:rPr>
                <w:noProof/>
                <w:webHidden/>
              </w:rPr>
              <w:fldChar w:fldCharType="end"/>
            </w:r>
          </w:hyperlink>
        </w:p>
        <w:p w14:paraId="1460DA9F" w14:textId="556DFA2F" w:rsidR="00CE2F07" w:rsidRDefault="00CE2F07">
          <w:pPr>
            <w:pStyle w:val="TOC2"/>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492" w:history="1">
            <w:r w:rsidRPr="00DF5A72">
              <w:rPr>
                <w:rStyle w:val="Hyperlink"/>
                <w:noProof/>
                <w:lang w:val="en-GB"/>
              </w:rPr>
              <w:t>3.7 Research strategy</w:t>
            </w:r>
            <w:r>
              <w:rPr>
                <w:noProof/>
                <w:webHidden/>
              </w:rPr>
              <w:tab/>
            </w:r>
            <w:r>
              <w:rPr>
                <w:noProof/>
                <w:webHidden/>
              </w:rPr>
              <w:fldChar w:fldCharType="begin"/>
            </w:r>
            <w:r>
              <w:rPr>
                <w:noProof/>
                <w:webHidden/>
              </w:rPr>
              <w:instrText xml:space="preserve"> PAGEREF _Toc220759492 \h </w:instrText>
            </w:r>
            <w:r>
              <w:rPr>
                <w:noProof/>
                <w:webHidden/>
              </w:rPr>
            </w:r>
            <w:r>
              <w:rPr>
                <w:noProof/>
                <w:webHidden/>
              </w:rPr>
              <w:fldChar w:fldCharType="separate"/>
            </w:r>
            <w:r>
              <w:rPr>
                <w:noProof/>
                <w:webHidden/>
              </w:rPr>
              <w:t>35</w:t>
            </w:r>
            <w:r>
              <w:rPr>
                <w:noProof/>
                <w:webHidden/>
              </w:rPr>
              <w:fldChar w:fldCharType="end"/>
            </w:r>
          </w:hyperlink>
        </w:p>
        <w:p w14:paraId="62AFB590" w14:textId="302D00AE" w:rsidR="00CE2F07" w:rsidRDefault="00CE2F07">
          <w:pPr>
            <w:pStyle w:val="TOC2"/>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493" w:history="1">
            <w:r w:rsidRPr="00DF5A72">
              <w:rPr>
                <w:rStyle w:val="Hyperlink"/>
                <w:noProof/>
                <w:lang w:val="en-GB"/>
              </w:rPr>
              <w:t>3.8 Study design</w:t>
            </w:r>
            <w:r>
              <w:rPr>
                <w:noProof/>
                <w:webHidden/>
              </w:rPr>
              <w:tab/>
            </w:r>
            <w:r>
              <w:rPr>
                <w:noProof/>
                <w:webHidden/>
              </w:rPr>
              <w:fldChar w:fldCharType="begin"/>
            </w:r>
            <w:r>
              <w:rPr>
                <w:noProof/>
                <w:webHidden/>
              </w:rPr>
              <w:instrText xml:space="preserve"> PAGEREF _Toc220759493 \h </w:instrText>
            </w:r>
            <w:r>
              <w:rPr>
                <w:noProof/>
                <w:webHidden/>
              </w:rPr>
            </w:r>
            <w:r>
              <w:rPr>
                <w:noProof/>
                <w:webHidden/>
              </w:rPr>
              <w:fldChar w:fldCharType="separate"/>
            </w:r>
            <w:r>
              <w:rPr>
                <w:noProof/>
                <w:webHidden/>
              </w:rPr>
              <w:t>35</w:t>
            </w:r>
            <w:r>
              <w:rPr>
                <w:noProof/>
                <w:webHidden/>
              </w:rPr>
              <w:fldChar w:fldCharType="end"/>
            </w:r>
          </w:hyperlink>
        </w:p>
        <w:p w14:paraId="09D5512C" w14:textId="4BAA5DE9" w:rsidR="00CE2F07" w:rsidRDefault="00CE2F07">
          <w:pPr>
            <w:pStyle w:val="TOC2"/>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494" w:history="1">
            <w:r w:rsidRPr="00DF5A72">
              <w:rPr>
                <w:rStyle w:val="Hyperlink"/>
                <w:noProof/>
                <w:lang w:val="en-GB"/>
              </w:rPr>
              <w:t>3.9 Method of data collection</w:t>
            </w:r>
            <w:r>
              <w:rPr>
                <w:noProof/>
                <w:webHidden/>
              </w:rPr>
              <w:tab/>
            </w:r>
            <w:r>
              <w:rPr>
                <w:noProof/>
                <w:webHidden/>
              </w:rPr>
              <w:fldChar w:fldCharType="begin"/>
            </w:r>
            <w:r>
              <w:rPr>
                <w:noProof/>
                <w:webHidden/>
              </w:rPr>
              <w:instrText xml:space="preserve"> PAGEREF _Toc220759494 \h </w:instrText>
            </w:r>
            <w:r>
              <w:rPr>
                <w:noProof/>
                <w:webHidden/>
              </w:rPr>
            </w:r>
            <w:r>
              <w:rPr>
                <w:noProof/>
                <w:webHidden/>
              </w:rPr>
              <w:fldChar w:fldCharType="separate"/>
            </w:r>
            <w:r>
              <w:rPr>
                <w:noProof/>
                <w:webHidden/>
              </w:rPr>
              <w:t>35</w:t>
            </w:r>
            <w:r>
              <w:rPr>
                <w:noProof/>
                <w:webHidden/>
              </w:rPr>
              <w:fldChar w:fldCharType="end"/>
            </w:r>
          </w:hyperlink>
        </w:p>
        <w:p w14:paraId="5797C220" w14:textId="2764C40B" w:rsidR="00CE2F07" w:rsidRDefault="00CE2F07">
          <w:pPr>
            <w:pStyle w:val="TOC2"/>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495" w:history="1">
            <w:r w:rsidRPr="00DF5A72">
              <w:rPr>
                <w:rStyle w:val="Hyperlink"/>
                <w:noProof/>
                <w:lang w:val="en-GB"/>
              </w:rPr>
              <w:t>3.9.1 Search strategy</w:t>
            </w:r>
            <w:r>
              <w:rPr>
                <w:noProof/>
                <w:webHidden/>
              </w:rPr>
              <w:tab/>
            </w:r>
            <w:r>
              <w:rPr>
                <w:noProof/>
                <w:webHidden/>
              </w:rPr>
              <w:fldChar w:fldCharType="begin"/>
            </w:r>
            <w:r>
              <w:rPr>
                <w:noProof/>
                <w:webHidden/>
              </w:rPr>
              <w:instrText xml:space="preserve"> PAGEREF _Toc220759495 \h </w:instrText>
            </w:r>
            <w:r>
              <w:rPr>
                <w:noProof/>
                <w:webHidden/>
              </w:rPr>
            </w:r>
            <w:r>
              <w:rPr>
                <w:noProof/>
                <w:webHidden/>
              </w:rPr>
              <w:fldChar w:fldCharType="separate"/>
            </w:r>
            <w:r>
              <w:rPr>
                <w:noProof/>
                <w:webHidden/>
              </w:rPr>
              <w:t>36</w:t>
            </w:r>
            <w:r>
              <w:rPr>
                <w:noProof/>
                <w:webHidden/>
              </w:rPr>
              <w:fldChar w:fldCharType="end"/>
            </w:r>
          </w:hyperlink>
        </w:p>
        <w:p w14:paraId="73FF27DA" w14:textId="251CEA6A" w:rsidR="00CE2F07" w:rsidRDefault="00CE2F07">
          <w:pPr>
            <w:pStyle w:val="TOC2"/>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496" w:history="1">
            <w:r w:rsidRPr="00DF5A72">
              <w:rPr>
                <w:rStyle w:val="Hyperlink"/>
                <w:noProof/>
                <w:lang w:val="en-GB"/>
              </w:rPr>
              <w:t>3.9.2 FRAMING THE RESEARCH QUESTION</w:t>
            </w:r>
            <w:r>
              <w:rPr>
                <w:noProof/>
                <w:webHidden/>
              </w:rPr>
              <w:tab/>
            </w:r>
            <w:r>
              <w:rPr>
                <w:noProof/>
                <w:webHidden/>
              </w:rPr>
              <w:fldChar w:fldCharType="begin"/>
            </w:r>
            <w:r>
              <w:rPr>
                <w:noProof/>
                <w:webHidden/>
              </w:rPr>
              <w:instrText xml:space="preserve"> PAGEREF _Toc220759496 \h </w:instrText>
            </w:r>
            <w:r>
              <w:rPr>
                <w:noProof/>
                <w:webHidden/>
              </w:rPr>
            </w:r>
            <w:r>
              <w:rPr>
                <w:noProof/>
                <w:webHidden/>
              </w:rPr>
              <w:fldChar w:fldCharType="separate"/>
            </w:r>
            <w:r>
              <w:rPr>
                <w:noProof/>
                <w:webHidden/>
              </w:rPr>
              <w:t>36</w:t>
            </w:r>
            <w:r>
              <w:rPr>
                <w:noProof/>
                <w:webHidden/>
              </w:rPr>
              <w:fldChar w:fldCharType="end"/>
            </w:r>
          </w:hyperlink>
        </w:p>
        <w:p w14:paraId="1EA8DB6C" w14:textId="4AD6EEC8" w:rsidR="00CE2F07" w:rsidRDefault="00CE2F07">
          <w:pPr>
            <w:pStyle w:val="TOC2"/>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497" w:history="1">
            <w:r w:rsidRPr="00DF5A72">
              <w:rPr>
                <w:rStyle w:val="Hyperlink"/>
                <w:noProof/>
                <w:lang w:val="en-GB"/>
              </w:rPr>
              <w:t>3.9.3 Database search procedure</w:t>
            </w:r>
            <w:r>
              <w:rPr>
                <w:noProof/>
                <w:webHidden/>
              </w:rPr>
              <w:tab/>
            </w:r>
            <w:r>
              <w:rPr>
                <w:noProof/>
                <w:webHidden/>
              </w:rPr>
              <w:fldChar w:fldCharType="begin"/>
            </w:r>
            <w:r>
              <w:rPr>
                <w:noProof/>
                <w:webHidden/>
              </w:rPr>
              <w:instrText xml:space="preserve"> PAGEREF _Toc220759497 \h </w:instrText>
            </w:r>
            <w:r>
              <w:rPr>
                <w:noProof/>
                <w:webHidden/>
              </w:rPr>
            </w:r>
            <w:r>
              <w:rPr>
                <w:noProof/>
                <w:webHidden/>
              </w:rPr>
              <w:fldChar w:fldCharType="separate"/>
            </w:r>
            <w:r>
              <w:rPr>
                <w:noProof/>
                <w:webHidden/>
              </w:rPr>
              <w:t>38</w:t>
            </w:r>
            <w:r>
              <w:rPr>
                <w:noProof/>
                <w:webHidden/>
              </w:rPr>
              <w:fldChar w:fldCharType="end"/>
            </w:r>
          </w:hyperlink>
        </w:p>
        <w:p w14:paraId="4EF67036" w14:textId="55349A1F" w:rsidR="00CE2F07" w:rsidRDefault="00CE2F07">
          <w:pPr>
            <w:pStyle w:val="TOC2"/>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498" w:history="1">
            <w:r w:rsidRPr="00DF5A72">
              <w:rPr>
                <w:rStyle w:val="Hyperlink"/>
                <w:noProof/>
                <w:lang w:val="en-GB"/>
              </w:rPr>
              <w:t>3.9.4 HAND search</w:t>
            </w:r>
            <w:r>
              <w:rPr>
                <w:noProof/>
                <w:webHidden/>
              </w:rPr>
              <w:tab/>
            </w:r>
            <w:r>
              <w:rPr>
                <w:noProof/>
                <w:webHidden/>
              </w:rPr>
              <w:fldChar w:fldCharType="begin"/>
            </w:r>
            <w:r>
              <w:rPr>
                <w:noProof/>
                <w:webHidden/>
              </w:rPr>
              <w:instrText xml:space="preserve"> PAGEREF _Toc220759498 \h </w:instrText>
            </w:r>
            <w:r>
              <w:rPr>
                <w:noProof/>
                <w:webHidden/>
              </w:rPr>
            </w:r>
            <w:r>
              <w:rPr>
                <w:noProof/>
                <w:webHidden/>
              </w:rPr>
              <w:fldChar w:fldCharType="separate"/>
            </w:r>
            <w:r>
              <w:rPr>
                <w:noProof/>
                <w:webHidden/>
              </w:rPr>
              <w:t>38</w:t>
            </w:r>
            <w:r>
              <w:rPr>
                <w:noProof/>
                <w:webHidden/>
              </w:rPr>
              <w:fldChar w:fldCharType="end"/>
            </w:r>
          </w:hyperlink>
        </w:p>
        <w:p w14:paraId="5F3BA760" w14:textId="2C52F7F6" w:rsidR="00CE2F07" w:rsidRDefault="00CE2F07">
          <w:pPr>
            <w:pStyle w:val="TOC2"/>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499" w:history="1">
            <w:r w:rsidRPr="00DF5A72">
              <w:rPr>
                <w:rStyle w:val="Hyperlink"/>
                <w:noProof/>
                <w:lang w:val="en-GB"/>
              </w:rPr>
              <w:t>3.9.5 Grey literature</w:t>
            </w:r>
            <w:r>
              <w:rPr>
                <w:noProof/>
                <w:webHidden/>
              </w:rPr>
              <w:tab/>
            </w:r>
            <w:r>
              <w:rPr>
                <w:noProof/>
                <w:webHidden/>
              </w:rPr>
              <w:fldChar w:fldCharType="begin"/>
            </w:r>
            <w:r>
              <w:rPr>
                <w:noProof/>
                <w:webHidden/>
              </w:rPr>
              <w:instrText xml:space="preserve"> PAGEREF _Toc220759499 \h </w:instrText>
            </w:r>
            <w:r>
              <w:rPr>
                <w:noProof/>
                <w:webHidden/>
              </w:rPr>
            </w:r>
            <w:r>
              <w:rPr>
                <w:noProof/>
                <w:webHidden/>
              </w:rPr>
              <w:fldChar w:fldCharType="separate"/>
            </w:r>
            <w:r>
              <w:rPr>
                <w:noProof/>
                <w:webHidden/>
              </w:rPr>
              <w:t>39</w:t>
            </w:r>
            <w:r>
              <w:rPr>
                <w:noProof/>
                <w:webHidden/>
              </w:rPr>
              <w:fldChar w:fldCharType="end"/>
            </w:r>
          </w:hyperlink>
        </w:p>
        <w:p w14:paraId="0E90ECF6" w14:textId="332C342B" w:rsidR="00CE2F07" w:rsidRDefault="00CE2F07">
          <w:pPr>
            <w:pStyle w:val="TOC2"/>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500" w:history="1">
            <w:r w:rsidRPr="00DF5A72">
              <w:rPr>
                <w:rStyle w:val="Hyperlink"/>
                <w:noProof/>
                <w:lang w:val="en-GB"/>
              </w:rPr>
              <w:t>3.9.6 Inclusion/Exclusion</w:t>
            </w:r>
            <w:r>
              <w:rPr>
                <w:noProof/>
                <w:webHidden/>
              </w:rPr>
              <w:tab/>
            </w:r>
            <w:r>
              <w:rPr>
                <w:noProof/>
                <w:webHidden/>
              </w:rPr>
              <w:fldChar w:fldCharType="begin"/>
            </w:r>
            <w:r>
              <w:rPr>
                <w:noProof/>
                <w:webHidden/>
              </w:rPr>
              <w:instrText xml:space="preserve"> PAGEREF _Toc220759500 \h </w:instrText>
            </w:r>
            <w:r>
              <w:rPr>
                <w:noProof/>
                <w:webHidden/>
              </w:rPr>
            </w:r>
            <w:r>
              <w:rPr>
                <w:noProof/>
                <w:webHidden/>
              </w:rPr>
              <w:fldChar w:fldCharType="separate"/>
            </w:r>
            <w:r>
              <w:rPr>
                <w:noProof/>
                <w:webHidden/>
              </w:rPr>
              <w:t>39</w:t>
            </w:r>
            <w:r>
              <w:rPr>
                <w:noProof/>
                <w:webHidden/>
              </w:rPr>
              <w:fldChar w:fldCharType="end"/>
            </w:r>
          </w:hyperlink>
        </w:p>
        <w:p w14:paraId="68DF6019" w14:textId="6A615347" w:rsidR="00CE2F07" w:rsidRDefault="00CE2F07">
          <w:pPr>
            <w:pStyle w:val="TOC2"/>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501" w:history="1">
            <w:r w:rsidRPr="00DF5A72">
              <w:rPr>
                <w:rStyle w:val="Hyperlink"/>
                <w:noProof/>
                <w:lang w:val="en-GB"/>
              </w:rPr>
              <w:t>3.10 Screening results</w:t>
            </w:r>
            <w:r>
              <w:rPr>
                <w:noProof/>
                <w:webHidden/>
              </w:rPr>
              <w:tab/>
            </w:r>
            <w:r>
              <w:rPr>
                <w:noProof/>
                <w:webHidden/>
              </w:rPr>
              <w:fldChar w:fldCharType="begin"/>
            </w:r>
            <w:r>
              <w:rPr>
                <w:noProof/>
                <w:webHidden/>
              </w:rPr>
              <w:instrText xml:space="preserve"> PAGEREF _Toc220759501 \h </w:instrText>
            </w:r>
            <w:r>
              <w:rPr>
                <w:noProof/>
                <w:webHidden/>
              </w:rPr>
            </w:r>
            <w:r>
              <w:rPr>
                <w:noProof/>
                <w:webHidden/>
              </w:rPr>
              <w:fldChar w:fldCharType="separate"/>
            </w:r>
            <w:r>
              <w:rPr>
                <w:noProof/>
                <w:webHidden/>
              </w:rPr>
              <w:t>41</w:t>
            </w:r>
            <w:r>
              <w:rPr>
                <w:noProof/>
                <w:webHidden/>
              </w:rPr>
              <w:fldChar w:fldCharType="end"/>
            </w:r>
          </w:hyperlink>
        </w:p>
        <w:p w14:paraId="5C768AE7" w14:textId="415EF950" w:rsidR="00CE2F07" w:rsidRDefault="00CE2F07">
          <w:pPr>
            <w:pStyle w:val="TOC2"/>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502" w:history="1">
            <w:r w:rsidRPr="00DF5A72">
              <w:rPr>
                <w:rStyle w:val="Hyperlink"/>
                <w:noProof/>
                <w:lang w:val="en-GB"/>
              </w:rPr>
              <w:t>3.11 Study selection</w:t>
            </w:r>
            <w:r>
              <w:rPr>
                <w:noProof/>
                <w:webHidden/>
              </w:rPr>
              <w:tab/>
            </w:r>
            <w:r>
              <w:rPr>
                <w:noProof/>
                <w:webHidden/>
              </w:rPr>
              <w:fldChar w:fldCharType="begin"/>
            </w:r>
            <w:r>
              <w:rPr>
                <w:noProof/>
                <w:webHidden/>
              </w:rPr>
              <w:instrText xml:space="preserve"> PAGEREF _Toc220759502 \h </w:instrText>
            </w:r>
            <w:r>
              <w:rPr>
                <w:noProof/>
                <w:webHidden/>
              </w:rPr>
            </w:r>
            <w:r>
              <w:rPr>
                <w:noProof/>
                <w:webHidden/>
              </w:rPr>
              <w:fldChar w:fldCharType="separate"/>
            </w:r>
            <w:r>
              <w:rPr>
                <w:noProof/>
                <w:webHidden/>
              </w:rPr>
              <w:t>41</w:t>
            </w:r>
            <w:r>
              <w:rPr>
                <w:noProof/>
                <w:webHidden/>
              </w:rPr>
              <w:fldChar w:fldCharType="end"/>
            </w:r>
          </w:hyperlink>
        </w:p>
        <w:p w14:paraId="4ABBA85E" w14:textId="5835130F" w:rsidR="00CE2F07" w:rsidRDefault="00CE2F07">
          <w:pPr>
            <w:pStyle w:val="TOC2"/>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503" w:history="1">
            <w:r w:rsidRPr="00DF5A72">
              <w:rPr>
                <w:rStyle w:val="Hyperlink"/>
                <w:noProof/>
                <w:lang w:val="en-GB"/>
              </w:rPr>
              <w:t>3.13 PRISMA chart</w:t>
            </w:r>
            <w:r>
              <w:rPr>
                <w:noProof/>
                <w:webHidden/>
              </w:rPr>
              <w:tab/>
            </w:r>
            <w:r>
              <w:rPr>
                <w:noProof/>
                <w:webHidden/>
              </w:rPr>
              <w:fldChar w:fldCharType="begin"/>
            </w:r>
            <w:r>
              <w:rPr>
                <w:noProof/>
                <w:webHidden/>
              </w:rPr>
              <w:instrText xml:space="preserve"> PAGEREF _Toc220759503 \h </w:instrText>
            </w:r>
            <w:r>
              <w:rPr>
                <w:noProof/>
                <w:webHidden/>
              </w:rPr>
            </w:r>
            <w:r>
              <w:rPr>
                <w:noProof/>
                <w:webHidden/>
              </w:rPr>
              <w:fldChar w:fldCharType="separate"/>
            </w:r>
            <w:r>
              <w:rPr>
                <w:noProof/>
                <w:webHidden/>
              </w:rPr>
              <w:t>43</w:t>
            </w:r>
            <w:r>
              <w:rPr>
                <w:noProof/>
                <w:webHidden/>
              </w:rPr>
              <w:fldChar w:fldCharType="end"/>
            </w:r>
          </w:hyperlink>
        </w:p>
        <w:p w14:paraId="1C36FFEF" w14:textId="4C9AD5EE" w:rsidR="00CE2F07" w:rsidRDefault="00CE2F07">
          <w:pPr>
            <w:pStyle w:val="TOC2"/>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504" w:history="1">
            <w:r w:rsidRPr="00DF5A72">
              <w:rPr>
                <w:rStyle w:val="Hyperlink"/>
                <w:noProof/>
                <w:lang w:val="en-GB"/>
              </w:rPr>
              <w:t>3.14 Quality assessment (QA)</w:t>
            </w:r>
            <w:r>
              <w:rPr>
                <w:noProof/>
                <w:webHidden/>
              </w:rPr>
              <w:tab/>
            </w:r>
            <w:r>
              <w:rPr>
                <w:noProof/>
                <w:webHidden/>
              </w:rPr>
              <w:fldChar w:fldCharType="begin"/>
            </w:r>
            <w:r>
              <w:rPr>
                <w:noProof/>
                <w:webHidden/>
              </w:rPr>
              <w:instrText xml:space="preserve"> PAGEREF _Toc220759504 \h </w:instrText>
            </w:r>
            <w:r>
              <w:rPr>
                <w:noProof/>
                <w:webHidden/>
              </w:rPr>
            </w:r>
            <w:r>
              <w:rPr>
                <w:noProof/>
                <w:webHidden/>
              </w:rPr>
              <w:fldChar w:fldCharType="separate"/>
            </w:r>
            <w:r>
              <w:rPr>
                <w:noProof/>
                <w:webHidden/>
              </w:rPr>
              <w:t>43</w:t>
            </w:r>
            <w:r>
              <w:rPr>
                <w:noProof/>
                <w:webHidden/>
              </w:rPr>
              <w:fldChar w:fldCharType="end"/>
            </w:r>
          </w:hyperlink>
        </w:p>
        <w:p w14:paraId="050528E1" w14:textId="121F2A3F" w:rsidR="00CE2F07" w:rsidRDefault="00CE2F07">
          <w:pPr>
            <w:pStyle w:val="TOC2"/>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505" w:history="1">
            <w:r w:rsidRPr="00DF5A72">
              <w:rPr>
                <w:rStyle w:val="Hyperlink"/>
                <w:noProof/>
                <w:lang w:val="en-GB"/>
              </w:rPr>
              <w:t>3.15 Data characteristics and data extraction</w:t>
            </w:r>
            <w:r>
              <w:rPr>
                <w:noProof/>
                <w:webHidden/>
              </w:rPr>
              <w:tab/>
            </w:r>
            <w:r>
              <w:rPr>
                <w:noProof/>
                <w:webHidden/>
              </w:rPr>
              <w:fldChar w:fldCharType="begin"/>
            </w:r>
            <w:r>
              <w:rPr>
                <w:noProof/>
                <w:webHidden/>
              </w:rPr>
              <w:instrText xml:space="preserve"> PAGEREF _Toc220759505 \h </w:instrText>
            </w:r>
            <w:r>
              <w:rPr>
                <w:noProof/>
                <w:webHidden/>
              </w:rPr>
            </w:r>
            <w:r>
              <w:rPr>
                <w:noProof/>
                <w:webHidden/>
              </w:rPr>
              <w:fldChar w:fldCharType="separate"/>
            </w:r>
            <w:r>
              <w:rPr>
                <w:noProof/>
                <w:webHidden/>
              </w:rPr>
              <w:t>43</w:t>
            </w:r>
            <w:r>
              <w:rPr>
                <w:noProof/>
                <w:webHidden/>
              </w:rPr>
              <w:fldChar w:fldCharType="end"/>
            </w:r>
          </w:hyperlink>
        </w:p>
        <w:p w14:paraId="31FDE3EE" w14:textId="5059340A" w:rsidR="00CE2F07" w:rsidRDefault="00CE2F07">
          <w:pPr>
            <w:pStyle w:val="TOC2"/>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506" w:history="1">
            <w:r w:rsidRPr="00DF5A72">
              <w:rPr>
                <w:rStyle w:val="Hyperlink"/>
                <w:noProof/>
                <w:lang w:val="en-GB"/>
              </w:rPr>
              <w:t>3.16 Data synthesis</w:t>
            </w:r>
            <w:r>
              <w:rPr>
                <w:noProof/>
                <w:webHidden/>
              </w:rPr>
              <w:tab/>
            </w:r>
            <w:r>
              <w:rPr>
                <w:noProof/>
                <w:webHidden/>
              </w:rPr>
              <w:fldChar w:fldCharType="begin"/>
            </w:r>
            <w:r>
              <w:rPr>
                <w:noProof/>
                <w:webHidden/>
              </w:rPr>
              <w:instrText xml:space="preserve"> PAGEREF _Toc220759506 \h </w:instrText>
            </w:r>
            <w:r>
              <w:rPr>
                <w:noProof/>
                <w:webHidden/>
              </w:rPr>
            </w:r>
            <w:r>
              <w:rPr>
                <w:noProof/>
                <w:webHidden/>
              </w:rPr>
              <w:fldChar w:fldCharType="separate"/>
            </w:r>
            <w:r>
              <w:rPr>
                <w:noProof/>
                <w:webHidden/>
              </w:rPr>
              <w:t>44</w:t>
            </w:r>
            <w:r>
              <w:rPr>
                <w:noProof/>
                <w:webHidden/>
              </w:rPr>
              <w:fldChar w:fldCharType="end"/>
            </w:r>
          </w:hyperlink>
        </w:p>
        <w:p w14:paraId="741DF108" w14:textId="4F354E67" w:rsidR="00CE2F07" w:rsidRDefault="00CE2F07">
          <w:pPr>
            <w:pStyle w:val="TOC2"/>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507" w:history="1">
            <w:r w:rsidRPr="00DF5A72">
              <w:rPr>
                <w:rStyle w:val="Hyperlink"/>
                <w:noProof/>
                <w:lang w:val="en-GB"/>
              </w:rPr>
              <w:t>3.17 Limitation of the methods</w:t>
            </w:r>
            <w:r>
              <w:rPr>
                <w:noProof/>
                <w:webHidden/>
              </w:rPr>
              <w:tab/>
            </w:r>
            <w:r>
              <w:rPr>
                <w:noProof/>
                <w:webHidden/>
              </w:rPr>
              <w:fldChar w:fldCharType="begin"/>
            </w:r>
            <w:r>
              <w:rPr>
                <w:noProof/>
                <w:webHidden/>
              </w:rPr>
              <w:instrText xml:space="preserve"> PAGEREF _Toc220759507 \h </w:instrText>
            </w:r>
            <w:r>
              <w:rPr>
                <w:noProof/>
                <w:webHidden/>
              </w:rPr>
            </w:r>
            <w:r>
              <w:rPr>
                <w:noProof/>
                <w:webHidden/>
              </w:rPr>
              <w:fldChar w:fldCharType="separate"/>
            </w:r>
            <w:r>
              <w:rPr>
                <w:noProof/>
                <w:webHidden/>
              </w:rPr>
              <w:t>44</w:t>
            </w:r>
            <w:r>
              <w:rPr>
                <w:noProof/>
                <w:webHidden/>
              </w:rPr>
              <w:fldChar w:fldCharType="end"/>
            </w:r>
          </w:hyperlink>
        </w:p>
        <w:p w14:paraId="3BB4BC5D" w14:textId="65A06D44" w:rsidR="00CE2F07" w:rsidRDefault="00CE2F07">
          <w:pPr>
            <w:pStyle w:val="TOC2"/>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508" w:history="1">
            <w:r w:rsidRPr="00DF5A72">
              <w:rPr>
                <w:rStyle w:val="Hyperlink"/>
                <w:noProof/>
                <w:lang w:val="en-GB"/>
              </w:rPr>
              <w:t>3.18 Chapter summary</w:t>
            </w:r>
            <w:r>
              <w:rPr>
                <w:noProof/>
                <w:webHidden/>
              </w:rPr>
              <w:tab/>
            </w:r>
            <w:r>
              <w:rPr>
                <w:noProof/>
                <w:webHidden/>
              </w:rPr>
              <w:fldChar w:fldCharType="begin"/>
            </w:r>
            <w:r>
              <w:rPr>
                <w:noProof/>
                <w:webHidden/>
              </w:rPr>
              <w:instrText xml:space="preserve"> PAGEREF _Toc220759508 \h </w:instrText>
            </w:r>
            <w:r>
              <w:rPr>
                <w:noProof/>
                <w:webHidden/>
              </w:rPr>
            </w:r>
            <w:r>
              <w:rPr>
                <w:noProof/>
                <w:webHidden/>
              </w:rPr>
              <w:fldChar w:fldCharType="separate"/>
            </w:r>
            <w:r>
              <w:rPr>
                <w:noProof/>
                <w:webHidden/>
              </w:rPr>
              <w:t>44</w:t>
            </w:r>
            <w:r>
              <w:rPr>
                <w:noProof/>
                <w:webHidden/>
              </w:rPr>
              <w:fldChar w:fldCharType="end"/>
            </w:r>
          </w:hyperlink>
        </w:p>
        <w:p w14:paraId="1FAB0A63" w14:textId="6F7E79BB" w:rsidR="00CE2F07" w:rsidRDefault="00CE2F07">
          <w:pPr>
            <w:pStyle w:val="TOC1"/>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509" w:history="1">
            <w:r w:rsidRPr="00DF5A72">
              <w:rPr>
                <w:rStyle w:val="Hyperlink"/>
                <w:noProof/>
                <w:lang w:val="en-GB"/>
              </w:rPr>
              <w:t>Chapter 4- Results</w:t>
            </w:r>
            <w:r>
              <w:rPr>
                <w:noProof/>
                <w:webHidden/>
              </w:rPr>
              <w:tab/>
            </w:r>
            <w:r>
              <w:rPr>
                <w:noProof/>
                <w:webHidden/>
              </w:rPr>
              <w:fldChar w:fldCharType="begin"/>
            </w:r>
            <w:r>
              <w:rPr>
                <w:noProof/>
                <w:webHidden/>
              </w:rPr>
              <w:instrText xml:space="preserve"> PAGEREF _Toc220759509 \h </w:instrText>
            </w:r>
            <w:r>
              <w:rPr>
                <w:noProof/>
                <w:webHidden/>
              </w:rPr>
            </w:r>
            <w:r>
              <w:rPr>
                <w:noProof/>
                <w:webHidden/>
              </w:rPr>
              <w:fldChar w:fldCharType="separate"/>
            </w:r>
            <w:r>
              <w:rPr>
                <w:noProof/>
                <w:webHidden/>
              </w:rPr>
              <w:t>45</w:t>
            </w:r>
            <w:r>
              <w:rPr>
                <w:noProof/>
                <w:webHidden/>
              </w:rPr>
              <w:fldChar w:fldCharType="end"/>
            </w:r>
          </w:hyperlink>
        </w:p>
        <w:p w14:paraId="7FBA4031" w14:textId="3DEFDCF3" w:rsidR="00CE2F07" w:rsidRDefault="00CE2F07">
          <w:pPr>
            <w:pStyle w:val="TOC2"/>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510" w:history="1">
            <w:r w:rsidRPr="00DF5A72">
              <w:rPr>
                <w:rStyle w:val="Hyperlink"/>
                <w:noProof/>
                <w:lang w:val="en-GB"/>
              </w:rPr>
              <w:t>4.1 Introduction</w:t>
            </w:r>
            <w:r>
              <w:rPr>
                <w:noProof/>
                <w:webHidden/>
              </w:rPr>
              <w:tab/>
            </w:r>
            <w:r>
              <w:rPr>
                <w:noProof/>
                <w:webHidden/>
              </w:rPr>
              <w:fldChar w:fldCharType="begin"/>
            </w:r>
            <w:r>
              <w:rPr>
                <w:noProof/>
                <w:webHidden/>
              </w:rPr>
              <w:instrText xml:space="preserve"> PAGEREF _Toc220759510 \h </w:instrText>
            </w:r>
            <w:r>
              <w:rPr>
                <w:noProof/>
                <w:webHidden/>
              </w:rPr>
            </w:r>
            <w:r>
              <w:rPr>
                <w:noProof/>
                <w:webHidden/>
              </w:rPr>
              <w:fldChar w:fldCharType="separate"/>
            </w:r>
            <w:r>
              <w:rPr>
                <w:noProof/>
                <w:webHidden/>
              </w:rPr>
              <w:t>45</w:t>
            </w:r>
            <w:r>
              <w:rPr>
                <w:noProof/>
                <w:webHidden/>
              </w:rPr>
              <w:fldChar w:fldCharType="end"/>
            </w:r>
          </w:hyperlink>
        </w:p>
        <w:p w14:paraId="273D9BE7" w14:textId="24DD76F2" w:rsidR="00CE2F07" w:rsidRDefault="00CE2F07">
          <w:pPr>
            <w:pStyle w:val="TOC2"/>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511" w:history="1">
            <w:r w:rsidRPr="00DF5A72">
              <w:rPr>
                <w:rStyle w:val="Hyperlink"/>
                <w:noProof/>
                <w:lang w:val="en-GB"/>
              </w:rPr>
              <w:t>4.2 Results</w:t>
            </w:r>
            <w:r>
              <w:rPr>
                <w:noProof/>
                <w:webHidden/>
              </w:rPr>
              <w:tab/>
            </w:r>
            <w:r>
              <w:rPr>
                <w:noProof/>
                <w:webHidden/>
              </w:rPr>
              <w:fldChar w:fldCharType="begin"/>
            </w:r>
            <w:r>
              <w:rPr>
                <w:noProof/>
                <w:webHidden/>
              </w:rPr>
              <w:instrText xml:space="preserve"> PAGEREF _Toc220759511 \h </w:instrText>
            </w:r>
            <w:r>
              <w:rPr>
                <w:noProof/>
                <w:webHidden/>
              </w:rPr>
            </w:r>
            <w:r>
              <w:rPr>
                <w:noProof/>
                <w:webHidden/>
              </w:rPr>
              <w:fldChar w:fldCharType="separate"/>
            </w:r>
            <w:r>
              <w:rPr>
                <w:noProof/>
                <w:webHidden/>
              </w:rPr>
              <w:t>45</w:t>
            </w:r>
            <w:r>
              <w:rPr>
                <w:noProof/>
                <w:webHidden/>
              </w:rPr>
              <w:fldChar w:fldCharType="end"/>
            </w:r>
          </w:hyperlink>
        </w:p>
        <w:p w14:paraId="0192A964" w14:textId="3FD9691C" w:rsidR="00CE2F07" w:rsidRDefault="00CE2F07">
          <w:pPr>
            <w:pStyle w:val="TOC2"/>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512" w:history="1">
            <w:r w:rsidRPr="00DF5A72">
              <w:rPr>
                <w:rStyle w:val="Hyperlink"/>
                <w:noProof/>
                <w:lang w:val="en-GB"/>
              </w:rPr>
              <w:t>4.3 Characteristics of the studies</w:t>
            </w:r>
            <w:r>
              <w:rPr>
                <w:noProof/>
                <w:webHidden/>
              </w:rPr>
              <w:tab/>
            </w:r>
            <w:r>
              <w:rPr>
                <w:noProof/>
                <w:webHidden/>
              </w:rPr>
              <w:fldChar w:fldCharType="begin"/>
            </w:r>
            <w:r>
              <w:rPr>
                <w:noProof/>
                <w:webHidden/>
              </w:rPr>
              <w:instrText xml:space="preserve"> PAGEREF _Toc220759512 \h </w:instrText>
            </w:r>
            <w:r>
              <w:rPr>
                <w:noProof/>
                <w:webHidden/>
              </w:rPr>
            </w:r>
            <w:r>
              <w:rPr>
                <w:noProof/>
                <w:webHidden/>
              </w:rPr>
              <w:fldChar w:fldCharType="separate"/>
            </w:r>
            <w:r>
              <w:rPr>
                <w:noProof/>
                <w:webHidden/>
              </w:rPr>
              <w:t>45</w:t>
            </w:r>
            <w:r>
              <w:rPr>
                <w:noProof/>
                <w:webHidden/>
              </w:rPr>
              <w:fldChar w:fldCharType="end"/>
            </w:r>
          </w:hyperlink>
        </w:p>
        <w:p w14:paraId="727904D7" w14:textId="707351F6" w:rsidR="00CE2F07" w:rsidRDefault="00CE2F07">
          <w:pPr>
            <w:pStyle w:val="TOC2"/>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513" w:history="1">
            <w:r w:rsidRPr="00DF5A72">
              <w:rPr>
                <w:rStyle w:val="Hyperlink"/>
                <w:noProof/>
                <w:lang w:val="en-GB"/>
              </w:rPr>
              <w:t>4.4 Data extraction/synthesis</w:t>
            </w:r>
            <w:r>
              <w:rPr>
                <w:noProof/>
                <w:webHidden/>
              </w:rPr>
              <w:tab/>
            </w:r>
            <w:r>
              <w:rPr>
                <w:noProof/>
                <w:webHidden/>
              </w:rPr>
              <w:fldChar w:fldCharType="begin"/>
            </w:r>
            <w:r>
              <w:rPr>
                <w:noProof/>
                <w:webHidden/>
              </w:rPr>
              <w:instrText xml:space="preserve"> PAGEREF _Toc220759513 \h </w:instrText>
            </w:r>
            <w:r>
              <w:rPr>
                <w:noProof/>
                <w:webHidden/>
              </w:rPr>
            </w:r>
            <w:r>
              <w:rPr>
                <w:noProof/>
                <w:webHidden/>
              </w:rPr>
              <w:fldChar w:fldCharType="separate"/>
            </w:r>
            <w:r>
              <w:rPr>
                <w:noProof/>
                <w:webHidden/>
              </w:rPr>
              <w:t>53</w:t>
            </w:r>
            <w:r>
              <w:rPr>
                <w:noProof/>
                <w:webHidden/>
              </w:rPr>
              <w:fldChar w:fldCharType="end"/>
            </w:r>
          </w:hyperlink>
        </w:p>
        <w:p w14:paraId="27BBB00F" w14:textId="3DE1862C" w:rsidR="00CE2F07" w:rsidRDefault="00CE2F07">
          <w:pPr>
            <w:pStyle w:val="TOC3"/>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514" w:history="1">
            <w:r w:rsidRPr="00DF5A72">
              <w:rPr>
                <w:rStyle w:val="Hyperlink"/>
                <w:noProof/>
                <w:lang w:val="en-GB"/>
              </w:rPr>
              <w:t>4.4.1 Theme 1- Regulatory compliance and governance is crucial for Clinical leadership to drive safety culture in healthcare sector of UK</w:t>
            </w:r>
            <w:r>
              <w:rPr>
                <w:noProof/>
                <w:webHidden/>
              </w:rPr>
              <w:tab/>
            </w:r>
            <w:r>
              <w:rPr>
                <w:noProof/>
                <w:webHidden/>
              </w:rPr>
              <w:fldChar w:fldCharType="begin"/>
            </w:r>
            <w:r>
              <w:rPr>
                <w:noProof/>
                <w:webHidden/>
              </w:rPr>
              <w:instrText xml:space="preserve"> PAGEREF _Toc220759514 \h </w:instrText>
            </w:r>
            <w:r>
              <w:rPr>
                <w:noProof/>
                <w:webHidden/>
              </w:rPr>
            </w:r>
            <w:r>
              <w:rPr>
                <w:noProof/>
                <w:webHidden/>
              </w:rPr>
              <w:fldChar w:fldCharType="separate"/>
            </w:r>
            <w:r>
              <w:rPr>
                <w:noProof/>
                <w:webHidden/>
              </w:rPr>
              <w:t>53</w:t>
            </w:r>
            <w:r>
              <w:rPr>
                <w:noProof/>
                <w:webHidden/>
              </w:rPr>
              <w:fldChar w:fldCharType="end"/>
            </w:r>
          </w:hyperlink>
        </w:p>
        <w:p w14:paraId="665DE984" w14:textId="61147514" w:rsidR="00CE2F07" w:rsidRDefault="00CE2F07">
          <w:pPr>
            <w:pStyle w:val="TOC3"/>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515" w:history="1">
            <w:r w:rsidRPr="00DF5A72">
              <w:rPr>
                <w:rStyle w:val="Hyperlink"/>
                <w:noProof/>
                <w:lang w:val="en-GB"/>
              </w:rPr>
              <w:t>4.4.2 Theme 2- Transformational leadership in clinical setting assist in driving safety culture and positive perception of the healthcare workers in UK</w:t>
            </w:r>
            <w:r>
              <w:rPr>
                <w:noProof/>
                <w:webHidden/>
              </w:rPr>
              <w:tab/>
            </w:r>
            <w:r>
              <w:rPr>
                <w:noProof/>
                <w:webHidden/>
              </w:rPr>
              <w:fldChar w:fldCharType="begin"/>
            </w:r>
            <w:r>
              <w:rPr>
                <w:noProof/>
                <w:webHidden/>
              </w:rPr>
              <w:instrText xml:space="preserve"> PAGEREF _Toc220759515 \h </w:instrText>
            </w:r>
            <w:r>
              <w:rPr>
                <w:noProof/>
                <w:webHidden/>
              </w:rPr>
            </w:r>
            <w:r>
              <w:rPr>
                <w:noProof/>
                <w:webHidden/>
              </w:rPr>
              <w:fldChar w:fldCharType="separate"/>
            </w:r>
            <w:r>
              <w:rPr>
                <w:noProof/>
                <w:webHidden/>
              </w:rPr>
              <w:t>53</w:t>
            </w:r>
            <w:r>
              <w:rPr>
                <w:noProof/>
                <w:webHidden/>
              </w:rPr>
              <w:fldChar w:fldCharType="end"/>
            </w:r>
          </w:hyperlink>
        </w:p>
        <w:p w14:paraId="3BD46464" w14:textId="689EEDCC" w:rsidR="00CE2F07" w:rsidRDefault="00CE2F07">
          <w:pPr>
            <w:pStyle w:val="TOC3"/>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516" w:history="1">
            <w:r w:rsidRPr="00DF5A72">
              <w:rPr>
                <w:rStyle w:val="Hyperlink"/>
                <w:noProof/>
                <w:lang w:val="en-GB"/>
              </w:rPr>
              <w:t>4.4.3 Theme 3- Clinical negligence as a key factor of causing healthcare safety issues are caused by poor workforce behaviour, lowered tolerance of risk and higher expectation from clinical leadership</w:t>
            </w:r>
            <w:r>
              <w:rPr>
                <w:noProof/>
                <w:webHidden/>
              </w:rPr>
              <w:tab/>
            </w:r>
            <w:r>
              <w:rPr>
                <w:noProof/>
                <w:webHidden/>
              </w:rPr>
              <w:fldChar w:fldCharType="begin"/>
            </w:r>
            <w:r>
              <w:rPr>
                <w:noProof/>
                <w:webHidden/>
              </w:rPr>
              <w:instrText xml:space="preserve"> PAGEREF _Toc220759516 \h </w:instrText>
            </w:r>
            <w:r>
              <w:rPr>
                <w:noProof/>
                <w:webHidden/>
              </w:rPr>
            </w:r>
            <w:r>
              <w:rPr>
                <w:noProof/>
                <w:webHidden/>
              </w:rPr>
              <w:fldChar w:fldCharType="separate"/>
            </w:r>
            <w:r>
              <w:rPr>
                <w:noProof/>
                <w:webHidden/>
              </w:rPr>
              <w:t>54</w:t>
            </w:r>
            <w:r>
              <w:rPr>
                <w:noProof/>
                <w:webHidden/>
              </w:rPr>
              <w:fldChar w:fldCharType="end"/>
            </w:r>
          </w:hyperlink>
        </w:p>
        <w:p w14:paraId="5E1C1855" w14:textId="3C0128C4" w:rsidR="00CE2F07" w:rsidRDefault="00CE2F07">
          <w:pPr>
            <w:pStyle w:val="TOC3"/>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517" w:history="1">
            <w:r w:rsidRPr="00DF5A72">
              <w:rPr>
                <w:rStyle w:val="Hyperlink"/>
                <w:noProof/>
                <w:lang w:val="en-GB"/>
              </w:rPr>
              <w:t>4.4.4 Theme 4- Adopting defensive leadership, leadership training and development are crucial of improving clinical leadership competency and improve safety culture of the UK Hospitals</w:t>
            </w:r>
            <w:r>
              <w:rPr>
                <w:noProof/>
                <w:webHidden/>
              </w:rPr>
              <w:tab/>
            </w:r>
            <w:r>
              <w:rPr>
                <w:noProof/>
                <w:webHidden/>
              </w:rPr>
              <w:fldChar w:fldCharType="begin"/>
            </w:r>
            <w:r>
              <w:rPr>
                <w:noProof/>
                <w:webHidden/>
              </w:rPr>
              <w:instrText xml:space="preserve"> PAGEREF _Toc220759517 \h </w:instrText>
            </w:r>
            <w:r>
              <w:rPr>
                <w:noProof/>
                <w:webHidden/>
              </w:rPr>
            </w:r>
            <w:r>
              <w:rPr>
                <w:noProof/>
                <w:webHidden/>
              </w:rPr>
              <w:fldChar w:fldCharType="separate"/>
            </w:r>
            <w:r>
              <w:rPr>
                <w:noProof/>
                <w:webHidden/>
              </w:rPr>
              <w:t>54</w:t>
            </w:r>
            <w:r>
              <w:rPr>
                <w:noProof/>
                <w:webHidden/>
              </w:rPr>
              <w:fldChar w:fldCharType="end"/>
            </w:r>
          </w:hyperlink>
        </w:p>
        <w:p w14:paraId="76DE6412" w14:textId="0A1299CA" w:rsidR="00CE2F07" w:rsidRDefault="00CE2F07">
          <w:pPr>
            <w:pStyle w:val="TOC3"/>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518" w:history="1">
            <w:r w:rsidRPr="00DF5A72">
              <w:rPr>
                <w:rStyle w:val="Hyperlink"/>
                <w:noProof/>
                <w:lang w:val="en-GB"/>
              </w:rPr>
              <w:t>4.4.5 Discuss the themes</w:t>
            </w:r>
            <w:r>
              <w:rPr>
                <w:noProof/>
                <w:webHidden/>
              </w:rPr>
              <w:tab/>
            </w:r>
            <w:r>
              <w:rPr>
                <w:noProof/>
                <w:webHidden/>
              </w:rPr>
              <w:fldChar w:fldCharType="begin"/>
            </w:r>
            <w:r>
              <w:rPr>
                <w:noProof/>
                <w:webHidden/>
              </w:rPr>
              <w:instrText xml:space="preserve"> PAGEREF _Toc220759518 \h </w:instrText>
            </w:r>
            <w:r>
              <w:rPr>
                <w:noProof/>
                <w:webHidden/>
              </w:rPr>
            </w:r>
            <w:r>
              <w:rPr>
                <w:noProof/>
                <w:webHidden/>
              </w:rPr>
              <w:fldChar w:fldCharType="separate"/>
            </w:r>
            <w:r>
              <w:rPr>
                <w:noProof/>
                <w:webHidden/>
              </w:rPr>
              <w:t>55</w:t>
            </w:r>
            <w:r>
              <w:rPr>
                <w:noProof/>
                <w:webHidden/>
              </w:rPr>
              <w:fldChar w:fldCharType="end"/>
            </w:r>
          </w:hyperlink>
        </w:p>
        <w:p w14:paraId="4CB1F5A8" w14:textId="241DAEA0" w:rsidR="00CE2F07" w:rsidRDefault="00CE2F07">
          <w:pPr>
            <w:pStyle w:val="TOC2"/>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519" w:history="1">
            <w:r w:rsidRPr="00DF5A72">
              <w:rPr>
                <w:rStyle w:val="Hyperlink"/>
                <w:noProof/>
                <w:lang w:val="en-GB"/>
              </w:rPr>
              <w:t>4.5 Summary of your main findings</w:t>
            </w:r>
            <w:r>
              <w:rPr>
                <w:noProof/>
                <w:webHidden/>
              </w:rPr>
              <w:tab/>
            </w:r>
            <w:r>
              <w:rPr>
                <w:noProof/>
                <w:webHidden/>
              </w:rPr>
              <w:fldChar w:fldCharType="begin"/>
            </w:r>
            <w:r>
              <w:rPr>
                <w:noProof/>
                <w:webHidden/>
              </w:rPr>
              <w:instrText xml:space="preserve"> PAGEREF _Toc220759519 \h </w:instrText>
            </w:r>
            <w:r>
              <w:rPr>
                <w:noProof/>
                <w:webHidden/>
              </w:rPr>
            </w:r>
            <w:r>
              <w:rPr>
                <w:noProof/>
                <w:webHidden/>
              </w:rPr>
              <w:fldChar w:fldCharType="separate"/>
            </w:r>
            <w:r>
              <w:rPr>
                <w:noProof/>
                <w:webHidden/>
              </w:rPr>
              <w:t>57</w:t>
            </w:r>
            <w:r>
              <w:rPr>
                <w:noProof/>
                <w:webHidden/>
              </w:rPr>
              <w:fldChar w:fldCharType="end"/>
            </w:r>
          </w:hyperlink>
        </w:p>
        <w:p w14:paraId="622A1641" w14:textId="7FC8BE09" w:rsidR="00CE2F07" w:rsidRDefault="00CE2F07">
          <w:pPr>
            <w:pStyle w:val="TOC2"/>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520" w:history="1">
            <w:r w:rsidRPr="00DF5A72">
              <w:rPr>
                <w:rStyle w:val="Hyperlink"/>
                <w:noProof/>
                <w:lang w:val="en-GB"/>
              </w:rPr>
              <w:t>4.6 Conclusion</w:t>
            </w:r>
            <w:r>
              <w:rPr>
                <w:noProof/>
                <w:webHidden/>
              </w:rPr>
              <w:tab/>
            </w:r>
            <w:r>
              <w:rPr>
                <w:noProof/>
                <w:webHidden/>
              </w:rPr>
              <w:fldChar w:fldCharType="begin"/>
            </w:r>
            <w:r>
              <w:rPr>
                <w:noProof/>
                <w:webHidden/>
              </w:rPr>
              <w:instrText xml:space="preserve"> PAGEREF _Toc220759520 \h </w:instrText>
            </w:r>
            <w:r>
              <w:rPr>
                <w:noProof/>
                <w:webHidden/>
              </w:rPr>
            </w:r>
            <w:r>
              <w:rPr>
                <w:noProof/>
                <w:webHidden/>
              </w:rPr>
              <w:fldChar w:fldCharType="separate"/>
            </w:r>
            <w:r>
              <w:rPr>
                <w:noProof/>
                <w:webHidden/>
              </w:rPr>
              <w:t>57</w:t>
            </w:r>
            <w:r>
              <w:rPr>
                <w:noProof/>
                <w:webHidden/>
              </w:rPr>
              <w:fldChar w:fldCharType="end"/>
            </w:r>
          </w:hyperlink>
        </w:p>
        <w:p w14:paraId="03A4AEDB" w14:textId="5C688B87" w:rsidR="00CE2F07" w:rsidRDefault="00CE2F07">
          <w:pPr>
            <w:pStyle w:val="TOC1"/>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521" w:history="1">
            <w:r w:rsidRPr="00DF5A72">
              <w:rPr>
                <w:rStyle w:val="Hyperlink"/>
                <w:noProof/>
                <w:lang w:val="en-GB"/>
              </w:rPr>
              <w:t>Chapter 5- Discussion and conclusion</w:t>
            </w:r>
            <w:r>
              <w:rPr>
                <w:noProof/>
                <w:webHidden/>
              </w:rPr>
              <w:tab/>
            </w:r>
            <w:r>
              <w:rPr>
                <w:noProof/>
                <w:webHidden/>
              </w:rPr>
              <w:fldChar w:fldCharType="begin"/>
            </w:r>
            <w:r>
              <w:rPr>
                <w:noProof/>
                <w:webHidden/>
              </w:rPr>
              <w:instrText xml:space="preserve"> PAGEREF _Toc220759521 \h </w:instrText>
            </w:r>
            <w:r>
              <w:rPr>
                <w:noProof/>
                <w:webHidden/>
              </w:rPr>
            </w:r>
            <w:r>
              <w:rPr>
                <w:noProof/>
                <w:webHidden/>
              </w:rPr>
              <w:fldChar w:fldCharType="separate"/>
            </w:r>
            <w:r>
              <w:rPr>
                <w:noProof/>
                <w:webHidden/>
              </w:rPr>
              <w:t>57</w:t>
            </w:r>
            <w:r>
              <w:rPr>
                <w:noProof/>
                <w:webHidden/>
              </w:rPr>
              <w:fldChar w:fldCharType="end"/>
            </w:r>
          </w:hyperlink>
        </w:p>
        <w:p w14:paraId="5FD4C8F8" w14:textId="50E7B662" w:rsidR="00CE2F07" w:rsidRDefault="00CE2F07">
          <w:pPr>
            <w:pStyle w:val="TOC2"/>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522" w:history="1">
            <w:r w:rsidRPr="00DF5A72">
              <w:rPr>
                <w:rStyle w:val="Hyperlink"/>
                <w:noProof/>
                <w:lang w:val="en-GB"/>
              </w:rPr>
              <w:t>5.1 Introduction</w:t>
            </w:r>
            <w:r>
              <w:rPr>
                <w:noProof/>
                <w:webHidden/>
              </w:rPr>
              <w:tab/>
            </w:r>
            <w:r>
              <w:rPr>
                <w:noProof/>
                <w:webHidden/>
              </w:rPr>
              <w:fldChar w:fldCharType="begin"/>
            </w:r>
            <w:r>
              <w:rPr>
                <w:noProof/>
                <w:webHidden/>
              </w:rPr>
              <w:instrText xml:space="preserve"> PAGEREF _Toc220759522 \h </w:instrText>
            </w:r>
            <w:r>
              <w:rPr>
                <w:noProof/>
                <w:webHidden/>
              </w:rPr>
            </w:r>
            <w:r>
              <w:rPr>
                <w:noProof/>
                <w:webHidden/>
              </w:rPr>
              <w:fldChar w:fldCharType="separate"/>
            </w:r>
            <w:r>
              <w:rPr>
                <w:noProof/>
                <w:webHidden/>
              </w:rPr>
              <w:t>57</w:t>
            </w:r>
            <w:r>
              <w:rPr>
                <w:noProof/>
                <w:webHidden/>
              </w:rPr>
              <w:fldChar w:fldCharType="end"/>
            </w:r>
          </w:hyperlink>
        </w:p>
        <w:p w14:paraId="012EC1E4" w14:textId="6F949F9F" w:rsidR="00CE2F07" w:rsidRDefault="00CE2F07">
          <w:pPr>
            <w:pStyle w:val="TOC2"/>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523" w:history="1">
            <w:r w:rsidRPr="00DF5A72">
              <w:rPr>
                <w:rStyle w:val="Hyperlink"/>
                <w:noProof/>
                <w:lang w:val="en-GB"/>
              </w:rPr>
              <w:t>5. 2 Discussion: main body</w:t>
            </w:r>
            <w:r>
              <w:rPr>
                <w:noProof/>
                <w:webHidden/>
              </w:rPr>
              <w:tab/>
            </w:r>
            <w:r>
              <w:rPr>
                <w:noProof/>
                <w:webHidden/>
              </w:rPr>
              <w:fldChar w:fldCharType="begin"/>
            </w:r>
            <w:r>
              <w:rPr>
                <w:noProof/>
                <w:webHidden/>
              </w:rPr>
              <w:instrText xml:space="preserve"> PAGEREF _Toc220759523 \h </w:instrText>
            </w:r>
            <w:r>
              <w:rPr>
                <w:noProof/>
                <w:webHidden/>
              </w:rPr>
            </w:r>
            <w:r>
              <w:rPr>
                <w:noProof/>
                <w:webHidden/>
              </w:rPr>
              <w:fldChar w:fldCharType="separate"/>
            </w:r>
            <w:r>
              <w:rPr>
                <w:noProof/>
                <w:webHidden/>
              </w:rPr>
              <w:t>58</w:t>
            </w:r>
            <w:r>
              <w:rPr>
                <w:noProof/>
                <w:webHidden/>
              </w:rPr>
              <w:fldChar w:fldCharType="end"/>
            </w:r>
          </w:hyperlink>
        </w:p>
        <w:p w14:paraId="79D0FB9A" w14:textId="61469E19" w:rsidR="00CE2F07" w:rsidRDefault="00CE2F07">
          <w:pPr>
            <w:pStyle w:val="TOC2"/>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524" w:history="1">
            <w:r w:rsidRPr="00DF5A72">
              <w:rPr>
                <w:rStyle w:val="Hyperlink"/>
                <w:noProof/>
                <w:lang w:val="en-GB"/>
              </w:rPr>
              <w:t>5.2.1 Systematic database search</w:t>
            </w:r>
            <w:r>
              <w:rPr>
                <w:noProof/>
                <w:webHidden/>
              </w:rPr>
              <w:tab/>
            </w:r>
            <w:r>
              <w:rPr>
                <w:noProof/>
                <w:webHidden/>
              </w:rPr>
              <w:fldChar w:fldCharType="begin"/>
            </w:r>
            <w:r>
              <w:rPr>
                <w:noProof/>
                <w:webHidden/>
              </w:rPr>
              <w:instrText xml:space="preserve"> PAGEREF _Toc220759524 \h </w:instrText>
            </w:r>
            <w:r>
              <w:rPr>
                <w:noProof/>
                <w:webHidden/>
              </w:rPr>
            </w:r>
            <w:r>
              <w:rPr>
                <w:noProof/>
                <w:webHidden/>
              </w:rPr>
              <w:fldChar w:fldCharType="separate"/>
            </w:r>
            <w:r>
              <w:rPr>
                <w:noProof/>
                <w:webHidden/>
              </w:rPr>
              <w:t>58</w:t>
            </w:r>
            <w:r>
              <w:rPr>
                <w:noProof/>
                <w:webHidden/>
              </w:rPr>
              <w:fldChar w:fldCharType="end"/>
            </w:r>
          </w:hyperlink>
        </w:p>
        <w:p w14:paraId="6151307D" w14:textId="4FDBE77F" w:rsidR="00CE2F07" w:rsidRDefault="00CE2F07">
          <w:pPr>
            <w:pStyle w:val="TOC2"/>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525" w:history="1">
            <w:r w:rsidRPr="00DF5A72">
              <w:rPr>
                <w:rStyle w:val="Hyperlink"/>
                <w:noProof/>
                <w:lang w:val="en-GB"/>
              </w:rPr>
              <w:t>5.2.2 Data characteristics</w:t>
            </w:r>
            <w:r>
              <w:rPr>
                <w:noProof/>
                <w:webHidden/>
              </w:rPr>
              <w:tab/>
            </w:r>
            <w:r>
              <w:rPr>
                <w:noProof/>
                <w:webHidden/>
              </w:rPr>
              <w:fldChar w:fldCharType="begin"/>
            </w:r>
            <w:r>
              <w:rPr>
                <w:noProof/>
                <w:webHidden/>
              </w:rPr>
              <w:instrText xml:space="preserve"> PAGEREF _Toc220759525 \h </w:instrText>
            </w:r>
            <w:r>
              <w:rPr>
                <w:noProof/>
                <w:webHidden/>
              </w:rPr>
            </w:r>
            <w:r>
              <w:rPr>
                <w:noProof/>
                <w:webHidden/>
              </w:rPr>
              <w:fldChar w:fldCharType="separate"/>
            </w:r>
            <w:r>
              <w:rPr>
                <w:noProof/>
                <w:webHidden/>
              </w:rPr>
              <w:t>58</w:t>
            </w:r>
            <w:r>
              <w:rPr>
                <w:noProof/>
                <w:webHidden/>
              </w:rPr>
              <w:fldChar w:fldCharType="end"/>
            </w:r>
          </w:hyperlink>
        </w:p>
        <w:p w14:paraId="02BE2639" w14:textId="168BAE11" w:rsidR="00CE2F07" w:rsidRDefault="00CE2F07">
          <w:pPr>
            <w:pStyle w:val="TOC2"/>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526" w:history="1">
            <w:r w:rsidRPr="00DF5A72">
              <w:rPr>
                <w:rStyle w:val="Hyperlink"/>
                <w:noProof/>
                <w:lang w:val="en-GB"/>
              </w:rPr>
              <w:t>5.2.3 Synthesis of data</w:t>
            </w:r>
            <w:r>
              <w:rPr>
                <w:noProof/>
                <w:webHidden/>
              </w:rPr>
              <w:tab/>
            </w:r>
            <w:r>
              <w:rPr>
                <w:noProof/>
                <w:webHidden/>
              </w:rPr>
              <w:fldChar w:fldCharType="begin"/>
            </w:r>
            <w:r>
              <w:rPr>
                <w:noProof/>
                <w:webHidden/>
              </w:rPr>
              <w:instrText xml:space="preserve"> PAGEREF _Toc220759526 \h </w:instrText>
            </w:r>
            <w:r>
              <w:rPr>
                <w:noProof/>
                <w:webHidden/>
              </w:rPr>
            </w:r>
            <w:r>
              <w:rPr>
                <w:noProof/>
                <w:webHidden/>
              </w:rPr>
              <w:fldChar w:fldCharType="separate"/>
            </w:r>
            <w:r>
              <w:rPr>
                <w:noProof/>
                <w:webHidden/>
              </w:rPr>
              <w:t>73</w:t>
            </w:r>
            <w:r>
              <w:rPr>
                <w:noProof/>
                <w:webHidden/>
              </w:rPr>
              <w:fldChar w:fldCharType="end"/>
            </w:r>
          </w:hyperlink>
        </w:p>
        <w:p w14:paraId="53CD0104" w14:textId="57CF5D7A" w:rsidR="00CE2F07" w:rsidRDefault="00CE2F07">
          <w:pPr>
            <w:pStyle w:val="TOC2"/>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527" w:history="1">
            <w:r w:rsidRPr="00DF5A72">
              <w:rPr>
                <w:rStyle w:val="Hyperlink"/>
                <w:noProof/>
                <w:lang w:val="en-GB"/>
              </w:rPr>
              <w:t>5. 3 Critical evaluations of findings and study comparison</w:t>
            </w:r>
            <w:r>
              <w:rPr>
                <w:noProof/>
                <w:webHidden/>
              </w:rPr>
              <w:tab/>
            </w:r>
            <w:r>
              <w:rPr>
                <w:noProof/>
                <w:webHidden/>
              </w:rPr>
              <w:fldChar w:fldCharType="begin"/>
            </w:r>
            <w:r>
              <w:rPr>
                <w:noProof/>
                <w:webHidden/>
              </w:rPr>
              <w:instrText xml:space="preserve"> PAGEREF _Toc220759527 \h </w:instrText>
            </w:r>
            <w:r>
              <w:rPr>
                <w:noProof/>
                <w:webHidden/>
              </w:rPr>
            </w:r>
            <w:r>
              <w:rPr>
                <w:noProof/>
                <w:webHidden/>
              </w:rPr>
              <w:fldChar w:fldCharType="separate"/>
            </w:r>
            <w:r>
              <w:rPr>
                <w:noProof/>
                <w:webHidden/>
              </w:rPr>
              <w:t>74</w:t>
            </w:r>
            <w:r>
              <w:rPr>
                <w:noProof/>
                <w:webHidden/>
              </w:rPr>
              <w:fldChar w:fldCharType="end"/>
            </w:r>
          </w:hyperlink>
        </w:p>
        <w:p w14:paraId="7AACEC04" w14:textId="0359F961" w:rsidR="00CE2F07" w:rsidRDefault="00CE2F07">
          <w:pPr>
            <w:pStyle w:val="TOC2"/>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528" w:history="1">
            <w:r w:rsidRPr="00DF5A72">
              <w:rPr>
                <w:rStyle w:val="Hyperlink"/>
                <w:noProof/>
                <w:lang w:val="en-GB"/>
              </w:rPr>
              <w:t>5. 4 Implications and Future Research Needs</w:t>
            </w:r>
            <w:r>
              <w:rPr>
                <w:noProof/>
                <w:webHidden/>
              </w:rPr>
              <w:tab/>
            </w:r>
            <w:r>
              <w:rPr>
                <w:noProof/>
                <w:webHidden/>
              </w:rPr>
              <w:fldChar w:fldCharType="begin"/>
            </w:r>
            <w:r>
              <w:rPr>
                <w:noProof/>
                <w:webHidden/>
              </w:rPr>
              <w:instrText xml:space="preserve"> PAGEREF _Toc220759528 \h </w:instrText>
            </w:r>
            <w:r>
              <w:rPr>
                <w:noProof/>
                <w:webHidden/>
              </w:rPr>
            </w:r>
            <w:r>
              <w:rPr>
                <w:noProof/>
                <w:webHidden/>
              </w:rPr>
              <w:fldChar w:fldCharType="separate"/>
            </w:r>
            <w:r>
              <w:rPr>
                <w:noProof/>
                <w:webHidden/>
              </w:rPr>
              <w:t>76</w:t>
            </w:r>
            <w:r>
              <w:rPr>
                <w:noProof/>
                <w:webHidden/>
              </w:rPr>
              <w:fldChar w:fldCharType="end"/>
            </w:r>
          </w:hyperlink>
        </w:p>
        <w:p w14:paraId="56E74612" w14:textId="51F6279A" w:rsidR="00CE2F07" w:rsidRDefault="00CE2F07">
          <w:pPr>
            <w:pStyle w:val="TOC2"/>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529" w:history="1">
            <w:r w:rsidRPr="00DF5A72">
              <w:rPr>
                <w:rStyle w:val="Hyperlink"/>
                <w:noProof/>
                <w:lang w:val="en-GB"/>
              </w:rPr>
              <w:t>5. 5 Strengths and Limitations/bias</w:t>
            </w:r>
            <w:r>
              <w:rPr>
                <w:noProof/>
                <w:webHidden/>
              </w:rPr>
              <w:tab/>
            </w:r>
            <w:r>
              <w:rPr>
                <w:noProof/>
                <w:webHidden/>
              </w:rPr>
              <w:fldChar w:fldCharType="begin"/>
            </w:r>
            <w:r>
              <w:rPr>
                <w:noProof/>
                <w:webHidden/>
              </w:rPr>
              <w:instrText xml:space="preserve"> PAGEREF _Toc220759529 \h </w:instrText>
            </w:r>
            <w:r>
              <w:rPr>
                <w:noProof/>
                <w:webHidden/>
              </w:rPr>
            </w:r>
            <w:r>
              <w:rPr>
                <w:noProof/>
                <w:webHidden/>
              </w:rPr>
              <w:fldChar w:fldCharType="separate"/>
            </w:r>
            <w:r>
              <w:rPr>
                <w:noProof/>
                <w:webHidden/>
              </w:rPr>
              <w:t>76</w:t>
            </w:r>
            <w:r>
              <w:rPr>
                <w:noProof/>
                <w:webHidden/>
              </w:rPr>
              <w:fldChar w:fldCharType="end"/>
            </w:r>
          </w:hyperlink>
        </w:p>
        <w:p w14:paraId="0177FAAF" w14:textId="7E07BF90" w:rsidR="00CE2F07" w:rsidRDefault="00CE2F07">
          <w:pPr>
            <w:pStyle w:val="TOC2"/>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530" w:history="1">
            <w:r w:rsidRPr="00DF5A72">
              <w:rPr>
                <w:rStyle w:val="Hyperlink"/>
                <w:noProof/>
                <w:lang w:val="en-GB"/>
              </w:rPr>
              <w:t>5.6 Conclusion and recommendation</w:t>
            </w:r>
            <w:r>
              <w:rPr>
                <w:noProof/>
                <w:webHidden/>
              </w:rPr>
              <w:tab/>
            </w:r>
            <w:r>
              <w:rPr>
                <w:noProof/>
                <w:webHidden/>
              </w:rPr>
              <w:fldChar w:fldCharType="begin"/>
            </w:r>
            <w:r>
              <w:rPr>
                <w:noProof/>
                <w:webHidden/>
              </w:rPr>
              <w:instrText xml:space="preserve"> PAGEREF _Toc220759530 \h </w:instrText>
            </w:r>
            <w:r>
              <w:rPr>
                <w:noProof/>
                <w:webHidden/>
              </w:rPr>
            </w:r>
            <w:r>
              <w:rPr>
                <w:noProof/>
                <w:webHidden/>
              </w:rPr>
              <w:fldChar w:fldCharType="separate"/>
            </w:r>
            <w:r>
              <w:rPr>
                <w:noProof/>
                <w:webHidden/>
              </w:rPr>
              <w:t>76</w:t>
            </w:r>
            <w:r>
              <w:rPr>
                <w:noProof/>
                <w:webHidden/>
              </w:rPr>
              <w:fldChar w:fldCharType="end"/>
            </w:r>
          </w:hyperlink>
        </w:p>
        <w:p w14:paraId="72D8AC64" w14:textId="44C36015" w:rsidR="00CE2F07" w:rsidRDefault="00CE2F07">
          <w:pPr>
            <w:pStyle w:val="TOC3"/>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531" w:history="1">
            <w:r w:rsidRPr="00DF5A72">
              <w:rPr>
                <w:rStyle w:val="Hyperlink"/>
                <w:noProof/>
                <w:lang w:val="en-GB"/>
              </w:rPr>
              <w:t>5.6. 1 Concluding the final implication</w:t>
            </w:r>
            <w:r>
              <w:rPr>
                <w:noProof/>
                <w:webHidden/>
              </w:rPr>
              <w:tab/>
            </w:r>
            <w:r>
              <w:rPr>
                <w:noProof/>
                <w:webHidden/>
              </w:rPr>
              <w:fldChar w:fldCharType="begin"/>
            </w:r>
            <w:r>
              <w:rPr>
                <w:noProof/>
                <w:webHidden/>
              </w:rPr>
              <w:instrText xml:space="preserve"> PAGEREF _Toc220759531 \h </w:instrText>
            </w:r>
            <w:r>
              <w:rPr>
                <w:noProof/>
                <w:webHidden/>
              </w:rPr>
            </w:r>
            <w:r>
              <w:rPr>
                <w:noProof/>
                <w:webHidden/>
              </w:rPr>
              <w:fldChar w:fldCharType="separate"/>
            </w:r>
            <w:r>
              <w:rPr>
                <w:noProof/>
                <w:webHidden/>
              </w:rPr>
              <w:t>76</w:t>
            </w:r>
            <w:r>
              <w:rPr>
                <w:noProof/>
                <w:webHidden/>
              </w:rPr>
              <w:fldChar w:fldCharType="end"/>
            </w:r>
          </w:hyperlink>
        </w:p>
        <w:p w14:paraId="7D5A6798" w14:textId="28E4093A" w:rsidR="00CE2F07" w:rsidRDefault="00CE2F07">
          <w:pPr>
            <w:pStyle w:val="TOC3"/>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532" w:history="1">
            <w:r w:rsidRPr="00DF5A72">
              <w:rPr>
                <w:rStyle w:val="Hyperlink"/>
                <w:noProof/>
                <w:lang w:val="en-GB"/>
              </w:rPr>
              <w:t>5.6.2 Linking with objectives</w:t>
            </w:r>
            <w:r>
              <w:rPr>
                <w:noProof/>
                <w:webHidden/>
              </w:rPr>
              <w:tab/>
            </w:r>
            <w:r>
              <w:rPr>
                <w:noProof/>
                <w:webHidden/>
              </w:rPr>
              <w:fldChar w:fldCharType="begin"/>
            </w:r>
            <w:r>
              <w:rPr>
                <w:noProof/>
                <w:webHidden/>
              </w:rPr>
              <w:instrText xml:space="preserve"> PAGEREF _Toc220759532 \h </w:instrText>
            </w:r>
            <w:r>
              <w:rPr>
                <w:noProof/>
                <w:webHidden/>
              </w:rPr>
            </w:r>
            <w:r>
              <w:rPr>
                <w:noProof/>
                <w:webHidden/>
              </w:rPr>
              <w:fldChar w:fldCharType="separate"/>
            </w:r>
            <w:r>
              <w:rPr>
                <w:noProof/>
                <w:webHidden/>
              </w:rPr>
              <w:t>78</w:t>
            </w:r>
            <w:r>
              <w:rPr>
                <w:noProof/>
                <w:webHidden/>
              </w:rPr>
              <w:fldChar w:fldCharType="end"/>
            </w:r>
          </w:hyperlink>
        </w:p>
        <w:p w14:paraId="104533EC" w14:textId="4F93E1CF" w:rsidR="00CE2F07" w:rsidRDefault="00CE2F07">
          <w:pPr>
            <w:pStyle w:val="TOC3"/>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533" w:history="1">
            <w:r w:rsidRPr="00DF5A72">
              <w:rPr>
                <w:rStyle w:val="Hyperlink"/>
                <w:noProof/>
                <w:lang w:val="en-GB"/>
              </w:rPr>
              <w:t>5.6.3 Recommendations</w:t>
            </w:r>
            <w:r>
              <w:rPr>
                <w:noProof/>
                <w:webHidden/>
              </w:rPr>
              <w:tab/>
            </w:r>
            <w:r>
              <w:rPr>
                <w:noProof/>
                <w:webHidden/>
              </w:rPr>
              <w:fldChar w:fldCharType="begin"/>
            </w:r>
            <w:r>
              <w:rPr>
                <w:noProof/>
                <w:webHidden/>
              </w:rPr>
              <w:instrText xml:space="preserve"> PAGEREF _Toc220759533 \h </w:instrText>
            </w:r>
            <w:r>
              <w:rPr>
                <w:noProof/>
                <w:webHidden/>
              </w:rPr>
            </w:r>
            <w:r>
              <w:rPr>
                <w:noProof/>
                <w:webHidden/>
              </w:rPr>
              <w:fldChar w:fldCharType="separate"/>
            </w:r>
            <w:r>
              <w:rPr>
                <w:noProof/>
                <w:webHidden/>
              </w:rPr>
              <w:t>79</w:t>
            </w:r>
            <w:r>
              <w:rPr>
                <w:noProof/>
                <w:webHidden/>
              </w:rPr>
              <w:fldChar w:fldCharType="end"/>
            </w:r>
          </w:hyperlink>
        </w:p>
        <w:p w14:paraId="49E5A865" w14:textId="06538629" w:rsidR="00CE2F07" w:rsidRDefault="00CE2F07">
          <w:pPr>
            <w:pStyle w:val="TOC3"/>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534" w:history="1">
            <w:r w:rsidRPr="00DF5A72">
              <w:rPr>
                <w:rStyle w:val="Hyperlink"/>
                <w:noProof/>
                <w:lang w:val="en-GB"/>
              </w:rPr>
              <w:t>5.6.4 Limitations</w:t>
            </w:r>
            <w:r>
              <w:rPr>
                <w:noProof/>
                <w:webHidden/>
              </w:rPr>
              <w:tab/>
            </w:r>
            <w:r>
              <w:rPr>
                <w:noProof/>
                <w:webHidden/>
              </w:rPr>
              <w:fldChar w:fldCharType="begin"/>
            </w:r>
            <w:r>
              <w:rPr>
                <w:noProof/>
                <w:webHidden/>
              </w:rPr>
              <w:instrText xml:space="preserve"> PAGEREF _Toc220759534 \h </w:instrText>
            </w:r>
            <w:r>
              <w:rPr>
                <w:noProof/>
                <w:webHidden/>
              </w:rPr>
            </w:r>
            <w:r>
              <w:rPr>
                <w:noProof/>
                <w:webHidden/>
              </w:rPr>
              <w:fldChar w:fldCharType="separate"/>
            </w:r>
            <w:r>
              <w:rPr>
                <w:noProof/>
                <w:webHidden/>
              </w:rPr>
              <w:t>80</w:t>
            </w:r>
            <w:r>
              <w:rPr>
                <w:noProof/>
                <w:webHidden/>
              </w:rPr>
              <w:fldChar w:fldCharType="end"/>
            </w:r>
          </w:hyperlink>
        </w:p>
        <w:p w14:paraId="0A7A055C" w14:textId="57270BF6" w:rsidR="00CE2F07" w:rsidRDefault="00CE2F07">
          <w:pPr>
            <w:pStyle w:val="TOC3"/>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535" w:history="1">
            <w:r w:rsidRPr="00DF5A72">
              <w:rPr>
                <w:rStyle w:val="Hyperlink"/>
                <w:noProof/>
                <w:lang w:val="en-GB"/>
              </w:rPr>
              <w:t>5.6.5 Future Scope</w:t>
            </w:r>
            <w:r>
              <w:rPr>
                <w:noProof/>
                <w:webHidden/>
              </w:rPr>
              <w:tab/>
            </w:r>
            <w:r>
              <w:rPr>
                <w:noProof/>
                <w:webHidden/>
              </w:rPr>
              <w:fldChar w:fldCharType="begin"/>
            </w:r>
            <w:r>
              <w:rPr>
                <w:noProof/>
                <w:webHidden/>
              </w:rPr>
              <w:instrText xml:space="preserve"> PAGEREF _Toc220759535 \h </w:instrText>
            </w:r>
            <w:r>
              <w:rPr>
                <w:noProof/>
                <w:webHidden/>
              </w:rPr>
            </w:r>
            <w:r>
              <w:rPr>
                <w:noProof/>
                <w:webHidden/>
              </w:rPr>
              <w:fldChar w:fldCharType="separate"/>
            </w:r>
            <w:r>
              <w:rPr>
                <w:noProof/>
                <w:webHidden/>
              </w:rPr>
              <w:t>80</w:t>
            </w:r>
            <w:r>
              <w:rPr>
                <w:noProof/>
                <w:webHidden/>
              </w:rPr>
              <w:fldChar w:fldCharType="end"/>
            </w:r>
          </w:hyperlink>
        </w:p>
        <w:p w14:paraId="062C45A9" w14:textId="539EDAB8" w:rsidR="00CE2F07" w:rsidRDefault="00CE2F07">
          <w:pPr>
            <w:pStyle w:val="TOC1"/>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536" w:history="1">
            <w:r w:rsidRPr="00DF5A72">
              <w:rPr>
                <w:rStyle w:val="Hyperlink"/>
                <w:noProof/>
                <w:lang w:val="en-GB"/>
              </w:rPr>
              <w:t>References</w:t>
            </w:r>
            <w:r>
              <w:rPr>
                <w:noProof/>
                <w:webHidden/>
              </w:rPr>
              <w:tab/>
            </w:r>
            <w:r>
              <w:rPr>
                <w:noProof/>
                <w:webHidden/>
              </w:rPr>
              <w:fldChar w:fldCharType="begin"/>
            </w:r>
            <w:r>
              <w:rPr>
                <w:noProof/>
                <w:webHidden/>
              </w:rPr>
              <w:instrText xml:space="preserve"> PAGEREF _Toc220759536 \h </w:instrText>
            </w:r>
            <w:r>
              <w:rPr>
                <w:noProof/>
                <w:webHidden/>
              </w:rPr>
            </w:r>
            <w:r>
              <w:rPr>
                <w:noProof/>
                <w:webHidden/>
              </w:rPr>
              <w:fldChar w:fldCharType="separate"/>
            </w:r>
            <w:r>
              <w:rPr>
                <w:noProof/>
                <w:webHidden/>
              </w:rPr>
              <w:t>81</w:t>
            </w:r>
            <w:r>
              <w:rPr>
                <w:noProof/>
                <w:webHidden/>
              </w:rPr>
              <w:fldChar w:fldCharType="end"/>
            </w:r>
          </w:hyperlink>
        </w:p>
        <w:p w14:paraId="6B791073" w14:textId="0C923C5F" w:rsidR="00CE2F07" w:rsidRDefault="00CE2F07">
          <w:pPr>
            <w:pStyle w:val="TOC1"/>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537" w:history="1">
            <w:r w:rsidRPr="00DF5A72">
              <w:rPr>
                <w:rStyle w:val="Hyperlink"/>
                <w:noProof/>
                <w:lang w:val="en-GB"/>
              </w:rPr>
              <w:t>Appendix 1: CASP</w:t>
            </w:r>
            <w:r>
              <w:rPr>
                <w:noProof/>
                <w:webHidden/>
              </w:rPr>
              <w:tab/>
            </w:r>
            <w:r>
              <w:rPr>
                <w:noProof/>
                <w:webHidden/>
              </w:rPr>
              <w:fldChar w:fldCharType="begin"/>
            </w:r>
            <w:r>
              <w:rPr>
                <w:noProof/>
                <w:webHidden/>
              </w:rPr>
              <w:instrText xml:space="preserve"> PAGEREF _Toc220759537 \h </w:instrText>
            </w:r>
            <w:r>
              <w:rPr>
                <w:noProof/>
                <w:webHidden/>
              </w:rPr>
            </w:r>
            <w:r>
              <w:rPr>
                <w:noProof/>
                <w:webHidden/>
              </w:rPr>
              <w:fldChar w:fldCharType="separate"/>
            </w:r>
            <w:r>
              <w:rPr>
                <w:noProof/>
                <w:webHidden/>
              </w:rPr>
              <w:t>93</w:t>
            </w:r>
            <w:r>
              <w:rPr>
                <w:noProof/>
                <w:webHidden/>
              </w:rPr>
              <w:fldChar w:fldCharType="end"/>
            </w:r>
          </w:hyperlink>
        </w:p>
        <w:p w14:paraId="1E79047D" w14:textId="0DE01B95" w:rsidR="00CE2F07" w:rsidRDefault="00CE2F07">
          <w:pPr>
            <w:pStyle w:val="TOC2"/>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538" w:history="1">
            <w:r w:rsidRPr="00DF5A72">
              <w:rPr>
                <w:rStyle w:val="Hyperlink"/>
                <w:noProof/>
                <w:highlight w:val="white"/>
                <w:lang w:val="en-GB"/>
              </w:rPr>
              <w:t>Appendix</w:t>
            </w:r>
            <w:r w:rsidRPr="00DF5A72">
              <w:rPr>
                <w:rStyle w:val="Hyperlink"/>
                <w:noProof/>
                <w:lang w:val="en-GB"/>
              </w:rPr>
              <w:t xml:space="preserve"> 2- Quantitative study</w:t>
            </w:r>
            <w:r>
              <w:rPr>
                <w:noProof/>
                <w:webHidden/>
              </w:rPr>
              <w:tab/>
            </w:r>
            <w:r>
              <w:rPr>
                <w:noProof/>
                <w:webHidden/>
              </w:rPr>
              <w:fldChar w:fldCharType="begin"/>
            </w:r>
            <w:r>
              <w:rPr>
                <w:noProof/>
                <w:webHidden/>
              </w:rPr>
              <w:instrText xml:space="preserve"> PAGEREF _Toc220759538 \h </w:instrText>
            </w:r>
            <w:r>
              <w:rPr>
                <w:noProof/>
                <w:webHidden/>
              </w:rPr>
            </w:r>
            <w:r>
              <w:rPr>
                <w:noProof/>
                <w:webHidden/>
              </w:rPr>
              <w:fldChar w:fldCharType="separate"/>
            </w:r>
            <w:r>
              <w:rPr>
                <w:noProof/>
                <w:webHidden/>
              </w:rPr>
              <w:t>98</w:t>
            </w:r>
            <w:r>
              <w:rPr>
                <w:noProof/>
                <w:webHidden/>
              </w:rPr>
              <w:fldChar w:fldCharType="end"/>
            </w:r>
          </w:hyperlink>
        </w:p>
        <w:p w14:paraId="23ADFADD" w14:textId="2AD3E710" w:rsidR="00CE2F07" w:rsidRDefault="00CE2F07">
          <w:pPr>
            <w:pStyle w:val="TOC2"/>
            <w:tabs>
              <w:tab w:val="right" w:pos="9350"/>
            </w:tabs>
            <w:rPr>
              <w:rFonts w:asciiTheme="minorHAnsi" w:eastAsiaTheme="minorEastAsia" w:hAnsiTheme="minorHAnsi" w:cstheme="minorBidi"/>
              <w:noProof/>
              <w:kern w:val="2"/>
              <w:sz w:val="24"/>
              <w:szCs w:val="24"/>
              <w:lang w:val="en-IN" w:eastAsia="en-IN"/>
              <w14:ligatures w14:val="standardContextual"/>
            </w:rPr>
          </w:pPr>
          <w:hyperlink w:anchor="_Toc220759539" w:history="1">
            <w:r w:rsidRPr="00DF5A72">
              <w:rPr>
                <w:rStyle w:val="Hyperlink"/>
                <w:i/>
                <w:iCs/>
                <w:noProof/>
                <w:lang w:val="en-GB"/>
              </w:rPr>
              <w:t xml:space="preserve">Appendix 3: </w:t>
            </w:r>
            <w:r w:rsidRPr="00DF5A72">
              <w:rPr>
                <w:rStyle w:val="Hyperlink"/>
                <w:noProof/>
                <w:lang w:val="en-GB"/>
              </w:rPr>
              <w:t>Qualitative study</w:t>
            </w:r>
            <w:r>
              <w:rPr>
                <w:noProof/>
                <w:webHidden/>
              </w:rPr>
              <w:tab/>
            </w:r>
            <w:r>
              <w:rPr>
                <w:noProof/>
                <w:webHidden/>
              </w:rPr>
              <w:fldChar w:fldCharType="begin"/>
            </w:r>
            <w:r>
              <w:rPr>
                <w:noProof/>
                <w:webHidden/>
              </w:rPr>
              <w:instrText xml:space="preserve"> PAGEREF _Toc220759539 \h </w:instrText>
            </w:r>
            <w:r>
              <w:rPr>
                <w:noProof/>
                <w:webHidden/>
              </w:rPr>
            </w:r>
            <w:r>
              <w:rPr>
                <w:noProof/>
                <w:webHidden/>
              </w:rPr>
              <w:fldChar w:fldCharType="separate"/>
            </w:r>
            <w:r>
              <w:rPr>
                <w:noProof/>
                <w:webHidden/>
              </w:rPr>
              <w:t>104</w:t>
            </w:r>
            <w:r>
              <w:rPr>
                <w:noProof/>
                <w:webHidden/>
              </w:rPr>
              <w:fldChar w:fldCharType="end"/>
            </w:r>
          </w:hyperlink>
        </w:p>
        <w:p w14:paraId="1C50C63B" w14:textId="647DC6C0" w:rsidR="00826870" w:rsidRPr="00820F7A" w:rsidRDefault="00B35016">
          <w:pPr>
            <w:pStyle w:val="Normal1"/>
            <w:pBdr>
              <w:top w:val="nil"/>
              <w:left w:val="nil"/>
              <w:bottom w:val="nil"/>
              <w:right w:val="nil"/>
              <w:between w:val="nil"/>
            </w:pBdr>
            <w:rPr>
              <w:color w:val="000000"/>
              <w:lang w:val="en-GB"/>
            </w:rPr>
          </w:pPr>
          <w:r w:rsidRPr="00820F7A">
            <w:rPr>
              <w:lang w:val="en-GB"/>
            </w:rPr>
            <w:fldChar w:fldCharType="end"/>
          </w:r>
        </w:p>
      </w:sdtContent>
    </w:sdt>
    <w:p w14:paraId="61D18A24" w14:textId="77777777" w:rsidR="00826870" w:rsidRPr="00820F7A" w:rsidRDefault="00B21388">
      <w:pPr>
        <w:pStyle w:val="Normal1"/>
        <w:pBdr>
          <w:top w:val="nil"/>
          <w:left w:val="nil"/>
          <w:bottom w:val="nil"/>
          <w:right w:val="nil"/>
          <w:between w:val="nil"/>
        </w:pBdr>
        <w:rPr>
          <w:b/>
          <w:bCs/>
          <w:color w:val="000000"/>
          <w:lang w:val="en-GB"/>
        </w:rPr>
      </w:pPr>
      <w:r w:rsidRPr="00820F7A">
        <w:rPr>
          <w:lang w:val="en-GB"/>
        </w:rPr>
        <w:br w:type="page"/>
      </w:r>
    </w:p>
    <w:p w14:paraId="3EAD7692" w14:textId="77777777" w:rsidR="00826870" w:rsidRPr="00820F7A" w:rsidRDefault="00B21388">
      <w:pPr>
        <w:pStyle w:val="Normal1"/>
        <w:pBdr>
          <w:top w:val="nil"/>
          <w:left w:val="nil"/>
          <w:bottom w:val="nil"/>
          <w:right w:val="nil"/>
          <w:between w:val="nil"/>
        </w:pBdr>
        <w:tabs>
          <w:tab w:val="right" w:pos="9350"/>
        </w:tabs>
        <w:jc w:val="center"/>
        <w:rPr>
          <w:b/>
          <w:bCs/>
          <w:color w:val="000000"/>
          <w:lang w:val="en-GB"/>
        </w:rPr>
      </w:pPr>
      <w:r w:rsidRPr="00820F7A">
        <w:rPr>
          <w:b/>
          <w:bCs/>
          <w:color w:val="000000"/>
          <w:lang w:val="en-GB"/>
        </w:rPr>
        <w:t>List of Figures</w:t>
      </w:r>
    </w:p>
    <w:sdt>
      <w:sdtPr>
        <w:rPr>
          <w:b/>
          <w:bCs/>
          <w:color w:val="000000"/>
          <w:lang w:val="en-GB"/>
        </w:rPr>
        <w:id w:val="-1615421870"/>
        <w:docPartObj>
          <w:docPartGallery w:val="Table of Contents"/>
          <w:docPartUnique/>
        </w:docPartObj>
      </w:sdtPr>
      <w:sdtEndPr/>
      <w:sdtContent>
        <w:p w14:paraId="1FAAA3AC" w14:textId="77777777" w:rsidR="00826870" w:rsidRPr="00820F7A" w:rsidRDefault="00B35016">
          <w:pPr>
            <w:pStyle w:val="Normal1"/>
            <w:pBdr>
              <w:top w:val="nil"/>
              <w:left w:val="nil"/>
              <w:bottom w:val="nil"/>
              <w:right w:val="nil"/>
              <w:between w:val="nil"/>
            </w:pBdr>
            <w:tabs>
              <w:tab w:val="right" w:pos="9350"/>
            </w:tabs>
            <w:rPr>
              <w:rFonts w:ascii="Cambria" w:eastAsia="Cambria" w:hAnsi="Cambria" w:cs="Cambria"/>
              <w:color w:val="000000"/>
              <w:lang w:val="en-GB"/>
            </w:rPr>
          </w:pPr>
          <w:r w:rsidRPr="00820F7A">
            <w:rPr>
              <w:lang w:val="en-GB"/>
            </w:rPr>
            <w:fldChar w:fldCharType="begin"/>
          </w:r>
          <w:r w:rsidR="00B21388" w:rsidRPr="00820F7A">
            <w:rPr>
              <w:lang w:val="en-GB"/>
            </w:rPr>
            <w:instrText xml:space="preserve"> TOC \h \u \z \t "Heading 1,1,Heading 2,2,Heading 3,3,Heading 4,4,Heading 5,5,Heading 6,6,"</w:instrText>
          </w:r>
          <w:r w:rsidRPr="00820F7A">
            <w:rPr>
              <w:lang w:val="en-GB"/>
            </w:rPr>
            <w:fldChar w:fldCharType="separate"/>
          </w:r>
          <w:r w:rsidR="00B21388" w:rsidRPr="00820F7A">
            <w:rPr>
              <w:color w:val="000000"/>
              <w:lang w:val="en-GB"/>
            </w:rPr>
            <w:t>Figure 1.1: Total number and value of clinical claims received in 2023/24 by specialty</w:t>
          </w:r>
          <w:r w:rsidR="00B21388" w:rsidRPr="00820F7A">
            <w:rPr>
              <w:color w:val="000000"/>
              <w:lang w:val="en-GB"/>
            </w:rPr>
            <w:tab/>
          </w:r>
          <w:r w:rsidRPr="00820F7A">
            <w:rPr>
              <w:lang w:val="en-GB"/>
            </w:rPr>
            <w:fldChar w:fldCharType="begin"/>
          </w:r>
          <w:r w:rsidR="00B21388" w:rsidRPr="00820F7A">
            <w:rPr>
              <w:lang w:val="en-GB"/>
            </w:rPr>
            <w:instrText xml:space="preserve"> PAGEREF _heading=h.ygddwv25v28y \h </w:instrText>
          </w:r>
          <w:r w:rsidRPr="00820F7A">
            <w:rPr>
              <w:lang w:val="en-GB"/>
            </w:rPr>
          </w:r>
          <w:r w:rsidRPr="00820F7A">
            <w:rPr>
              <w:lang w:val="en-GB"/>
            </w:rPr>
            <w:fldChar w:fldCharType="separate"/>
          </w:r>
          <w:r w:rsidR="00B21388" w:rsidRPr="00820F7A">
            <w:rPr>
              <w:color w:val="000000"/>
              <w:lang w:val="en-GB"/>
            </w:rPr>
            <w:t>9</w:t>
          </w:r>
          <w:hyperlink w:anchor="_heading=h.ygddwv25v28y" w:history="1"/>
        </w:p>
        <w:p w14:paraId="7055AEC9" w14:textId="77777777" w:rsidR="00826870" w:rsidRPr="00820F7A" w:rsidRDefault="00B35016">
          <w:pPr>
            <w:pStyle w:val="Normal1"/>
            <w:pBdr>
              <w:top w:val="nil"/>
              <w:left w:val="nil"/>
              <w:bottom w:val="nil"/>
              <w:right w:val="nil"/>
              <w:between w:val="nil"/>
            </w:pBdr>
            <w:tabs>
              <w:tab w:val="right" w:pos="9350"/>
            </w:tabs>
            <w:rPr>
              <w:rFonts w:ascii="Cambria" w:eastAsia="Cambria" w:hAnsi="Cambria" w:cs="Cambria"/>
              <w:color w:val="000000"/>
              <w:lang w:val="en-GB"/>
            </w:rPr>
          </w:pPr>
          <w:r w:rsidRPr="00820F7A">
            <w:rPr>
              <w:lang w:val="en-GB"/>
            </w:rPr>
            <w:fldChar w:fldCharType="end"/>
          </w:r>
          <w:r w:rsidR="00B21388" w:rsidRPr="00820F7A">
            <w:rPr>
              <w:color w:val="000000"/>
              <w:lang w:val="en-GB"/>
            </w:rPr>
            <w:t>Figure 1.2: Faster diagnosis standard performance across England</w:t>
          </w:r>
          <w:r w:rsidR="00B21388" w:rsidRPr="00820F7A">
            <w:rPr>
              <w:color w:val="000000"/>
              <w:lang w:val="en-GB"/>
            </w:rPr>
            <w:tab/>
          </w:r>
          <w:r w:rsidRPr="00820F7A">
            <w:rPr>
              <w:lang w:val="en-GB"/>
            </w:rPr>
            <w:fldChar w:fldCharType="begin"/>
          </w:r>
          <w:r w:rsidR="00B21388" w:rsidRPr="00820F7A">
            <w:rPr>
              <w:lang w:val="en-GB"/>
            </w:rPr>
            <w:instrText xml:space="preserve"> PAGEREF _heading=h.recokxwl6zm2 \h </w:instrText>
          </w:r>
          <w:r w:rsidRPr="00820F7A">
            <w:rPr>
              <w:lang w:val="en-GB"/>
            </w:rPr>
          </w:r>
          <w:r w:rsidRPr="00820F7A">
            <w:rPr>
              <w:lang w:val="en-GB"/>
            </w:rPr>
            <w:fldChar w:fldCharType="separate"/>
          </w:r>
          <w:r w:rsidR="00B21388" w:rsidRPr="00820F7A">
            <w:rPr>
              <w:color w:val="000000"/>
              <w:lang w:val="en-GB"/>
            </w:rPr>
            <w:t>10</w:t>
          </w:r>
          <w:hyperlink w:anchor="_heading=h.recokxwl6zm2" w:history="1"/>
        </w:p>
        <w:p w14:paraId="221F42CB" w14:textId="77777777" w:rsidR="00826870" w:rsidRPr="00820F7A" w:rsidRDefault="00B35016">
          <w:pPr>
            <w:pStyle w:val="Normal1"/>
            <w:pBdr>
              <w:top w:val="nil"/>
              <w:left w:val="nil"/>
              <w:bottom w:val="nil"/>
              <w:right w:val="nil"/>
              <w:between w:val="nil"/>
            </w:pBdr>
            <w:tabs>
              <w:tab w:val="right" w:pos="9350"/>
            </w:tabs>
            <w:rPr>
              <w:rFonts w:ascii="Cambria" w:eastAsia="Cambria" w:hAnsi="Cambria" w:cs="Cambria"/>
              <w:color w:val="000000"/>
              <w:lang w:val="en-GB"/>
            </w:rPr>
          </w:pPr>
          <w:r w:rsidRPr="00820F7A">
            <w:rPr>
              <w:lang w:val="en-GB"/>
            </w:rPr>
            <w:fldChar w:fldCharType="end"/>
          </w:r>
          <w:r w:rsidR="00B21388" w:rsidRPr="00820F7A">
            <w:rPr>
              <w:color w:val="000000"/>
              <w:lang w:val="en-GB"/>
            </w:rPr>
            <w:t>Figure 1.3: Sizable minorities of trainee doctors in NHS</w:t>
          </w:r>
          <w:r w:rsidR="00B21388" w:rsidRPr="00820F7A">
            <w:rPr>
              <w:color w:val="000000"/>
              <w:lang w:val="en-GB"/>
            </w:rPr>
            <w:tab/>
          </w:r>
          <w:r w:rsidRPr="00820F7A">
            <w:rPr>
              <w:lang w:val="en-GB"/>
            </w:rPr>
            <w:fldChar w:fldCharType="begin"/>
          </w:r>
          <w:r w:rsidR="00B21388" w:rsidRPr="00820F7A">
            <w:rPr>
              <w:lang w:val="en-GB"/>
            </w:rPr>
            <w:instrText xml:space="preserve"> PAGEREF _heading=h.g6zu7d8zcqq2 \h </w:instrText>
          </w:r>
          <w:r w:rsidRPr="00820F7A">
            <w:rPr>
              <w:lang w:val="en-GB"/>
            </w:rPr>
          </w:r>
          <w:r w:rsidRPr="00820F7A">
            <w:rPr>
              <w:lang w:val="en-GB"/>
            </w:rPr>
            <w:fldChar w:fldCharType="separate"/>
          </w:r>
          <w:r w:rsidR="00B21388" w:rsidRPr="00820F7A">
            <w:rPr>
              <w:color w:val="000000"/>
              <w:lang w:val="en-GB"/>
            </w:rPr>
            <w:t>11</w:t>
          </w:r>
          <w:hyperlink w:anchor="_heading=h.g6zu7d8zcqq2" w:history="1"/>
        </w:p>
        <w:p w14:paraId="24521D45" w14:textId="77777777" w:rsidR="00826870" w:rsidRPr="00820F7A" w:rsidRDefault="00B35016">
          <w:pPr>
            <w:pStyle w:val="Normal1"/>
            <w:pBdr>
              <w:top w:val="nil"/>
              <w:left w:val="nil"/>
              <w:bottom w:val="nil"/>
              <w:right w:val="nil"/>
              <w:between w:val="nil"/>
            </w:pBdr>
            <w:tabs>
              <w:tab w:val="right" w:pos="9350"/>
            </w:tabs>
            <w:rPr>
              <w:rFonts w:ascii="Cambria" w:eastAsia="Cambria" w:hAnsi="Cambria" w:cs="Cambria"/>
              <w:color w:val="000000"/>
              <w:lang w:val="en-GB"/>
            </w:rPr>
          </w:pPr>
          <w:r w:rsidRPr="00820F7A">
            <w:rPr>
              <w:lang w:val="en-GB"/>
            </w:rPr>
            <w:fldChar w:fldCharType="end"/>
          </w:r>
          <w:r w:rsidR="00B21388" w:rsidRPr="00820F7A">
            <w:rPr>
              <w:color w:val="000000"/>
              <w:lang w:val="en-GB"/>
            </w:rPr>
            <w:t>Figure 2.1: Perceptions of leadership hospital regarding patient safety</w:t>
          </w:r>
          <w:r w:rsidR="00B21388" w:rsidRPr="00820F7A">
            <w:rPr>
              <w:color w:val="000000"/>
              <w:lang w:val="en-GB"/>
            </w:rPr>
            <w:tab/>
          </w:r>
          <w:r w:rsidRPr="00820F7A">
            <w:rPr>
              <w:lang w:val="en-GB"/>
            </w:rPr>
            <w:fldChar w:fldCharType="begin"/>
          </w:r>
          <w:r w:rsidR="00B21388" w:rsidRPr="00820F7A">
            <w:rPr>
              <w:lang w:val="en-GB"/>
            </w:rPr>
            <w:instrText xml:space="preserve"> PAGEREF _heading=h.rqqivdwwyb56 \h </w:instrText>
          </w:r>
          <w:r w:rsidRPr="00820F7A">
            <w:rPr>
              <w:lang w:val="en-GB"/>
            </w:rPr>
          </w:r>
          <w:r w:rsidRPr="00820F7A">
            <w:rPr>
              <w:lang w:val="en-GB"/>
            </w:rPr>
            <w:fldChar w:fldCharType="separate"/>
          </w:r>
          <w:r w:rsidR="00B21388" w:rsidRPr="00820F7A">
            <w:rPr>
              <w:color w:val="000000"/>
              <w:lang w:val="en-GB"/>
            </w:rPr>
            <w:t>17</w:t>
          </w:r>
          <w:hyperlink w:anchor="_heading=h.rqqivdwwyb56" w:history="1"/>
        </w:p>
        <w:p w14:paraId="7D39AA64" w14:textId="77777777" w:rsidR="00826870" w:rsidRPr="00820F7A" w:rsidRDefault="00B35016">
          <w:pPr>
            <w:pStyle w:val="Normal1"/>
            <w:pBdr>
              <w:top w:val="nil"/>
              <w:left w:val="nil"/>
              <w:bottom w:val="nil"/>
              <w:right w:val="nil"/>
              <w:between w:val="nil"/>
            </w:pBdr>
            <w:tabs>
              <w:tab w:val="right" w:pos="9350"/>
            </w:tabs>
            <w:rPr>
              <w:rFonts w:ascii="Cambria" w:eastAsia="Cambria" w:hAnsi="Cambria" w:cs="Cambria"/>
              <w:color w:val="000000"/>
              <w:lang w:val="en-GB"/>
            </w:rPr>
          </w:pPr>
          <w:r w:rsidRPr="00820F7A">
            <w:rPr>
              <w:lang w:val="en-GB"/>
            </w:rPr>
            <w:fldChar w:fldCharType="end"/>
          </w:r>
          <w:r w:rsidR="00B21388" w:rsidRPr="00820F7A">
            <w:rPr>
              <w:color w:val="000000"/>
              <w:lang w:val="en-GB"/>
            </w:rPr>
            <w:t>Figure 2.2: Factors associated with the Culture of Safety within the healthcare</w:t>
          </w:r>
          <w:r w:rsidR="00B21388" w:rsidRPr="00820F7A">
            <w:rPr>
              <w:color w:val="000000"/>
              <w:lang w:val="en-GB"/>
            </w:rPr>
            <w:tab/>
          </w:r>
          <w:r w:rsidRPr="00820F7A">
            <w:rPr>
              <w:lang w:val="en-GB"/>
            </w:rPr>
            <w:fldChar w:fldCharType="begin"/>
          </w:r>
          <w:r w:rsidR="00B21388" w:rsidRPr="00820F7A">
            <w:rPr>
              <w:lang w:val="en-GB"/>
            </w:rPr>
            <w:instrText xml:space="preserve"> PAGEREF _heading=h.5x34s05k5stl \h </w:instrText>
          </w:r>
          <w:r w:rsidRPr="00820F7A">
            <w:rPr>
              <w:lang w:val="en-GB"/>
            </w:rPr>
          </w:r>
          <w:r w:rsidRPr="00820F7A">
            <w:rPr>
              <w:lang w:val="en-GB"/>
            </w:rPr>
            <w:fldChar w:fldCharType="separate"/>
          </w:r>
          <w:r w:rsidR="00B21388" w:rsidRPr="00820F7A">
            <w:rPr>
              <w:color w:val="000000"/>
              <w:lang w:val="en-GB"/>
            </w:rPr>
            <w:t>18</w:t>
          </w:r>
          <w:hyperlink w:anchor="_heading=h.5x34s05k5stl" w:history="1"/>
        </w:p>
        <w:p w14:paraId="284AC5BA" w14:textId="77777777" w:rsidR="00826870" w:rsidRPr="00820F7A" w:rsidRDefault="00B35016">
          <w:pPr>
            <w:pStyle w:val="Normal1"/>
            <w:pBdr>
              <w:top w:val="nil"/>
              <w:left w:val="nil"/>
              <w:bottom w:val="nil"/>
              <w:right w:val="nil"/>
              <w:between w:val="nil"/>
            </w:pBdr>
            <w:tabs>
              <w:tab w:val="right" w:pos="9350"/>
            </w:tabs>
            <w:rPr>
              <w:rFonts w:ascii="Cambria" w:eastAsia="Cambria" w:hAnsi="Cambria" w:cs="Cambria"/>
              <w:color w:val="000000"/>
              <w:lang w:val="en-GB"/>
            </w:rPr>
          </w:pPr>
          <w:r w:rsidRPr="00820F7A">
            <w:rPr>
              <w:lang w:val="en-GB"/>
            </w:rPr>
            <w:fldChar w:fldCharType="end"/>
          </w:r>
          <w:r w:rsidR="00B21388" w:rsidRPr="00820F7A">
            <w:rPr>
              <w:color w:val="000000"/>
              <w:lang w:val="en-GB"/>
            </w:rPr>
            <w:t>Figure 2.3: Alignment of patient safety culture and leadership in healthcare sector</w:t>
          </w:r>
          <w:r w:rsidR="00B21388" w:rsidRPr="00820F7A">
            <w:rPr>
              <w:color w:val="000000"/>
              <w:lang w:val="en-GB"/>
            </w:rPr>
            <w:tab/>
          </w:r>
          <w:r w:rsidRPr="00820F7A">
            <w:rPr>
              <w:lang w:val="en-GB"/>
            </w:rPr>
            <w:fldChar w:fldCharType="begin"/>
          </w:r>
          <w:r w:rsidR="00B21388" w:rsidRPr="00820F7A">
            <w:rPr>
              <w:lang w:val="en-GB"/>
            </w:rPr>
            <w:instrText xml:space="preserve"> PAGEREF _heading=h.z2dktnu915ld \h </w:instrText>
          </w:r>
          <w:r w:rsidRPr="00820F7A">
            <w:rPr>
              <w:lang w:val="en-GB"/>
            </w:rPr>
          </w:r>
          <w:r w:rsidRPr="00820F7A">
            <w:rPr>
              <w:lang w:val="en-GB"/>
            </w:rPr>
            <w:fldChar w:fldCharType="separate"/>
          </w:r>
          <w:r w:rsidR="00B21388" w:rsidRPr="00820F7A">
            <w:rPr>
              <w:color w:val="000000"/>
              <w:lang w:val="en-GB"/>
            </w:rPr>
            <w:t>20</w:t>
          </w:r>
          <w:hyperlink w:anchor="_heading=h.z2dktnu915ld" w:history="1"/>
        </w:p>
        <w:p w14:paraId="57902CBD" w14:textId="77777777" w:rsidR="00826870" w:rsidRPr="00820F7A" w:rsidRDefault="00B35016">
          <w:pPr>
            <w:pStyle w:val="Normal1"/>
            <w:pBdr>
              <w:top w:val="nil"/>
              <w:left w:val="nil"/>
              <w:bottom w:val="nil"/>
              <w:right w:val="nil"/>
              <w:between w:val="nil"/>
            </w:pBdr>
            <w:tabs>
              <w:tab w:val="right" w:pos="9350"/>
            </w:tabs>
            <w:rPr>
              <w:rFonts w:ascii="Cambria" w:eastAsia="Cambria" w:hAnsi="Cambria" w:cs="Cambria"/>
              <w:color w:val="000000"/>
              <w:lang w:val="en-GB"/>
            </w:rPr>
          </w:pPr>
          <w:r w:rsidRPr="00820F7A">
            <w:rPr>
              <w:lang w:val="en-GB"/>
            </w:rPr>
            <w:fldChar w:fldCharType="end"/>
          </w:r>
          <w:r w:rsidR="00B21388" w:rsidRPr="00820F7A">
            <w:rPr>
              <w:color w:val="000000"/>
              <w:lang w:val="en-GB"/>
            </w:rPr>
            <w:t>Figure 2.4: patient Safety culture through interesting patient centeredness</w:t>
          </w:r>
          <w:r w:rsidR="00B21388" w:rsidRPr="00820F7A">
            <w:rPr>
              <w:color w:val="000000"/>
              <w:lang w:val="en-GB"/>
            </w:rPr>
            <w:tab/>
          </w:r>
          <w:r w:rsidRPr="00820F7A">
            <w:rPr>
              <w:lang w:val="en-GB"/>
            </w:rPr>
            <w:fldChar w:fldCharType="begin"/>
          </w:r>
          <w:r w:rsidR="00B21388" w:rsidRPr="00820F7A">
            <w:rPr>
              <w:lang w:val="en-GB"/>
            </w:rPr>
            <w:instrText xml:space="preserve"> PAGEREF _heading=h.i5vsnkp5qepm \h </w:instrText>
          </w:r>
          <w:r w:rsidRPr="00820F7A">
            <w:rPr>
              <w:lang w:val="en-GB"/>
            </w:rPr>
          </w:r>
          <w:r w:rsidRPr="00820F7A">
            <w:rPr>
              <w:lang w:val="en-GB"/>
            </w:rPr>
            <w:fldChar w:fldCharType="separate"/>
          </w:r>
          <w:r w:rsidR="00B21388" w:rsidRPr="00820F7A">
            <w:rPr>
              <w:color w:val="000000"/>
              <w:lang w:val="en-GB"/>
            </w:rPr>
            <w:t>23</w:t>
          </w:r>
          <w:hyperlink w:anchor="_heading=h.i5vsnkp5qepm" w:history="1"/>
        </w:p>
        <w:p w14:paraId="51112307" w14:textId="77777777" w:rsidR="00826870" w:rsidRPr="00820F7A" w:rsidRDefault="00B35016">
          <w:pPr>
            <w:pStyle w:val="Normal1"/>
            <w:pBdr>
              <w:top w:val="nil"/>
              <w:left w:val="nil"/>
              <w:bottom w:val="nil"/>
              <w:right w:val="nil"/>
              <w:between w:val="nil"/>
            </w:pBdr>
            <w:tabs>
              <w:tab w:val="right" w:pos="9350"/>
            </w:tabs>
            <w:rPr>
              <w:rFonts w:ascii="Cambria" w:eastAsia="Cambria" w:hAnsi="Cambria" w:cs="Cambria"/>
              <w:color w:val="000000"/>
              <w:lang w:val="en-GB"/>
            </w:rPr>
          </w:pPr>
          <w:r w:rsidRPr="00820F7A">
            <w:rPr>
              <w:lang w:val="en-GB"/>
            </w:rPr>
            <w:fldChar w:fldCharType="end"/>
          </w:r>
          <w:r w:rsidR="00B21388" w:rsidRPr="00820F7A">
            <w:rPr>
              <w:color w:val="000000"/>
              <w:lang w:val="en-GB"/>
            </w:rPr>
            <w:t>Figure 2.5: Three Pillars of NHS patient experience framework for ensuring patient safety</w:t>
          </w:r>
          <w:r w:rsidR="00B21388" w:rsidRPr="00820F7A">
            <w:rPr>
              <w:color w:val="000000"/>
              <w:lang w:val="en-GB"/>
            </w:rPr>
            <w:tab/>
          </w:r>
          <w:r w:rsidRPr="00820F7A">
            <w:rPr>
              <w:lang w:val="en-GB"/>
            </w:rPr>
            <w:fldChar w:fldCharType="begin"/>
          </w:r>
          <w:r w:rsidR="00B21388" w:rsidRPr="00820F7A">
            <w:rPr>
              <w:lang w:val="en-GB"/>
            </w:rPr>
            <w:instrText xml:space="preserve"> PAGEREF _heading=h.nbyesdk2dt2z \h </w:instrText>
          </w:r>
          <w:r w:rsidRPr="00820F7A">
            <w:rPr>
              <w:lang w:val="en-GB"/>
            </w:rPr>
          </w:r>
          <w:r w:rsidRPr="00820F7A">
            <w:rPr>
              <w:lang w:val="en-GB"/>
            </w:rPr>
            <w:fldChar w:fldCharType="separate"/>
          </w:r>
          <w:r w:rsidR="00B21388" w:rsidRPr="00820F7A">
            <w:rPr>
              <w:color w:val="000000"/>
              <w:lang w:val="en-GB"/>
            </w:rPr>
            <w:t>25</w:t>
          </w:r>
          <w:hyperlink w:anchor="_heading=h.nbyesdk2dt2z" w:history="1"/>
        </w:p>
        <w:p w14:paraId="1979B19E" w14:textId="77777777" w:rsidR="00826870" w:rsidRPr="00820F7A" w:rsidRDefault="00B35016">
          <w:pPr>
            <w:pStyle w:val="Normal1"/>
            <w:pBdr>
              <w:top w:val="nil"/>
              <w:left w:val="nil"/>
              <w:bottom w:val="nil"/>
              <w:right w:val="nil"/>
              <w:between w:val="nil"/>
            </w:pBdr>
            <w:tabs>
              <w:tab w:val="right" w:pos="9350"/>
            </w:tabs>
            <w:rPr>
              <w:rFonts w:ascii="Cambria" w:eastAsia="Cambria" w:hAnsi="Cambria" w:cs="Cambria"/>
              <w:color w:val="000000"/>
              <w:lang w:val="en-GB"/>
            </w:rPr>
          </w:pPr>
          <w:r w:rsidRPr="00820F7A">
            <w:rPr>
              <w:lang w:val="en-GB"/>
            </w:rPr>
            <w:fldChar w:fldCharType="end"/>
          </w:r>
          <w:r w:rsidR="00B21388" w:rsidRPr="00820F7A">
            <w:rPr>
              <w:color w:val="000000"/>
              <w:lang w:val="en-GB"/>
            </w:rPr>
            <w:t>Figure 2.6: Transformational leadership theory</w:t>
          </w:r>
          <w:r w:rsidR="00B21388" w:rsidRPr="00820F7A">
            <w:rPr>
              <w:color w:val="000000"/>
              <w:lang w:val="en-GB"/>
            </w:rPr>
            <w:tab/>
          </w:r>
          <w:r w:rsidRPr="00820F7A">
            <w:rPr>
              <w:lang w:val="en-GB"/>
            </w:rPr>
            <w:fldChar w:fldCharType="begin"/>
          </w:r>
          <w:r w:rsidR="00B21388" w:rsidRPr="00820F7A">
            <w:rPr>
              <w:lang w:val="en-GB"/>
            </w:rPr>
            <w:instrText xml:space="preserve"> PAGEREF _heading=h.7io5e9eyixvt \h </w:instrText>
          </w:r>
          <w:r w:rsidRPr="00820F7A">
            <w:rPr>
              <w:lang w:val="en-GB"/>
            </w:rPr>
          </w:r>
          <w:r w:rsidRPr="00820F7A">
            <w:rPr>
              <w:lang w:val="en-GB"/>
            </w:rPr>
            <w:fldChar w:fldCharType="separate"/>
          </w:r>
          <w:r w:rsidR="00B21388" w:rsidRPr="00820F7A">
            <w:rPr>
              <w:color w:val="000000"/>
              <w:lang w:val="en-GB"/>
            </w:rPr>
            <w:t>27</w:t>
          </w:r>
          <w:hyperlink w:anchor="_heading=h.7io5e9eyixvt" w:history="1"/>
        </w:p>
        <w:p w14:paraId="6C9FA75A" w14:textId="77777777" w:rsidR="00826870" w:rsidRPr="00820F7A" w:rsidRDefault="00B35016">
          <w:pPr>
            <w:pStyle w:val="Normal1"/>
            <w:pBdr>
              <w:top w:val="nil"/>
              <w:left w:val="nil"/>
              <w:bottom w:val="nil"/>
              <w:right w:val="nil"/>
              <w:between w:val="nil"/>
            </w:pBdr>
            <w:tabs>
              <w:tab w:val="right" w:pos="9350"/>
            </w:tabs>
            <w:rPr>
              <w:rFonts w:ascii="Cambria" w:eastAsia="Cambria" w:hAnsi="Cambria" w:cs="Cambria"/>
              <w:color w:val="000000"/>
              <w:lang w:val="en-GB"/>
            </w:rPr>
          </w:pPr>
          <w:r w:rsidRPr="00820F7A">
            <w:rPr>
              <w:lang w:val="en-GB"/>
            </w:rPr>
            <w:fldChar w:fldCharType="end"/>
          </w:r>
          <w:r w:rsidR="00B21388" w:rsidRPr="00820F7A">
            <w:rPr>
              <w:color w:val="000000"/>
              <w:lang w:val="en-GB"/>
            </w:rPr>
            <w:t>Figure 2.7: Jean Watson's theory</w:t>
          </w:r>
          <w:r w:rsidR="00B21388" w:rsidRPr="00820F7A">
            <w:rPr>
              <w:color w:val="000000"/>
              <w:lang w:val="en-GB"/>
            </w:rPr>
            <w:tab/>
          </w:r>
          <w:r w:rsidRPr="00820F7A">
            <w:rPr>
              <w:lang w:val="en-GB"/>
            </w:rPr>
            <w:fldChar w:fldCharType="begin"/>
          </w:r>
          <w:r w:rsidR="00B21388" w:rsidRPr="00820F7A">
            <w:rPr>
              <w:lang w:val="en-GB"/>
            </w:rPr>
            <w:instrText xml:space="preserve"> PAGEREF _heading=h.54polcbudr8q \h </w:instrText>
          </w:r>
          <w:r w:rsidRPr="00820F7A">
            <w:rPr>
              <w:lang w:val="en-GB"/>
            </w:rPr>
          </w:r>
          <w:r w:rsidRPr="00820F7A">
            <w:rPr>
              <w:lang w:val="en-GB"/>
            </w:rPr>
            <w:fldChar w:fldCharType="separate"/>
          </w:r>
          <w:r w:rsidR="00B21388" w:rsidRPr="00820F7A">
            <w:rPr>
              <w:color w:val="000000"/>
              <w:lang w:val="en-GB"/>
            </w:rPr>
            <w:t>28</w:t>
          </w:r>
          <w:hyperlink w:anchor="_heading=h.54polcbudr8q" w:history="1"/>
        </w:p>
        <w:p w14:paraId="43E4274C" w14:textId="77777777" w:rsidR="00826870" w:rsidRPr="00820F7A" w:rsidRDefault="00B35016">
          <w:pPr>
            <w:pStyle w:val="Normal1"/>
            <w:pBdr>
              <w:top w:val="nil"/>
              <w:left w:val="nil"/>
              <w:bottom w:val="nil"/>
              <w:right w:val="nil"/>
              <w:between w:val="nil"/>
            </w:pBdr>
            <w:tabs>
              <w:tab w:val="right" w:pos="9350"/>
            </w:tabs>
            <w:rPr>
              <w:rFonts w:ascii="Cambria" w:eastAsia="Cambria" w:hAnsi="Cambria" w:cs="Cambria"/>
              <w:color w:val="000000"/>
              <w:lang w:val="en-GB"/>
            </w:rPr>
          </w:pPr>
          <w:r w:rsidRPr="00820F7A">
            <w:rPr>
              <w:lang w:val="en-GB"/>
            </w:rPr>
            <w:fldChar w:fldCharType="end"/>
          </w:r>
          <w:r w:rsidR="00B21388" w:rsidRPr="00820F7A">
            <w:rPr>
              <w:color w:val="000000"/>
              <w:lang w:val="en-GB"/>
            </w:rPr>
            <w:t>Figure 2.8: Just Culture Theory</w:t>
          </w:r>
          <w:r w:rsidR="00B21388" w:rsidRPr="00820F7A">
            <w:rPr>
              <w:color w:val="000000"/>
              <w:lang w:val="en-GB"/>
            </w:rPr>
            <w:tab/>
          </w:r>
          <w:r w:rsidRPr="00820F7A">
            <w:rPr>
              <w:lang w:val="en-GB"/>
            </w:rPr>
            <w:fldChar w:fldCharType="begin"/>
          </w:r>
          <w:r w:rsidR="00B21388" w:rsidRPr="00820F7A">
            <w:rPr>
              <w:lang w:val="en-GB"/>
            </w:rPr>
            <w:instrText xml:space="preserve"> PAGEREF _heading=h.cjfdi0hdtdww \h </w:instrText>
          </w:r>
          <w:r w:rsidRPr="00820F7A">
            <w:rPr>
              <w:lang w:val="en-GB"/>
            </w:rPr>
          </w:r>
          <w:r w:rsidRPr="00820F7A">
            <w:rPr>
              <w:lang w:val="en-GB"/>
            </w:rPr>
            <w:fldChar w:fldCharType="separate"/>
          </w:r>
          <w:r w:rsidR="00B21388" w:rsidRPr="00820F7A">
            <w:rPr>
              <w:color w:val="000000"/>
              <w:lang w:val="en-GB"/>
            </w:rPr>
            <w:t>29</w:t>
          </w:r>
          <w:hyperlink w:anchor="_heading=h.cjfdi0hdtdww" w:history="1"/>
        </w:p>
        <w:p w14:paraId="22C47557" w14:textId="77777777" w:rsidR="00826870" w:rsidRPr="00820F7A" w:rsidRDefault="00B35016">
          <w:pPr>
            <w:pStyle w:val="Normal1"/>
            <w:pBdr>
              <w:top w:val="nil"/>
              <w:left w:val="nil"/>
              <w:bottom w:val="nil"/>
              <w:right w:val="nil"/>
              <w:between w:val="nil"/>
            </w:pBdr>
            <w:tabs>
              <w:tab w:val="right" w:pos="9350"/>
            </w:tabs>
            <w:rPr>
              <w:rFonts w:ascii="Cambria" w:eastAsia="Cambria" w:hAnsi="Cambria" w:cs="Cambria"/>
              <w:color w:val="000000"/>
              <w:lang w:val="en-GB"/>
            </w:rPr>
          </w:pPr>
          <w:r w:rsidRPr="00820F7A">
            <w:rPr>
              <w:lang w:val="en-GB"/>
            </w:rPr>
            <w:fldChar w:fldCharType="end"/>
          </w:r>
          <w:r w:rsidR="00B21388" w:rsidRPr="00820F7A">
            <w:rPr>
              <w:color w:val="000000"/>
              <w:lang w:val="en-GB"/>
            </w:rPr>
            <w:t>Figure 2.9: Conceptual Framework</w:t>
          </w:r>
          <w:r w:rsidR="00B21388" w:rsidRPr="00820F7A">
            <w:rPr>
              <w:color w:val="000000"/>
              <w:lang w:val="en-GB"/>
            </w:rPr>
            <w:tab/>
          </w:r>
          <w:r w:rsidRPr="00820F7A">
            <w:rPr>
              <w:lang w:val="en-GB"/>
            </w:rPr>
            <w:fldChar w:fldCharType="begin"/>
          </w:r>
          <w:r w:rsidR="00B21388" w:rsidRPr="00820F7A">
            <w:rPr>
              <w:lang w:val="en-GB"/>
            </w:rPr>
            <w:instrText xml:space="preserve"> PAGEREF _heading=h.obty3mmf58at \h </w:instrText>
          </w:r>
          <w:r w:rsidRPr="00820F7A">
            <w:rPr>
              <w:lang w:val="en-GB"/>
            </w:rPr>
          </w:r>
          <w:r w:rsidRPr="00820F7A">
            <w:rPr>
              <w:lang w:val="en-GB"/>
            </w:rPr>
            <w:fldChar w:fldCharType="separate"/>
          </w:r>
          <w:r w:rsidR="00B21388" w:rsidRPr="00820F7A">
            <w:rPr>
              <w:color w:val="000000"/>
              <w:lang w:val="en-GB"/>
            </w:rPr>
            <w:t>29</w:t>
          </w:r>
          <w:hyperlink w:anchor="_heading=h.obty3mmf58at" w:history="1"/>
        </w:p>
        <w:p w14:paraId="65D63F34" w14:textId="77777777" w:rsidR="00826870" w:rsidRPr="00820F7A" w:rsidRDefault="00B35016">
          <w:pPr>
            <w:pStyle w:val="Normal1"/>
            <w:pBdr>
              <w:top w:val="nil"/>
              <w:left w:val="nil"/>
              <w:bottom w:val="nil"/>
              <w:right w:val="nil"/>
              <w:between w:val="nil"/>
            </w:pBdr>
            <w:tabs>
              <w:tab w:val="right" w:pos="9350"/>
            </w:tabs>
            <w:rPr>
              <w:rFonts w:ascii="Cambria" w:eastAsia="Cambria" w:hAnsi="Cambria" w:cs="Cambria"/>
              <w:color w:val="000000"/>
              <w:lang w:val="en-GB"/>
            </w:rPr>
          </w:pPr>
          <w:r w:rsidRPr="00820F7A">
            <w:rPr>
              <w:lang w:val="en-GB"/>
            </w:rPr>
            <w:fldChar w:fldCharType="end"/>
          </w:r>
          <w:r w:rsidR="00B21388" w:rsidRPr="00820F7A">
            <w:rPr>
              <w:color w:val="000000"/>
              <w:lang w:val="en-GB"/>
            </w:rPr>
            <w:t>Figure 3.1: PRISMA</w:t>
          </w:r>
          <w:r w:rsidR="00B21388" w:rsidRPr="00820F7A">
            <w:rPr>
              <w:color w:val="000000"/>
              <w:lang w:val="en-GB"/>
            </w:rPr>
            <w:tab/>
          </w:r>
          <w:r w:rsidRPr="00820F7A">
            <w:rPr>
              <w:lang w:val="en-GB"/>
            </w:rPr>
            <w:fldChar w:fldCharType="begin"/>
          </w:r>
          <w:r w:rsidR="00B21388" w:rsidRPr="00820F7A">
            <w:rPr>
              <w:lang w:val="en-GB"/>
            </w:rPr>
            <w:instrText xml:space="preserve"> PAGEREF _heading=h.4e33alo8am0r \h </w:instrText>
          </w:r>
          <w:r w:rsidRPr="00820F7A">
            <w:rPr>
              <w:lang w:val="en-GB"/>
            </w:rPr>
          </w:r>
          <w:r w:rsidRPr="00820F7A">
            <w:rPr>
              <w:lang w:val="en-GB"/>
            </w:rPr>
            <w:fldChar w:fldCharType="separate"/>
          </w:r>
          <w:r w:rsidR="00B21388" w:rsidRPr="00820F7A">
            <w:rPr>
              <w:color w:val="000000"/>
              <w:lang w:val="en-GB"/>
            </w:rPr>
            <w:t>3</w:t>
          </w:r>
          <w:hyperlink w:anchor="_heading=h.4e33alo8am0r" w:history="1"/>
        </w:p>
        <w:p w14:paraId="67439B5C" w14:textId="77777777" w:rsidR="00826870" w:rsidRPr="00820F7A" w:rsidRDefault="00B35016">
          <w:pPr>
            <w:pStyle w:val="Heading1"/>
            <w:rPr>
              <w:lang w:val="en-GB"/>
            </w:rPr>
          </w:pPr>
          <w:r w:rsidRPr="00820F7A">
            <w:rPr>
              <w:lang w:val="en-GB"/>
            </w:rPr>
            <w:fldChar w:fldCharType="end"/>
          </w:r>
          <w:r w:rsidRPr="00820F7A">
            <w:rPr>
              <w:lang w:val="en-GB"/>
            </w:rPr>
            <w:fldChar w:fldCharType="end"/>
          </w:r>
        </w:p>
      </w:sdtContent>
    </w:sdt>
    <w:p w14:paraId="27AC00B9" w14:textId="77777777" w:rsidR="00826870" w:rsidRPr="00820F7A" w:rsidRDefault="00B21388">
      <w:pPr>
        <w:pStyle w:val="Normal1"/>
        <w:pBdr>
          <w:top w:val="nil"/>
          <w:left w:val="nil"/>
          <w:bottom w:val="nil"/>
          <w:right w:val="nil"/>
          <w:between w:val="nil"/>
        </w:pBdr>
        <w:rPr>
          <w:b/>
          <w:bCs/>
          <w:color w:val="000000"/>
          <w:lang w:val="en-GB"/>
        </w:rPr>
      </w:pPr>
      <w:r w:rsidRPr="00820F7A">
        <w:rPr>
          <w:lang w:val="en-GB"/>
        </w:rPr>
        <w:br w:type="page"/>
      </w:r>
    </w:p>
    <w:p w14:paraId="0CA48D0E" w14:textId="77777777" w:rsidR="00826870" w:rsidRPr="00820F7A" w:rsidRDefault="00B21388">
      <w:pPr>
        <w:pStyle w:val="Normal1"/>
        <w:pBdr>
          <w:top w:val="nil"/>
          <w:left w:val="nil"/>
          <w:bottom w:val="nil"/>
          <w:right w:val="nil"/>
          <w:between w:val="nil"/>
        </w:pBdr>
        <w:tabs>
          <w:tab w:val="right" w:pos="9350"/>
        </w:tabs>
        <w:jc w:val="center"/>
        <w:rPr>
          <w:b/>
          <w:bCs/>
          <w:color w:val="000000"/>
          <w:lang w:val="en-GB"/>
        </w:rPr>
      </w:pPr>
      <w:r w:rsidRPr="00820F7A">
        <w:rPr>
          <w:b/>
          <w:bCs/>
          <w:color w:val="000000"/>
          <w:lang w:val="en-GB"/>
        </w:rPr>
        <w:t>List of tables</w:t>
      </w:r>
    </w:p>
    <w:sdt>
      <w:sdtPr>
        <w:rPr>
          <w:b/>
          <w:bCs/>
          <w:color w:val="000000"/>
          <w:lang w:val="en-GB"/>
        </w:rPr>
        <w:id w:val="-2048665153"/>
        <w:docPartObj>
          <w:docPartGallery w:val="Table of Contents"/>
          <w:docPartUnique/>
        </w:docPartObj>
      </w:sdtPr>
      <w:sdtEndPr/>
      <w:sdtContent>
        <w:p w14:paraId="1FC40F61" w14:textId="77777777" w:rsidR="00826870" w:rsidRPr="00820F7A" w:rsidRDefault="00B35016">
          <w:pPr>
            <w:pStyle w:val="Normal1"/>
            <w:pBdr>
              <w:top w:val="nil"/>
              <w:left w:val="nil"/>
              <w:bottom w:val="nil"/>
              <w:right w:val="nil"/>
              <w:between w:val="nil"/>
            </w:pBdr>
            <w:tabs>
              <w:tab w:val="right" w:pos="9350"/>
            </w:tabs>
            <w:rPr>
              <w:rFonts w:ascii="Cambria" w:eastAsia="Cambria" w:hAnsi="Cambria" w:cs="Cambria"/>
              <w:color w:val="000000"/>
              <w:lang w:val="en-GB"/>
            </w:rPr>
          </w:pPr>
          <w:r w:rsidRPr="00820F7A">
            <w:rPr>
              <w:lang w:val="en-GB"/>
            </w:rPr>
            <w:fldChar w:fldCharType="begin"/>
          </w:r>
          <w:r w:rsidR="00B21388" w:rsidRPr="00820F7A">
            <w:rPr>
              <w:lang w:val="en-GB"/>
            </w:rPr>
            <w:instrText xml:space="preserve"> TOC \h \u \z \t "Heading 1,1,Heading 2,2,Heading 3,3,Heading 4,4,Heading 5,5,Heading 6,6,"</w:instrText>
          </w:r>
          <w:r w:rsidRPr="00820F7A">
            <w:rPr>
              <w:lang w:val="en-GB"/>
            </w:rPr>
            <w:fldChar w:fldCharType="separate"/>
          </w:r>
          <w:r w:rsidR="00B21388" w:rsidRPr="00820F7A">
            <w:rPr>
              <w:color w:val="000000"/>
              <w:lang w:val="en-GB"/>
            </w:rPr>
            <w:t>Table 3.1: Search Strategy</w:t>
          </w:r>
          <w:r w:rsidR="00B21388" w:rsidRPr="00820F7A">
            <w:rPr>
              <w:color w:val="000000"/>
              <w:lang w:val="en-GB"/>
            </w:rPr>
            <w:tab/>
          </w:r>
          <w:r w:rsidRPr="00820F7A">
            <w:rPr>
              <w:lang w:val="en-GB"/>
            </w:rPr>
            <w:fldChar w:fldCharType="begin"/>
          </w:r>
          <w:r w:rsidR="00B21388" w:rsidRPr="00820F7A">
            <w:rPr>
              <w:lang w:val="en-GB"/>
            </w:rPr>
            <w:instrText xml:space="preserve"> PAGEREF _heading=h.rdw4aknizael \h </w:instrText>
          </w:r>
          <w:r w:rsidRPr="00820F7A">
            <w:rPr>
              <w:lang w:val="en-GB"/>
            </w:rPr>
          </w:r>
          <w:r w:rsidRPr="00820F7A">
            <w:rPr>
              <w:lang w:val="en-GB"/>
            </w:rPr>
            <w:fldChar w:fldCharType="separate"/>
          </w:r>
          <w:r w:rsidR="00B21388" w:rsidRPr="00820F7A">
            <w:rPr>
              <w:color w:val="000000"/>
              <w:lang w:val="en-GB"/>
            </w:rPr>
            <w:t>1</w:t>
          </w:r>
          <w:hyperlink w:anchor="_heading=h.rdw4aknizael" w:history="1"/>
        </w:p>
        <w:p w14:paraId="3F8EC60B" w14:textId="77777777" w:rsidR="00826870" w:rsidRPr="00820F7A" w:rsidRDefault="00B35016">
          <w:pPr>
            <w:pStyle w:val="Normal1"/>
            <w:pBdr>
              <w:top w:val="nil"/>
              <w:left w:val="nil"/>
              <w:bottom w:val="nil"/>
              <w:right w:val="nil"/>
              <w:between w:val="nil"/>
            </w:pBdr>
            <w:tabs>
              <w:tab w:val="right" w:pos="9350"/>
            </w:tabs>
            <w:rPr>
              <w:rFonts w:ascii="Cambria" w:eastAsia="Cambria" w:hAnsi="Cambria" w:cs="Cambria"/>
              <w:color w:val="000000"/>
              <w:lang w:val="en-GB"/>
            </w:rPr>
          </w:pPr>
          <w:r w:rsidRPr="00820F7A">
            <w:rPr>
              <w:lang w:val="en-GB"/>
            </w:rPr>
            <w:fldChar w:fldCharType="end"/>
          </w:r>
          <w:r w:rsidR="00B21388" w:rsidRPr="00820F7A">
            <w:rPr>
              <w:color w:val="000000"/>
              <w:lang w:val="en-GB"/>
            </w:rPr>
            <w:t>Table 3.2: PICO Framework</w:t>
          </w:r>
          <w:r w:rsidR="00B21388" w:rsidRPr="00820F7A">
            <w:rPr>
              <w:color w:val="000000"/>
              <w:lang w:val="en-GB"/>
            </w:rPr>
            <w:tab/>
          </w:r>
          <w:r w:rsidRPr="00820F7A">
            <w:rPr>
              <w:lang w:val="en-GB"/>
            </w:rPr>
            <w:fldChar w:fldCharType="begin"/>
          </w:r>
          <w:r w:rsidR="00B21388" w:rsidRPr="00820F7A">
            <w:rPr>
              <w:lang w:val="en-GB"/>
            </w:rPr>
            <w:instrText xml:space="preserve"> PAGEREF _heading=h.biphgcgjj4df \h </w:instrText>
          </w:r>
          <w:r w:rsidRPr="00820F7A">
            <w:rPr>
              <w:lang w:val="en-GB"/>
            </w:rPr>
          </w:r>
          <w:r w:rsidRPr="00820F7A">
            <w:rPr>
              <w:lang w:val="en-GB"/>
            </w:rPr>
            <w:fldChar w:fldCharType="separate"/>
          </w:r>
          <w:r w:rsidR="00B21388" w:rsidRPr="00820F7A">
            <w:rPr>
              <w:color w:val="000000"/>
              <w:lang w:val="en-GB"/>
            </w:rPr>
            <w:t>2</w:t>
          </w:r>
          <w:hyperlink w:anchor="_heading=h.biphgcgjj4df" w:history="1"/>
        </w:p>
        <w:p w14:paraId="63506A9D" w14:textId="77777777" w:rsidR="00826870" w:rsidRPr="00820F7A" w:rsidRDefault="00B35016">
          <w:pPr>
            <w:pStyle w:val="Normal1"/>
            <w:pBdr>
              <w:top w:val="nil"/>
              <w:left w:val="nil"/>
              <w:bottom w:val="nil"/>
              <w:right w:val="nil"/>
              <w:between w:val="nil"/>
            </w:pBdr>
            <w:tabs>
              <w:tab w:val="right" w:pos="9350"/>
            </w:tabs>
            <w:rPr>
              <w:rFonts w:ascii="Cambria" w:eastAsia="Cambria" w:hAnsi="Cambria" w:cs="Cambria"/>
              <w:color w:val="000000"/>
              <w:lang w:val="en-GB"/>
            </w:rPr>
          </w:pPr>
          <w:r w:rsidRPr="00820F7A">
            <w:rPr>
              <w:lang w:val="en-GB"/>
            </w:rPr>
            <w:fldChar w:fldCharType="end"/>
          </w:r>
          <w:r w:rsidR="00B21388" w:rsidRPr="00820F7A">
            <w:rPr>
              <w:color w:val="000000"/>
              <w:lang w:val="en-GB"/>
            </w:rPr>
            <w:t>Table 3.3: Data base search procedure</w:t>
          </w:r>
          <w:r w:rsidR="00B21388" w:rsidRPr="00820F7A">
            <w:rPr>
              <w:color w:val="000000"/>
              <w:lang w:val="en-GB"/>
            </w:rPr>
            <w:tab/>
          </w:r>
          <w:r w:rsidRPr="00820F7A">
            <w:rPr>
              <w:lang w:val="en-GB"/>
            </w:rPr>
            <w:fldChar w:fldCharType="begin"/>
          </w:r>
          <w:r w:rsidR="00B21388" w:rsidRPr="00820F7A">
            <w:rPr>
              <w:lang w:val="en-GB"/>
            </w:rPr>
            <w:instrText xml:space="preserve"> PAGEREF _heading=h.sxczee46clb2 \h </w:instrText>
          </w:r>
          <w:r w:rsidRPr="00820F7A">
            <w:rPr>
              <w:lang w:val="en-GB"/>
            </w:rPr>
          </w:r>
          <w:r w:rsidRPr="00820F7A">
            <w:rPr>
              <w:lang w:val="en-GB"/>
            </w:rPr>
            <w:fldChar w:fldCharType="separate"/>
          </w:r>
          <w:r w:rsidR="00B21388" w:rsidRPr="00820F7A">
            <w:rPr>
              <w:color w:val="000000"/>
              <w:lang w:val="en-GB"/>
            </w:rPr>
            <w:t>1</w:t>
          </w:r>
          <w:hyperlink w:anchor="_heading=h.sxczee46clb2" w:history="1"/>
        </w:p>
        <w:p w14:paraId="1F16E1FA" w14:textId="77777777" w:rsidR="00826870" w:rsidRPr="00820F7A" w:rsidRDefault="00B35016">
          <w:pPr>
            <w:pStyle w:val="Normal1"/>
            <w:pBdr>
              <w:top w:val="nil"/>
              <w:left w:val="nil"/>
              <w:bottom w:val="nil"/>
              <w:right w:val="nil"/>
              <w:between w:val="nil"/>
            </w:pBdr>
            <w:tabs>
              <w:tab w:val="right" w:pos="9350"/>
            </w:tabs>
            <w:rPr>
              <w:rFonts w:ascii="Cambria" w:eastAsia="Cambria" w:hAnsi="Cambria" w:cs="Cambria"/>
              <w:color w:val="000000"/>
              <w:lang w:val="en-GB"/>
            </w:rPr>
          </w:pPr>
          <w:r w:rsidRPr="00820F7A">
            <w:rPr>
              <w:lang w:val="en-GB"/>
            </w:rPr>
            <w:fldChar w:fldCharType="end"/>
          </w:r>
          <w:r w:rsidR="00B21388" w:rsidRPr="00820F7A">
            <w:rPr>
              <w:color w:val="000000"/>
              <w:lang w:val="en-GB"/>
            </w:rPr>
            <w:t>Table 3.4: Exclusion and Inclusion Criteria</w:t>
          </w:r>
          <w:r w:rsidR="00B21388" w:rsidRPr="00820F7A">
            <w:rPr>
              <w:color w:val="000000"/>
              <w:lang w:val="en-GB"/>
            </w:rPr>
            <w:tab/>
          </w:r>
          <w:r w:rsidRPr="00820F7A">
            <w:rPr>
              <w:lang w:val="en-GB"/>
            </w:rPr>
            <w:fldChar w:fldCharType="begin"/>
          </w:r>
          <w:r w:rsidR="00B21388" w:rsidRPr="00820F7A">
            <w:rPr>
              <w:lang w:val="en-GB"/>
            </w:rPr>
            <w:instrText xml:space="preserve"> PAGEREF _heading=h.kl52h5eqxj6w \h </w:instrText>
          </w:r>
          <w:r w:rsidRPr="00820F7A">
            <w:rPr>
              <w:lang w:val="en-GB"/>
            </w:rPr>
          </w:r>
          <w:r w:rsidRPr="00820F7A">
            <w:rPr>
              <w:lang w:val="en-GB"/>
            </w:rPr>
            <w:fldChar w:fldCharType="separate"/>
          </w:r>
          <w:r w:rsidR="00B21388" w:rsidRPr="00820F7A">
            <w:rPr>
              <w:color w:val="000000"/>
              <w:lang w:val="en-GB"/>
            </w:rPr>
            <w:t>1</w:t>
          </w:r>
          <w:hyperlink w:anchor="_heading=h.kl52h5eqxj6w" w:history="1"/>
        </w:p>
        <w:p w14:paraId="4BE7FE99" w14:textId="77777777" w:rsidR="00826870" w:rsidRPr="00820F7A" w:rsidRDefault="00B35016">
          <w:pPr>
            <w:pStyle w:val="Normal1"/>
            <w:pBdr>
              <w:top w:val="nil"/>
              <w:left w:val="nil"/>
              <w:bottom w:val="nil"/>
              <w:right w:val="nil"/>
              <w:between w:val="nil"/>
            </w:pBdr>
            <w:tabs>
              <w:tab w:val="right" w:pos="9350"/>
            </w:tabs>
            <w:rPr>
              <w:rFonts w:ascii="Cambria" w:eastAsia="Cambria" w:hAnsi="Cambria" w:cs="Cambria"/>
              <w:color w:val="000000"/>
              <w:lang w:val="en-GB"/>
            </w:rPr>
          </w:pPr>
          <w:r w:rsidRPr="00820F7A">
            <w:rPr>
              <w:lang w:val="en-GB"/>
            </w:rPr>
            <w:fldChar w:fldCharType="end"/>
          </w:r>
          <w:r w:rsidR="00B21388" w:rsidRPr="00820F7A">
            <w:rPr>
              <w:color w:val="000000"/>
              <w:lang w:val="en-GB"/>
            </w:rPr>
            <w:t>Table 3.5: Database search</w:t>
          </w:r>
          <w:r w:rsidR="00B21388" w:rsidRPr="00820F7A">
            <w:rPr>
              <w:color w:val="000000"/>
              <w:lang w:val="en-GB"/>
            </w:rPr>
            <w:tab/>
          </w:r>
          <w:r w:rsidRPr="00820F7A">
            <w:rPr>
              <w:lang w:val="en-GB"/>
            </w:rPr>
            <w:fldChar w:fldCharType="begin"/>
          </w:r>
          <w:r w:rsidR="00B21388" w:rsidRPr="00820F7A">
            <w:rPr>
              <w:lang w:val="en-GB"/>
            </w:rPr>
            <w:instrText xml:space="preserve"> PAGEREF _heading=h.5wkxcy8i6sxv \h </w:instrText>
          </w:r>
          <w:r w:rsidRPr="00820F7A">
            <w:rPr>
              <w:lang w:val="en-GB"/>
            </w:rPr>
          </w:r>
          <w:r w:rsidRPr="00820F7A">
            <w:rPr>
              <w:lang w:val="en-GB"/>
            </w:rPr>
            <w:fldChar w:fldCharType="separate"/>
          </w:r>
          <w:r w:rsidR="00B21388" w:rsidRPr="00820F7A">
            <w:rPr>
              <w:color w:val="000000"/>
              <w:lang w:val="en-GB"/>
            </w:rPr>
            <w:t>2</w:t>
          </w:r>
          <w:hyperlink w:anchor="_heading=h.5wkxcy8i6sxv" w:history="1"/>
        </w:p>
        <w:p w14:paraId="1E1F1810" w14:textId="77777777" w:rsidR="00826870" w:rsidRPr="00820F7A" w:rsidRDefault="00B35016">
          <w:pPr>
            <w:pStyle w:val="Normal1"/>
            <w:pBdr>
              <w:top w:val="nil"/>
              <w:left w:val="nil"/>
              <w:bottom w:val="nil"/>
              <w:right w:val="nil"/>
              <w:between w:val="nil"/>
            </w:pBdr>
            <w:tabs>
              <w:tab w:val="right" w:pos="9350"/>
            </w:tabs>
            <w:rPr>
              <w:rFonts w:ascii="Cambria" w:eastAsia="Cambria" w:hAnsi="Cambria" w:cs="Cambria"/>
              <w:color w:val="000000"/>
              <w:lang w:val="en-GB"/>
            </w:rPr>
          </w:pPr>
          <w:r w:rsidRPr="00820F7A">
            <w:rPr>
              <w:lang w:val="en-GB"/>
            </w:rPr>
            <w:fldChar w:fldCharType="end"/>
          </w:r>
          <w:r w:rsidR="00B21388" w:rsidRPr="00820F7A">
            <w:rPr>
              <w:color w:val="000000"/>
              <w:lang w:val="en-GB"/>
            </w:rPr>
            <w:t>Table 4.1: Data extraction</w:t>
          </w:r>
          <w:r w:rsidR="00B21388" w:rsidRPr="00820F7A">
            <w:rPr>
              <w:color w:val="000000"/>
              <w:lang w:val="en-GB"/>
            </w:rPr>
            <w:tab/>
          </w:r>
          <w:r w:rsidRPr="00820F7A">
            <w:rPr>
              <w:lang w:val="en-GB"/>
            </w:rPr>
            <w:fldChar w:fldCharType="begin"/>
          </w:r>
          <w:r w:rsidR="00B21388" w:rsidRPr="00820F7A">
            <w:rPr>
              <w:lang w:val="en-GB"/>
            </w:rPr>
            <w:instrText xml:space="preserve"> PAGEREF _heading=h.fw1i1vbew32v \h </w:instrText>
          </w:r>
          <w:r w:rsidRPr="00820F7A">
            <w:rPr>
              <w:lang w:val="en-GB"/>
            </w:rPr>
          </w:r>
          <w:r w:rsidRPr="00820F7A">
            <w:rPr>
              <w:lang w:val="en-GB"/>
            </w:rPr>
            <w:fldChar w:fldCharType="separate"/>
          </w:r>
          <w:r w:rsidR="00B21388" w:rsidRPr="00820F7A">
            <w:rPr>
              <w:color w:val="000000"/>
              <w:lang w:val="en-GB"/>
            </w:rPr>
            <w:t>11</w:t>
          </w:r>
          <w:hyperlink w:anchor="_heading=h.fw1i1vbew32v" w:history="1"/>
        </w:p>
        <w:p w14:paraId="29EAE78B" w14:textId="77777777" w:rsidR="00826870" w:rsidRPr="00820F7A" w:rsidRDefault="00B35016">
          <w:pPr>
            <w:pStyle w:val="Normal1"/>
            <w:pBdr>
              <w:top w:val="nil"/>
              <w:left w:val="nil"/>
              <w:bottom w:val="nil"/>
              <w:right w:val="nil"/>
              <w:between w:val="nil"/>
            </w:pBdr>
            <w:tabs>
              <w:tab w:val="right" w:pos="9350"/>
            </w:tabs>
            <w:rPr>
              <w:rFonts w:ascii="Cambria" w:eastAsia="Cambria" w:hAnsi="Cambria" w:cs="Cambria"/>
              <w:color w:val="000000"/>
              <w:lang w:val="en-GB"/>
            </w:rPr>
          </w:pPr>
          <w:r w:rsidRPr="00820F7A">
            <w:rPr>
              <w:lang w:val="en-GB"/>
            </w:rPr>
            <w:fldChar w:fldCharType="end"/>
          </w:r>
          <w:r w:rsidR="00B21388" w:rsidRPr="00820F7A">
            <w:rPr>
              <w:color w:val="000000"/>
              <w:lang w:val="en-GB"/>
            </w:rPr>
            <w:t>Table 5.1: Data characteristics</w:t>
          </w:r>
          <w:r w:rsidR="00B21388" w:rsidRPr="00820F7A">
            <w:rPr>
              <w:color w:val="000000"/>
              <w:lang w:val="en-GB"/>
            </w:rPr>
            <w:tab/>
          </w:r>
          <w:r w:rsidRPr="00820F7A">
            <w:rPr>
              <w:lang w:val="en-GB"/>
            </w:rPr>
            <w:fldChar w:fldCharType="begin"/>
          </w:r>
          <w:r w:rsidR="00B21388" w:rsidRPr="00820F7A">
            <w:rPr>
              <w:lang w:val="en-GB"/>
            </w:rPr>
            <w:instrText xml:space="preserve"> PAGEREF _heading=h.qx727doqwhhb \h </w:instrText>
          </w:r>
          <w:r w:rsidRPr="00820F7A">
            <w:rPr>
              <w:lang w:val="en-GB"/>
            </w:rPr>
          </w:r>
          <w:r w:rsidRPr="00820F7A">
            <w:rPr>
              <w:lang w:val="en-GB"/>
            </w:rPr>
            <w:fldChar w:fldCharType="separate"/>
          </w:r>
          <w:r w:rsidR="00B21388" w:rsidRPr="00820F7A">
            <w:rPr>
              <w:color w:val="000000"/>
              <w:lang w:val="en-GB"/>
            </w:rPr>
            <w:t>26</w:t>
          </w:r>
          <w:hyperlink w:anchor="_heading=h.qx727doqwhhb" w:history="1"/>
        </w:p>
        <w:p w14:paraId="33C18F25" w14:textId="77777777" w:rsidR="00826870" w:rsidRPr="00820F7A" w:rsidRDefault="00B35016">
          <w:pPr>
            <w:pStyle w:val="Normal1"/>
            <w:pBdr>
              <w:top w:val="nil"/>
              <w:left w:val="nil"/>
              <w:bottom w:val="nil"/>
              <w:right w:val="nil"/>
              <w:between w:val="nil"/>
            </w:pBdr>
            <w:tabs>
              <w:tab w:val="right" w:pos="9350"/>
            </w:tabs>
            <w:rPr>
              <w:rFonts w:ascii="Cambria" w:eastAsia="Cambria" w:hAnsi="Cambria" w:cs="Cambria"/>
              <w:color w:val="000000"/>
              <w:lang w:val="en-GB"/>
            </w:rPr>
          </w:pPr>
          <w:r w:rsidRPr="00820F7A">
            <w:rPr>
              <w:lang w:val="en-GB"/>
            </w:rPr>
            <w:fldChar w:fldCharType="end"/>
          </w:r>
          <w:r w:rsidR="00B21388" w:rsidRPr="00820F7A">
            <w:rPr>
              <w:color w:val="000000"/>
              <w:lang w:val="en-GB"/>
            </w:rPr>
            <w:t>Table 5.2: Quantitative table</w:t>
          </w:r>
          <w:r w:rsidR="00B21388" w:rsidRPr="00820F7A">
            <w:rPr>
              <w:color w:val="000000"/>
              <w:lang w:val="en-GB"/>
            </w:rPr>
            <w:tab/>
          </w:r>
          <w:r w:rsidRPr="00820F7A">
            <w:rPr>
              <w:lang w:val="en-GB"/>
            </w:rPr>
            <w:fldChar w:fldCharType="begin"/>
          </w:r>
          <w:r w:rsidR="00B21388" w:rsidRPr="00820F7A">
            <w:rPr>
              <w:lang w:val="en-GB"/>
            </w:rPr>
            <w:instrText xml:space="preserve"> PAGEREF _heading=h.upwsx6d7g2bb \h </w:instrText>
          </w:r>
          <w:r w:rsidRPr="00820F7A">
            <w:rPr>
              <w:lang w:val="en-GB"/>
            </w:rPr>
          </w:r>
          <w:r w:rsidRPr="00820F7A">
            <w:rPr>
              <w:lang w:val="en-GB"/>
            </w:rPr>
            <w:fldChar w:fldCharType="separate"/>
          </w:r>
          <w:r w:rsidR="00B21388" w:rsidRPr="00820F7A">
            <w:rPr>
              <w:color w:val="000000"/>
              <w:lang w:val="en-GB"/>
            </w:rPr>
            <w:t>32</w:t>
          </w:r>
          <w:hyperlink w:anchor="_heading=h.upwsx6d7g2bb" w:history="1"/>
        </w:p>
        <w:p w14:paraId="239D5B81" w14:textId="77777777" w:rsidR="00826870" w:rsidRPr="00820F7A" w:rsidRDefault="00B35016">
          <w:pPr>
            <w:pStyle w:val="Normal1"/>
            <w:pBdr>
              <w:top w:val="nil"/>
              <w:left w:val="nil"/>
              <w:bottom w:val="nil"/>
              <w:right w:val="nil"/>
              <w:between w:val="nil"/>
            </w:pBdr>
            <w:tabs>
              <w:tab w:val="right" w:pos="9350"/>
            </w:tabs>
            <w:rPr>
              <w:rFonts w:ascii="Cambria" w:eastAsia="Cambria" w:hAnsi="Cambria" w:cs="Cambria"/>
              <w:color w:val="000000"/>
              <w:lang w:val="en-GB"/>
            </w:rPr>
          </w:pPr>
          <w:r w:rsidRPr="00820F7A">
            <w:rPr>
              <w:lang w:val="en-GB"/>
            </w:rPr>
            <w:fldChar w:fldCharType="end"/>
          </w:r>
          <w:r w:rsidR="00B21388" w:rsidRPr="00820F7A">
            <w:rPr>
              <w:color w:val="000000"/>
              <w:lang w:val="en-GB"/>
            </w:rPr>
            <w:t>Table 5.3: Qualitative table</w:t>
          </w:r>
          <w:r w:rsidR="00B21388" w:rsidRPr="00820F7A">
            <w:rPr>
              <w:color w:val="000000"/>
              <w:lang w:val="en-GB"/>
            </w:rPr>
            <w:tab/>
          </w:r>
          <w:r w:rsidRPr="00820F7A">
            <w:rPr>
              <w:lang w:val="en-GB"/>
            </w:rPr>
            <w:fldChar w:fldCharType="begin"/>
          </w:r>
          <w:r w:rsidR="00B21388" w:rsidRPr="00820F7A">
            <w:rPr>
              <w:lang w:val="en-GB"/>
            </w:rPr>
            <w:instrText xml:space="preserve"> PAGEREF _heading=h.k2nmko1gsy4s \h </w:instrText>
          </w:r>
          <w:r w:rsidRPr="00820F7A">
            <w:rPr>
              <w:lang w:val="en-GB"/>
            </w:rPr>
          </w:r>
          <w:r w:rsidRPr="00820F7A">
            <w:rPr>
              <w:lang w:val="en-GB"/>
            </w:rPr>
            <w:fldChar w:fldCharType="separate"/>
          </w:r>
          <w:r w:rsidR="00B21388" w:rsidRPr="00820F7A">
            <w:rPr>
              <w:color w:val="000000"/>
              <w:lang w:val="en-GB"/>
            </w:rPr>
            <w:t>36</w:t>
          </w:r>
          <w:hyperlink w:anchor="_heading=h.k2nmko1gsy4s" w:history="1"/>
        </w:p>
        <w:p w14:paraId="66CC2E44" w14:textId="77777777" w:rsidR="00826870" w:rsidRPr="00820F7A" w:rsidRDefault="00B35016">
          <w:pPr>
            <w:pStyle w:val="Normal1"/>
            <w:pBdr>
              <w:top w:val="nil"/>
              <w:left w:val="nil"/>
              <w:bottom w:val="nil"/>
              <w:right w:val="nil"/>
              <w:between w:val="nil"/>
            </w:pBdr>
            <w:tabs>
              <w:tab w:val="right" w:pos="9350"/>
            </w:tabs>
            <w:rPr>
              <w:rFonts w:ascii="Cambria" w:eastAsia="Cambria" w:hAnsi="Cambria" w:cs="Cambria"/>
              <w:color w:val="000000"/>
              <w:lang w:val="en-GB"/>
            </w:rPr>
          </w:pPr>
          <w:r w:rsidRPr="00820F7A">
            <w:rPr>
              <w:lang w:val="en-GB"/>
            </w:rPr>
            <w:fldChar w:fldCharType="end"/>
          </w:r>
          <w:r w:rsidR="00B21388" w:rsidRPr="00820F7A">
            <w:rPr>
              <w:color w:val="000000"/>
              <w:lang w:val="en-GB"/>
            </w:rPr>
            <w:t>Table 5.4: Theme discussion table</w:t>
          </w:r>
          <w:r w:rsidR="00B21388" w:rsidRPr="00820F7A">
            <w:rPr>
              <w:color w:val="000000"/>
              <w:lang w:val="en-GB"/>
            </w:rPr>
            <w:tab/>
          </w:r>
          <w:r w:rsidRPr="00820F7A">
            <w:rPr>
              <w:lang w:val="en-GB"/>
            </w:rPr>
            <w:fldChar w:fldCharType="begin"/>
          </w:r>
          <w:r w:rsidR="00B21388" w:rsidRPr="00820F7A">
            <w:rPr>
              <w:lang w:val="en-GB"/>
            </w:rPr>
            <w:instrText xml:space="preserve"> PAGEREF _heading=h.2rpzc7recm1a \h </w:instrText>
          </w:r>
          <w:r w:rsidRPr="00820F7A">
            <w:rPr>
              <w:lang w:val="en-GB"/>
            </w:rPr>
          </w:r>
          <w:r w:rsidRPr="00820F7A">
            <w:rPr>
              <w:lang w:val="en-GB"/>
            </w:rPr>
            <w:fldChar w:fldCharType="separate"/>
          </w:r>
          <w:r w:rsidR="00B21388" w:rsidRPr="00820F7A">
            <w:rPr>
              <w:color w:val="000000"/>
              <w:lang w:val="en-GB"/>
            </w:rPr>
            <w:t>39</w:t>
          </w:r>
          <w:hyperlink w:anchor="_heading=h.2rpzc7recm1a" w:history="1"/>
        </w:p>
        <w:p w14:paraId="4217CEB4" w14:textId="77777777" w:rsidR="00826870" w:rsidRPr="00820F7A" w:rsidRDefault="00B35016">
          <w:pPr>
            <w:pStyle w:val="Heading1"/>
            <w:rPr>
              <w:lang w:val="en-GB"/>
            </w:rPr>
          </w:pPr>
          <w:r w:rsidRPr="00820F7A">
            <w:rPr>
              <w:lang w:val="en-GB"/>
            </w:rPr>
            <w:fldChar w:fldCharType="end"/>
          </w:r>
          <w:r w:rsidRPr="00820F7A">
            <w:rPr>
              <w:lang w:val="en-GB"/>
            </w:rPr>
            <w:fldChar w:fldCharType="end"/>
          </w:r>
        </w:p>
      </w:sdtContent>
    </w:sdt>
    <w:p w14:paraId="2661ADBA" w14:textId="77777777" w:rsidR="00826870" w:rsidRPr="00820F7A" w:rsidRDefault="00B21388">
      <w:pPr>
        <w:pStyle w:val="Normal1"/>
        <w:pBdr>
          <w:top w:val="nil"/>
          <w:left w:val="nil"/>
          <w:bottom w:val="nil"/>
          <w:right w:val="nil"/>
          <w:between w:val="nil"/>
        </w:pBdr>
        <w:rPr>
          <w:b/>
          <w:bCs/>
          <w:color w:val="000000"/>
          <w:lang w:val="en-GB"/>
        </w:rPr>
      </w:pPr>
      <w:r w:rsidRPr="00820F7A">
        <w:rPr>
          <w:lang w:val="en-GB"/>
        </w:rPr>
        <w:br w:type="page"/>
      </w:r>
    </w:p>
    <w:p w14:paraId="0C528659" w14:textId="77777777" w:rsidR="00826870" w:rsidRPr="00820F7A" w:rsidRDefault="00B21388">
      <w:pPr>
        <w:pStyle w:val="Heading1"/>
        <w:rPr>
          <w:lang w:val="en-GB"/>
        </w:rPr>
      </w:pPr>
      <w:bookmarkStart w:id="3" w:name="_Toc220759465"/>
      <w:r w:rsidRPr="00820F7A">
        <w:rPr>
          <w:lang w:val="en-GB"/>
        </w:rPr>
        <w:t>Chapter 1: Introduction</w:t>
      </w:r>
      <w:bookmarkEnd w:id="3"/>
    </w:p>
    <w:p w14:paraId="54F8CCA3" w14:textId="77777777" w:rsidR="00826870" w:rsidRPr="00820F7A" w:rsidRDefault="00B21388">
      <w:pPr>
        <w:pStyle w:val="Heading2"/>
        <w:rPr>
          <w:lang w:val="en-GB"/>
        </w:rPr>
      </w:pPr>
      <w:bookmarkStart w:id="4" w:name="_Toc220759466"/>
      <w:r w:rsidRPr="00820F7A">
        <w:rPr>
          <w:lang w:val="en-GB"/>
        </w:rPr>
        <w:t>1.1 Introduction</w:t>
      </w:r>
      <w:bookmarkEnd w:id="4"/>
    </w:p>
    <w:p w14:paraId="67CF6DEB"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Clinical negligence is a mounting challenge for the UK’s NHS, both within human costs and the financial burden. The NHS paid almost £2.8 billion within damages and also legal costs for the clinical negligence claims, which are up from about £2.7 billion within previous years (NHS, 2025). Furthermore, maternity-related claims accounted for the disproportionately large share while obstetrics made up a smaller percentage for all the claims, poor maternity care was further responsible for 57% of the overall value of the NHS (NHS, 2022). Fig. 1.1 highlights obstetric claims accounted for almost 13% of the clinical claims that are reported by the volume but accounted for almost 57% of every clinical claim (UK Government, 2024). Such incidents can cause devastating consequences for the child, parents as well as wider family, as the NHS staffs is involved. Therefore, this reflects on a natural as well as expected volatility within high-value claim numbers and would continue to monitor the figure closely.</w:t>
      </w:r>
    </w:p>
    <w:p w14:paraId="1BB8AF02" w14:textId="77777777" w:rsidR="00826870" w:rsidRPr="00820F7A" w:rsidRDefault="00B21388">
      <w:pPr>
        <w:pStyle w:val="Normal1"/>
        <w:pBdr>
          <w:top w:val="nil"/>
          <w:left w:val="nil"/>
          <w:bottom w:val="nil"/>
          <w:right w:val="nil"/>
          <w:between w:val="nil"/>
        </w:pBdr>
        <w:jc w:val="center"/>
        <w:rPr>
          <w:color w:val="000000"/>
          <w:lang w:val="en-GB"/>
        </w:rPr>
      </w:pPr>
      <w:r w:rsidRPr="00820F7A">
        <w:rPr>
          <w:noProof/>
          <w:color w:val="000000"/>
          <w:lang w:val="en-GB"/>
        </w:rPr>
        <w:drawing>
          <wp:inline distT="114300" distB="114300" distL="114300" distR="114300" wp14:anchorId="3A65BA65" wp14:editId="6BAC83F7">
            <wp:extent cx="4781550" cy="2143125"/>
            <wp:effectExtent l="25400" t="25400" r="25400" b="25400"/>
            <wp:docPr id="12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781550" cy="2143125"/>
                    </a:xfrm>
                    <a:prstGeom prst="rect">
                      <a:avLst/>
                    </a:prstGeom>
                    <a:ln w="25400">
                      <a:solidFill>
                        <a:srgbClr val="000000"/>
                      </a:solidFill>
                      <a:prstDash val="solid"/>
                    </a:ln>
                  </pic:spPr>
                </pic:pic>
              </a:graphicData>
            </a:graphic>
          </wp:inline>
        </w:drawing>
      </w:r>
    </w:p>
    <w:p w14:paraId="171EA304" w14:textId="77777777" w:rsidR="00826870" w:rsidRPr="00820F7A" w:rsidRDefault="00B21388">
      <w:pPr>
        <w:pStyle w:val="Normal1"/>
        <w:pBdr>
          <w:top w:val="nil"/>
          <w:left w:val="nil"/>
          <w:bottom w:val="nil"/>
          <w:right w:val="nil"/>
          <w:between w:val="nil"/>
        </w:pBdr>
        <w:jc w:val="center"/>
        <w:rPr>
          <w:color w:val="000000"/>
          <w:lang w:val="en-GB"/>
        </w:rPr>
      </w:pPr>
      <w:r w:rsidRPr="00820F7A">
        <w:rPr>
          <w:noProof/>
          <w:color w:val="000000"/>
          <w:lang w:val="en-GB"/>
        </w:rPr>
        <w:drawing>
          <wp:inline distT="114300" distB="114300" distL="114300" distR="114300" wp14:anchorId="544F7B50" wp14:editId="083A8B26">
            <wp:extent cx="4486275" cy="2000250"/>
            <wp:effectExtent l="25400" t="25400" r="25400" b="25400"/>
            <wp:docPr id="12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486275" cy="2000250"/>
                    </a:xfrm>
                    <a:prstGeom prst="rect">
                      <a:avLst/>
                    </a:prstGeom>
                    <a:ln w="25400">
                      <a:solidFill>
                        <a:srgbClr val="000000"/>
                      </a:solidFill>
                      <a:prstDash val="solid"/>
                    </a:ln>
                  </pic:spPr>
                </pic:pic>
              </a:graphicData>
            </a:graphic>
          </wp:inline>
        </w:drawing>
      </w:r>
    </w:p>
    <w:p w14:paraId="0D608847" w14:textId="77777777" w:rsidR="00826870" w:rsidRPr="00820F7A" w:rsidRDefault="00B21388">
      <w:pPr>
        <w:pStyle w:val="Heading4"/>
        <w:rPr>
          <w:lang w:val="en-GB"/>
        </w:rPr>
      </w:pPr>
      <w:bookmarkStart w:id="5" w:name="_heading=h.ygddwv25v28y" w:colFirst="0" w:colLast="0"/>
      <w:bookmarkEnd w:id="5"/>
      <w:r w:rsidRPr="00820F7A">
        <w:rPr>
          <w:lang w:val="en-GB"/>
        </w:rPr>
        <w:t>Figure 1.1: Total number and value of clinical claims received in 2023/24 by specialty</w:t>
      </w:r>
    </w:p>
    <w:p w14:paraId="4B58CBA2" w14:textId="77777777" w:rsidR="00826870" w:rsidRPr="00820F7A" w:rsidRDefault="00B21388">
      <w:pPr>
        <w:pStyle w:val="Normal1"/>
        <w:pBdr>
          <w:top w:val="nil"/>
          <w:left w:val="nil"/>
          <w:bottom w:val="nil"/>
          <w:right w:val="nil"/>
          <w:between w:val="nil"/>
        </w:pBdr>
        <w:jc w:val="center"/>
        <w:rPr>
          <w:color w:val="000000"/>
          <w:lang w:val="en-GB"/>
        </w:rPr>
      </w:pPr>
      <w:r w:rsidRPr="00820F7A">
        <w:rPr>
          <w:color w:val="000000"/>
          <w:lang w:val="en-GB"/>
        </w:rPr>
        <w:t>(Source: UK Government, 2024)</w:t>
      </w:r>
    </w:p>
    <w:p w14:paraId="2888D667"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The estimated annual costs of harm for the incidents are under the Clinical Negligence Scheme for the Trusts. The percentage accounted to stand at approx. £4.6 billion, though reflects certain reductions from the earlier years (UK Parliament, 2024). Fig 1.2 has defined the standard of faster diagnosis improvement in UK healthcare that has significantly enhanced future liabilities at £60.3 billion in 2025 (NHS, 2025). The performance against the 62 data Urgent Referral to First Treatment Standard had begun the first definitive treatment for the urgent suspected canker referral. The image states 4.4% points higher than Feb 2025, with 2.5% higher than the same point last year (NHS, 2025). The NHS’s provision for the future liabilities as of 2025 was £60.3 billion (NHS, 2025). The key indicator explored training surveys over one within five trainee doctors that were admitted and had hesitated at least once within the past 12 months for escalating patient care. Thus, these points are to systemic barriers around speaking up, fear or uncertainty within leadership practices and safety cultures. </w:t>
      </w:r>
    </w:p>
    <w:p w14:paraId="2495EB03" w14:textId="77777777" w:rsidR="00826870" w:rsidRPr="00820F7A" w:rsidRDefault="00B21388">
      <w:pPr>
        <w:pStyle w:val="Normal1"/>
        <w:pBdr>
          <w:top w:val="nil"/>
          <w:left w:val="nil"/>
          <w:bottom w:val="nil"/>
          <w:right w:val="nil"/>
          <w:between w:val="nil"/>
        </w:pBdr>
        <w:jc w:val="center"/>
        <w:rPr>
          <w:color w:val="000000"/>
          <w:lang w:val="en-GB"/>
        </w:rPr>
      </w:pPr>
      <w:r w:rsidRPr="00820F7A">
        <w:rPr>
          <w:noProof/>
          <w:color w:val="000000"/>
          <w:lang w:val="en-GB"/>
        </w:rPr>
        <w:drawing>
          <wp:inline distT="114300" distB="114300" distL="114300" distR="114300" wp14:anchorId="48F8F789" wp14:editId="123D2E98">
            <wp:extent cx="5943600" cy="2667000"/>
            <wp:effectExtent l="25400" t="25400" r="25400" b="25400"/>
            <wp:docPr id="124"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1"/>
                    <a:srcRect/>
                    <a:stretch>
                      <a:fillRect/>
                    </a:stretch>
                  </pic:blipFill>
                  <pic:spPr>
                    <a:xfrm>
                      <a:off x="0" y="0"/>
                      <a:ext cx="5943600" cy="2667000"/>
                    </a:xfrm>
                    <a:prstGeom prst="rect">
                      <a:avLst/>
                    </a:prstGeom>
                    <a:ln w="25400">
                      <a:solidFill>
                        <a:srgbClr val="000000"/>
                      </a:solidFill>
                      <a:prstDash val="solid"/>
                    </a:ln>
                  </pic:spPr>
                </pic:pic>
              </a:graphicData>
            </a:graphic>
          </wp:inline>
        </w:drawing>
      </w:r>
    </w:p>
    <w:p w14:paraId="26659168" w14:textId="77777777" w:rsidR="00826870" w:rsidRPr="00820F7A" w:rsidRDefault="00B21388">
      <w:pPr>
        <w:pStyle w:val="Heading4"/>
        <w:rPr>
          <w:lang w:val="en-GB"/>
        </w:rPr>
      </w:pPr>
      <w:bookmarkStart w:id="6" w:name="_heading=h.recokxwl6zm2" w:colFirst="0" w:colLast="0"/>
      <w:bookmarkEnd w:id="6"/>
      <w:r w:rsidRPr="00820F7A">
        <w:rPr>
          <w:lang w:val="en-GB"/>
        </w:rPr>
        <w:t>Figure 1.2: Faster diagnosis standard performance across England</w:t>
      </w:r>
    </w:p>
    <w:p w14:paraId="218808EB" w14:textId="77777777" w:rsidR="00826870" w:rsidRPr="00820F7A" w:rsidRDefault="00B21388">
      <w:pPr>
        <w:pStyle w:val="Normal1"/>
        <w:pBdr>
          <w:top w:val="nil"/>
          <w:left w:val="nil"/>
          <w:bottom w:val="nil"/>
          <w:right w:val="nil"/>
          <w:between w:val="nil"/>
        </w:pBdr>
        <w:jc w:val="center"/>
        <w:rPr>
          <w:color w:val="000000"/>
          <w:lang w:val="en-GB"/>
        </w:rPr>
      </w:pPr>
      <w:r w:rsidRPr="00820F7A">
        <w:rPr>
          <w:color w:val="000000"/>
          <w:lang w:val="en-GB"/>
        </w:rPr>
        <w:t>(Source: NHS, 2025)</w:t>
      </w:r>
    </w:p>
    <w:p w14:paraId="7ACAD371"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The key role of the clinical leadership is determined to ensure the health inequalities are nearly calculated to be 90% for the doctored surveys by Royal College of Physics (RCP UK, 2025). These are further expressed as the serious concerns for the health inequalities and harming patients. In the survey, 46% of the respondents said that at least half of the workload was because of the illness linked to the social; and the economic determinants within poor housing, education and employment (RCP UK, 2025). Therefore, the research enables us to focus on the barriers existing and the essential strategies that might be adopted for fostering a better safety culture against the backdrop of rising costs and inequalities. </w:t>
      </w:r>
    </w:p>
    <w:p w14:paraId="521E9F78" w14:textId="77777777" w:rsidR="00826870" w:rsidRPr="00820F7A" w:rsidRDefault="00B21388">
      <w:pPr>
        <w:pStyle w:val="Heading2"/>
        <w:rPr>
          <w:lang w:val="en-GB"/>
        </w:rPr>
      </w:pPr>
      <w:bookmarkStart w:id="7" w:name="_Toc220759467"/>
      <w:r w:rsidRPr="00820F7A">
        <w:rPr>
          <w:lang w:val="en-GB"/>
        </w:rPr>
        <w:t>1.2 Research Background</w:t>
      </w:r>
      <w:bookmarkEnd w:id="7"/>
    </w:p>
    <w:p w14:paraId="7BD89D86"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Clinical leadership is essential because it ensures high-quality patient care through developing safety efficiency and the patient outcomes. NHS healthcare is determined to focus on balancing out the quality, safety concerns and also the costs those are identified within the recent years (NHS England, 2021). It has been identified that increased scrutiny of clinical negligence is aligned with both an indicator of system failures and also major financial drains. The FY24 stated that the NHS paid almost £2.8 billion within compensation and also legal costs because of the clinical negligence (NHS, 2025). The rise within the costs is not confined within settlements alone as it further estimates the cost of harm from the unsafe care as to run within several billions of pounds annually (Campbell, 2024). The clinical negligence in leadership further claims to ensure a concentrated aspect within the certain specialists repeatedly flagged as one with both the high incidence and also high financial costs. </w:t>
      </w:r>
    </w:p>
    <w:p w14:paraId="40202334" w14:textId="77777777" w:rsidR="00826870" w:rsidRPr="00820F7A" w:rsidRDefault="00B21388">
      <w:pPr>
        <w:pStyle w:val="Normal1"/>
        <w:pBdr>
          <w:top w:val="nil"/>
          <w:left w:val="nil"/>
          <w:bottom w:val="nil"/>
          <w:right w:val="nil"/>
          <w:between w:val="nil"/>
        </w:pBdr>
        <w:jc w:val="center"/>
        <w:rPr>
          <w:color w:val="000000"/>
          <w:sz w:val="24"/>
          <w:szCs w:val="24"/>
          <w:lang w:val="en-GB"/>
        </w:rPr>
      </w:pPr>
      <w:r w:rsidRPr="00820F7A">
        <w:rPr>
          <w:noProof/>
          <w:color w:val="000000"/>
          <w:lang w:val="en-GB"/>
        </w:rPr>
        <w:drawing>
          <wp:inline distT="0" distB="0" distL="0" distR="0" wp14:anchorId="50313F4E" wp14:editId="0C56751F">
            <wp:extent cx="5943600" cy="4371975"/>
            <wp:effectExtent l="0" t="0" r="0" b="0"/>
            <wp:docPr id="123"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2"/>
                    <a:srcRect/>
                    <a:stretch>
                      <a:fillRect/>
                    </a:stretch>
                  </pic:blipFill>
                  <pic:spPr>
                    <a:xfrm>
                      <a:off x="0" y="0"/>
                      <a:ext cx="5943600" cy="4371975"/>
                    </a:xfrm>
                    <a:prstGeom prst="rect">
                      <a:avLst/>
                    </a:prstGeom>
                    <a:ln/>
                  </pic:spPr>
                </pic:pic>
              </a:graphicData>
            </a:graphic>
          </wp:inline>
        </w:drawing>
      </w:r>
    </w:p>
    <w:p w14:paraId="2BF34FBE" w14:textId="77777777" w:rsidR="00826870" w:rsidRPr="00820F7A" w:rsidRDefault="00B21388">
      <w:pPr>
        <w:pStyle w:val="Heading4"/>
        <w:rPr>
          <w:lang w:val="en-GB"/>
        </w:rPr>
      </w:pPr>
      <w:bookmarkStart w:id="8" w:name="_heading=h.g6zu7d8zcqq2" w:colFirst="0" w:colLast="0"/>
      <w:bookmarkEnd w:id="8"/>
      <w:r w:rsidRPr="00820F7A">
        <w:rPr>
          <w:lang w:val="en-GB"/>
        </w:rPr>
        <w:t>Figure 1.3: Sizable minorities of trainee doctors in NHS</w:t>
      </w:r>
    </w:p>
    <w:p w14:paraId="3046FB4D" w14:textId="77777777" w:rsidR="00826870" w:rsidRPr="00820F7A" w:rsidRDefault="00B21388">
      <w:pPr>
        <w:pStyle w:val="Normal1"/>
        <w:pBdr>
          <w:top w:val="nil"/>
          <w:left w:val="nil"/>
          <w:bottom w:val="nil"/>
          <w:right w:val="nil"/>
          <w:between w:val="nil"/>
        </w:pBdr>
        <w:jc w:val="center"/>
        <w:rPr>
          <w:color w:val="000000"/>
          <w:sz w:val="24"/>
          <w:szCs w:val="24"/>
          <w:lang w:val="en-GB"/>
        </w:rPr>
      </w:pPr>
      <w:r w:rsidRPr="00820F7A">
        <w:rPr>
          <w:color w:val="000000"/>
          <w:lang w:val="en-GB"/>
        </w:rPr>
        <w:t>(Source: NHS Resolution, 2023)</w:t>
      </w:r>
    </w:p>
    <w:p w14:paraId="2E237331" w14:textId="77777777" w:rsidR="00826870" w:rsidRPr="00820F7A" w:rsidRDefault="00826870">
      <w:pPr>
        <w:pStyle w:val="Normal1"/>
        <w:pBdr>
          <w:top w:val="nil"/>
          <w:left w:val="nil"/>
          <w:bottom w:val="nil"/>
          <w:right w:val="nil"/>
          <w:between w:val="nil"/>
        </w:pBdr>
        <w:rPr>
          <w:color w:val="000000"/>
          <w:lang w:val="en-GB"/>
        </w:rPr>
      </w:pPr>
    </w:p>
    <w:p w14:paraId="2106FDD0"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Figure 1.3 has mentioned that the risks of safety culture in the UK healthcare have been rising due to poor clinical leadership and accountability in the care setting of the UK. As mentioned in figure 1.3, misbehaviour and misconduct concerns in UK healthcare accounted for 70% with increased clinical concerns, accounting for 40% and health concerns accounts of 18% (NHS Resolution, 2023). The financial liabilities are aligned with increasing burdensome with the 2025 provisions for future liabilities with over 60% (Darzi, 2024). Therefore, the patient safety culture indicates shared values, attitudes and the behaviours those are aligned with healthcare staffs to influence safety. Based on current industry reports, the notable sized minorities of trainee doctors are only 17% with hesitation within escalating concerns (NHS Resolution, 2023). It has also been identified that 70% of the cases are involved with behaviour to misconduct concerns. In essence, this area further remained reasonably steady with the annual percentage of the cases featuring behaviour or misconduct concerns totally between 66 to 72% within the past 5 financial years.</w:t>
      </w:r>
    </w:p>
    <w:p w14:paraId="2443D454" w14:textId="77777777" w:rsidR="00826870" w:rsidRPr="00820F7A" w:rsidRDefault="00B21388">
      <w:pPr>
        <w:pStyle w:val="Heading2"/>
        <w:rPr>
          <w:lang w:val="en-GB"/>
        </w:rPr>
      </w:pPr>
      <w:bookmarkStart w:id="9" w:name="_Toc220759468"/>
      <w:r w:rsidRPr="00820F7A">
        <w:rPr>
          <w:lang w:val="en-GB"/>
        </w:rPr>
        <w:t>1.3 Problem statement</w:t>
      </w:r>
      <w:bookmarkEnd w:id="9"/>
      <w:r w:rsidRPr="00820F7A">
        <w:rPr>
          <w:lang w:val="en-GB"/>
        </w:rPr>
        <w:t xml:space="preserve"> </w:t>
      </w:r>
    </w:p>
    <w:p w14:paraId="59356418" w14:textId="77777777" w:rsidR="00826870" w:rsidRPr="00820F7A" w:rsidRDefault="00B21388">
      <w:pPr>
        <w:pStyle w:val="Normal1"/>
        <w:pBdr>
          <w:top w:val="nil"/>
          <w:left w:val="nil"/>
          <w:bottom w:val="nil"/>
          <w:right w:val="nil"/>
          <w:between w:val="nil"/>
        </w:pBdr>
        <w:rPr>
          <w:color w:val="000000"/>
          <w:lang w:val="en-GB"/>
        </w:rPr>
      </w:pPr>
      <w:r w:rsidRPr="00820F7A">
        <w:rPr>
          <w:b/>
          <w:bCs/>
          <w:i/>
          <w:iCs/>
          <w:color w:val="000000"/>
          <w:lang w:val="en-GB"/>
        </w:rPr>
        <w:t xml:space="preserve">Problem statement- </w:t>
      </w:r>
      <w:r w:rsidRPr="00820F7A">
        <w:rPr>
          <w:color w:val="000000"/>
          <w:lang w:val="en-GB"/>
        </w:rPr>
        <w:t xml:space="preserve">The costs of clinical negligence in the NHS has increased to almost £2.7 billion that is also impacted by healthcare inequities impacting care accessibility (Munford et al. 2025). </w:t>
      </w:r>
    </w:p>
    <w:p w14:paraId="704DD4CB"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Patient safety issues due to clinical negligence and ineffective leadership approach are major concerns in the UK healthcare sector through evaluating the impact of clinical leadership in changing healthcare workers' perception. Tania </w:t>
      </w:r>
      <w:r w:rsidRPr="00820F7A">
        <w:rPr>
          <w:i/>
          <w:iCs/>
          <w:color w:val="000000"/>
          <w:lang w:val="en-GB"/>
        </w:rPr>
        <w:t xml:space="preserve">et al. </w:t>
      </w:r>
      <w:r w:rsidRPr="00820F7A">
        <w:rPr>
          <w:color w:val="000000"/>
          <w:lang w:val="en-GB"/>
        </w:rPr>
        <w:t xml:space="preserve">(2025) have outlined that clinical leadership in the healthcare setting is directly related to self-efficacy, assisting in enhancing patient safety culture and ensuring work engagement. Thus, the role of clinical leadership has been evaluated in the present research for understanding its impact on the management of patient safety and establishing patient safety culture in UK healthcare. </w:t>
      </w:r>
    </w:p>
    <w:p w14:paraId="74E9550C" w14:textId="77777777" w:rsidR="00826870" w:rsidRPr="00820F7A" w:rsidRDefault="00B21388">
      <w:pPr>
        <w:pStyle w:val="Heading2"/>
        <w:rPr>
          <w:lang w:val="en-GB"/>
        </w:rPr>
      </w:pPr>
      <w:bookmarkStart w:id="10" w:name="_Toc220759469"/>
      <w:r w:rsidRPr="00820F7A">
        <w:rPr>
          <w:lang w:val="en-GB"/>
        </w:rPr>
        <w:t>1.4 Research aims, objectives and research questions</w:t>
      </w:r>
      <w:bookmarkEnd w:id="10"/>
      <w:r w:rsidRPr="00820F7A">
        <w:rPr>
          <w:lang w:val="en-GB"/>
        </w:rPr>
        <w:t xml:space="preserve"> </w:t>
      </w:r>
    </w:p>
    <w:p w14:paraId="36709D61" w14:textId="77777777" w:rsidR="00826870" w:rsidRPr="00820F7A" w:rsidRDefault="00B21388">
      <w:pPr>
        <w:pStyle w:val="Heading3"/>
        <w:rPr>
          <w:b w:val="0"/>
          <w:bCs w:val="0"/>
          <w:lang w:val="en-GB"/>
        </w:rPr>
      </w:pPr>
      <w:bookmarkStart w:id="11" w:name="_Toc220759470"/>
      <w:r w:rsidRPr="00820F7A">
        <w:rPr>
          <w:lang w:val="en-GB"/>
        </w:rPr>
        <w:t>Questions</w:t>
      </w:r>
      <w:bookmarkEnd w:id="11"/>
    </w:p>
    <w:p w14:paraId="19525AFF" w14:textId="77777777" w:rsidR="00826870" w:rsidRPr="00820F7A" w:rsidRDefault="00B21388">
      <w:pPr>
        <w:pStyle w:val="Normal1"/>
        <w:pBdr>
          <w:top w:val="nil"/>
          <w:left w:val="nil"/>
          <w:bottom w:val="nil"/>
          <w:right w:val="nil"/>
          <w:between w:val="nil"/>
        </w:pBdr>
        <w:rPr>
          <w:color w:val="000000"/>
          <w:lang w:val="en-GB"/>
        </w:rPr>
      </w:pPr>
      <w:r w:rsidRPr="00820F7A">
        <w:rPr>
          <w:b/>
          <w:bCs/>
          <w:color w:val="000000"/>
          <w:lang w:val="en-GB"/>
        </w:rPr>
        <w:t xml:space="preserve">RQ1: </w:t>
      </w:r>
      <w:r w:rsidRPr="00820F7A">
        <w:rPr>
          <w:color w:val="000000"/>
          <w:lang w:val="en-GB"/>
        </w:rPr>
        <w:t xml:space="preserve">How do the clinical leadership practices affect the maintenance and development of a culture of patient safety across the UK? </w:t>
      </w:r>
    </w:p>
    <w:p w14:paraId="0779AA6D" w14:textId="77777777" w:rsidR="00826870" w:rsidRPr="00820F7A" w:rsidRDefault="00B21388">
      <w:pPr>
        <w:pStyle w:val="Heading3"/>
        <w:rPr>
          <w:b w:val="0"/>
          <w:bCs w:val="0"/>
          <w:lang w:val="en-GB"/>
        </w:rPr>
      </w:pPr>
      <w:bookmarkStart w:id="12" w:name="_Toc220759471"/>
      <w:r w:rsidRPr="00820F7A">
        <w:rPr>
          <w:lang w:val="en-GB"/>
        </w:rPr>
        <w:t>Research Aims &amp;Objectives</w:t>
      </w:r>
      <w:bookmarkEnd w:id="12"/>
    </w:p>
    <w:p w14:paraId="618BDD81"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The aim of the research is to evaluate the significant role of clinical relationship within managing patient safety culture in the UK’s hospitals. </w:t>
      </w:r>
    </w:p>
    <w:p w14:paraId="4DBD89C2" w14:textId="77777777" w:rsidR="00826870" w:rsidRPr="00820F7A" w:rsidRDefault="00B21388">
      <w:pPr>
        <w:pStyle w:val="Normal1"/>
        <w:pBdr>
          <w:top w:val="nil"/>
          <w:left w:val="nil"/>
          <w:bottom w:val="nil"/>
          <w:right w:val="nil"/>
          <w:between w:val="nil"/>
        </w:pBdr>
        <w:rPr>
          <w:b/>
          <w:bCs/>
          <w:i/>
          <w:iCs/>
          <w:color w:val="000000"/>
          <w:lang w:val="en-GB"/>
        </w:rPr>
      </w:pPr>
      <w:r w:rsidRPr="00820F7A">
        <w:rPr>
          <w:b/>
          <w:bCs/>
          <w:i/>
          <w:iCs/>
          <w:color w:val="000000"/>
          <w:lang w:val="en-GB"/>
        </w:rPr>
        <w:t>Objectives</w:t>
      </w:r>
    </w:p>
    <w:p w14:paraId="7B5AC6E4" w14:textId="77777777" w:rsidR="00826870" w:rsidRPr="00820F7A" w:rsidRDefault="00B21388">
      <w:pPr>
        <w:pStyle w:val="Normal1"/>
        <w:numPr>
          <w:ilvl w:val="0"/>
          <w:numId w:val="2"/>
        </w:numPr>
        <w:pBdr>
          <w:top w:val="nil"/>
          <w:left w:val="nil"/>
          <w:bottom w:val="nil"/>
          <w:right w:val="nil"/>
          <w:between w:val="nil"/>
        </w:pBdr>
        <w:rPr>
          <w:color w:val="000000"/>
          <w:lang w:val="en-GB"/>
        </w:rPr>
      </w:pPr>
      <w:r w:rsidRPr="00820F7A">
        <w:rPr>
          <w:color w:val="000000"/>
          <w:lang w:val="en-GB"/>
        </w:rPr>
        <w:t>To identify the characteristics of the effective clinical leadership that fosters patent safety aspects</w:t>
      </w:r>
    </w:p>
    <w:p w14:paraId="648D1CDA" w14:textId="77777777" w:rsidR="00826870" w:rsidRPr="00820F7A" w:rsidRDefault="00B21388">
      <w:pPr>
        <w:pStyle w:val="Normal1"/>
        <w:numPr>
          <w:ilvl w:val="0"/>
          <w:numId w:val="2"/>
        </w:numPr>
        <w:pBdr>
          <w:top w:val="nil"/>
          <w:left w:val="nil"/>
          <w:bottom w:val="nil"/>
          <w:right w:val="nil"/>
          <w:between w:val="nil"/>
        </w:pBdr>
        <w:rPr>
          <w:color w:val="000000"/>
          <w:lang w:val="en-GB"/>
        </w:rPr>
      </w:pPr>
      <w:r w:rsidRPr="00820F7A">
        <w:rPr>
          <w:color w:val="000000"/>
          <w:lang w:val="en-GB"/>
        </w:rPr>
        <w:t>To explore how leadership style shapes staff perception of safety culture in healthcare system</w:t>
      </w:r>
    </w:p>
    <w:p w14:paraId="1498B323" w14:textId="77777777" w:rsidR="00826870" w:rsidRPr="00820F7A" w:rsidRDefault="00B21388">
      <w:pPr>
        <w:pStyle w:val="Normal1"/>
        <w:numPr>
          <w:ilvl w:val="0"/>
          <w:numId w:val="2"/>
        </w:numPr>
        <w:pBdr>
          <w:top w:val="nil"/>
          <w:left w:val="nil"/>
          <w:bottom w:val="nil"/>
          <w:right w:val="nil"/>
          <w:between w:val="nil"/>
        </w:pBdr>
        <w:rPr>
          <w:color w:val="000000"/>
          <w:lang w:val="en-GB"/>
        </w:rPr>
      </w:pPr>
      <w:r w:rsidRPr="00820F7A">
        <w:rPr>
          <w:color w:val="000000"/>
          <w:lang w:val="en-GB"/>
        </w:rPr>
        <w:t xml:space="preserve">To evaluate the key enablers and barriers that are needed for building a strong safety culture </w:t>
      </w:r>
    </w:p>
    <w:p w14:paraId="411CF452" w14:textId="77777777" w:rsidR="00826870" w:rsidRPr="00820F7A" w:rsidRDefault="00B21388">
      <w:pPr>
        <w:pStyle w:val="Normal1"/>
        <w:numPr>
          <w:ilvl w:val="0"/>
          <w:numId w:val="2"/>
        </w:numPr>
        <w:pBdr>
          <w:top w:val="nil"/>
          <w:left w:val="nil"/>
          <w:bottom w:val="nil"/>
          <w:right w:val="nil"/>
          <w:between w:val="nil"/>
        </w:pBdr>
        <w:rPr>
          <w:color w:val="000000"/>
          <w:lang w:val="en-GB"/>
        </w:rPr>
      </w:pPr>
      <w:r w:rsidRPr="00820F7A">
        <w:rPr>
          <w:color w:val="000000"/>
          <w:lang w:val="en-GB"/>
        </w:rPr>
        <w:t xml:space="preserve">To recommend strategies for managing clinical leadership in managing patient safety culture in the UK’s hospitals </w:t>
      </w:r>
    </w:p>
    <w:p w14:paraId="0ED5C6E2" w14:textId="77777777" w:rsidR="00826870" w:rsidRPr="00820F7A" w:rsidRDefault="00826870">
      <w:pPr>
        <w:pStyle w:val="Normal1"/>
        <w:pBdr>
          <w:top w:val="nil"/>
          <w:left w:val="nil"/>
          <w:bottom w:val="nil"/>
          <w:right w:val="nil"/>
          <w:between w:val="nil"/>
        </w:pBdr>
        <w:rPr>
          <w:color w:val="000000"/>
          <w:lang w:val="en-GB"/>
        </w:rPr>
      </w:pPr>
    </w:p>
    <w:p w14:paraId="3A3B7E74" w14:textId="77777777" w:rsidR="00826870" w:rsidRPr="00820F7A" w:rsidRDefault="00B21388">
      <w:pPr>
        <w:pStyle w:val="Heading2"/>
        <w:rPr>
          <w:lang w:val="en-GB"/>
        </w:rPr>
      </w:pPr>
      <w:bookmarkStart w:id="13" w:name="_Toc220759472"/>
      <w:r w:rsidRPr="00820F7A">
        <w:rPr>
          <w:lang w:val="en-GB"/>
        </w:rPr>
        <w:t>1.5 Research Significance and rationale</w:t>
      </w:r>
      <w:bookmarkEnd w:id="13"/>
      <w:r w:rsidRPr="00820F7A">
        <w:rPr>
          <w:lang w:val="en-GB"/>
        </w:rPr>
        <w:t xml:space="preserve"> </w:t>
      </w:r>
    </w:p>
    <w:p w14:paraId="176F0461"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The strong safety culture has further been associated with fewer adverse events, better reporting aspects with near-misses, improved staff wellbeing and a more effective community. The leadership is central with the clinical leaders setting expectations, model norms and also allocating the resources that enable psychological safety (Frick </w:t>
      </w:r>
      <w:r w:rsidRPr="00820F7A">
        <w:rPr>
          <w:i/>
          <w:iCs/>
          <w:color w:val="000000"/>
          <w:lang w:val="en-GB"/>
        </w:rPr>
        <w:t xml:space="preserve">et al. </w:t>
      </w:r>
      <w:r w:rsidRPr="00820F7A">
        <w:rPr>
          <w:color w:val="000000"/>
          <w:lang w:val="en-GB"/>
        </w:rPr>
        <w:t xml:space="preserve">2024). It further responded to the safety of incidents within the non-punitive and learning-focused ways. Furthermore, it is noted that sizable minorities of trainee doctors are only 21% with hesitation within escalating concerns (NHS Resolution, 2023). In the parallel world, health inequalities are being perceived based on doctors as severe. Nearly 90% of the respondents within surveys are harming patients. The key illness is because of the social and the determinants that help in making up with the large positions of the workloads (Jin </w:t>
      </w:r>
      <w:r w:rsidRPr="00820F7A">
        <w:rPr>
          <w:i/>
          <w:iCs/>
          <w:color w:val="000000"/>
          <w:lang w:val="en-GB"/>
        </w:rPr>
        <w:t xml:space="preserve">et al. </w:t>
      </w:r>
      <w:r w:rsidRPr="00820F7A">
        <w:rPr>
          <w:color w:val="000000"/>
          <w:lang w:val="en-GB"/>
        </w:rPr>
        <w:t xml:space="preserve">2024). The leadership is a central but under-explored lever through the patient safety culture that might be strengthened. The research further examined the different clinical leadership practices within literature review. The health inequalities are stated to focus on developing the leadership for promoting the best paternity safety measures and also organisational resilience (Bohren </w:t>
      </w:r>
      <w:r w:rsidRPr="00820F7A">
        <w:rPr>
          <w:i/>
          <w:iCs/>
          <w:color w:val="000000"/>
          <w:lang w:val="en-GB"/>
        </w:rPr>
        <w:t xml:space="preserve">et al. </w:t>
      </w:r>
      <w:r w:rsidRPr="00820F7A">
        <w:rPr>
          <w:color w:val="000000"/>
          <w:lang w:val="en-GB"/>
        </w:rPr>
        <w:t>2024). Thus, the barriers are aligned with care GP, dental and mental health those are particularly affected and deprived populations.</w:t>
      </w:r>
    </w:p>
    <w:p w14:paraId="1907C7B8"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The human impact of the patient's harm and the prominence due to clinical negligence causes the safety culture issues to scale up to clinical negligence costs within recent healthcare reports. It is further understood that the role of clinical leadership is aligned well with shaping the culture and critical thinking. NHS negligence pay post, the cost of harm and the future liabilities are very large, as £58.2 billion annually are in obligations (Campbell, 2025). The costs are beyond being unsustainable financially and also represent preventable harm for the patients and staff. Moreover, the recognition is aligned with the leadership influences that are with the safety cultures that have less within the UK healthcare firms (Finn </w:t>
      </w:r>
      <w:r w:rsidRPr="00820F7A">
        <w:rPr>
          <w:i/>
          <w:iCs/>
          <w:color w:val="000000"/>
          <w:lang w:val="en-GB"/>
        </w:rPr>
        <w:t xml:space="preserve">et al. </w:t>
      </w:r>
      <w:r w:rsidRPr="00820F7A">
        <w:rPr>
          <w:color w:val="000000"/>
          <w:lang w:val="en-GB"/>
        </w:rPr>
        <w:t xml:space="preserve">2024). Thus, the leadership practices are more effective within shifting staff perceptions, promoting the speaking up and to reduce the hesitation within escalating and are thereby reducing the incidents of harm. </w:t>
      </w:r>
    </w:p>
    <w:p w14:paraId="5A85A673"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The UK has been raising the concern over the health inequities and these inequalities accessibility to care the possibility of patient safety. The effective clinical leadership might help in reducing the inequalities and to make safety more uniformly by embedding across demographics and the geographic. Safety culture is not just about patients; it is also about staff. For instance, the GMC survey is determined by trainees' hesitation to escalate the care those are associated with the 47% burnouts (GMC, 2025). Thus, the leadership practices that foster psychological safety are having an open communication, trust and also learning expertise rather than blaming to develop staff wellbeing and the engagement. </w:t>
      </w:r>
    </w:p>
    <w:p w14:paraId="544F63FD"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NHS Resolution is already raising the alarms over the negligence costs with the proposals. It is determined to focus on considering limiting the financial exposure, that is a possible incentive for understanding and also to develop the safety culture through healthcare leadership. Therefore, the research aims in evaluating the role of clinical leadership within managing patents safety culture within UK hospitals. </w:t>
      </w:r>
    </w:p>
    <w:p w14:paraId="04BBD56D"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The research is significant for the several stakeholders and the dimensions aligned to the healthcare staff and leadership. The enhanced safety culture measures fewer adverse events or errors that lead to better physical health outcomes; this further tends to reduce the suffering with improved trust within the healthcare services (World Health Organization, 2023). Moreover, the healthcare leadership is determined to present certain disadvantages that are aligned with the leadership coordinated for the equity and those could help in minimising the priorities, the safety issues and also care inequality. For the clinicians, the hearse leaders and the managers the study is able to identify the leadership practices for promoting psychological safety. It supports staff morale and in reducing the burnouts that help to retain the practitioners those might otherwise feel discounted or unsafe for speaking up (NHS Employers, 2025). The effective leadership could be a further cost-saving lever that prevents the incidents from developing based on the early infections. Therefore, the research is able to improve the patient safety culture with reducing the litigation, compensation and the associated costs. </w:t>
      </w:r>
    </w:p>
    <w:p w14:paraId="34F77B62" w14:textId="77777777" w:rsidR="00826870" w:rsidRPr="00820F7A" w:rsidRDefault="00826870">
      <w:pPr>
        <w:pStyle w:val="Normal1"/>
        <w:pBdr>
          <w:top w:val="nil"/>
          <w:left w:val="nil"/>
          <w:bottom w:val="nil"/>
          <w:right w:val="nil"/>
          <w:between w:val="nil"/>
        </w:pBdr>
        <w:rPr>
          <w:color w:val="000000"/>
          <w:lang w:val="en-GB"/>
        </w:rPr>
      </w:pPr>
    </w:p>
    <w:p w14:paraId="15452EB4" w14:textId="77777777" w:rsidR="00826870" w:rsidRPr="00820F7A" w:rsidRDefault="00B21388">
      <w:pPr>
        <w:pStyle w:val="Heading2"/>
        <w:rPr>
          <w:b w:val="0"/>
          <w:bCs w:val="0"/>
          <w:lang w:val="en-GB"/>
        </w:rPr>
      </w:pPr>
      <w:bookmarkStart w:id="14" w:name="_Toc220759473"/>
      <w:r w:rsidRPr="00820F7A">
        <w:rPr>
          <w:lang w:val="en-GB"/>
        </w:rPr>
        <w:t>1.6 Chapter summary</w:t>
      </w:r>
      <w:bookmarkEnd w:id="14"/>
      <w:r w:rsidRPr="00820F7A">
        <w:rPr>
          <w:lang w:val="en-GB"/>
        </w:rPr>
        <w:t xml:space="preserve"> </w:t>
      </w:r>
    </w:p>
    <w:p w14:paraId="1A1D698A"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Chapter 1 is determined to explain leadership practices that are effective for the staff’s sense. Chapter 2 explores the pre-existing literature that is related to the theoretical knowledge of safety of patients in UK hospitals. The chapter 3 explored the rigorous research for the use of structured transparent and also reproducible processes aligned with the specific research. Chapter 4 results ensure to focus on thematic analysis of the topic and the chosen articles. The chapter 5 discusses thematic analysis and relates with other relative authors. The last chapter 6 is determined to conclude the total research and align with the objectives appropriately. </w:t>
      </w:r>
    </w:p>
    <w:p w14:paraId="756684CF" w14:textId="77777777" w:rsidR="00826870" w:rsidRPr="00820F7A" w:rsidRDefault="00B21388">
      <w:pPr>
        <w:pStyle w:val="Heading1"/>
        <w:rPr>
          <w:lang w:val="en-GB"/>
        </w:rPr>
      </w:pPr>
      <w:bookmarkStart w:id="15" w:name="_heading=h.d4aiy52twwll" w:colFirst="0" w:colLast="0"/>
      <w:bookmarkEnd w:id="15"/>
      <w:r w:rsidRPr="00820F7A">
        <w:rPr>
          <w:lang w:val="en-GB"/>
        </w:rPr>
        <w:br w:type="page"/>
      </w:r>
    </w:p>
    <w:p w14:paraId="7901E372" w14:textId="77777777" w:rsidR="00826870" w:rsidRPr="00820F7A" w:rsidRDefault="00B21388">
      <w:pPr>
        <w:pStyle w:val="Heading1"/>
        <w:rPr>
          <w:lang w:val="en-GB"/>
        </w:rPr>
      </w:pPr>
      <w:bookmarkStart w:id="16" w:name="_Toc220759474"/>
      <w:r w:rsidRPr="00820F7A">
        <w:rPr>
          <w:lang w:val="en-GB"/>
        </w:rPr>
        <w:t>Chapter 2: Literature Review</w:t>
      </w:r>
      <w:bookmarkEnd w:id="16"/>
    </w:p>
    <w:p w14:paraId="587F7C22" w14:textId="77777777" w:rsidR="00826870" w:rsidRPr="00820F7A" w:rsidRDefault="00B21388">
      <w:pPr>
        <w:pStyle w:val="Heading2"/>
        <w:rPr>
          <w:lang w:val="en-GB"/>
        </w:rPr>
      </w:pPr>
      <w:bookmarkStart w:id="17" w:name="_Toc220759475"/>
      <w:r w:rsidRPr="00820F7A">
        <w:rPr>
          <w:lang w:val="en-GB"/>
        </w:rPr>
        <w:t>2.1 Chapter introduction</w:t>
      </w:r>
      <w:bookmarkEnd w:id="17"/>
    </w:p>
    <w:p w14:paraId="2DC9F799"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The review of the existing literature is associated with determining the role of clinical leadership in managing the safety of the patient across the UK hospitals. The purpose of the chapter is to review the articles to determine the impact created by leadership style on managing the safety culture for meeting patient satisfaction. The chapter has demonstrated the application of leadership approach for shaping staff perception regarding the patient safety to improve the reputation in the UK hospital. It is determined that the application of leadership has created a positive impact on the monitoring of patient safety by managing the engagement of the healthcare staff in the UK hospitals. The patient safety barriers determined based on the previous articles in managing patient safety by leaders are lack of skilled staff and transparency issues in UK healthcare. The theoretical perspective regarding patient safety has been mentioned in this chapter based on the application of transformational Leadership Theory and Jean Watson's theory in the UK. Thus, the literature review chapters aim to develop ideas regarding the role played by clinical leadership on shaping patient safety by critically reviewing the pre-existing literature. </w:t>
      </w:r>
    </w:p>
    <w:p w14:paraId="382C7ADB" w14:textId="77777777" w:rsidR="00826870" w:rsidRPr="00820F7A" w:rsidRDefault="00B21388">
      <w:pPr>
        <w:pStyle w:val="Heading2"/>
        <w:rPr>
          <w:lang w:val="en-GB"/>
        </w:rPr>
      </w:pPr>
      <w:bookmarkStart w:id="18" w:name="_Toc220759476"/>
      <w:r w:rsidRPr="00820F7A">
        <w:rPr>
          <w:lang w:val="en-GB"/>
        </w:rPr>
        <w:t>2.2 Determining the characteristics of effective clinical leadership in fostering the patient safety</w:t>
      </w:r>
      <w:bookmarkEnd w:id="18"/>
    </w:p>
    <w:p w14:paraId="1D71E7F8"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The characteristic of clinical leadership that helps in promoting patient safety culture is associated with having open communication with the patient and staff for determining the patient's needs across the UK hospitals. As highlighted in the report of Ahmed </w:t>
      </w:r>
      <w:r w:rsidRPr="00820F7A">
        <w:rPr>
          <w:i/>
          <w:iCs/>
          <w:color w:val="000000"/>
          <w:lang w:val="en-GB"/>
        </w:rPr>
        <w:t xml:space="preserve">et al. </w:t>
      </w:r>
      <w:r w:rsidRPr="00820F7A">
        <w:rPr>
          <w:color w:val="000000"/>
          <w:lang w:val="en-GB"/>
        </w:rPr>
        <w:t xml:space="preserve">(2024), the transformational leaders have fostered a culture of open communication along with continuous improvement that helped empower staff to ensure patient safety. The fault-free environments could be created by the clinical leadership by cultivating a culture of innovation, accountability and excellence that could be beneficial for both healthcare professionals and patients. In contrast, as mentioned by Huang </w:t>
      </w:r>
      <w:r w:rsidRPr="00820F7A">
        <w:rPr>
          <w:i/>
          <w:iCs/>
          <w:color w:val="000000"/>
          <w:lang w:val="en-GB"/>
        </w:rPr>
        <w:t xml:space="preserve">et al. </w:t>
      </w:r>
      <w:r w:rsidRPr="00820F7A">
        <w:rPr>
          <w:color w:val="000000"/>
          <w:lang w:val="en-GB"/>
        </w:rPr>
        <w:t xml:space="preserve">(2024), the clinical leaders play a critical role in shaping safety attitudes and fostering patient safety culture based on the perception of working conditions and stress recognition. Moreover, the figure below has determined patient safety culture within the healthcare organization is based on leadership perception on teamwork climate, job satisfaction, stress recognition and emotional exhaustion of the staff. As illustrated by Fukami and Fukami (2024) in the report, the intervention transparency within the management by leadership approach is enhancing patient safety and quality improvement through open communication. Thus, below are the impact characteristics of the leadership that helps in maintaining safety culture for the patients across the UK hospital. </w:t>
      </w:r>
    </w:p>
    <w:p w14:paraId="35DCE8B7" w14:textId="77777777" w:rsidR="00826870" w:rsidRPr="00820F7A" w:rsidRDefault="00B21388">
      <w:pPr>
        <w:pStyle w:val="Normal1"/>
        <w:pBdr>
          <w:top w:val="nil"/>
          <w:left w:val="nil"/>
          <w:bottom w:val="nil"/>
          <w:right w:val="nil"/>
          <w:between w:val="nil"/>
        </w:pBdr>
        <w:jc w:val="center"/>
        <w:rPr>
          <w:color w:val="000000"/>
          <w:lang w:val="en-GB"/>
        </w:rPr>
      </w:pPr>
      <w:r w:rsidRPr="00820F7A">
        <w:rPr>
          <w:noProof/>
          <w:color w:val="000000"/>
          <w:lang w:val="en-GB"/>
        </w:rPr>
        <w:drawing>
          <wp:inline distT="114300" distB="114300" distL="114300" distR="114300" wp14:anchorId="6BD7DB4F" wp14:editId="5305569E">
            <wp:extent cx="5086350" cy="2295525"/>
            <wp:effectExtent l="0" t="0" r="0" b="0"/>
            <wp:docPr id="126"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3"/>
                    <a:srcRect/>
                    <a:stretch>
                      <a:fillRect/>
                    </a:stretch>
                  </pic:blipFill>
                  <pic:spPr>
                    <a:xfrm>
                      <a:off x="0" y="0"/>
                      <a:ext cx="5086350" cy="2295525"/>
                    </a:xfrm>
                    <a:prstGeom prst="rect">
                      <a:avLst/>
                    </a:prstGeom>
                    <a:ln/>
                  </pic:spPr>
                </pic:pic>
              </a:graphicData>
            </a:graphic>
          </wp:inline>
        </w:drawing>
      </w:r>
    </w:p>
    <w:p w14:paraId="76D8833A" w14:textId="77777777" w:rsidR="00826870" w:rsidRPr="00820F7A" w:rsidRDefault="00B21388">
      <w:pPr>
        <w:pStyle w:val="Heading4"/>
        <w:rPr>
          <w:lang w:val="en-GB"/>
        </w:rPr>
      </w:pPr>
      <w:bookmarkStart w:id="19" w:name="_heading=h.rqqivdwwyb56" w:colFirst="0" w:colLast="0"/>
      <w:bookmarkEnd w:id="19"/>
      <w:r w:rsidRPr="00820F7A">
        <w:rPr>
          <w:lang w:val="en-GB"/>
        </w:rPr>
        <w:t>Figure 2.1: Perceptions of leadership hospital regarding patient safety</w:t>
      </w:r>
    </w:p>
    <w:p w14:paraId="6B2F4499" w14:textId="77777777" w:rsidR="00826870" w:rsidRPr="00820F7A" w:rsidRDefault="00B21388">
      <w:pPr>
        <w:pStyle w:val="Normal1"/>
        <w:pBdr>
          <w:top w:val="nil"/>
          <w:left w:val="nil"/>
          <w:bottom w:val="nil"/>
          <w:right w:val="nil"/>
          <w:between w:val="nil"/>
        </w:pBdr>
        <w:jc w:val="center"/>
        <w:rPr>
          <w:color w:val="000000"/>
          <w:lang w:val="en-GB"/>
        </w:rPr>
      </w:pPr>
      <w:r w:rsidRPr="00820F7A">
        <w:rPr>
          <w:color w:val="000000"/>
          <w:lang w:val="en-GB"/>
        </w:rPr>
        <w:t xml:space="preserve">(Source: Huang </w:t>
      </w:r>
      <w:r w:rsidRPr="00820F7A">
        <w:rPr>
          <w:i/>
          <w:iCs/>
          <w:color w:val="000000"/>
          <w:lang w:val="en-GB"/>
        </w:rPr>
        <w:t xml:space="preserve">et al. </w:t>
      </w:r>
      <w:r w:rsidRPr="00820F7A">
        <w:rPr>
          <w:color w:val="000000"/>
          <w:lang w:val="en-GB"/>
        </w:rPr>
        <w:t>2024)</w:t>
      </w:r>
    </w:p>
    <w:p w14:paraId="0F679D97" w14:textId="77777777" w:rsidR="00826870" w:rsidRPr="00820F7A" w:rsidRDefault="00B21388">
      <w:pPr>
        <w:pStyle w:val="Normal1"/>
        <w:pBdr>
          <w:top w:val="nil"/>
          <w:left w:val="nil"/>
          <w:bottom w:val="nil"/>
          <w:right w:val="nil"/>
          <w:between w:val="nil"/>
        </w:pBdr>
        <w:rPr>
          <w:b/>
          <w:bCs/>
          <w:i/>
          <w:iCs/>
          <w:color w:val="000000"/>
          <w:lang w:val="en-GB"/>
        </w:rPr>
      </w:pPr>
      <w:r w:rsidRPr="00820F7A">
        <w:rPr>
          <w:b/>
          <w:bCs/>
          <w:i/>
          <w:iCs/>
          <w:color w:val="000000"/>
          <w:lang w:val="en-GB"/>
        </w:rPr>
        <w:t>Setting clear standards for patient safety</w:t>
      </w:r>
    </w:p>
    <w:p w14:paraId="15157503"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The leadership plays an important part in implementing the patient safety in the UK hospital through the development of clear safety standards for eliminating the risk of medical error. As mentioned in the report of Almutairi </w:t>
      </w:r>
      <w:r w:rsidRPr="00820F7A">
        <w:rPr>
          <w:i/>
          <w:iCs/>
          <w:color w:val="000000"/>
          <w:lang w:val="en-GB"/>
        </w:rPr>
        <w:t xml:space="preserve">et al. </w:t>
      </w:r>
      <w:r w:rsidRPr="00820F7A">
        <w:rPr>
          <w:color w:val="000000"/>
          <w:lang w:val="en-GB"/>
        </w:rPr>
        <w:t xml:space="preserve">(2025), the healthcare authentic leadership has created high moral standards and ethical behaviour helps to foster mutual cooperation and trust. Moreover, the implication of safety standards has created a positive impact in the engagement of the patient in the intervention process that helps to improve the reputation of the hospitals. As illustrated by Dirik and Seren Intepeler (2024) that the application of authentic leadership positively affects patient safety, healthcare professionals, and the work environment based on the corporate values. Thus, the leadership plays an important role in setting the safety standard for the patient through medical team communication within the multi-faceted interventions. </w:t>
      </w:r>
    </w:p>
    <w:p w14:paraId="7336AEAE" w14:textId="77777777" w:rsidR="00826870" w:rsidRPr="00820F7A" w:rsidRDefault="00B21388">
      <w:pPr>
        <w:pStyle w:val="Normal1"/>
        <w:pBdr>
          <w:top w:val="nil"/>
          <w:left w:val="nil"/>
          <w:bottom w:val="nil"/>
          <w:right w:val="nil"/>
          <w:between w:val="nil"/>
        </w:pBdr>
        <w:rPr>
          <w:b/>
          <w:bCs/>
          <w:i/>
          <w:iCs/>
          <w:color w:val="000000"/>
          <w:lang w:val="en-GB"/>
        </w:rPr>
      </w:pPr>
      <w:r w:rsidRPr="00820F7A">
        <w:rPr>
          <w:b/>
          <w:bCs/>
          <w:i/>
          <w:iCs/>
          <w:color w:val="000000"/>
          <w:lang w:val="en-GB"/>
        </w:rPr>
        <w:t>Promoting open communication</w:t>
      </w:r>
    </w:p>
    <w:p w14:paraId="13D84B11"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The leadership plays an impatient role in creating open communication between the patients and has provided to manage the safety intervention plan across the UK hospitals. According to the opinion shared by Pozzobon </w:t>
      </w:r>
      <w:r w:rsidRPr="00820F7A">
        <w:rPr>
          <w:i/>
          <w:iCs/>
          <w:color w:val="000000"/>
          <w:lang w:val="en-GB"/>
        </w:rPr>
        <w:t xml:space="preserve">et al. </w:t>
      </w:r>
      <w:r w:rsidRPr="00820F7A">
        <w:rPr>
          <w:color w:val="000000"/>
          <w:lang w:val="en-GB"/>
        </w:rPr>
        <w:t xml:space="preserve">(2025) that timely communication between healthcare professionals has helped to maintain patient care concerns. On the other hand, Mistri </w:t>
      </w:r>
      <w:r w:rsidRPr="00820F7A">
        <w:rPr>
          <w:i/>
          <w:iCs/>
          <w:color w:val="000000"/>
          <w:lang w:val="en-GB"/>
        </w:rPr>
        <w:t>et al.</w:t>
      </w:r>
      <w:r w:rsidRPr="00820F7A">
        <w:rPr>
          <w:color w:val="000000"/>
          <w:lang w:val="en-GB"/>
        </w:rPr>
        <w:t xml:space="preserve"> (2023) have outlined that ineffective communication within the patient care system has created a negative impact on the patient's safety due to delayed diagnosis and treatment that hampered the safety culture. As per the view of Clifford </w:t>
      </w:r>
      <w:r w:rsidRPr="00820F7A">
        <w:rPr>
          <w:i/>
          <w:iCs/>
          <w:color w:val="000000"/>
          <w:lang w:val="en-GB"/>
        </w:rPr>
        <w:t xml:space="preserve">et al. </w:t>
      </w:r>
      <w:r w:rsidRPr="00820F7A">
        <w:rPr>
          <w:color w:val="000000"/>
          <w:lang w:val="en-GB"/>
        </w:rPr>
        <w:t xml:space="preserve">(2024), leadership has maintained open and transparent communication among the diverse medical team to have a safe culture to meet patient trust. The figure below has illustrated that Culture of Safety in healthcare is associated with handling the patient safety, leader routing, patient safety forum and management system to make it a reliable process. Thus, the integration of open communication though the feedback system has created a positive impact on the healthcare system by the clinical leadership. </w:t>
      </w:r>
    </w:p>
    <w:p w14:paraId="6BC47668" w14:textId="77777777" w:rsidR="00826870" w:rsidRPr="00820F7A" w:rsidRDefault="00B21388">
      <w:pPr>
        <w:pStyle w:val="Normal1"/>
        <w:pBdr>
          <w:top w:val="nil"/>
          <w:left w:val="nil"/>
          <w:bottom w:val="nil"/>
          <w:right w:val="nil"/>
          <w:between w:val="nil"/>
        </w:pBdr>
        <w:jc w:val="center"/>
        <w:rPr>
          <w:color w:val="000000"/>
          <w:lang w:val="en-GB"/>
        </w:rPr>
      </w:pPr>
      <w:r w:rsidRPr="00820F7A">
        <w:rPr>
          <w:noProof/>
          <w:color w:val="000000"/>
          <w:lang w:val="en-GB"/>
        </w:rPr>
        <w:drawing>
          <wp:inline distT="114300" distB="114300" distL="114300" distR="114300" wp14:anchorId="0ED8BB0D" wp14:editId="2B8C986C">
            <wp:extent cx="3476625" cy="3228975"/>
            <wp:effectExtent l="0" t="0" r="0" b="0"/>
            <wp:docPr id="12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3476625" cy="3228975"/>
                    </a:xfrm>
                    <a:prstGeom prst="rect">
                      <a:avLst/>
                    </a:prstGeom>
                    <a:ln/>
                  </pic:spPr>
                </pic:pic>
              </a:graphicData>
            </a:graphic>
          </wp:inline>
        </w:drawing>
      </w:r>
    </w:p>
    <w:p w14:paraId="6AFF6C90" w14:textId="77777777" w:rsidR="00826870" w:rsidRPr="00820F7A" w:rsidRDefault="00B21388">
      <w:pPr>
        <w:pStyle w:val="Heading4"/>
        <w:rPr>
          <w:lang w:val="en-GB"/>
        </w:rPr>
      </w:pPr>
      <w:bookmarkStart w:id="20" w:name="_heading=h.5x34s05k5stl" w:colFirst="0" w:colLast="0"/>
      <w:bookmarkEnd w:id="20"/>
      <w:r w:rsidRPr="00820F7A">
        <w:rPr>
          <w:lang w:val="en-GB"/>
        </w:rPr>
        <w:t>Figure 2.2: Factors associated with the Culture of Safety within the healthcare</w:t>
      </w:r>
    </w:p>
    <w:p w14:paraId="63F4C905" w14:textId="77777777" w:rsidR="00826870" w:rsidRPr="00820F7A" w:rsidRDefault="00B21388">
      <w:pPr>
        <w:pStyle w:val="Normal1"/>
        <w:pBdr>
          <w:top w:val="nil"/>
          <w:left w:val="nil"/>
          <w:bottom w:val="nil"/>
          <w:right w:val="nil"/>
          <w:between w:val="nil"/>
        </w:pBdr>
        <w:jc w:val="center"/>
        <w:rPr>
          <w:color w:val="000000"/>
          <w:lang w:val="en-GB"/>
        </w:rPr>
      </w:pPr>
      <w:r w:rsidRPr="00820F7A">
        <w:rPr>
          <w:color w:val="000000"/>
          <w:lang w:val="en-GB"/>
        </w:rPr>
        <w:t xml:space="preserve">(Source: Clifford </w:t>
      </w:r>
      <w:r w:rsidRPr="00820F7A">
        <w:rPr>
          <w:i/>
          <w:iCs/>
          <w:color w:val="000000"/>
          <w:lang w:val="en-GB"/>
        </w:rPr>
        <w:t xml:space="preserve">et al. </w:t>
      </w:r>
      <w:r w:rsidRPr="00820F7A">
        <w:rPr>
          <w:color w:val="000000"/>
          <w:lang w:val="en-GB"/>
        </w:rPr>
        <w:t>2024)</w:t>
      </w:r>
    </w:p>
    <w:p w14:paraId="40D0B6A2" w14:textId="77777777" w:rsidR="00826870" w:rsidRPr="00820F7A" w:rsidRDefault="00B21388">
      <w:pPr>
        <w:pStyle w:val="Normal1"/>
        <w:pBdr>
          <w:top w:val="nil"/>
          <w:left w:val="nil"/>
          <w:bottom w:val="nil"/>
          <w:right w:val="nil"/>
          <w:between w:val="nil"/>
        </w:pBdr>
        <w:rPr>
          <w:b/>
          <w:bCs/>
          <w:i/>
          <w:iCs/>
          <w:color w:val="000000"/>
          <w:lang w:val="en-GB"/>
        </w:rPr>
      </w:pPr>
      <w:r w:rsidRPr="00820F7A">
        <w:rPr>
          <w:b/>
          <w:bCs/>
          <w:i/>
          <w:iCs/>
          <w:color w:val="000000"/>
          <w:lang w:val="en-GB"/>
        </w:rPr>
        <w:t>Fostering a supportive environment</w:t>
      </w:r>
    </w:p>
    <w:p w14:paraId="21FB3B52"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The leadership approach has created a positive impact on the safety culture of UK healthcare that helps in improving the reputation of the hospitals among the patients. As demonstrated by Adelodun and Anyanwu (2024) in the report that radiological techniques play a pivotal role in enhancing patient safety within the support environment by the application of advanced filtering technologies. The creation of supportive culture within the healthcare environment by the leaders helps to improve the initiative for patient safety. As mentioned by Glarcher and Vaismoradi (2025), the application of patient safety culture and support by the nurses has helped to prevent adverse events within the healthcare organisation. Therefore, the creation of supportive culture by the heritage leadership has helped to improve patient safety across the UK. </w:t>
      </w:r>
    </w:p>
    <w:p w14:paraId="3E1F83CB" w14:textId="77777777" w:rsidR="00826870" w:rsidRPr="00820F7A" w:rsidRDefault="00B21388">
      <w:pPr>
        <w:pStyle w:val="Normal1"/>
        <w:pBdr>
          <w:top w:val="nil"/>
          <w:left w:val="nil"/>
          <w:bottom w:val="nil"/>
          <w:right w:val="nil"/>
          <w:between w:val="nil"/>
        </w:pBdr>
        <w:rPr>
          <w:b/>
          <w:bCs/>
          <w:i/>
          <w:iCs/>
          <w:color w:val="000000"/>
          <w:lang w:val="en-GB"/>
        </w:rPr>
      </w:pPr>
      <w:r w:rsidRPr="00820F7A">
        <w:rPr>
          <w:b/>
          <w:bCs/>
          <w:i/>
          <w:iCs/>
          <w:color w:val="000000"/>
          <w:lang w:val="en-GB"/>
        </w:rPr>
        <w:t>Applying continuous improvement</w:t>
      </w:r>
    </w:p>
    <w:p w14:paraId="5A0FD5C4"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The application of continuous improvement in the quality of care has helped the leadership to improve the patient safety within the engagement of the skilled staff in the patient intervention. In the report of Endalamaw </w:t>
      </w:r>
      <w:r w:rsidRPr="00820F7A">
        <w:rPr>
          <w:i/>
          <w:iCs/>
          <w:color w:val="000000"/>
          <w:lang w:val="en-GB"/>
        </w:rPr>
        <w:t xml:space="preserve">et al. </w:t>
      </w:r>
      <w:r w:rsidRPr="00820F7A">
        <w:rPr>
          <w:color w:val="000000"/>
          <w:lang w:val="en-GB"/>
        </w:rPr>
        <w:t xml:space="preserve">(2024), it is mentioned that leadership has adopted continuous quality improvement (CQI) to have effective patient safety, medical advances and care coordination within the healthcare organization. The role of the leadership is to have quality improvement in healthcare is to have patient-centeredness and safety with the use of digital innovation and evidence-based strategy. As illustrated by Padmanabhan </w:t>
      </w:r>
      <w:r w:rsidRPr="00820F7A">
        <w:rPr>
          <w:i/>
          <w:iCs/>
          <w:color w:val="000000"/>
          <w:lang w:val="en-GB"/>
        </w:rPr>
        <w:t xml:space="preserve">et al. </w:t>
      </w:r>
      <w:r w:rsidRPr="00820F7A">
        <w:rPr>
          <w:color w:val="000000"/>
          <w:lang w:val="en-GB"/>
        </w:rPr>
        <w:t xml:space="preserve">(2024), continuous improvement has ensured patient safety by mitigating errors by the medical staff based on the learning, safety plan and incident management across the hospitals. Therefore, the application of CQI helps to develop incident management systems and safety plans by the healthcare leadership for the patients to improve the reputation of the UK hospitals. </w:t>
      </w:r>
    </w:p>
    <w:p w14:paraId="2C88A3EF" w14:textId="77777777" w:rsidR="00826870" w:rsidRPr="00820F7A" w:rsidRDefault="00B21388">
      <w:pPr>
        <w:pStyle w:val="Normal1"/>
        <w:pBdr>
          <w:top w:val="nil"/>
          <w:left w:val="nil"/>
          <w:bottom w:val="nil"/>
          <w:right w:val="nil"/>
          <w:between w:val="nil"/>
        </w:pBdr>
        <w:rPr>
          <w:b/>
          <w:bCs/>
          <w:i/>
          <w:iCs/>
          <w:color w:val="000000"/>
          <w:lang w:val="en-GB"/>
        </w:rPr>
      </w:pPr>
      <w:r w:rsidRPr="00820F7A">
        <w:rPr>
          <w:b/>
          <w:bCs/>
          <w:i/>
          <w:iCs/>
          <w:color w:val="000000"/>
          <w:lang w:val="en-GB"/>
        </w:rPr>
        <w:t>Creating culture of safety and transparency</w:t>
      </w:r>
    </w:p>
    <w:p w14:paraId="1105D89A"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The safety and transparency within the leadership practice has helped to improve the safety standard for the patient to create an error free culture in UK healthcare. As mentioned by Lockhart </w:t>
      </w:r>
      <w:r w:rsidRPr="00820F7A">
        <w:rPr>
          <w:i/>
          <w:iCs/>
          <w:color w:val="000000"/>
          <w:lang w:val="en-GB"/>
        </w:rPr>
        <w:t xml:space="preserve">et al. </w:t>
      </w:r>
      <w:r w:rsidRPr="00820F7A">
        <w:rPr>
          <w:color w:val="000000"/>
          <w:lang w:val="en-GB"/>
        </w:rPr>
        <w:t xml:space="preserve">(2025), transformational clinical leadership has incorporated improving patient safety based on the factors such as transparency of errors and knowledge growth to improve personal experiences of patients. According to the report of Comeau </w:t>
      </w:r>
      <w:r w:rsidRPr="00820F7A">
        <w:rPr>
          <w:i/>
          <w:iCs/>
          <w:color w:val="000000"/>
          <w:lang w:val="en-GB"/>
        </w:rPr>
        <w:t>et al.</w:t>
      </w:r>
      <w:r w:rsidRPr="00820F7A">
        <w:rPr>
          <w:color w:val="000000"/>
          <w:lang w:val="en-GB"/>
        </w:rPr>
        <w:t xml:space="preserve"> (2025), safeguarding patient safety is linked with leadership and administrative efficiencies to improve the quality of care by transparency and accountability. Thus, the application of transparency and accountability by leadership practice in the UK hospitals has implemented effective governance and ethical conduct to meet patient satisfaction. </w:t>
      </w:r>
    </w:p>
    <w:p w14:paraId="28533814" w14:textId="77777777" w:rsidR="00826870" w:rsidRPr="00820F7A" w:rsidRDefault="00826870">
      <w:pPr>
        <w:pStyle w:val="Normal1"/>
        <w:pBdr>
          <w:top w:val="nil"/>
          <w:left w:val="nil"/>
          <w:bottom w:val="nil"/>
          <w:right w:val="nil"/>
          <w:between w:val="nil"/>
        </w:pBdr>
        <w:rPr>
          <w:color w:val="000000"/>
          <w:lang w:val="en-GB"/>
        </w:rPr>
      </w:pPr>
    </w:p>
    <w:p w14:paraId="1B9B3095" w14:textId="77777777" w:rsidR="00826870" w:rsidRPr="00820F7A" w:rsidRDefault="00B21388">
      <w:pPr>
        <w:pStyle w:val="Heading2"/>
        <w:rPr>
          <w:lang w:val="en-GB"/>
        </w:rPr>
      </w:pPr>
      <w:bookmarkStart w:id="21" w:name="_Toc220759477"/>
      <w:r w:rsidRPr="00820F7A">
        <w:rPr>
          <w:lang w:val="en-GB"/>
        </w:rPr>
        <w:t>2.3 Illustrating the impact of Leadership style for shaping staff perception of patient safety within healthcare system</w:t>
      </w:r>
      <w:bookmarkEnd w:id="21"/>
    </w:p>
    <w:p w14:paraId="2BA38B63"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Leadership styles and approach in healthcare is significant as it assists in strengthening the individual healthcare professional’s performance through establishing goal-oriented objectives regarding patient safety. Qadid (2025) outlined that clinical leadership facilitates safety culture through monitoring progress, managing resources, facilitating closed-loop communication and encouraging the input of team members, crucial for enhancing safety culture perception. Different leadership styles including transformational, transactional, visionary, democratic and servant leadership are integrated in the healthcare sector for improving worker’s perception of the safety culture to enhance individual accountability (Ramdas </w:t>
      </w:r>
      <w:r w:rsidRPr="00820F7A">
        <w:rPr>
          <w:i/>
          <w:iCs/>
          <w:color w:val="000000"/>
          <w:lang w:val="en-GB"/>
        </w:rPr>
        <w:t>et al.</w:t>
      </w:r>
      <w:r w:rsidRPr="00820F7A">
        <w:rPr>
          <w:color w:val="000000"/>
          <w:lang w:val="en-GB"/>
        </w:rPr>
        <w:t xml:space="preserve"> 2024). For example, Hamdan </w:t>
      </w:r>
      <w:r w:rsidRPr="00820F7A">
        <w:rPr>
          <w:i/>
          <w:iCs/>
          <w:color w:val="000000"/>
          <w:lang w:val="en-GB"/>
        </w:rPr>
        <w:t xml:space="preserve">et al. </w:t>
      </w:r>
      <w:r w:rsidRPr="00820F7A">
        <w:rPr>
          <w:color w:val="000000"/>
          <w:lang w:val="en-GB"/>
        </w:rPr>
        <w:t xml:space="preserve">(2024) have outlined that leadership styles such as transformational leadership in healthcare broaden patient safety culture through expanding individual perception from self-interest. As the nursing staff are directly associated with offering patient care, changing perception of safety culture is crucial through reflecting on patient outcomes and its impact on internal staff engagement. In contrast, Lamming </w:t>
      </w:r>
      <w:r w:rsidRPr="00820F7A">
        <w:rPr>
          <w:i/>
          <w:iCs/>
          <w:color w:val="000000"/>
          <w:lang w:val="en-GB"/>
        </w:rPr>
        <w:t>et al.</w:t>
      </w:r>
      <w:r w:rsidRPr="00820F7A">
        <w:rPr>
          <w:color w:val="000000"/>
          <w:lang w:val="en-GB"/>
        </w:rPr>
        <w:t xml:space="preserve"> (2021) outlined that Patient Safety Huddle (PHS) are multidisciplinary daily meetings, conducted throughout NHS trusts for discussing the threats of patient safety and improving safety culture. Thus, reflecting on different approaches and an individual's performance is directly associated with ensuring safety culture in the UK healthcare sector and hospital for identified areas for improvement.</w:t>
      </w:r>
    </w:p>
    <w:p w14:paraId="3C2724D7" w14:textId="77777777" w:rsidR="00826870" w:rsidRPr="00820F7A" w:rsidRDefault="00B21388">
      <w:pPr>
        <w:pStyle w:val="Normal1"/>
        <w:pBdr>
          <w:top w:val="nil"/>
          <w:left w:val="nil"/>
          <w:bottom w:val="nil"/>
          <w:right w:val="nil"/>
          <w:between w:val="nil"/>
        </w:pBdr>
        <w:jc w:val="center"/>
        <w:rPr>
          <w:color w:val="000000"/>
          <w:lang w:val="en-GB"/>
        </w:rPr>
      </w:pPr>
      <w:r w:rsidRPr="00820F7A">
        <w:rPr>
          <w:noProof/>
          <w:color w:val="000000"/>
          <w:lang w:val="en-GB"/>
        </w:rPr>
        <w:drawing>
          <wp:inline distT="114300" distB="114300" distL="114300" distR="114300" wp14:anchorId="4BC031A3" wp14:editId="273D2238">
            <wp:extent cx="5943600" cy="2654300"/>
            <wp:effectExtent l="0" t="0" r="0" b="0"/>
            <wp:docPr id="12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5943600" cy="2654300"/>
                    </a:xfrm>
                    <a:prstGeom prst="rect">
                      <a:avLst/>
                    </a:prstGeom>
                    <a:ln/>
                  </pic:spPr>
                </pic:pic>
              </a:graphicData>
            </a:graphic>
          </wp:inline>
        </w:drawing>
      </w:r>
    </w:p>
    <w:p w14:paraId="44BD17B5" w14:textId="77777777" w:rsidR="00826870" w:rsidRPr="00820F7A" w:rsidRDefault="00B21388">
      <w:pPr>
        <w:pStyle w:val="Heading4"/>
        <w:rPr>
          <w:lang w:val="en-GB"/>
        </w:rPr>
      </w:pPr>
      <w:bookmarkStart w:id="22" w:name="_heading=h.z2dktnu915ld" w:colFirst="0" w:colLast="0"/>
      <w:bookmarkEnd w:id="22"/>
      <w:r w:rsidRPr="00820F7A">
        <w:rPr>
          <w:lang w:val="en-GB"/>
        </w:rPr>
        <w:t>Figure 2.3: Alignment of patient safety culture and leadership in healthcare sector</w:t>
      </w:r>
    </w:p>
    <w:p w14:paraId="25435F29" w14:textId="77777777" w:rsidR="00826870" w:rsidRPr="00820F7A" w:rsidRDefault="00B21388">
      <w:pPr>
        <w:pStyle w:val="Normal1"/>
        <w:pBdr>
          <w:top w:val="nil"/>
          <w:left w:val="nil"/>
          <w:bottom w:val="nil"/>
          <w:right w:val="nil"/>
          <w:between w:val="nil"/>
        </w:pBdr>
        <w:jc w:val="center"/>
        <w:rPr>
          <w:color w:val="000000"/>
          <w:lang w:val="en-GB"/>
        </w:rPr>
      </w:pPr>
      <w:r w:rsidRPr="00820F7A">
        <w:rPr>
          <w:color w:val="000000"/>
          <w:lang w:val="en-GB"/>
        </w:rPr>
        <w:t xml:space="preserve">(Source: Hamdan </w:t>
      </w:r>
      <w:r w:rsidRPr="00820F7A">
        <w:rPr>
          <w:i/>
          <w:iCs/>
          <w:color w:val="000000"/>
          <w:lang w:val="en-GB"/>
        </w:rPr>
        <w:t>et al.</w:t>
      </w:r>
      <w:r w:rsidRPr="00820F7A">
        <w:rPr>
          <w:color w:val="000000"/>
          <w:lang w:val="en-GB"/>
        </w:rPr>
        <w:t xml:space="preserve"> 2024)</w:t>
      </w:r>
    </w:p>
    <w:p w14:paraId="24A66AA8"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The figures outline the interconnection between the patient safety culture and the influence that transformational leadership has on nursing practice in healthcare that can be integrated by clinical leadership for improved performance. The report of Kwary</w:t>
      </w:r>
      <w:r w:rsidRPr="00820F7A">
        <w:rPr>
          <w:i/>
          <w:iCs/>
          <w:color w:val="000000"/>
          <w:lang w:val="en-GB"/>
        </w:rPr>
        <w:t xml:space="preserve"> et al. </w:t>
      </w:r>
      <w:r w:rsidRPr="00820F7A">
        <w:rPr>
          <w:color w:val="000000"/>
          <w:lang w:val="en-GB"/>
        </w:rPr>
        <w:t xml:space="preserve">(2025) has analysed that patient safety culture in healthcare can be strengthened through collaborative engagement and inter-professional collaboration between healthcare teams in different departments. The UK healthcare companies are working towards strengthening the ethical accountability of the systems through facilitating safety culture through clinical and ethical leadership for strategic change (Nazir </w:t>
      </w:r>
      <w:r w:rsidRPr="00820F7A">
        <w:rPr>
          <w:i/>
          <w:iCs/>
          <w:color w:val="000000"/>
          <w:lang w:val="en-GB"/>
        </w:rPr>
        <w:t>et al.</w:t>
      </w:r>
      <w:r w:rsidRPr="00820F7A">
        <w:rPr>
          <w:color w:val="000000"/>
          <w:lang w:val="en-GB"/>
        </w:rPr>
        <w:t xml:space="preserve"> 2025). For example, Wood </w:t>
      </w:r>
      <w:r w:rsidRPr="00820F7A">
        <w:rPr>
          <w:i/>
          <w:iCs/>
          <w:color w:val="000000"/>
          <w:lang w:val="en-GB"/>
        </w:rPr>
        <w:t>et al.</w:t>
      </w:r>
      <w:r w:rsidRPr="00820F7A">
        <w:rPr>
          <w:color w:val="000000"/>
          <w:lang w:val="en-GB"/>
        </w:rPr>
        <w:t xml:space="preserve"> (2024) outlined that the NHS has integrated patient safety strategy, focusing on kindness and civility rather than blaming culture and developing a positive work environment. This outlines that changing the individual healthcare professional’s perception is effective and significant for ensuring that our objectives of safety culture are linked with professional goals of the care providers. On the other hand, Hibbert </w:t>
      </w:r>
      <w:r w:rsidRPr="00820F7A">
        <w:rPr>
          <w:i/>
          <w:iCs/>
          <w:color w:val="000000"/>
          <w:lang w:val="en-GB"/>
        </w:rPr>
        <w:t>et al.</w:t>
      </w:r>
      <w:r w:rsidRPr="00820F7A">
        <w:rPr>
          <w:color w:val="000000"/>
          <w:lang w:val="en-GB"/>
        </w:rPr>
        <w:t xml:space="preserve"> (2023) emphasized that enhancing safety culture and changing perception require national patient safety policies and regulatory standards such as CQC standard 12 and 13, continuous staff education and meaningful patient engagement. Thus, ethical and clinical leadership is efficient as it focuses on changing the perception of healthcare professionals through establishing professional goals and improving collaborative engagement. </w:t>
      </w:r>
    </w:p>
    <w:p w14:paraId="1F5682CE"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The implication of clinical leadership is also significant and is being approached in UK healthcare for implementing systemic change in patient management that ensures patient safety. Tocco Tussardi</w:t>
      </w:r>
      <w:r w:rsidRPr="00820F7A">
        <w:rPr>
          <w:i/>
          <w:iCs/>
          <w:color w:val="000000"/>
          <w:lang w:val="en-GB"/>
        </w:rPr>
        <w:t xml:space="preserve">et al. </w:t>
      </w:r>
      <w:r w:rsidRPr="00820F7A">
        <w:rPr>
          <w:color w:val="000000"/>
          <w:lang w:val="en-GB"/>
        </w:rPr>
        <w:t xml:space="preserve">(2022) have analysed that collaborative engagement between the hospital management and healthcare workers improve safety culture through implementing tools such as Manchester Patient Safety Framework (MaPSaF). Moreover, focus on the clinical leadership for ensuring positive healthcare outcomes through establishing safety culture is also ensured through offering leadership programs to strengthen leadership skills for patient safety management. Accordingly, Fletcher </w:t>
      </w:r>
      <w:r w:rsidRPr="00820F7A">
        <w:rPr>
          <w:i/>
          <w:iCs/>
          <w:color w:val="000000"/>
          <w:lang w:val="en-GB"/>
        </w:rPr>
        <w:t>et al.</w:t>
      </w:r>
      <w:r w:rsidRPr="00820F7A">
        <w:rPr>
          <w:color w:val="000000"/>
          <w:lang w:val="en-GB"/>
        </w:rPr>
        <w:t xml:space="preserve"> (2023) have outlined that NHS Digital Academy has integrated Digital Leadership programs, blending technology with learning and communication for improved information sharing. Moreover, organizations in the UK healthcare sector are also establishing and working towards enhancing patient safety through establishing safety principles and elements. Mandizha </w:t>
      </w:r>
      <w:r w:rsidRPr="00820F7A">
        <w:rPr>
          <w:i/>
          <w:iCs/>
          <w:color w:val="000000"/>
          <w:lang w:val="en-GB"/>
        </w:rPr>
        <w:t xml:space="preserve">et al. </w:t>
      </w:r>
      <w:r w:rsidRPr="00820F7A">
        <w:rPr>
          <w:color w:val="000000"/>
          <w:lang w:val="en-GB"/>
        </w:rPr>
        <w:t xml:space="preserve">(2025) outlined that the NHS patient experience framework is efficient for ensuring patient safety culture through providing a guide to the professional and NHS trusts to improve overall experience of patients. This outlines the three pillars of the NHS framework that focuses on guiding the individual behaviour and attitude of their healthcare workers through safety, attention to patient care and collaborative environment. </w:t>
      </w:r>
    </w:p>
    <w:p w14:paraId="54E4CF28"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Patient safety issues are major safety risks that have necessitated the focus on clinical leadership to enhance the patient's safety and overall wellbeing for improved healthcare outcome and performance (Falade </w:t>
      </w:r>
      <w:r w:rsidRPr="00820F7A">
        <w:rPr>
          <w:i/>
          <w:iCs/>
          <w:color w:val="000000"/>
          <w:lang w:val="en-GB"/>
        </w:rPr>
        <w:t>et al.</w:t>
      </w:r>
      <w:r w:rsidRPr="00820F7A">
        <w:rPr>
          <w:color w:val="000000"/>
          <w:lang w:val="en-GB"/>
        </w:rPr>
        <w:t xml:space="preserve"> 2024). Barmayehvar</w:t>
      </w:r>
      <w:r w:rsidRPr="00820F7A">
        <w:rPr>
          <w:i/>
          <w:iCs/>
          <w:color w:val="000000"/>
          <w:lang w:val="en-GB"/>
        </w:rPr>
        <w:t xml:space="preserve">et al. </w:t>
      </w:r>
      <w:r w:rsidRPr="00820F7A">
        <w:rPr>
          <w:color w:val="000000"/>
          <w:lang w:val="en-GB"/>
        </w:rPr>
        <w:t>(2025) have outlined that clinical negligence has become a major concern in UK healthcare, accounting for £2.8 billion costs of clinical negligence cases in 2023 and 2024. Implementing a safety culture framework and tools such as the MaPSaF and SAQ assist UK hospitals to evaluate the performance and reflect on the progress of implementing safety culture. The rate of clinical negligence in the UK healthcare has significantly increased due to the poor organizational culture and ineffective leadership approach. In this regard, Barmayehvar</w:t>
      </w:r>
      <w:r w:rsidRPr="00820F7A">
        <w:rPr>
          <w:i/>
          <w:iCs/>
          <w:color w:val="000000"/>
          <w:lang w:val="en-GB"/>
        </w:rPr>
        <w:t>et al.</w:t>
      </w:r>
      <w:r w:rsidRPr="00820F7A">
        <w:rPr>
          <w:color w:val="000000"/>
          <w:lang w:val="en-GB"/>
        </w:rPr>
        <w:t xml:space="preserve"> (2025) have outlined that clinical negligence rates, impacting the healthcare outcome in UK healthcare, have increased by 75% in 2024 as compared to 2016-17. Thus, emphasizing on reducing the clinical negligence rates in the UK healthcare sector needs to be addressed through implementing clinical leadership for establishing a positive and collaborative environment for patient safety. </w:t>
      </w:r>
    </w:p>
    <w:p w14:paraId="68EC25D1" w14:textId="77777777" w:rsidR="00826870" w:rsidRPr="00820F7A" w:rsidRDefault="00826870">
      <w:pPr>
        <w:pStyle w:val="Normal1"/>
        <w:pBdr>
          <w:top w:val="nil"/>
          <w:left w:val="nil"/>
          <w:bottom w:val="nil"/>
          <w:right w:val="nil"/>
          <w:between w:val="nil"/>
        </w:pBdr>
        <w:rPr>
          <w:color w:val="000000"/>
          <w:lang w:val="en-GB"/>
        </w:rPr>
      </w:pPr>
    </w:p>
    <w:p w14:paraId="4673BF88" w14:textId="77777777" w:rsidR="00826870" w:rsidRPr="00820F7A" w:rsidRDefault="00B21388">
      <w:pPr>
        <w:pStyle w:val="Heading2"/>
        <w:rPr>
          <w:lang w:val="en-GB"/>
        </w:rPr>
      </w:pPr>
      <w:bookmarkStart w:id="23" w:name="_Toc220759478"/>
      <w:r w:rsidRPr="00820F7A">
        <w:rPr>
          <w:lang w:val="en-GB"/>
        </w:rPr>
        <w:t>2.4 Evaluating the key barriers in building a strong safety culture across healthcare system</w:t>
      </w:r>
      <w:bookmarkEnd w:id="23"/>
    </w:p>
    <w:p w14:paraId="6187A0DE"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The poor alignment between organizational objectives and individual objectives are the major concerns associated with the effective safety culture across the UK healthcare sector. Hoxha </w:t>
      </w:r>
      <w:r w:rsidRPr="00820F7A">
        <w:rPr>
          <w:i/>
          <w:iCs/>
          <w:color w:val="000000"/>
          <w:lang w:val="en-GB"/>
        </w:rPr>
        <w:t xml:space="preserve">et al. </w:t>
      </w:r>
      <w:r w:rsidRPr="00820F7A">
        <w:rPr>
          <w:color w:val="000000"/>
          <w:lang w:val="en-GB"/>
        </w:rPr>
        <w:t xml:space="preserve">(2024) have outlined that frameworks such as Green Lean Six Sigma framework are integrated to empower employees through aligning their personal values with corporate objectives. However, lack of an alignment with the organizational objectives with healthcare professionals’ goals is a major concern that increases the risks of poor healthcare outcomes and impacts care delivery quality. On the other hand, Liston </w:t>
      </w:r>
      <w:r w:rsidRPr="00820F7A">
        <w:rPr>
          <w:i/>
          <w:iCs/>
          <w:color w:val="000000"/>
          <w:lang w:val="en-GB"/>
        </w:rPr>
        <w:t>et al.</w:t>
      </w:r>
      <w:r w:rsidRPr="00820F7A">
        <w:rPr>
          <w:color w:val="000000"/>
          <w:lang w:val="en-GB"/>
        </w:rPr>
        <w:t xml:space="preserve"> (2023) have analysed that systematic failures attributable to Safety Culture (SC) are poor leadership, failure to assess risks and ineffective breakdown of teamwork. Moreover, the key characteristic of leadership in healthcare is the effective communication that is associated with boosting collaboration and engagement with the patients and internal teams to improve transparency. Accordingly, Leape (2021) has outlined that leadership in the healthcare sector is impacted by ineffective communication and failure to engage with employees under patient requirements for establishing safety culture. Clinical leadership is significant in the healthcare sector for ensuring transparency and collaboration among health care teams and with patients through conducting open communication (Torabi </w:t>
      </w:r>
      <w:r w:rsidRPr="00820F7A">
        <w:rPr>
          <w:i/>
          <w:iCs/>
          <w:color w:val="000000"/>
          <w:lang w:val="en-GB"/>
        </w:rPr>
        <w:t>et al.</w:t>
      </w:r>
      <w:r w:rsidRPr="00820F7A">
        <w:rPr>
          <w:color w:val="000000"/>
          <w:lang w:val="en-GB"/>
        </w:rPr>
        <w:t xml:space="preserve"> 2025). </w:t>
      </w:r>
    </w:p>
    <w:p w14:paraId="2B334409"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The poor healthcare leadership lacks effective assessment of risks including systematic biases, medication mistakes, errors, hampering the risk assessment that is crucial for ensuring safety of the patients. The report of Linnik </w:t>
      </w:r>
      <w:r w:rsidRPr="00820F7A">
        <w:rPr>
          <w:i/>
          <w:iCs/>
          <w:color w:val="000000"/>
          <w:lang w:val="en-GB"/>
        </w:rPr>
        <w:t xml:space="preserve">et al. </w:t>
      </w:r>
      <w:r w:rsidRPr="00820F7A">
        <w:rPr>
          <w:color w:val="000000"/>
          <w:lang w:val="en-GB"/>
        </w:rPr>
        <w:t xml:space="preserve">(2023) has identified ineffective leadership as a major obstacle that hinders the development of positive patient safety culture and impacts the collaboration between the teams. However, it has been analysed that leadership failure including in effective engagement and poor collaboration are driving employees’ fatigue and excessive workload in the workplace and hamper safety culture implementation. Linnik </w:t>
      </w:r>
      <w:r w:rsidRPr="00820F7A">
        <w:rPr>
          <w:i/>
          <w:iCs/>
          <w:color w:val="000000"/>
          <w:lang w:val="en-GB"/>
        </w:rPr>
        <w:t xml:space="preserve">et al. </w:t>
      </w:r>
      <w:r w:rsidRPr="00820F7A">
        <w:rPr>
          <w:color w:val="000000"/>
          <w:lang w:val="en-GB"/>
        </w:rPr>
        <w:t>(2023) identified that the leadership role is also accountable for ensuring engagement with the employees to address the issues of workload result and employee fatigue issues. On the other hand, the risk of medical errors is also a major factor that hampers the effectiveness of safety and security of the patients in the UK hospitals and healthcare sector. Accordingly, Alghrani</w:t>
      </w:r>
      <w:r w:rsidRPr="00820F7A">
        <w:rPr>
          <w:i/>
          <w:iCs/>
          <w:color w:val="000000"/>
          <w:lang w:val="en-GB"/>
        </w:rPr>
        <w:t xml:space="preserve"> et al. </w:t>
      </w:r>
      <w:r w:rsidRPr="00820F7A">
        <w:rPr>
          <w:color w:val="000000"/>
          <w:lang w:val="en-GB"/>
        </w:rPr>
        <w:t xml:space="preserve">(2024) has outlined that the risks of medical errors in the healthcare sector are 33,000 times higher as compared to the death rates raised by other accidents. Thus, the major threat that UK hospitals face in implementing the safety culture in the healthcare setting is the increased risks of medical errors. </w:t>
      </w:r>
    </w:p>
    <w:p w14:paraId="68C5C982" w14:textId="77777777" w:rsidR="00826870" w:rsidRPr="00820F7A" w:rsidRDefault="00B21388">
      <w:pPr>
        <w:pStyle w:val="Normal1"/>
        <w:pBdr>
          <w:top w:val="nil"/>
          <w:left w:val="nil"/>
          <w:bottom w:val="nil"/>
          <w:right w:val="nil"/>
          <w:between w:val="nil"/>
        </w:pBdr>
        <w:jc w:val="center"/>
        <w:rPr>
          <w:color w:val="000000"/>
          <w:lang w:val="en-GB"/>
        </w:rPr>
      </w:pPr>
      <w:r w:rsidRPr="00820F7A">
        <w:rPr>
          <w:noProof/>
          <w:color w:val="000000"/>
          <w:lang w:val="en-GB"/>
        </w:rPr>
        <w:drawing>
          <wp:inline distT="114300" distB="114300" distL="114300" distR="114300" wp14:anchorId="6F567650" wp14:editId="6305CF33">
            <wp:extent cx="5943600" cy="3225800"/>
            <wp:effectExtent l="0" t="0" r="0" b="0"/>
            <wp:docPr id="127"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6"/>
                    <a:srcRect/>
                    <a:stretch>
                      <a:fillRect/>
                    </a:stretch>
                  </pic:blipFill>
                  <pic:spPr>
                    <a:xfrm>
                      <a:off x="0" y="0"/>
                      <a:ext cx="5943600" cy="3225800"/>
                    </a:xfrm>
                    <a:prstGeom prst="rect">
                      <a:avLst/>
                    </a:prstGeom>
                    <a:ln/>
                  </pic:spPr>
                </pic:pic>
              </a:graphicData>
            </a:graphic>
          </wp:inline>
        </w:drawing>
      </w:r>
    </w:p>
    <w:p w14:paraId="06D081EE" w14:textId="77777777" w:rsidR="00826870" w:rsidRPr="00820F7A" w:rsidRDefault="00B21388">
      <w:pPr>
        <w:pStyle w:val="Heading4"/>
        <w:rPr>
          <w:lang w:val="en-GB"/>
        </w:rPr>
      </w:pPr>
      <w:bookmarkStart w:id="24" w:name="_heading=h.i5vsnkp5qepm" w:colFirst="0" w:colLast="0"/>
      <w:bookmarkEnd w:id="24"/>
      <w:r w:rsidRPr="00820F7A">
        <w:rPr>
          <w:lang w:val="en-GB"/>
        </w:rPr>
        <w:t>Figure 2.4: patient Safety culture through interesting patient centeredness</w:t>
      </w:r>
    </w:p>
    <w:p w14:paraId="08154B0D" w14:textId="77777777" w:rsidR="00826870" w:rsidRPr="00820F7A" w:rsidRDefault="00B21388">
      <w:pPr>
        <w:pStyle w:val="Normal1"/>
        <w:pBdr>
          <w:top w:val="nil"/>
          <w:left w:val="nil"/>
          <w:bottom w:val="nil"/>
          <w:right w:val="nil"/>
          <w:between w:val="nil"/>
        </w:pBdr>
        <w:jc w:val="center"/>
        <w:rPr>
          <w:color w:val="000000"/>
          <w:lang w:val="en-GB"/>
        </w:rPr>
      </w:pPr>
      <w:r w:rsidRPr="00820F7A">
        <w:rPr>
          <w:color w:val="000000"/>
          <w:lang w:val="en-GB"/>
        </w:rPr>
        <w:t xml:space="preserve">(Source: Adams </w:t>
      </w:r>
      <w:r w:rsidRPr="00820F7A">
        <w:rPr>
          <w:i/>
          <w:iCs/>
          <w:color w:val="000000"/>
          <w:lang w:val="en-GB"/>
        </w:rPr>
        <w:t>et al.</w:t>
      </w:r>
      <w:r w:rsidRPr="00820F7A">
        <w:rPr>
          <w:color w:val="000000"/>
          <w:lang w:val="en-GB"/>
        </w:rPr>
        <w:t xml:space="preserve"> 2024)</w:t>
      </w:r>
    </w:p>
    <w:p w14:paraId="33ECDF0E"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Improving the organizational culture along with the culture of collaboration is a major factor that assists UK healthcare to strengthen its approach to integrate safety initiatives and cultures. Manalayil</w:t>
      </w:r>
      <w:r w:rsidRPr="00820F7A">
        <w:rPr>
          <w:i/>
          <w:iCs/>
          <w:color w:val="000000"/>
          <w:lang w:val="en-GB"/>
        </w:rPr>
        <w:t xml:space="preserve">et al. </w:t>
      </w:r>
      <w:r w:rsidRPr="00820F7A">
        <w:rPr>
          <w:color w:val="000000"/>
          <w:lang w:val="en-GB"/>
        </w:rPr>
        <w:t>(2024) have outlined that the healthcare sector is significantly impacted by the increased blame-based culture among the employees, impacting engagement due to the risks of litigation. The blame-based culture in the UK healthcare sector consists of incident reporting that is considered a threat to employers with potential of causing litigation to organizations and causing anxiety to employees (</w:t>
      </w:r>
      <w:r w:rsidRPr="00820F7A">
        <w:rPr>
          <w:color w:val="000000"/>
          <w:highlight w:val="white"/>
          <w:lang w:val="en-GB"/>
        </w:rPr>
        <w:t xml:space="preserve">Rostami-Tabar </w:t>
      </w:r>
      <w:r w:rsidRPr="00820F7A">
        <w:rPr>
          <w:i/>
          <w:iCs/>
          <w:color w:val="000000"/>
          <w:highlight w:val="white"/>
          <w:lang w:val="en-GB"/>
        </w:rPr>
        <w:t>et al.</w:t>
      </w:r>
      <w:r w:rsidRPr="00820F7A">
        <w:rPr>
          <w:color w:val="000000"/>
          <w:highlight w:val="white"/>
          <w:lang w:val="en-GB"/>
        </w:rPr>
        <w:t xml:space="preserve"> 2024)</w:t>
      </w:r>
      <w:r w:rsidRPr="00820F7A">
        <w:rPr>
          <w:color w:val="000000"/>
          <w:lang w:val="en-GB"/>
        </w:rPr>
        <w:t>. Consequently, Aunger</w:t>
      </w:r>
      <w:r w:rsidRPr="00820F7A">
        <w:rPr>
          <w:i/>
          <w:iCs/>
          <w:color w:val="000000"/>
          <w:lang w:val="en-GB"/>
        </w:rPr>
        <w:t xml:space="preserve"> et al. </w:t>
      </w:r>
      <w:r w:rsidRPr="00820F7A">
        <w:rPr>
          <w:color w:val="000000"/>
          <w:lang w:val="en-GB"/>
        </w:rPr>
        <w:t>(2024) have analysed that building a trust based and accountability held culture is effective to strengthen the approaches to implement safety. One of the major issues of ineffective safety culture and high patient dissatisfaction is poor individual accountability that hampers cultural change, strategies targeting to integrate safety culture in healthcare organizations. Moreover, Woodhead</w:t>
      </w:r>
      <w:r w:rsidRPr="00820F7A">
        <w:rPr>
          <w:i/>
          <w:iCs/>
          <w:color w:val="000000"/>
          <w:lang w:val="en-GB"/>
        </w:rPr>
        <w:t xml:space="preserve"> et al.</w:t>
      </w:r>
      <w:r w:rsidRPr="00820F7A">
        <w:rPr>
          <w:color w:val="000000"/>
          <w:lang w:val="en-GB"/>
        </w:rPr>
        <w:t xml:space="preserve"> (2022) argued that lack of accountability founded by NHS Equality and Diversity Council regarding adverse impact of a treatment is major to concerns in UK healthcare. Taking responsibility of ensuring the safety of the patients’ is needed to be focused on by clinical leadership and healthcare professionals for ensuring that safety is prioritized during medical treatment and processes. </w:t>
      </w:r>
    </w:p>
    <w:p w14:paraId="2135F1CE"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The risks of accusations and blame culture are the major issues that impact individual approach to implement a culture of safety in the healthcare sector. In contrast, the lack of accountability within the individual and UK hospitals are also a major concern that impacts the implications of safety culture in the UK healthcare setting. Baker </w:t>
      </w:r>
      <w:r w:rsidRPr="00820F7A">
        <w:rPr>
          <w:i/>
          <w:iCs/>
          <w:color w:val="000000"/>
          <w:lang w:val="en-GB"/>
        </w:rPr>
        <w:t>et al.</w:t>
      </w:r>
      <w:r w:rsidRPr="00820F7A">
        <w:rPr>
          <w:color w:val="000000"/>
          <w:lang w:val="en-GB"/>
        </w:rPr>
        <w:t xml:space="preserve"> (2023) evaluated that the NHS is facing issues with adhering to principles of Accountable Care Organisations for safety culture due to lack of organizational accountability and budget. The key principles of Accountable Care Organisations, a concept developed and implemented by the NHS includes individual accountability, ensuring quality, monitoring and measuring individual performance. Moreover, it has also been argued by Baker </w:t>
      </w:r>
      <w:r w:rsidRPr="00820F7A">
        <w:rPr>
          <w:i/>
          <w:iCs/>
          <w:color w:val="000000"/>
          <w:lang w:val="en-GB"/>
        </w:rPr>
        <w:t>et al.</w:t>
      </w:r>
      <w:r w:rsidRPr="00820F7A">
        <w:rPr>
          <w:color w:val="000000"/>
          <w:lang w:val="en-GB"/>
        </w:rPr>
        <w:t xml:space="preserve"> (2023) that the individual accountability to ensure patient safety in UK hospitals are hampered by poor leadership approaches, complex structures of management and poor compliance with safety regulation. Thus, addressing the issues of non-compliance with safety standards are crucial in the UK hospitals as they assist in reducing the risks of safety incidents and facilitate systematic monitoring of treatment processes. </w:t>
      </w:r>
    </w:p>
    <w:p w14:paraId="2D8A3DE2" w14:textId="77777777" w:rsidR="00826870" w:rsidRPr="00820F7A" w:rsidRDefault="00B21388">
      <w:pPr>
        <w:pStyle w:val="Heading2"/>
        <w:rPr>
          <w:lang w:val="en-GB"/>
        </w:rPr>
      </w:pPr>
      <w:bookmarkStart w:id="25" w:name="_Toc220759479"/>
      <w:r w:rsidRPr="00820F7A">
        <w:rPr>
          <w:lang w:val="en-GB"/>
        </w:rPr>
        <w:t>2.5 Recommending mitigation strategies for managing clinical leadership in managing patient safety culture across the UK’s hospitals</w:t>
      </w:r>
      <w:bookmarkEnd w:id="25"/>
    </w:p>
    <w:p w14:paraId="2B74DCF9"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Mitigating the issues of clinical errors and poor leadership approaches in the healthcare can is crucial through implementing strategic approaches and initiatives for strengthening safety culture. Kirkpatrick et al. (2024) analysed that acute healthcare trusts of the NHS have implemented leadership training with increased rates of senior leaders from 1.68 in 2007 to 3.4 after 2018. The key learning and training reading leadership in UK healthcare involves core skills that consist of training on communication and collaboration for continuous development (</w:t>
      </w:r>
      <w:r w:rsidRPr="00820F7A">
        <w:rPr>
          <w:color w:val="000000"/>
          <w:highlight w:val="white"/>
          <w:lang w:val="en-GB"/>
        </w:rPr>
        <w:t>Bornman and Louw, 2023)</w:t>
      </w:r>
      <w:r w:rsidRPr="00820F7A">
        <w:rPr>
          <w:color w:val="000000"/>
          <w:lang w:val="en-GB"/>
        </w:rPr>
        <w:t xml:space="preserve">. The training and continuous learning initiatives are effective as they focus on improving the core skills of the leaders for addressing the issues of poor engagement and communication skills of the leaders. Moreover, poor leadership is addressed through implementing WHO Global Patient Safety Action Plan that is effective for improving teamwork among 68%, continuous improvement among 65% through setting safety benchmarks (Liston </w:t>
      </w:r>
      <w:r w:rsidRPr="00820F7A">
        <w:rPr>
          <w:i/>
          <w:iCs/>
          <w:color w:val="000000"/>
          <w:lang w:val="en-GB"/>
        </w:rPr>
        <w:t>et al.</w:t>
      </w:r>
      <w:r w:rsidRPr="00820F7A">
        <w:rPr>
          <w:color w:val="000000"/>
          <w:lang w:val="en-GB"/>
        </w:rPr>
        <w:t xml:space="preserve"> 2023). The WHO Global Patient Safety Action Plan focuses on strengthening the effectiveness of the management and leadership through providing guidance on expected attitude and leadership behaviour. Thus, addressing the internal engagement and collaboration gap for communicating the safety standards to healthcare workers can be addressed through implementing leadership training programs and initiatives for strengthening core skills. </w:t>
      </w:r>
    </w:p>
    <w:p w14:paraId="3D4DF614" w14:textId="77777777" w:rsidR="00826870" w:rsidRPr="00820F7A" w:rsidRDefault="00B21388">
      <w:pPr>
        <w:pStyle w:val="Normal1"/>
        <w:pBdr>
          <w:top w:val="nil"/>
          <w:left w:val="nil"/>
          <w:bottom w:val="nil"/>
          <w:right w:val="nil"/>
          <w:between w:val="nil"/>
        </w:pBdr>
        <w:jc w:val="center"/>
        <w:rPr>
          <w:color w:val="000000"/>
          <w:lang w:val="en-GB"/>
        </w:rPr>
      </w:pPr>
      <w:r w:rsidRPr="00820F7A">
        <w:rPr>
          <w:noProof/>
          <w:color w:val="000000"/>
          <w:lang w:val="en-GB"/>
        </w:rPr>
        <w:drawing>
          <wp:inline distT="114300" distB="114300" distL="114300" distR="114300" wp14:anchorId="70EAC658" wp14:editId="79C8109B">
            <wp:extent cx="4295775" cy="4486275"/>
            <wp:effectExtent l="0" t="0" r="0" b="0"/>
            <wp:docPr id="131"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7"/>
                    <a:srcRect/>
                    <a:stretch>
                      <a:fillRect/>
                    </a:stretch>
                  </pic:blipFill>
                  <pic:spPr>
                    <a:xfrm>
                      <a:off x="0" y="0"/>
                      <a:ext cx="4295775" cy="4486275"/>
                    </a:xfrm>
                    <a:prstGeom prst="rect">
                      <a:avLst/>
                    </a:prstGeom>
                    <a:ln/>
                  </pic:spPr>
                </pic:pic>
              </a:graphicData>
            </a:graphic>
          </wp:inline>
        </w:drawing>
      </w:r>
    </w:p>
    <w:p w14:paraId="72E62AE3" w14:textId="77777777" w:rsidR="00826870" w:rsidRPr="00820F7A" w:rsidRDefault="00B21388">
      <w:pPr>
        <w:pStyle w:val="Heading4"/>
        <w:rPr>
          <w:lang w:val="en-GB"/>
        </w:rPr>
      </w:pPr>
      <w:bookmarkStart w:id="26" w:name="_heading=h.nbyesdk2dt2z" w:colFirst="0" w:colLast="0"/>
      <w:bookmarkEnd w:id="26"/>
      <w:r w:rsidRPr="00820F7A">
        <w:rPr>
          <w:lang w:val="en-GB"/>
        </w:rPr>
        <w:t>Figure 2.5: Three Pillars of NHS patient experience framework for ensuring patient safety</w:t>
      </w:r>
    </w:p>
    <w:p w14:paraId="03084D91" w14:textId="77777777" w:rsidR="00826870" w:rsidRPr="00820F7A" w:rsidRDefault="00B21388">
      <w:pPr>
        <w:pStyle w:val="Normal1"/>
        <w:pBdr>
          <w:top w:val="nil"/>
          <w:left w:val="nil"/>
          <w:bottom w:val="nil"/>
          <w:right w:val="nil"/>
          <w:between w:val="nil"/>
        </w:pBdr>
        <w:jc w:val="center"/>
        <w:rPr>
          <w:color w:val="000000"/>
          <w:lang w:val="en-GB"/>
        </w:rPr>
      </w:pPr>
      <w:r w:rsidRPr="00820F7A">
        <w:rPr>
          <w:color w:val="000000"/>
          <w:lang w:val="en-GB"/>
        </w:rPr>
        <w:t xml:space="preserve">(Source: Adams </w:t>
      </w:r>
      <w:r w:rsidRPr="00820F7A">
        <w:rPr>
          <w:i/>
          <w:iCs/>
          <w:color w:val="000000"/>
          <w:lang w:val="en-GB"/>
        </w:rPr>
        <w:t>et al.</w:t>
      </w:r>
      <w:r w:rsidRPr="00820F7A">
        <w:rPr>
          <w:color w:val="000000"/>
          <w:lang w:val="en-GB"/>
        </w:rPr>
        <w:t xml:space="preserve"> 2024)</w:t>
      </w:r>
    </w:p>
    <w:p w14:paraId="709453F8" w14:textId="77777777" w:rsidR="00826870" w:rsidRPr="00820F7A" w:rsidRDefault="00B21388">
      <w:pPr>
        <w:pStyle w:val="Normal1"/>
        <w:pBdr>
          <w:top w:val="nil"/>
          <w:left w:val="nil"/>
          <w:bottom w:val="nil"/>
          <w:right w:val="nil"/>
          <w:between w:val="nil"/>
        </w:pBdr>
        <w:rPr>
          <w:b/>
          <w:bCs/>
          <w:i/>
          <w:iCs/>
          <w:color w:val="000000"/>
          <w:lang w:val="en-GB"/>
        </w:rPr>
      </w:pPr>
      <w:r w:rsidRPr="00820F7A">
        <w:rPr>
          <w:b/>
          <w:bCs/>
          <w:i/>
          <w:iCs/>
          <w:color w:val="000000"/>
          <w:lang w:val="en-GB"/>
        </w:rPr>
        <w:t>Training and continuous learning initiatives</w:t>
      </w:r>
    </w:p>
    <w:p w14:paraId="056635F4"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Providing doctoral level training to the nursing staff is also being analysed and emphasized for improving the quality-of-care delivery and ensuring safety. Vamadevan</w:t>
      </w:r>
      <w:r w:rsidRPr="00820F7A">
        <w:rPr>
          <w:i/>
          <w:iCs/>
          <w:color w:val="000000"/>
          <w:lang w:val="en-GB"/>
        </w:rPr>
        <w:t>et al.</w:t>
      </w:r>
      <w:r w:rsidRPr="00820F7A">
        <w:rPr>
          <w:color w:val="000000"/>
          <w:lang w:val="en-GB"/>
        </w:rPr>
        <w:t xml:space="preserve"> (2025) argued that safety initiatives and improving care quality in healthcare settings can be enhanced through providing doctoral-level training to nursing staff, accounting for 29.8 million. The doctoral level learning programs offered to the nursing staff are efficient as it focuses on improving the skills and quality of care for improving patient safety. Moradi </w:t>
      </w:r>
      <w:r w:rsidRPr="00820F7A">
        <w:rPr>
          <w:i/>
          <w:iCs/>
          <w:color w:val="000000"/>
          <w:lang w:val="en-GB"/>
        </w:rPr>
        <w:t xml:space="preserve">et al. </w:t>
      </w:r>
      <w:r w:rsidRPr="00820F7A">
        <w:rPr>
          <w:color w:val="000000"/>
          <w:lang w:val="en-GB"/>
        </w:rPr>
        <w:t xml:space="preserve">(2025) outlined that Doctor of Nursing Practice (DNP) programs in healthcare assist nurses in enhancing patient outcomes through focusing on ensuring safety, quality and efficiency of patient care. On the other hand, Laaksonen </w:t>
      </w:r>
      <w:r w:rsidRPr="00820F7A">
        <w:rPr>
          <w:i/>
          <w:iCs/>
          <w:color w:val="000000"/>
          <w:lang w:val="en-GB"/>
        </w:rPr>
        <w:t xml:space="preserve">et al. </w:t>
      </w:r>
      <w:r w:rsidRPr="00820F7A">
        <w:rPr>
          <w:color w:val="000000"/>
          <w:lang w:val="en-GB"/>
        </w:rPr>
        <w:t xml:space="preserve">(2025) outlined that medication safety initiatives can be integrated to address the issues of medical errors through monitoring by the treatment processes. Thus, this is an effective approach to strengthen the workplace culture of the healthcare organizations through focusing on addressing the systematic errors by monitoring the processes. </w:t>
      </w:r>
    </w:p>
    <w:p w14:paraId="3D308890" w14:textId="77777777" w:rsidR="00826870" w:rsidRPr="00820F7A" w:rsidRDefault="00B21388">
      <w:pPr>
        <w:pStyle w:val="Normal1"/>
        <w:pBdr>
          <w:top w:val="nil"/>
          <w:left w:val="nil"/>
          <w:bottom w:val="nil"/>
          <w:right w:val="nil"/>
          <w:between w:val="nil"/>
        </w:pBdr>
        <w:rPr>
          <w:b/>
          <w:bCs/>
          <w:i/>
          <w:iCs/>
          <w:color w:val="000000"/>
          <w:lang w:val="en-GB"/>
        </w:rPr>
      </w:pPr>
      <w:r w:rsidRPr="00820F7A">
        <w:rPr>
          <w:b/>
          <w:bCs/>
          <w:i/>
          <w:iCs/>
          <w:color w:val="000000"/>
          <w:lang w:val="en-GB"/>
        </w:rPr>
        <w:t xml:space="preserve">Regulatory compliance for improving ethical conduct for safety culture </w:t>
      </w:r>
    </w:p>
    <w:p w14:paraId="09F3DBA0"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The adherence and compliance to quality care delivery act and regulation in the UK healthcare sector is an effective approach for addressing the quality and medical errors issues to improve patient safety and implement safety culture. McHale (2023) outlined that Care Act 2014 is implemented for ensuring safety and security of the patients through establishing safety netting, a strategy for communicating the treatment approach by providers. Collaboration between the healthcare workers and the patients during the treatment and after discharge are also significant for ensuring safety through undermining medical requirements. In this respect, the British Red Cross 2020 report has outlined that more than 82% of patients were unable to engage with healthcare workers after the discharge and 18% patients had unmet needs (McHale, 2023). Thus, the significance of establishing clear engagement and collaboration with the patients during the treatment and after the discharge as it focuses on ensuring that clinical leaders are aware of the patient’s needs. </w:t>
      </w:r>
    </w:p>
    <w:p w14:paraId="6B3D3E66" w14:textId="77777777" w:rsidR="00826870" w:rsidRPr="00820F7A" w:rsidRDefault="00B21388">
      <w:pPr>
        <w:pStyle w:val="Normal1"/>
        <w:pBdr>
          <w:top w:val="nil"/>
          <w:left w:val="nil"/>
          <w:bottom w:val="nil"/>
          <w:right w:val="nil"/>
          <w:between w:val="nil"/>
        </w:pBdr>
        <w:rPr>
          <w:b/>
          <w:bCs/>
          <w:i/>
          <w:iCs/>
          <w:color w:val="000000"/>
          <w:lang w:val="en-GB"/>
        </w:rPr>
      </w:pPr>
      <w:r w:rsidRPr="00820F7A">
        <w:rPr>
          <w:b/>
          <w:bCs/>
          <w:i/>
          <w:iCs/>
          <w:color w:val="000000"/>
          <w:lang w:val="en-GB"/>
        </w:rPr>
        <w:t>Improving workplace culture through establishing collaborative environment</w:t>
      </w:r>
    </w:p>
    <w:p w14:paraId="278FAE84"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The major issues associated with implementing the safety culture within the healthcare setting is the increased risks of blame and punishment that affect the incident repetition intentions of the employees as discussed before. In this regard, Bashir </w:t>
      </w:r>
      <w:r w:rsidRPr="00820F7A">
        <w:rPr>
          <w:i/>
          <w:iCs/>
          <w:color w:val="000000"/>
          <w:lang w:val="en-GB"/>
        </w:rPr>
        <w:t>et al.</w:t>
      </w:r>
      <w:r w:rsidRPr="00820F7A">
        <w:rPr>
          <w:color w:val="000000"/>
          <w:lang w:val="en-GB"/>
        </w:rPr>
        <w:t xml:space="preserve"> (2024) outlined that adopting a non-punitive approach to reporting incidents reduces the fear of punishment for reporting safety and medical errors incidents to leadership. The implementation of the non-punitive strategy for incident reporting enables employees to strengthen monitoring abilities for identifying potential safety incidents and leads to greater emphasis on patient safety. Moreover, Bashir </w:t>
      </w:r>
      <w:r w:rsidRPr="00820F7A">
        <w:rPr>
          <w:i/>
          <w:iCs/>
          <w:color w:val="000000"/>
          <w:lang w:val="en-GB"/>
        </w:rPr>
        <w:t>et al.</w:t>
      </w:r>
      <w:r w:rsidRPr="00820F7A">
        <w:rPr>
          <w:color w:val="000000"/>
          <w:lang w:val="en-GB"/>
        </w:rPr>
        <w:t xml:space="preserve"> (2024) has also argued that implementing a patient safety culture, integrating factors such as organizational learning, effective management, good information flow, committed leadership and trust-based communication. Organizations in the UK healthcare sector are integrating policies and strategies for improving safety through fostering safety culture. For example, Hope and Pascoe (2024) have outlined that West Hertfordshire Teaching Hospital NHS Trust and Salford Royal Hospital NHS Foundation Trust ensured patient safety through implementing CQC standard 13. The CQC standard 13 is a significant regulation in UK healthcare that assists in ensuring safety of the patients through developing a safety culture, protecting individuals from incidents and abuse. </w:t>
      </w:r>
    </w:p>
    <w:p w14:paraId="4E26C150" w14:textId="77777777" w:rsidR="00826870" w:rsidRPr="00820F7A" w:rsidRDefault="00B21388">
      <w:pPr>
        <w:pStyle w:val="Heading2"/>
        <w:rPr>
          <w:lang w:val="en-GB"/>
        </w:rPr>
      </w:pPr>
      <w:bookmarkStart w:id="27" w:name="_Toc220759480"/>
      <w:r w:rsidRPr="00820F7A">
        <w:rPr>
          <w:lang w:val="en-GB"/>
        </w:rPr>
        <w:t>2.6 Theoretical perspective</w:t>
      </w:r>
      <w:bookmarkEnd w:id="27"/>
    </w:p>
    <w:p w14:paraId="3FD2FF37" w14:textId="77777777" w:rsidR="00826870" w:rsidRPr="00820F7A" w:rsidRDefault="00B21388">
      <w:pPr>
        <w:pStyle w:val="Normal1"/>
        <w:pBdr>
          <w:top w:val="nil"/>
          <w:left w:val="nil"/>
          <w:bottom w:val="nil"/>
          <w:right w:val="nil"/>
          <w:between w:val="nil"/>
        </w:pBdr>
        <w:rPr>
          <w:b/>
          <w:bCs/>
          <w:i/>
          <w:iCs/>
          <w:color w:val="000000"/>
          <w:lang w:val="en-GB"/>
        </w:rPr>
      </w:pPr>
      <w:r w:rsidRPr="00820F7A">
        <w:rPr>
          <w:b/>
          <w:bCs/>
          <w:i/>
          <w:iCs/>
          <w:color w:val="000000"/>
          <w:lang w:val="en-GB"/>
        </w:rPr>
        <w:t>The Transformational Leadership Theory</w:t>
      </w:r>
    </w:p>
    <w:p w14:paraId="1C95C310"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The application of transformational leadership theory is based on the core components that included idealized influence, intellectual stimulation and individualized consideration to meet patient safety. As illustrated in the report of Kludacz-Alessandri </w:t>
      </w:r>
      <w:r w:rsidRPr="00820F7A">
        <w:rPr>
          <w:i/>
          <w:iCs/>
          <w:color w:val="000000"/>
          <w:lang w:val="en-GB"/>
        </w:rPr>
        <w:t xml:space="preserve">et al. </w:t>
      </w:r>
      <w:r w:rsidRPr="00820F7A">
        <w:rPr>
          <w:color w:val="000000"/>
          <w:lang w:val="en-GB"/>
        </w:rPr>
        <w:t xml:space="preserve">(2025), the transformational leadership in the healthcare organization has integrated digital transformation to have shared benefits and supporting employees in achieving goals. The advantage of applying transformational leadership theory in managing patient safety is associated with commitment to patient-centred care by reporting the medical errors for better patient outcomes. Thus, transformational leadership can be efficient as it focuses on enhancing collaboration and engagement to enhance healthcare outcome and quality of care delivery through individual consideration and shared vision. </w:t>
      </w:r>
    </w:p>
    <w:p w14:paraId="38690DBC" w14:textId="77777777" w:rsidR="00826870" w:rsidRPr="00820F7A" w:rsidRDefault="00B21388">
      <w:pPr>
        <w:pStyle w:val="Normal1"/>
        <w:pBdr>
          <w:top w:val="nil"/>
          <w:left w:val="nil"/>
          <w:bottom w:val="nil"/>
          <w:right w:val="nil"/>
          <w:between w:val="nil"/>
        </w:pBdr>
        <w:jc w:val="center"/>
        <w:rPr>
          <w:b/>
          <w:bCs/>
          <w:color w:val="000000"/>
          <w:lang w:val="en-GB"/>
        </w:rPr>
      </w:pPr>
      <w:r w:rsidRPr="00820F7A">
        <w:rPr>
          <w:b/>
          <w:bCs/>
          <w:noProof/>
          <w:color w:val="000000"/>
          <w:lang w:val="en-GB"/>
        </w:rPr>
        <w:drawing>
          <wp:inline distT="114300" distB="114300" distL="114300" distR="114300" wp14:anchorId="0B320738" wp14:editId="194B9B08">
            <wp:extent cx="4529138" cy="2649255"/>
            <wp:effectExtent l="0" t="0" r="0" b="0"/>
            <wp:docPr id="12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8"/>
                    <a:srcRect/>
                    <a:stretch>
                      <a:fillRect/>
                    </a:stretch>
                  </pic:blipFill>
                  <pic:spPr>
                    <a:xfrm>
                      <a:off x="0" y="0"/>
                      <a:ext cx="4529138" cy="2649255"/>
                    </a:xfrm>
                    <a:prstGeom prst="rect">
                      <a:avLst/>
                    </a:prstGeom>
                    <a:ln/>
                  </pic:spPr>
                </pic:pic>
              </a:graphicData>
            </a:graphic>
          </wp:inline>
        </w:drawing>
      </w:r>
    </w:p>
    <w:p w14:paraId="3140C5BB" w14:textId="77777777" w:rsidR="00826870" w:rsidRPr="00820F7A" w:rsidRDefault="00B21388">
      <w:pPr>
        <w:pStyle w:val="Heading4"/>
        <w:rPr>
          <w:lang w:val="en-GB"/>
        </w:rPr>
      </w:pPr>
      <w:bookmarkStart w:id="28" w:name="_heading=h.7io5e9eyixvt" w:colFirst="0" w:colLast="0"/>
      <w:bookmarkEnd w:id="28"/>
      <w:r w:rsidRPr="00820F7A">
        <w:rPr>
          <w:lang w:val="en-GB"/>
        </w:rPr>
        <w:t>Figure 2.6: Transformational leadership theory</w:t>
      </w:r>
    </w:p>
    <w:p w14:paraId="1CEE6802" w14:textId="77777777" w:rsidR="00826870" w:rsidRPr="00820F7A" w:rsidRDefault="00B21388">
      <w:pPr>
        <w:pStyle w:val="Normal1"/>
        <w:pBdr>
          <w:top w:val="nil"/>
          <w:left w:val="nil"/>
          <w:bottom w:val="nil"/>
          <w:right w:val="nil"/>
          <w:between w:val="nil"/>
        </w:pBdr>
        <w:jc w:val="center"/>
        <w:rPr>
          <w:color w:val="000000"/>
          <w:lang w:val="en-GB"/>
        </w:rPr>
      </w:pPr>
      <w:r w:rsidRPr="00820F7A">
        <w:rPr>
          <w:color w:val="000000"/>
          <w:lang w:val="en-GB"/>
        </w:rPr>
        <w:t xml:space="preserve">(Source: Influenced from the report of Kludacz-Alessandri </w:t>
      </w:r>
      <w:r w:rsidRPr="00820F7A">
        <w:rPr>
          <w:i/>
          <w:iCs/>
          <w:color w:val="000000"/>
          <w:lang w:val="en-GB"/>
        </w:rPr>
        <w:t xml:space="preserve">et al. </w:t>
      </w:r>
      <w:r w:rsidRPr="00820F7A">
        <w:rPr>
          <w:color w:val="000000"/>
          <w:lang w:val="en-GB"/>
        </w:rPr>
        <w:t>2025)</w:t>
      </w:r>
    </w:p>
    <w:p w14:paraId="0118DCBD" w14:textId="77777777" w:rsidR="00826870" w:rsidRPr="00820F7A" w:rsidRDefault="00B21388">
      <w:pPr>
        <w:pStyle w:val="Normal1"/>
        <w:pBdr>
          <w:top w:val="nil"/>
          <w:left w:val="nil"/>
          <w:bottom w:val="nil"/>
          <w:right w:val="nil"/>
          <w:between w:val="nil"/>
        </w:pBdr>
        <w:rPr>
          <w:b/>
          <w:bCs/>
          <w:i/>
          <w:iCs/>
          <w:color w:val="000000"/>
          <w:lang w:val="en-GB"/>
        </w:rPr>
      </w:pPr>
      <w:r w:rsidRPr="00820F7A">
        <w:rPr>
          <w:b/>
          <w:bCs/>
          <w:i/>
          <w:iCs/>
          <w:color w:val="000000"/>
          <w:lang w:val="en-GB"/>
        </w:rPr>
        <w:t>Jean Watson's theory</w:t>
      </w:r>
    </w:p>
    <w:p w14:paraId="31D8E121"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The integration of Jean Watson's theory is managing the re-centring of nursing practice to create a trusted nurse-patient relationship to decrease the risk of adverse events. As mentioned in the report of Afonso </w:t>
      </w:r>
      <w:r w:rsidRPr="00820F7A">
        <w:rPr>
          <w:i/>
          <w:iCs/>
          <w:color w:val="000000"/>
          <w:lang w:val="en-GB"/>
        </w:rPr>
        <w:t xml:space="preserve">et al. </w:t>
      </w:r>
      <w:r w:rsidRPr="00820F7A">
        <w:rPr>
          <w:color w:val="000000"/>
          <w:lang w:val="en-GB"/>
        </w:rPr>
        <w:t xml:space="preserve">(2024), Jean Watson's theory of human care within the nursing work model has integrated the individual patient safety based on ethical behaviour. Thus, the figure has determined that Jean Watson's theory helps in improving the quality of individual care and patient safety by the clinical leaders. </w:t>
      </w:r>
    </w:p>
    <w:p w14:paraId="684177BE" w14:textId="77777777" w:rsidR="00826870" w:rsidRPr="00820F7A" w:rsidRDefault="00B21388">
      <w:pPr>
        <w:pStyle w:val="Normal1"/>
        <w:pBdr>
          <w:top w:val="nil"/>
          <w:left w:val="nil"/>
          <w:bottom w:val="nil"/>
          <w:right w:val="nil"/>
          <w:between w:val="nil"/>
        </w:pBdr>
        <w:jc w:val="center"/>
        <w:rPr>
          <w:b/>
          <w:bCs/>
          <w:color w:val="000000"/>
          <w:lang w:val="en-GB"/>
        </w:rPr>
      </w:pPr>
      <w:r w:rsidRPr="00820F7A">
        <w:rPr>
          <w:b/>
          <w:bCs/>
          <w:noProof/>
          <w:color w:val="000000"/>
          <w:lang w:val="en-GB"/>
        </w:rPr>
        <w:drawing>
          <wp:inline distT="114300" distB="114300" distL="114300" distR="114300" wp14:anchorId="0487316A" wp14:editId="517F6920">
            <wp:extent cx="4681538" cy="2528330"/>
            <wp:effectExtent l="0" t="0" r="0" b="0"/>
            <wp:docPr id="130"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9"/>
                    <a:srcRect/>
                    <a:stretch>
                      <a:fillRect/>
                    </a:stretch>
                  </pic:blipFill>
                  <pic:spPr>
                    <a:xfrm>
                      <a:off x="0" y="0"/>
                      <a:ext cx="4681538" cy="2528330"/>
                    </a:xfrm>
                    <a:prstGeom prst="rect">
                      <a:avLst/>
                    </a:prstGeom>
                    <a:ln/>
                  </pic:spPr>
                </pic:pic>
              </a:graphicData>
            </a:graphic>
          </wp:inline>
        </w:drawing>
      </w:r>
    </w:p>
    <w:p w14:paraId="329BA7AD" w14:textId="77777777" w:rsidR="00826870" w:rsidRPr="00820F7A" w:rsidRDefault="00B21388">
      <w:pPr>
        <w:pStyle w:val="Heading4"/>
        <w:rPr>
          <w:lang w:val="en-GB"/>
        </w:rPr>
      </w:pPr>
      <w:bookmarkStart w:id="29" w:name="_heading=h.54polcbudr8q" w:colFirst="0" w:colLast="0"/>
      <w:bookmarkEnd w:id="29"/>
      <w:r w:rsidRPr="00820F7A">
        <w:rPr>
          <w:lang w:val="en-GB"/>
        </w:rPr>
        <w:t>Figure 2.7: Jean Watson's theory</w:t>
      </w:r>
    </w:p>
    <w:p w14:paraId="187C6C5F" w14:textId="77777777" w:rsidR="00826870" w:rsidRPr="00820F7A" w:rsidRDefault="00B21388">
      <w:pPr>
        <w:pStyle w:val="Normal1"/>
        <w:pBdr>
          <w:top w:val="nil"/>
          <w:left w:val="nil"/>
          <w:bottom w:val="nil"/>
          <w:right w:val="nil"/>
          <w:between w:val="nil"/>
        </w:pBdr>
        <w:jc w:val="center"/>
        <w:rPr>
          <w:color w:val="000000"/>
          <w:lang w:val="en-GB"/>
        </w:rPr>
      </w:pPr>
      <w:r w:rsidRPr="00820F7A">
        <w:rPr>
          <w:color w:val="000000"/>
          <w:lang w:val="en-GB"/>
        </w:rPr>
        <w:t xml:space="preserve">(Source: Influenced from the report of Afonso </w:t>
      </w:r>
      <w:r w:rsidRPr="00820F7A">
        <w:rPr>
          <w:i/>
          <w:iCs/>
          <w:color w:val="000000"/>
          <w:lang w:val="en-GB"/>
        </w:rPr>
        <w:t xml:space="preserve">et al. </w:t>
      </w:r>
      <w:r w:rsidRPr="00820F7A">
        <w:rPr>
          <w:color w:val="000000"/>
          <w:lang w:val="en-GB"/>
        </w:rPr>
        <w:t>2024)</w:t>
      </w:r>
    </w:p>
    <w:p w14:paraId="785627CA" w14:textId="77777777" w:rsidR="00826870" w:rsidRPr="00820F7A" w:rsidRDefault="00B21388">
      <w:pPr>
        <w:pStyle w:val="Normal1"/>
        <w:pBdr>
          <w:top w:val="nil"/>
          <w:left w:val="nil"/>
          <w:bottom w:val="nil"/>
          <w:right w:val="nil"/>
          <w:between w:val="nil"/>
        </w:pBdr>
        <w:rPr>
          <w:b/>
          <w:bCs/>
          <w:i/>
          <w:iCs/>
          <w:color w:val="000000"/>
          <w:lang w:val="en-GB"/>
        </w:rPr>
      </w:pPr>
      <w:r w:rsidRPr="00820F7A">
        <w:rPr>
          <w:b/>
          <w:bCs/>
          <w:i/>
          <w:iCs/>
          <w:color w:val="000000"/>
          <w:lang w:val="en-GB"/>
        </w:rPr>
        <w:t>The Just Culture Theory</w:t>
      </w:r>
    </w:p>
    <w:p w14:paraId="1C4161D4"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The Just Culture theory in patient safety is associated with balances accountability within human error, risk breaking behaviour and at-risk behaviour to learning from mistakes. As per the report of Glarcher and Vaismoradi (2025), Just Culture theory helps in handling of nonresponsive risk to add within the position statement on patient safety. Therefore, the figure has determined that Just Culture theory has a positive impact on the patient safety culture by ensuring transparency and accountability in the healthcare leadership, </w:t>
      </w:r>
    </w:p>
    <w:p w14:paraId="1352B5CB" w14:textId="77777777" w:rsidR="00826870" w:rsidRPr="00820F7A" w:rsidRDefault="00B21388">
      <w:pPr>
        <w:pStyle w:val="Normal1"/>
        <w:pBdr>
          <w:top w:val="nil"/>
          <w:left w:val="nil"/>
          <w:bottom w:val="nil"/>
          <w:right w:val="nil"/>
          <w:between w:val="nil"/>
        </w:pBdr>
        <w:jc w:val="center"/>
        <w:rPr>
          <w:color w:val="000000"/>
          <w:lang w:val="en-GB"/>
        </w:rPr>
      </w:pPr>
      <w:r w:rsidRPr="00820F7A">
        <w:rPr>
          <w:noProof/>
          <w:color w:val="000000"/>
          <w:lang w:val="en-GB"/>
        </w:rPr>
        <w:drawing>
          <wp:inline distT="114300" distB="114300" distL="114300" distR="114300" wp14:anchorId="1FF0E49E" wp14:editId="777F3BC4">
            <wp:extent cx="4600575" cy="3276600"/>
            <wp:effectExtent l="0" t="0" r="0" b="0"/>
            <wp:docPr id="132"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0"/>
                    <a:srcRect/>
                    <a:stretch>
                      <a:fillRect/>
                    </a:stretch>
                  </pic:blipFill>
                  <pic:spPr>
                    <a:xfrm>
                      <a:off x="0" y="0"/>
                      <a:ext cx="4600575" cy="3276600"/>
                    </a:xfrm>
                    <a:prstGeom prst="rect">
                      <a:avLst/>
                    </a:prstGeom>
                    <a:ln/>
                  </pic:spPr>
                </pic:pic>
              </a:graphicData>
            </a:graphic>
          </wp:inline>
        </w:drawing>
      </w:r>
    </w:p>
    <w:p w14:paraId="6714F3ED" w14:textId="77777777" w:rsidR="00826870" w:rsidRPr="00820F7A" w:rsidRDefault="00B21388">
      <w:pPr>
        <w:pStyle w:val="Heading4"/>
        <w:rPr>
          <w:lang w:val="en-GB"/>
        </w:rPr>
      </w:pPr>
      <w:bookmarkStart w:id="30" w:name="_heading=h.cjfdi0hdtdww" w:colFirst="0" w:colLast="0"/>
      <w:bookmarkEnd w:id="30"/>
      <w:r w:rsidRPr="00820F7A">
        <w:rPr>
          <w:lang w:val="en-GB"/>
        </w:rPr>
        <w:t>Figure 2.8: Just Culture Theory</w:t>
      </w:r>
    </w:p>
    <w:p w14:paraId="29DEBA5E" w14:textId="77777777" w:rsidR="00826870" w:rsidRPr="00820F7A" w:rsidRDefault="00B21388">
      <w:pPr>
        <w:pStyle w:val="Normal1"/>
        <w:pBdr>
          <w:top w:val="nil"/>
          <w:left w:val="nil"/>
          <w:bottom w:val="nil"/>
          <w:right w:val="nil"/>
          <w:between w:val="nil"/>
        </w:pBdr>
        <w:jc w:val="center"/>
        <w:rPr>
          <w:color w:val="000000"/>
          <w:lang w:val="en-GB"/>
        </w:rPr>
      </w:pPr>
      <w:r w:rsidRPr="00820F7A">
        <w:rPr>
          <w:color w:val="000000"/>
          <w:lang w:val="en-GB"/>
        </w:rPr>
        <w:t xml:space="preserve">(Source: Created by the author) </w:t>
      </w:r>
    </w:p>
    <w:p w14:paraId="60A077DF" w14:textId="77777777" w:rsidR="00826870" w:rsidRPr="00820F7A" w:rsidRDefault="00B21388">
      <w:pPr>
        <w:pStyle w:val="Heading2"/>
        <w:rPr>
          <w:lang w:val="en-GB"/>
        </w:rPr>
      </w:pPr>
      <w:bookmarkStart w:id="31" w:name="_Toc220759481"/>
      <w:r w:rsidRPr="00820F7A">
        <w:rPr>
          <w:lang w:val="en-GB"/>
        </w:rPr>
        <w:t>2.7 Conceptual framework</w:t>
      </w:r>
      <w:bookmarkEnd w:id="31"/>
    </w:p>
    <w:p w14:paraId="07238A0B" w14:textId="77777777" w:rsidR="00826870" w:rsidRPr="00820F7A" w:rsidRDefault="00826870">
      <w:pPr>
        <w:pStyle w:val="Normal1"/>
        <w:pBdr>
          <w:top w:val="nil"/>
          <w:left w:val="nil"/>
          <w:bottom w:val="nil"/>
          <w:right w:val="nil"/>
          <w:between w:val="nil"/>
        </w:pBdr>
        <w:rPr>
          <w:color w:val="000000"/>
          <w:lang w:val="en-GB"/>
        </w:rPr>
      </w:pPr>
    </w:p>
    <w:p w14:paraId="79738E47" w14:textId="77777777" w:rsidR="00826870" w:rsidRPr="00820F7A" w:rsidRDefault="00826870">
      <w:pPr>
        <w:pStyle w:val="Heading2"/>
        <w:rPr>
          <w:i/>
          <w:iCs/>
          <w:lang w:val="en-GB"/>
        </w:rPr>
      </w:pPr>
      <w:bookmarkStart w:id="32" w:name="_heading=h.um8k6ba2f59k" w:colFirst="0" w:colLast="0"/>
      <w:bookmarkEnd w:id="32"/>
    </w:p>
    <w:p w14:paraId="6126222B" w14:textId="77777777" w:rsidR="00826870" w:rsidRPr="00820F7A" w:rsidRDefault="00B21388">
      <w:pPr>
        <w:pStyle w:val="Heading2"/>
        <w:tabs>
          <w:tab w:val="left" w:pos="1950"/>
        </w:tabs>
        <w:jc w:val="center"/>
        <w:rPr>
          <w:lang w:val="en-GB"/>
        </w:rPr>
      </w:pPr>
      <w:bookmarkStart w:id="33" w:name="_Toc220759482"/>
      <w:r w:rsidRPr="00820F7A">
        <w:rPr>
          <w:noProof/>
          <w:lang w:val="en-GB"/>
        </w:rPr>
        <w:drawing>
          <wp:inline distT="0" distB="0" distL="0" distR="0" wp14:anchorId="6724BB26" wp14:editId="072C7ED8">
            <wp:extent cx="5429250" cy="5038725"/>
            <wp:effectExtent l="0" t="0" r="0" b="0"/>
            <wp:docPr id="133"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1"/>
                    <a:srcRect/>
                    <a:stretch>
                      <a:fillRect/>
                    </a:stretch>
                  </pic:blipFill>
                  <pic:spPr>
                    <a:xfrm>
                      <a:off x="0" y="0"/>
                      <a:ext cx="5429250" cy="5038725"/>
                    </a:xfrm>
                    <a:prstGeom prst="rect">
                      <a:avLst/>
                    </a:prstGeom>
                    <a:ln/>
                  </pic:spPr>
                </pic:pic>
              </a:graphicData>
            </a:graphic>
          </wp:inline>
        </w:drawing>
      </w:r>
      <w:bookmarkEnd w:id="33"/>
    </w:p>
    <w:p w14:paraId="0EF9A683" w14:textId="77777777" w:rsidR="00826870" w:rsidRPr="00820F7A" w:rsidRDefault="00826870">
      <w:pPr>
        <w:pStyle w:val="Heading2"/>
        <w:rPr>
          <w:i/>
          <w:iCs/>
          <w:lang w:val="en-GB"/>
        </w:rPr>
      </w:pPr>
    </w:p>
    <w:p w14:paraId="1A75AFBB" w14:textId="77777777" w:rsidR="00826870" w:rsidRPr="00820F7A" w:rsidRDefault="00B21388">
      <w:pPr>
        <w:pStyle w:val="Heading4"/>
        <w:rPr>
          <w:lang w:val="en-GB"/>
        </w:rPr>
      </w:pPr>
      <w:bookmarkStart w:id="34" w:name="_heading=h.obty3mmf58at" w:colFirst="0" w:colLast="0"/>
      <w:bookmarkEnd w:id="34"/>
      <w:r w:rsidRPr="00820F7A">
        <w:rPr>
          <w:lang w:val="en-GB"/>
        </w:rPr>
        <w:t>Figure 2.9: Conceptual Framework</w:t>
      </w:r>
    </w:p>
    <w:p w14:paraId="2FE35EFE" w14:textId="77777777" w:rsidR="00826870" w:rsidRPr="00820F7A" w:rsidRDefault="00B21388">
      <w:pPr>
        <w:pStyle w:val="Normal1"/>
        <w:pBdr>
          <w:top w:val="nil"/>
          <w:left w:val="nil"/>
          <w:bottom w:val="nil"/>
          <w:right w:val="nil"/>
          <w:between w:val="nil"/>
        </w:pBdr>
        <w:jc w:val="center"/>
        <w:rPr>
          <w:color w:val="000000"/>
          <w:lang w:val="en-GB"/>
        </w:rPr>
      </w:pPr>
      <w:r w:rsidRPr="00820F7A">
        <w:rPr>
          <w:color w:val="000000"/>
          <w:lang w:val="en-GB"/>
        </w:rPr>
        <w:t>(Source: Created by the author)</w:t>
      </w:r>
    </w:p>
    <w:p w14:paraId="40C009BE" w14:textId="77777777" w:rsidR="00826870" w:rsidRPr="00820F7A" w:rsidRDefault="00826870">
      <w:pPr>
        <w:pStyle w:val="Normal1"/>
        <w:pBdr>
          <w:top w:val="nil"/>
          <w:left w:val="nil"/>
          <w:bottom w:val="nil"/>
          <w:right w:val="nil"/>
          <w:between w:val="nil"/>
        </w:pBdr>
        <w:rPr>
          <w:color w:val="000000"/>
          <w:lang w:val="en-GB"/>
        </w:rPr>
      </w:pPr>
    </w:p>
    <w:p w14:paraId="2242A534" w14:textId="77777777" w:rsidR="00826870" w:rsidRPr="00820F7A" w:rsidRDefault="00B21388">
      <w:pPr>
        <w:pStyle w:val="Normal1"/>
        <w:pBdr>
          <w:top w:val="nil"/>
          <w:left w:val="nil"/>
          <w:bottom w:val="nil"/>
          <w:right w:val="nil"/>
          <w:between w:val="nil"/>
        </w:pBdr>
        <w:rPr>
          <w:color w:val="000000"/>
          <w:lang w:val="en-GB"/>
        </w:rPr>
      </w:pPr>
      <w:r w:rsidRPr="00820F7A">
        <w:rPr>
          <w:b/>
          <w:bCs/>
          <w:color w:val="000000"/>
          <w:lang w:val="en-GB"/>
        </w:rPr>
        <w:t xml:space="preserve">Measured outcome- </w:t>
      </w:r>
      <w:r w:rsidRPr="00820F7A">
        <w:rPr>
          <w:color w:val="000000"/>
          <w:lang w:val="en-GB"/>
        </w:rPr>
        <w:t>The research is effective in outlining the role that clinical leadership plays in improving safety of the patients</w:t>
      </w:r>
    </w:p>
    <w:p w14:paraId="71C873EF" w14:textId="77777777" w:rsidR="00826870" w:rsidRPr="00820F7A" w:rsidRDefault="00B21388">
      <w:pPr>
        <w:pStyle w:val="Normal1"/>
        <w:pBdr>
          <w:top w:val="nil"/>
          <w:left w:val="nil"/>
          <w:bottom w:val="nil"/>
          <w:right w:val="nil"/>
          <w:between w:val="nil"/>
        </w:pBdr>
        <w:rPr>
          <w:color w:val="000000"/>
          <w:lang w:val="en-GB"/>
        </w:rPr>
      </w:pPr>
      <w:r w:rsidRPr="00820F7A">
        <w:rPr>
          <w:b/>
          <w:bCs/>
          <w:color w:val="000000"/>
          <w:lang w:val="en-GB"/>
        </w:rPr>
        <w:t>Measured outcome-</w:t>
      </w:r>
      <w:r w:rsidRPr="00820F7A">
        <w:rPr>
          <w:color w:val="000000"/>
          <w:lang w:val="en-GB"/>
        </w:rPr>
        <w:t xml:space="preserve"> Enhance understanding of clinical leadership role in expanding safety initiatives and accountability among the healthcare workers through changing perception. </w:t>
      </w:r>
    </w:p>
    <w:p w14:paraId="321492EF" w14:textId="77777777" w:rsidR="00826870" w:rsidRPr="00820F7A" w:rsidRDefault="00B21388">
      <w:pPr>
        <w:pStyle w:val="Normal1"/>
        <w:pBdr>
          <w:top w:val="nil"/>
          <w:left w:val="nil"/>
          <w:bottom w:val="nil"/>
          <w:right w:val="nil"/>
          <w:between w:val="nil"/>
        </w:pBdr>
        <w:rPr>
          <w:color w:val="000000"/>
          <w:lang w:val="en-GB"/>
        </w:rPr>
      </w:pPr>
      <w:r w:rsidRPr="00820F7A">
        <w:rPr>
          <w:b/>
          <w:bCs/>
          <w:color w:val="000000"/>
          <w:lang w:val="en-GB"/>
        </w:rPr>
        <w:t>Transformational Leadership Theory-</w:t>
      </w:r>
      <w:r w:rsidRPr="00820F7A">
        <w:rPr>
          <w:color w:val="000000"/>
          <w:lang w:val="en-GB"/>
        </w:rPr>
        <w:t xml:space="preserve"> The leadership is effective in assisting employees to develop shared vision and long-term goals to ensure patients safety in healthcare. </w:t>
      </w:r>
    </w:p>
    <w:p w14:paraId="5A559F15" w14:textId="77777777" w:rsidR="00826870" w:rsidRPr="00820F7A" w:rsidRDefault="00B21388">
      <w:pPr>
        <w:pStyle w:val="Normal1"/>
        <w:pBdr>
          <w:top w:val="nil"/>
          <w:left w:val="nil"/>
          <w:bottom w:val="nil"/>
          <w:right w:val="nil"/>
          <w:between w:val="nil"/>
        </w:pBdr>
        <w:rPr>
          <w:color w:val="000000"/>
          <w:lang w:val="en-GB"/>
        </w:rPr>
      </w:pPr>
      <w:r w:rsidRPr="00820F7A">
        <w:rPr>
          <w:b/>
          <w:bCs/>
          <w:color w:val="000000"/>
          <w:lang w:val="en-GB"/>
        </w:rPr>
        <w:t>Jean Watson’s theory-</w:t>
      </w:r>
      <w:r w:rsidRPr="00820F7A">
        <w:rPr>
          <w:color w:val="000000"/>
          <w:lang w:val="en-GB"/>
        </w:rPr>
        <w:t xml:space="preserve"> The theory is effective as it focuses on the human centric healthcare approach in the UK hospitals for ensuring safety of the patients. </w:t>
      </w:r>
    </w:p>
    <w:p w14:paraId="21C4D4AD" w14:textId="77777777" w:rsidR="00826870" w:rsidRPr="00820F7A" w:rsidRDefault="00B21388">
      <w:pPr>
        <w:pStyle w:val="Normal1"/>
        <w:numPr>
          <w:ilvl w:val="0"/>
          <w:numId w:val="1"/>
        </w:numPr>
        <w:pBdr>
          <w:top w:val="nil"/>
          <w:left w:val="nil"/>
          <w:bottom w:val="nil"/>
          <w:right w:val="nil"/>
          <w:between w:val="nil"/>
        </w:pBdr>
        <w:rPr>
          <w:color w:val="000000"/>
          <w:lang w:val="en-GB"/>
        </w:rPr>
      </w:pPr>
      <w:r w:rsidRPr="00820F7A">
        <w:rPr>
          <w:color w:val="000000"/>
          <w:lang w:val="en-GB"/>
        </w:rPr>
        <w:t>Characteristics of clinical leadership includes clear standards for patient safety, open communication, supportive environment, culture of safety and transparency along with continuous improvement</w:t>
      </w:r>
    </w:p>
    <w:p w14:paraId="171FC7D8" w14:textId="77777777" w:rsidR="00826870" w:rsidRPr="00820F7A" w:rsidRDefault="00B21388">
      <w:pPr>
        <w:pStyle w:val="Normal1"/>
        <w:numPr>
          <w:ilvl w:val="0"/>
          <w:numId w:val="1"/>
        </w:numPr>
        <w:pBdr>
          <w:top w:val="nil"/>
          <w:left w:val="nil"/>
          <w:bottom w:val="nil"/>
          <w:right w:val="nil"/>
          <w:between w:val="nil"/>
        </w:pBdr>
        <w:rPr>
          <w:color w:val="000000"/>
          <w:lang w:val="en-GB"/>
        </w:rPr>
      </w:pPr>
      <w:r w:rsidRPr="00820F7A">
        <w:rPr>
          <w:color w:val="000000"/>
          <w:lang w:val="en-GB"/>
        </w:rPr>
        <w:t>Clinical leadership change perception of safety culture, implement transformational leadership styles, focus on kindness and civility, implementing safety principles and elements</w:t>
      </w:r>
    </w:p>
    <w:p w14:paraId="39425886" w14:textId="77777777" w:rsidR="00826870" w:rsidRPr="00820F7A" w:rsidRDefault="00B21388">
      <w:pPr>
        <w:pStyle w:val="Normal1"/>
        <w:numPr>
          <w:ilvl w:val="0"/>
          <w:numId w:val="1"/>
        </w:numPr>
        <w:pBdr>
          <w:top w:val="nil"/>
          <w:left w:val="nil"/>
          <w:bottom w:val="nil"/>
          <w:right w:val="nil"/>
          <w:between w:val="nil"/>
        </w:pBdr>
        <w:rPr>
          <w:color w:val="000000"/>
          <w:lang w:val="en-GB"/>
        </w:rPr>
      </w:pPr>
      <w:r w:rsidRPr="00820F7A">
        <w:rPr>
          <w:color w:val="000000"/>
          <w:lang w:val="en-GB"/>
        </w:rPr>
        <w:t xml:space="preserve">The key barriers in implementing safety culture includes lack of an alignment with the organizational objectives, systematic biases, medication mistakes, errors, lack of leadership commitment and poor collaboration </w:t>
      </w:r>
    </w:p>
    <w:p w14:paraId="414AE937" w14:textId="77777777" w:rsidR="00826870" w:rsidRPr="00820F7A" w:rsidRDefault="00B21388">
      <w:pPr>
        <w:pStyle w:val="Normal1"/>
        <w:numPr>
          <w:ilvl w:val="0"/>
          <w:numId w:val="1"/>
        </w:numPr>
        <w:pBdr>
          <w:top w:val="nil"/>
          <w:left w:val="nil"/>
          <w:bottom w:val="nil"/>
          <w:right w:val="nil"/>
          <w:between w:val="nil"/>
        </w:pBdr>
        <w:rPr>
          <w:color w:val="000000"/>
          <w:lang w:val="en-GB"/>
        </w:rPr>
      </w:pPr>
      <w:r w:rsidRPr="00820F7A">
        <w:rPr>
          <w:color w:val="000000"/>
          <w:lang w:val="en-GB"/>
        </w:rPr>
        <w:t xml:space="preserve">Mitigation strategy includes Training and continuous learning initiatives, Regulatory compliance through implementing Care Act 2014, collaborative workplace environment. </w:t>
      </w:r>
    </w:p>
    <w:p w14:paraId="71E1C954" w14:textId="77777777" w:rsidR="00826870" w:rsidRPr="00820F7A" w:rsidRDefault="00B21388">
      <w:pPr>
        <w:pStyle w:val="Heading2"/>
        <w:rPr>
          <w:lang w:val="en-GB"/>
        </w:rPr>
      </w:pPr>
      <w:bookmarkStart w:id="35" w:name="_Toc220759483"/>
      <w:r w:rsidRPr="00820F7A">
        <w:rPr>
          <w:lang w:val="en-GB"/>
        </w:rPr>
        <w:t>2.8 Literature gap</w:t>
      </w:r>
      <w:bookmarkEnd w:id="35"/>
    </w:p>
    <w:p w14:paraId="7DF5A05C"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The key gap in the literature is the lack of emphasis on the effectiveness of clinical leadership in the UK healthcare sector and its role in improving the safety culture and outcome of the patients. Awasthi </w:t>
      </w:r>
      <w:r w:rsidRPr="00820F7A">
        <w:rPr>
          <w:i/>
          <w:iCs/>
          <w:color w:val="000000"/>
          <w:lang w:val="en-GB"/>
        </w:rPr>
        <w:t>et al.</w:t>
      </w:r>
      <w:r w:rsidRPr="00820F7A">
        <w:rPr>
          <w:color w:val="000000"/>
          <w:lang w:val="en-GB"/>
        </w:rPr>
        <w:t xml:space="preserve"> (2025) outlined that transformation, transactional, visionary and democratic leadership styles are significant leadership styles for improving quality and safety of the patient for successful patient outcome. This reflects that the existing studies on the effectiveness of leadership have focused on assisting in improving the quality of care, delivery and facilitating safety culture in the sector. Thus, the current study has been conducted on evaluating the role of clinical leadership in improving patient safety through effective patient management for ensuring safety in healthcare culture in UK healthcare sector</w:t>
      </w:r>
    </w:p>
    <w:p w14:paraId="5315EB92"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The emphasis on the effectiveness of clinical leadership in managing the safety of the patients in UK hospitals and care settings is lacking from the existing literature and predetermined information. Enghiad </w:t>
      </w:r>
      <w:r w:rsidRPr="00820F7A">
        <w:rPr>
          <w:i/>
          <w:iCs/>
          <w:color w:val="000000"/>
          <w:lang w:val="en-GB"/>
        </w:rPr>
        <w:t>et al.</w:t>
      </w:r>
      <w:r w:rsidRPr="00820F7A">
        <w:rPr>
          <w:color w:val="000000"/>
          <w:lang w:val="en-GB"/>
        </w:rPr>
        <w:t xml:space="preserve"> (2024) have outlined that the clinical leadership in global healthcare is associated with value-driven care delivery in long-term care health care facilities. This outlined that the clinical leadership in healthcare has been leveraged for majorly focusing on facilitating value-based care for patients’ satisfaction. However, the existing literature lacks emphasis on the clinical leadership effectiveness in facilitating safety culture implication, specifically in UK healthcare through patient safety. Thus, the present research addresses this gap in the literature by emphasising on clinical leadership and its effective implication on improving the establishment of safety culture in UK hospitals. </w:t>
      </w:r>
    </w:p>
    <w:p w14:paraId="0AFB2D83" w14:textId="77777777" w:rsidR="00826870" w:rsidRPr="00820F7A" w:rsidRDefault="00B21388">
      <w:pPr>
        <w:pStyle w:val="Heading2"/>
        <w:rPr>
          <w:lang w:val="en-GB"/>
        </w:rPr>
      </w:pPr>
      <w:bookmarkStart w:id="36" w:name="_Toc220759484"/>
      <w:r w:rsidRPr="00820F7A">
        <w:rPr>
          <w:lang w:val="en-GB"/>
        </w:rPr>
        <w:t>2.9 Chapter summary</w:t>
      </w:r>
      <w:bookmarkEnd w:id="36"/>
    </w:p>
    <w:p w14:paraId="610DBC86"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It can be concluded that critically reviewed concept literature is aligned with clinical leadership and its influence on patient safety culture within their UK hospitals. It is further highlighted the effective leadership that is particularly transformational and the participative styles that promotes the communication, treaties and the reprinting of safety culture. Conversely, the weak or authoritarian leadership continues towards errors, underreporting and the staff disengagement. The review has also identified enablers such as teamwork, psychological safety and the training such as workload pressures or inequalities within the care access. Thus, the chapter establishes the theoretical and the empirical foundation for evaluating the leadership practices that can enhance the patient's safety within the UK healthcare sector.</w:t>
      </w:r>
    </w:p>
    <w:p w14:paraId="67065AE3" w14:textId="77777777" w:rsidR="00826870" w:rsidRPr="00820F7A" w:rsidRDefault="00826870">
      <w:pPr>
        <w:pStyle w:val="Normal1"/>
        <w:pBdr>
          <w:top w:val="nil"/>
          <w:left w:val="nil"/>
          <w:bottom w:val="nil"/>
          <w:right w:val="nil"/>
          <w:between w:val="nil"/>
        </w:pBdr>
        <w:rPr>
          <w:color w:val="000000"/>
          <w:lang w:val="en-GB"/>
        </w:rPr>
      </w:pPr>
    </w:p>
    <w:p w14:paraId="79D99A1E" w14:textId="77777777" w:rsidR="00826870" w:rsidRPr="00820F7A" w:rsidRDefault="00B21388">
      <w:pPr>
        <w:pStyle w:val="Normal1"/>
        <w:pBdr>
          <w:top w:val="nil"/>
          <w:left w:val="nil"/>
          <w:bottom w:val="nil"/>
          <w:right w:val="nil"/>
          <w:between w:val="nil"/>
        </w:pBdr>
        <w:jc w:val="center"/>
        <w:rPr>
          <w:color w:val="000000"/>
          <w:lang w:val="en-GB"/>
        </w:rPr>
      </w:pPr>
      <w:r w:rsidRPr="00820F7A">
        <w:rPr>
          <w:lang w:val="en-GB"/>
        </w:rPr>
        <w:br w:type="page"/>
      </w:r>
    </w:p>
    <w:p w14:paraId="2BFA6111" w14:textId="77777777" w:rsidR="00826870" w:rsidRPr="00820F7A" w:rsidRDefault="00B21388">
      <w:pPr>
        <w:pStyle w:val="Heading1"/>
        <w:rPr>
          <w:lang w:val="en-GB"/>
        </w:rPr>
      </w:pPr>
      <w:bookmarkStart w:id="37" w:name="_Toc220759485"/>
      <w:r w:rsidRPr="00820F7A">
        <w:rPr>
          <w:lang w:val="en-GB"/>
        </w:rPr>
        <w:t>Chapter 3</w:t>
      </w:r>
      <w:bookmarkEnd w:id="37"/>
    </w:p>
    <w:p w14:paraId="3F6A9FDE" w14:textId="77777777" w:rsidR="00826870" w:rsidRPr="00820F7A" w:rsidRDefault="00B21388">
      <w:pPr>
        <w:pStyle w:val="Heading1"/>
        <w:rPr>
          <w:lang w:val="en-GB"/>
        </w:rPr>
      </w:pPr>
      <w:bookmarkStart w:id="38" w:name="_Toc220759486"/>
      <w:r w:rsidRPr="00820F7A">
        <w:rPr>
          <w:lang w:val="en-GB"/>
        </w:rPr>
        <w:t>3.1 Methods &amp; Methodology</w:t>
      </w:r>
      <w:bookmarkEnd w:id="38"/>
    </w:p>
    <w:p w14:paraId="7883E78E" w14:textId="77777777" w:rsidR="00826870" w:rsidRPr="00820F7A" w:rsidRDefault="00B21388">
      <w:pPr>
        <w:pStyle w:val="Heading2"/>
        <w:rPr>
          <w:lang w:val="en-GB"/>
        </w:rPr>
      </w:pPr>
      <w:bookmarkStart w:id="39" w:name="_Toc220759487"/>
      <w:r w:rsidRPr="00820F7A">
        <w:rPr>
          <w:lang w:val="en-GB"/>
        </w:rPr>
        <w:t>3.2 Introduction</w:t>
      </w:r>
      <w:bookmarkEnd w:id="39"/>
    </w:p>
    <w:p w14:paraId="77571F9B"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The chapter is going to discuss the methodological choices through which the role of clinical leadership in managing patient safety culture in UK hospitals has been evaluated in this research. The chapter will cover research philosophy, design, and approach and data collection method with declaration of ethical considerations. A PICO framework will be presented based on the database table of this research to ensure maximum transparency of the data source selection process. Moreover, the data base, PRISMA framework, inclusion and exclusion criteria will be presented in the chapter on which the entire research outcomes rely. </w:t>
      </w:r>
    </w:p>
    <w:p w14:paraId="6464623C" w14:textId="77777777" w:rsidR="00826870" w:rsidRPr="00820F7A" w:rsidRDefault="00B21388">
      <w:pPr>
        <w:pStyle w:val="Heading2"/>
        <w:rPr>
          <w:lang w:val="en-GB"/>
        </w:rPr>
      </w:pPr>
      <w:bookmarkStart w:id="40" w:name="_Toc220759488"/>
      <w:r w:rsidRPr="00820F7A">
        <w:rPr>
          <w:lang w:val="en-GB"/>
        </w:rPr>
        <w:t>3.3 Research philosophy</w:t>
      </w:r>
      <w:bookmarkEnd w:id="40"/>
      <w:r w:rsidRPr="00820F7A">
        <w:rPr>
          <w:lang w:val="en-GB"/>
        </w:rPr>
        <w:t xml:space="preserve"> </w:t>
      </w:r>
    </w:p>
    <w:p w14:paraId="7A198B68"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The interpretivism philosophy has been considered throughout this research to interpret the role of clinical leadership in managing patient safety culture among the UK-based hospitals. As per the views of Lawler and Waldner (2023), positivism and interpretivism philosophies are two characteristically different styles of research philosophy. The purpose of using interpretivism philosophy by avoiding the use of positivism philosophy is its suitability in interpreting subjective aspects based on experiences (Lawler and Waldner, 2023). However, positivism philosophy is focused on casual interpretation based on scientific data, which is not necessary to address the research question. Therefore, it can be said that the application of the interpretivism philosophy is helpful to produce subjective information of UK’s hospitals and respective patient safety culture. </w:t>
      </w:r>
    </w:p>
    <w:p w14:paraId="41061F66" w14:textId="77777777" w:rsidR="00826870" w:rsidRPr="00820F7A" w:rsidRDefault="00B21388">
      <w:pPr>
        <w:pStyle w:val="Heading2"/>
        <w:rPr>
          <w:lang w:val="en-GB"/>
        </w:rPr>
      </w:pPr>
      <w:bookmarkStart w:id="41" w:name="_Toc220759489"/>
      <w:r w:rsidRPr="00820F7A">
        <w:rPr>
          <w:lang w:val="en-GB"/>
        </w:rPr>
        <w:t>3.4 Ethical considerations</w:t>
      </w:r>
      <w:bookmarkEnd w:id="41"/>
      <w:r w:rsidRPr="00820F7A">
        <w:rPr>
          <w:lang w:val="en-GB"/>
        </w:rPr>
        <w:t xml:space="preserve"> </w:t>
      </w:r>
    </w:p>
    <w:p w14:paraId="22EF6765"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The basic research ethics including data quality, authenticity, validity and reliability have been prioritised throughout this research. In addition to this, the risk of personal data misuse and data leak have been strictly prohibited through the use of only secondary sources rather than using primary or raw data sources. Apart from these, the data has been collected by considering mutual respect, equality and honesty to ensure maximum data authenticity without any bias approach. Thus, the research has been conducted by following main ethical considerations to support the Data Protection Act 2010 of the UK. </w:t>
      </w:r>
    </w:p>
    <w:p w14:paraId="555E5147" w14:textId="77777777" w:rsidR="00826870" w:rsidRPr="00820F7A" w:rsidRDefault="00B21388">
      <w:pPr>
        <w:pStyle w:val="Heading2"/>
        <w:rPr>
          <w:lang w:val="en-GB"/>
        </w:rPr>
      </w:pPr>
      <w:bookmarkStart w:id="42" w:name="_Toc220759490"/>
      <w:r w:rsidRPr="00820F7A">
        <w:rPr>
          <w:lang w:val="en-GB"/>
        </w:rPr>
        <w:t>3.5 Discussion whether with reasons your SR needed ethics or not and why</w:t>
      </w:r>
      <w:bookmarkEnd w:id="42"/>
    </w:p>
    <w:p w14:paraId="1E60E47E"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The maintenance of research ethics is highly required to be considered to produce maximum quality in research outcomes. The lack of research ethics can reduce the validity and reliability of the research outcomes due to poor data validity, reliability and authenticity. Furthermore, the research has prioritised the basic research ethics to enhance the quality of knowledge relevant to the role of clinical leadership in managing patient safety culture in UK hospitals. </w:t>
      </w:r>
    </w:p>
    <w:p w14:paraId="062A6522" w14:textId="77777777" w:rsidR="00826870" w:rsidRPr="00820F7A" w:rsidRDefault="00B21388">
      <w:pPr>
        <w:pStyle w:val="Heading2"/>
        <w:rPr>
          <w:lang w:val="en-GB"/>
        </w:rPr>
      </w:pPr>
      <w:bookmarkStart w:id="43" w:name="_Toc220759491"/>
      <w:r w:rsidRPr="00820F7A">
        <w:rPr>
          <w:lang w:val="en-GB"/>
        </w:rPr>
        <w:t>3.6 Research approach</w:t>
      </w:r>
      <w:bookmarkEnd w:id="43"/>
    </w:p>
    <w:p w14:paraId="23767509"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The research has been conducted by utilising only the qualitative research approach to ensure the inclusion of organised and structured datasets. As per the views of Nii Laryeafio and Ogbewe (2023), qualitative research approach is supportive in collecting accurate information relevant to the research contexts. Considering this aspect, the qualitative research approach has been applied to collect and produce only accurate information relevant to the role of clinical leadership in managing patient safety culture in UK hospitals. Therefore, it can be said that the application of a qualitative research approach is useful in terms of gathering structured and organised datasets relevant to the research contexts with maximum accuracy and authenticity. </w:t>
      </w:r>
    </w:p>
    <w:p w14:paraId="1274B024" w14:textId="77777777" w:rsidR="00826870" w:rsidRPr="00820F7A" w:rsidRDefault="00B21388">
      <w:pPr>
        <w:pStyle w:val="Heading2"/>
        <w:rPr>
          <w:lang w:val="en-GB"/>
        </w:rPr>
      </w:pPr>
      <w:bookmarkStart w:id="44" w:name="_Toc220759492"/>
      <w:r w:rsidRPr="00820F7A">
        <w:rPr>
          <w:lang w:val="en-GB"/>
        </w:rPr>
        <w:t>3.7 Research strategy</w:t>
      </w:r>
      <w:bookmarkEnd w:id="44"/>
    </w:p>
    <w:p w14:paraId="21960EB3"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The deductive approach has been implemented in this research during the collection of research question-related data. According to the discussion by Okoli (2023), deductive approach prioritises the general information to reach specific data and inductive prioritises the specific knowledge to draw general research outcome.</w:t>
      </w:r>
    </w:p>
    <w:p w14:paraId="14BEB6A8" w14:textId="77777777" w:rsidR="00826870" w:rsidRPr="00820F7A" w:rsidRDefault="00B21388">
      <w:pPr>
        <w:pStyle w:val="Heading2"/>
        <w:rPr>
          <w:lang w:val="en-GB"/>
        </w:rPr>
      </w:pPr>
      <w:bookmarkStart w:id="45" w:name="_Toc220759493"/>
      <w:r w:rsidRPr="00820F7A">
        <w:rPr>
          <w:lang w:val="en-GB"/>
        </w:rPr>
        <w:t>3.8 Study design</w:t>
      </w:r>
      <w:bookmarkEnd w:id="45"/>
    </w:p>
    <w:p w14:paraId="73720566"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The research has been conducted through the application of a systematic literature review, where the previous literature has been used based on inclusion and exclusion criteria for best results. The purpose of the systematic literature review of SLR is to ensure maximum data validity, reliability, accuracy and relevancy for review of available data instead of including raw data (Ritterbusch and Teichmann, 2023). The SLR has been applied in this research based on the result of the PICO framework to ensure maximum transparency about the data sources selection process. Moreover, it has been observed that the use of SLR is effective in developing theoretical knowledge relevant to the research contexts with critical analysis. </w:t>
      </w:r>
    </w:p>
    <w:p w14:paraId="784606FF" w14:textId="77777777" w:rsidR="00826870" w:rsidRPr="00820F7A" w:rsidRDefault="00B21388">
      <w:pPr>
        <w:pStyle w:val="Heading2"/>
        <w:rPr>
          <w:lang w:val="en-GB"/>
        </w:rPr>
      </w:pPr>
      <w:bookmarkStart w:id="46" w:name="_Toc220759494"/>
      <w:r w:rsidRPr="00820F7A">
        <w:rPr>
          <w:lang w:val="en-GB"/>
        </w:rPr>
        <w:t>3.9 Method of data collection</w:t>
      </w:r>
      <w:bookmarkEnd w:id="46"/>
    </w:p>
    <w:p w14:paraId="31876909" w14:textId="77777777" w:rsidR="00826870" w:rsidRPr="00820F7A" w:rsidRDefault="00B21388">
      <w:pPr>
        <w:pStyle w:val="Normal1"/>
        <w:pBdr>
          <w:top w:val="nil"/>
          <w:left w:val="nil"/>
          <w:bottom w:val="nil"/>
          <w:right w:val="nil"/>
          <w:between w:val="nil"/>
        </w:pBdr>
        <w:rPr>
          <w:color w:val="000000"/>
          <w:lang w:val="en-GB"/>
        </w:rPr>
        <w:sectPr w:rsidR="00826870" w:rsidRPr="00820F7A">
          <w:footerReference w:type="default" r:id="rId22"/>
          <w:pgSz w:w="12240" w:h="15840"/>
          <w:pgMar w:top="1440" w:right="1440" w:bottom="1440" w:left="1440" w:header="720" w:footer="720" w:gutter="0"/>
          <w:pgNumType w:start="1"/>
          <w:cols w:space="720"/>
        </w:sectPr>
      </w:pPr>
      <w:r w:rsidRPr="00820F7A">
        <w:rPr>
          <w:color w:val="000000"/>
          <w:lang w:val="en-GB"/>
        </w:rPr>
        <w:t>The use of a secondary data collection method has been considered in this research through the use of authentic and valuable databases and sources. Google Scholar, PubMed and ProQuest have been used as secondary databases for this research to collect secondary data sources such as journals, books and articles.</w:t>
      </w:r>
    </w:p>
    <w:p w14:paraId="32D5569C" w14:textId="77777777" w:rsidR="00826870" w:rsidRPr="00820F7A" w:rsidRDefault="00B21388">
      <w:pPr>
        <w:pStyle w:val="Heading2"/>
        <w:rPr>
          <w:lang w:val="en-GB"/>
        </w:rPr>
      </w:pPr>
      <w:bookmarkStart w:id="47" w:name="_Toc220759495"/>
      <w:r w:rsidRPr="00820F7A">
        <w:rPr>
          <w:lang w:val="en-GB"/>
        </w:rPr>
        <w:t>3.9.1 Search strategy</w:t>
      </w:r>
      <w:bookmarkEnd w:id="47"/>
    </w:p>
    <w:tbl>
      <w:tblPr>
        <w:tblStyle w:val="afff0"/>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826870" w:rsidRPr="00820F7A" w14:paraId="23E3AE2E" w14:textId="77777777">
        <w:trPr>
          <w:cantSplit/>
          <w:tblHeader/>
          <w:jc w:val="center"/>
        </w:trPr>
        <w:tc>
          <w:tcPr>
            <w:tcW w:w="3120" w:type="dxa"/>
            <w:tcMar>
              <w:top w:w="100" w:type="dxa"/>
              <w:left w:w="100" w:type="dxa"/>
              <w:bottom w:w="100" w:type="dxa"/>
              <w:right w:w="100" w:type="dxa"/>
            </w:tcMar>
          </w:tcPr>
          <w:p w14:paraId="3D687E6E" w14:textId="77777777" w:rsidR="00826870" w:rsidRPr="00820F7A" w:rsidRDefault="00B21388">
            <w:pPr>
              <w:pStyle w:val="Normal1"/>
              <w:widowControl w:val="0"/>
              <w:pBdr>
                <w:top w:val="nil"/>
                <w:left w:val="nil"/>
                <w:bottom w:val="nil"/>
                <w:right w:val="nil"/>
                <w:between w:val="nil"/>
              </w:pBdr>
              <w:jc w:val="left"/>
              <w:rPr>
                <w:rFonts w:ascii="Arial" w:eastAsia="Arial" w:hAnsi="Arial" w:cs="Arial"/>
                <w:b/>
                <w:bCs/>
                <w:color w:val="000000"/>
                <w:sz w:val="22"/>
                <w:szCs w:val="22"/>
                <w:lang w:val="en-GB"/>
              </w:rPr>
            </w:pPr>
            <w:r w:rsidRPr="00820F7A">
              <w:rPr>
                <w:rFonts w:ascii="Arial" w:eastAsia="Arial" w:hAnsi="Arial" w:cs="Arial"/>
                <w:b/>
                <w:bCs/>
                <w:color w:val="000000"/>
                <w:sz w:val="22"/>
                <w:szCs w:val="22"/>
                <w:lang w:val="en-GB"/>
              </w:rPr>
              <w:t xml:space="preserve">Search Strategy using Boolean Operator </w:t>
            </w:r>
          </w:p>
        </w:tc>
        <w:tc>
          <w:tcPr>
            <w:tcW w:w="3120" w:type="dxa"/>
            <w:tcMar>
              <w:top w:w="100" w:type="dxa"/>
              <w:left w:w="100" w:type="dxa"/>
              <w:bottom w:w="100" w:type="dxa"/>
              <w:right w:w="100" w:type="dxa"/>
            </w:tcMar>
          </w:tcPr>
          <w:p w14:paraId="6CC7210B" w14:textId="77777777" w:rsidR="00826870" w:rsidRPr="00820F7A" w:rsidRDefault="00B21388">
            <w:pPr>
              <w:pStyle w:val="Normal1"/>
              <w:widowControl w:val="0"/>
              <w:pBdr>
                <w:top w:val="nil"/>
                <w:left w:val="nil"/>
                <w:bottom w:val="nil"/>
                <w:right w:val="nil"/>
                <w:between w:val="nil"/>
              </w:pBdr>
              <w:jc w:val="left"/>
              <w:rPr>
                <w:rFonts w:ascii="Arial" w:eastAsia="Arial" w:hAnsi="Arial" w:cs="Arial"/>
                <w:b/>
                <w:bCs/>
                <w:color w:val="000000"/>
                <w:sz w:val="22"/>
                <w:szCs w:val="22"/>
                <w:lang w:val="en-GB"/>
              </w:rPr>
            </w:pPr>
            <w:r w:rsidRPr="00820F7A">
              <w:rPr>
                <w:rFonts w:ascii="Arial" w:eastAsia="Arial" w:hAnsi="Arial" w:cs="Arial"/>
                <w:b/>
                <w:bCs/>
                <w:color w:val="000000"/>
                <w:sz w:val="22"/>
                <w:szCs w:val="22"/>
                <w:lang w:val="en-GB"/>
              </w:rPr>
              <w:t xml:space="preserve"> Boolean Operator “AND”</w:t>
            </w:r>
          </w:p>
        </w:tc>
        <w:tc>
          <w:tcPr>
            <w:tcW w:w="3120" w:type="dxa"/>
            <w:tcMar>
              <w:top w:w="100" w:type="dxa"/>
              <w:left w:w="100" w:type="dxa"/>
              <w:bottom w:w="100" w:type="dxa"/>
              <w:right w:w="100" w:type="dxa"/>
            </w:tcMar>
          </w:tcPr>
          <w:p w14:paraId="2E4B9018" w14:textId="77777777" w:rsidR="00826870" w:rsidRPr="00820F7A" w:rsidRDefault="00B21388">
            <w:pPr>
              <w:pStyle w:val="Normal1"/>
              <w:widowControl w:val="0"/>
              <w:pBdr>
                <w:top w:val="nil"/>
                <w:left w:val="nil"/>
                <w:bottom w:val="nil"/>
                <w:right w:val="nil"/>
                <w:between w:val="nil"/>
              </w:pBdr>
              <w:jc w:val="left"/>
              <w:rPr>
                <w:rFonts w:ascii="Arial" w:eastAsia="Arial" w:hAnsi="Arial" w:cs="Arial"/>
                <w:b/>
                <w:bCs/>
                <w:color w:val="000000"/>
                <w:sz w:val="22"/>
                <w:szCs w:val="22"/>
                <w:lang w:val="en-GB"/>
              </w:rPr>
            </w:pPr>
            <w:r w:rsidRPr="00820F7A">
              <w:rPr>
                <w:rFonts w:ascii="Arial" w:eastAsia="Arial" w:hAnsi="Arial" w:cs="Arial"/>
                <w:b/>
                <w:bCs/>
                <w:color w:val="000000"/>
                <w:sz w:val="22"/>
                <w:szCs w:val="22"/>
                <w:lang w:val="en-GB"/>
              </w:rPr>
              <w:t xml:space="preserve"> Boolean Operator “OR”</w:t>
            </w:r>
          </w:p>
        </w:tc>
      </w:tr>
      <w:tr w:rsidR="00826870" w:rsidRPr="00820F7A" w14:paraId="070BBA07" w14:textId="77777777">
        <w:trPr>
          <w:cantSplit/>
          <w:tblHeader/>
          <w:jc w:val="center"/>
        </w:trPr>
        <w:tc>
          <w:tcPr>
            <w:tcW w:w="3120" w:type="dxa"/>
            <w:tcMar>
              <w:top w:w="100" w:type="dxa"/>
              <w:left w:w="100" w:type="dxa"/>
              <w:bottom w:w="100" w:type="dxa"/>
              <w:right w:w="100" w:type="dxa"/>
            </w:tcMar>
          </w:tcPr>
          <w:p w14:paraId="709DDCCC" w14:textId="77777777" w:rsidR="00826870" w:rsidRPr="00820F7A" w:rsidRDefault="00B21388">
            <w:pPr>
              <w:pStyle w:val="Normal1"/>
              <w:widowControl w:val="0"/>
              <w:pBdr>
                <w:top w:val="nil"/>
                <w:left w:val="nil"/>
                <w:bottom w:val="nil"/>
                <w:right w:val="nil"/>
                <w:between w:val="nil"/>
              </w:pBdr>
              <w:jc w:val="left"/>
              <w:rPr>
                <w:rFonts w:ascii="Arial" w:eastAsia="Arial" w:hAnsi="Arial" w:cs="Arial"/>
                <w:color w:val="000000"/>
                <w:sz w:val="22"/>
                <w:szCs w:val="22"/>
                <w:lang w:val="en-GB"/>
              </w:rPr>
            </w:pPr>
            <w:r w:rsidRPr="00820F7A">
              <w:rPr>
                <w:rFonts w:ascii="Arial" w:eastAsia="Arial" w:hAnsi="Arial" w:cs="Arial"/>
                <w:color w:val="000000"/>
                <w:sz w:val="22"/>
                <w:szCs w:val="22"/>
                <w:lang w:val="en-GB"/>
              </w:rPr>
              <w:t xml:space="preserve">“CLINICAL LEADERSHIP”, “PATIENT SAFETY” </w:t>
            </w:r>
          </w:p>
        </w:tc>
        <w:tc>
          <w:tcPr>
            <w:tcW w:w="3120" w:type="dxa"/>
            <w:tcMar>
              <w:top w:w="100" w:type="dxa"/>
              <w:left w:w="100" w:type="dxa"/>
              <w:bottom w:w="100" w:type="dxa"/>
              <w:right w:w="100" w:type="dxa"/>
            </w:tcMar>
          </w:tcPr>
          <w:p w14:paraId="732C5FE3" w14:textId="77777777" w:rsidR="00826870" w:rsidRPr="00820F7A" w:rsidRDefault="00B21388">
            <w:pPr>
              <w:pStyle w:val="Normal1"/>
              <w:widowControl w:val="0"/>
              <w:pBdr>
                <w:top w:val="nil"/>
                <w:left w:val="nil"/>
                <w:bottom w:val="nil"/>
                <w:right w:val="nil"/>
                <w:between w:val="nil"/>
              </w:pBdr>
              <w:jc w:val="left"/>
              <w:rPr>
                <w:rFonts w:ascii="Arial" w:eastAsia="Arial" w:hAnsi="Arial" w:cs="Arial"/>
                <w:color w:val="000000"/>
                <w:sz w:val="22"/>
                <w:szCs w:val="22"/>
                <w:lang w:val="en-GB"/>
              </w:rPr>
            </w:pPr>
            <w:r w:rsidRPr="00820F7A">
              <w:rPr>
                <w:rFonts w:ascii="Arial" w:eastAsia="Arial" w:hAnsi="Arial" w:cs="Arial"/>
                <w:color w:val="000000"/>
                <w:sz w:val="22"/>
                <w:szCs w:val="22"/>
                <w:lang w:val="en-GB"/>
              </w:rPr>
              <w:t xml:space="preserve">“CLINICAL LEADERSHIP” </w:t>
            </w:r>
            <w:r w:rsidRPr="00820F7A">
              <w:rPr>
                <w:rFonts w:ascii="Arial" w:eastAsia="Arial" w:hAnsi="Arial" w:cs="Arial"/>
                <w:b/>
                <w:bCs/>
                <w:color w:val="000000"/>
                <w:sz w:val="22"/>
                <w:szCs w:val="22"/>
                <w:lang w:val="en-GB"/>
              </w:rPr>
              <w:t xml:space="preserve">AND </w:t>
            </w:r>
            <w:r w:rsidRPr="00820F7A">
              <w:rPr>
                <w:rFonts w:ascii="Arial" w:eastAsia="Arial" w:hAnsi="Arial" w:cs="Arial"/>
                <w:color w:val="000000"/>
                <w:sz w:val="22"/>
                <w:szCs w:val="22"/>
                <w:lang w:val="en-GB"/>
              </w:rPr>
              <w:t xml:space="preserve">“PATIENT SAFETY” </w:t>
            </w:r>
          </w:p>
        </w:tc>
        <w:tc>
          <w:tcPr>
            <w:tcW w:w="3120" w:type="dxa"/>
            <w:tcMar>
              <w:top w:w="100" w:type="dxa"/>
              <w:left w:w="100" w:type="dxa"/>
              <w:bottom w:w="100" w:type="dxa"/>
              <w:right w:w="100" w:type="dxa"/>
            </w:tcMar>
          </w:tcPr>
          <w:p w14:paraId="08678952" w14:textId="77777777" w:rsidR="00826870" w:rsidRPr="00820F7A" w:rsidRDefault="00B21388">
            <w:pPr>
              <w:pStyle w:val="Normal1"/>
              <w:widowControl w:val="0"/>
              <w:pBdr>
                <w:top w:val="nil"/>
                <w:left w:val="nil"/>
                <w:bottom w:val="nil"/>
                <w:right w:val="nil"/>
                <w:between w:val="nil"/>
              </w:pBdr>
              <w:jc w:val="left"/>
              <w:rPr>
                <w:rFonts w:ascii="Arial" w:eastAsia="Arial" w:hAnsi="Arial" w:cs="Arial"/>
                <w:color w:val="000000"/>
                <w:sz w:val="22"/>
                <w:szCs w:val="22"/>
                <w:lang w:val="en-GB"/>
              </w:rPr>
            </w:pPr>
            <w:r w:rsidRPr="00820F7A">
              <w:rPr>
                <w:rFonts w:ascii="Arial" w:eastAsia="Arial" w:hAnsi="Arial" w:cs="Arial"/>
                <w:color w:val="000000"/>
                <w:sz w:val="22"/>
                <w:szCs w:val="22"/>
                <w:lang w:val="en-GB"/>
              </w:rPr>
              <w:t xml:space="preserve">“CLINICAL LEADERSHIP” </w:t>
            </w:r>
            <w:r w:rsidRPr="00820F7A">
              <w:rPr>
                <w:rFonts w:ascii="Arial" w:eastAsia="Arial" w:hAnsi="Arial" w:cs="Arial"/>
                <w:b/>
                <w:bCs/>
                <w:color w:val="000000"/>
                <w:sz w:val="22"/>
                <w:szCs w:val="22"/>
                <w:lang w:val="en-GB"/>
              </w:rPr>
              <w:t xml:space="preserve">OR </w:t>
            </w:r>
            <w:r w:rsidRPr="00820F7A">
              <w:rPr>
                <w:rFonts w:ascii="Arial" w:eastAsia="Arial" w:hAnsi="Arial" w:cs="Arial"/>
                <w:color w:val="000000"/>
                <w:sz w:val="22"/>
                <w:szCs w:val="22"/>
                <w:lang w:val="en-GB"/>
              </w:rPr>
              <w:t xml:space="preserve">“PATIENT SAFETY” </w:t>
            </w:r>
          </w:p>
        </w:tc>
      </w:tr>
      <w:tr w:rsidR="00826870" w:rsidRPr="00820F7A" w14:paraId="0D7AB9C7" w14:textId="77777777">
        <w:trPr>
          <w:cantSplit/>
          <w:tblHeader/>
          <w:jc w:val="center"/>
        </w:trPr>
        <w:tc>
          <w:tcPr>
            <w:tcW w:w="3120" w:type="dxa"/>
            <w:tcMar>
              <w:top w:w="100" w:type="dxa"/>
              <w:left w:w="100" w:type="dxa"/>
              <w:bottom w:w="100" w:type="dxa"/>
              <w:right w:w="100" w:type="dxa"/>
            </w:tcMar>
          </w:tcPr>
          <w:p w14:paraId="67EC4A99" w14:textId="77777777" w:rsidR="00826870" w:rsidRPr="00820F7A" w:rsidRDefault="00B21388">
            <w:pPr>
              <w:pStyle w:val="Normal1"/>
              <w:widowControl w:val="0"/>
              <w:pBdr>
                <w:top w:val="nil"/>
                <w:left w:val="nil"/>
                <w:bottom w:val="nil"/>
                <w:right w:val="nil"/>
                <w:between w:val="nil"/>
              </w:pBdr>
              <w:jc w:val="left"/>
              <w:rPr>
                <w:rFonts w:ascii="Arial" w:eastAsia="Arial" w:hAnsi="Arial" w:cs="Arial"/>
                <w:color w:val="000000"/>
                <w:sz w:val="22"/>
                <w:szCs w:val="22"/>
                <w:lang w:val="en-GB"/>
              </w:rPr>
            </w:pPr>
            <w:r w:rsidRPr="00820F7A">
              <w:rPr>
                <w:rFonts w:ascii="Arial" w:eastAsia="Arial" w:hAnsi="Arial" w:cs="Arial"/>
                <w:color w:val="000000"/>
                <w:sz w:val="22"/>
                <w:szCs w:val="22"/>
                <w:lang w:val="en-GB"/>
              </w:rPr>
              <w:t>“MANAGING PATIENT SAFETY CULTURE”, “UK HOSPITALS”</w:t>
            </w:r>
          </w:p>
        </w:tc>
        <w:tc>
          <w:tcPr>
            <w:tcW w:w="3120" w:type="dxa"/>
            <w:tcMar>
              <w:top w:w="100" w:type="dxa"/>
              <w:left w:w="100" w:type="dxa"/>
              <w:bottom w:w="100" w:type="dxa"/>
              <w:right w:w="100" w:type="dxa"/>
            </w:tcMar>
          </w:tcPr>
          <w:p w14:paraId="6EF6C84A" w14:textId="77777777" w:rsidR="00826870" w:rsidRPr="00820F7A" w:rsidRDefault="00B21388">
            <w:pPr>
              <w:pStyle w:val="Normal1"/>
              <w:widowControl w:val="0"/>
              <w:pBdr>
                <w:top w:val="nil"/>
                <w:left w:val="nil"/>
                <w:bottom w:val="nil"/>
                <w:right w:val="nil"/>
                <w:between w:val="nil"/>
              </w:pBdr>
              <w:jc w:val="left"/>
              <w:rPr>
                <w:rFonts w:ascii="Arial" w:eastAsia="Arial" w:hAnsi="Arial" w:cs="Arial"/>
                <w:color w:val="000000"/>
                <w:sz w:val="22"/>
                <w:szCs w:val="22"/>
                <w:lang w:val="en-GB"/>
              </w:rPr>
            </w:pPr>
            <w:r w:rsidRPr="00820F7A">
              <w:rPr>
                <w:rFonts w:ascii="Arial" w:eastAsia="Arial" w:hAnsi="Arial" w:cs="Arial"/>
                <w:color w:val="000000"/>
                <w:sz w:val="22"/>
                <w:szCs w:val="22"/>
                <w:lang w:val="en-GB"/>
              </w:rPr>
              <w:t xml:space="preserve">“MANAGING PATIENT SAFETY CULTURE” </w:t>
            </w:r>
            <w:r w:rsidRPr="00820F7A">
              <w:rPr>
                <w:rFonts w:ascii="Arial" w:eastAsia="Arial" w:hAnsi="Arial" w:cs="Arial"/>
                <w:b/>
                <w:bCs/>
                <w:color w:val="000000"/>
                <w:sz w:val="22"/>
                <w:szCs w:val="22"/>
                <w:lang w:val="en-GB"/>
              </w:rPr>
              <w:t xml:space="preserve">AND </w:t>
            </w:r>
            <w:r w:rsidRPr="00820F7A">
              <w:rPr>
                <w:rFonts w:ascii="Arial" w:eastAsia="Arial" w:hAnsi="Arial" w:cs="Arial"/>
                <w:color w:val="000000"/>
                <w:sz w:val="22"/>
                <w:szCs w:val="22"/>
                <w:lang w:val="en-GB"/>
              </w:rPr>
              <w:t>“UK HOSPITALS”</w:t>
            </w:r>
          </w:p>
        </w:tc>
        <w:tc>
          <w:tcPr>
            <w:tcW w:w="3120" w:type="dxa"/>
            <w:tcMar>
              <w:top w:w="100" w:type="dxa"/>
              <w:left w:w="100" w:type="dxa"/>
              <w:bottom w:w="100" w:type="dxa"/>
              <w:right w:w="100" w:type="dxa"/>
            </w:tcMar>
          </w:tcPr>
          <w:p w14:paraId="0C6EB0A1" w14:textId="77777777" w:rsidR="00826870" w:rsidRPr="00820F7A" w:rsidRDefault="00B21388">
            <w:pPr>
              <w:pStyle w:val="Normal1"/>
              <w:widowControl w:val="0"/>
              <w:pBdr>
                <w:top w:val="nil"/>
                <w:left w:val="nil"/>
                <w:bottom w:val="nil"/>
                <w:right w:val="nil"/>
                <w:between w:val="nil"/>
              </w:pBdr>
              <w:jc w:val="left"/>
              <w:rPr>
                <w:rFonts w:ascii="Arial" w:eastAsia="Arial" w:hAnsi="Arial" w:cs="Arial"/>
                <w:color w:val="000000"/>
                <w:sz w:val="22"/>
                <w:szCs w:val="22"/>
                <w:lang w:val="en-GB"/>
              </w:rPr>
            </w:pPr>
            <w:r w:rsidRPr="00820F7A">
              <w:rPr>
                <w:rFonts w:ascii="Arial" w:eastAsia="Arial" w:hAnsi="Arial" w:cs="Arial"/>
                <w:color w:val="000000"/>
                <w:sz w:val="22"/>
                <w:szCs w:val="22"/>
                <w:lang w:val="en-GB"/>
              </w:rPr>
              <w:t xml:space="preserve">“MANAGING PATIENT SAFETY CULTURE” </w:t>
            </w:r>
            <w:r w:rsidRPr="00820F7A">
              <w:rPr>
                <w:rFonts w:ascii="Arial" w:eastAsia="Arial" w:hAnsi="Arial" w:cs="Arial"/>
                <w:b/>
                <w:bCs/>
                <w:color w:val="000000"/>
                <w:sz w:val="22"/>
                <w:szCs w:val="22"/>
                <w:lang w:val="en-GB"/>
              </w:rPr>
              <w:t xml:space="preserve">OR </w:t>
            </w:r>
            <w:r w:rsidRPr="00820F7A">
              <w:rPr>
                <w:rFonts w:ascii="Arial" w:eastAsia="Arial" w:hAnsi="Arial" w:cs="Arial"/>
                <w:color w:val="000000"/>
                <w:sz w:val="22"/>
                <w:szCs w:val="22"/>
                <w:lang w:val="en-GB"/>
              </w:rPr>
              <w:t>“UK HOSPITALS”</w:t>
            </w:r>
          </w:p>
        </w:tc>
      </w:tr>
      <w:tr w:rsidR="00826870" w:rsidRPr="00820F7A" w14:paraId="2354422C" w14:textId="77777777">
        <w:trPr>
          <w:cantSplit/>
          <w:tblHeader/>
          <w:jc w:val="center"/>
        </w:trPr>
        <w:tc>
          <w:tcPr>
            <w:tcW w:w="3120" w:type="dxa"/>
            <w:tcMar>
              <w:top w:w="100" w:type="dxa"/>
              <w:left w:w="100" w:type="dxa"/>
              <w:bottom w:w="100" w:type="dxa"/>
              <w:right w:w="100" w:type="dxa"/>
            </w:tcMar>
          </w:tcPr>
          <w:p w14:paraId="3835BDFE" w14:textId="77777777" w:rsidR="00826870" w:rsidRPr="00820F7A" w:rsidRDefault="00B21388">
            <w:pPr>
              <w:pStyle w:val="Normal1"/>
              <w:widowControl w:val="0"/>
              <w:pBdr>
                <w:top w:val="nil"/>
                <w:left w:val="nil"/>
                <w:bottom w:val="nil"/>
                <w:right w:val="nil"/>
                <w:between w:val="nil"/>
              </w:pBdr>
              <w:jc w:val="left"/>
              <w:rPr>
                <w:rFonts w:ascii="Arial" w:eastAsia="Arial" w:hAnsi="Arial" w:cs="Arial"/>
                <w:color w:val="000000"/>
                <w:sz w:val="22"/>
                <w:szCs w:val="22"/>
                <w:lang w:val="en-GB"/>
              </w:rPr>
            </w:pPr>
            <w:r w:rsidRPr="00820F7A">
              <w:rPr>
                <w:rFonts w:ascii="Arial" w:eastAsia="Arial" w:hAnsi="Arial" w:cs="Arial"/>
                <w:color w:val="000000"/>
                <w:sz w:val="22"/>
                <w:szCs w:val="22"/>
                <w:lang w:val="en-GB"/>
              </w:rPr>
              <w:t>“CLINICAL LEADERSHIP”, “PATIENT SAFETY”</w:t>
            </w:r>
          </w:p>
        </w:tc>
        <w:tc>
          <w:tcPr>
            <w:tcW w:w="3120" w:type="dxa"/>
            <w:tcMar>
              <w:top w:w="100" w:type="dxa"/>
              <w:left w:w="100" w:type="dxa"/>
              <w:bottom w:w="100" w:type="dxa"/>
              <w:right w:w="100" w:type="dxa"/>
            </w:tcMar>
          </w:tcPr>
          <w:p w14:paraId="00C683AE" w14:textId="77777777" w:rsidR="00826870" w:rsidRPr="00820F7A" w:rsidRDefault="00B21388">
            <w:pPr>
              <w:pStyle w:val="Normal1"/>
              <w:widowControl w:val="0"/>
              <w:pBdr>
                <w:top w:val="nil"/>
                <w:left w:val="nil"/>
                <w:bottom w:val="nil"/>
                <w:right w:val="nil"/>
                <w:between w:val="nil"/>
              </w:pBdr>
              <w:jc w:val="left"/>
              <w:rPr>
                <w:rFonts w:ascii="Arial" w:eastAsia="Arial" w:hAnsi="Arial" w:cs="Arial"/>
                <w:color w:val="000000"/>
                <w:sz w:val="22"/>
                <w:szCs w:val="22"/>
                <w:lang w:val="en-GB"/>
              </w:rPr>
            </w:pPr>
            <w:r w:rsidRPr="00820F7A">
              <w:rPr>
                <w:rFonts w:ascii="Arial" w:eastAsia="Arial" w:hAnsi="Arial" w:cs="Arial"/>
                <w:color w:val="000000"/>
                <w:sz w:val="22"/>
                <w:szCs w:val="22"/>
                <w:lang w:val="en-GB"/>
              </w:rPr>
              <w:t xml:space="preserve">“CLINICAL LEADERSHIP” </w:t>
            </w:r>
            <w:r w:rsidRPr="00820F7A">
              <w:rPr>
                <w:rFonts w:ascii="Arial" w:eastAsia="Arial" w:hAnsi="Arial" w:cs="Arial"/>
                <w:b/>
                <w:bCs/>
                <w:color w:val="000000"/>
                <w:sz w:val="22"/>
                <w:szCs w:val="22"/>
                <w:lang w:val="en-GB"/>
              </w:rPr>
              <w:t xml:space="preserve">AND </w:t>
            </w:r>
            <w:r w:rsidRPr="00820F7A">
              <w:rPr>
                <w:rFonts w:ascii="Arial" w:eastAsia="Arial" w:hAnsi="Arial" w:cs="Arial"/>
                <w:color w:val="000000"/>
                <w:sz w:val="22"/>
                <w:szCs w:val="22"/>
                <w:lang w:val="en-GB"/>
              </w:rPr>
              <w:t>“PATIENT SAFETY”</w:t>
            </w:r>
          </w:p>
        </w:tc>
        <w:tc>
          <w:tcPr>
            <w:tcW w:w="3120" w:type="dxa"/>
            <w:tcMar>
              <w:top w:w="100" w:type="dxa"/>
              <w:left w:w="100" w:type="dxa"/>
              <w:bottom w:w="100" w:type="dxa"/>
              <w:right w:w="100" w:type="dxa"/>
            </w:tcMar>
          </w:tcPr>
          <w:p w14:paraId="5AB66BD9" w14:textId="77777777" w:rsidR="00826870" w:rsidRPr="00820F7A" w:rsidRDefault="00B21388">
            <w:pPr>
              <w:pStyle w:val="Normal1"/>
              <w:widowControl w:val="0"/>
              <w:pBdr>
                <w:top w:val="nil"/>
                <w:left w:val="nil"/>
                <w:bottom w:val="nil"/>
                <w:right w:val="nil"/>
                <w:between w:val="nil"/>
              </w:pBdr>
              <w:jc w:val="left"/>
              <w:rPr>
                <w:rFonts w:ascii="Arial" w:eastAsia="Arial" w:hAnsi="Arial" w:cs="Arial"/>
                <w:color w:val="000000"/>
                <w:sz w:val="22"/>
                <w:szCs w:val="22"/>
                <w:lang w:val="en-GB"/>
              </w:rPr>
            </w:pPr>
            <w:r w:rsidRPr="00820F7A">
              <w:rPr>
                <w:rFonts w:ascii="Arial" w:eastAsia="Arial" w:hAnsi="Arial" w:cs="Arial"/>
                <w:color w:val="000000"/>
                <w:sz w:val="22"/>
                <w:szCs w:val="22"/>
                <w:lang w:val="en-GB"/>
              </w:rPr>
              <w:t xml:space="preserve">“CLINICAL LEADERSHIP” </w:t>
            </w:r>
            <w:r w:rsidRPr="00820F7A">
              <w:rPr>
                <w:rFonts w:ascii="Arial" w:eastAsia="Arial" w:hAnsi="Arial" w:cs="Arial"/>
                <w:b/>
                <w:bCs/>
                <w:color w:val="000000"/>
                <w:sz w:val="22"/>
                <w:szCs w:val="22"/>
                <w:lang w:val="en-GB"/>
              </w:rPr>
              <w:t xml:space="preserve">OR </w:t>
            </w:r>
            <w:r w:rsidRPr="00820F7A">
              <w:rPr>
                <w:rFonts w:ascii="Arial" w:eastAsia="Arial" w:hAnsi="Arial" w:cs="Arial"/>
                <w:color w:val="000000"/>
                <w:sz w:val="22"/>
                <w:szCs w:val="22"/>
                <w:lang w:val="en-GB"/>
              </w:rPr>
              <w:t>“PATIENT SAFETY”</w:t>
            </w:r>
          </w:p>
        </w:tc>
      </w:tr>
    </w:tbl>
    <w:p w14:paraId="727B44DC" w14:textId="77777777" w:rsidR="00826870" w:rsidRPr="00820F7A" w:rsidRDefault="00B21388">
      <w:pPr>
        <w:pStyle w:val="Heading5"/>
        <w:rPr>
          <w:lang w:val="en-GB"/>
        </w:rPr>
      </w:pPr>
      <w:bookmarkStart w:id="48" w:name="_heading=h.rdw4aknizael" w:colFirst="0" w:colLast="0"/>
      <w:bookmarkEnd w:id="48"/>
      <w:r w:rsidRPr="00820F7A">
        <w:rPr>
          <w:lang w:val="en-GB"/>
        </w:rPr>
        <w:t>Table 3.1: Search Strategy</w:t>
      </w:r>
    </w:p>
    <w:p w14:paraId="7E0D9292" w14:textId="77777777" w:rsidR="00826870" w:rsidRPr="00820F7A" w:rsidRDefault="00B21388">
      <w:pPr>
        <w:pStyle w:val="Normal1"/>
        <w:pBdr>
          <w:top w:val="nil"/>
          <w:left w:val="nil"/>
          <w:bottom w:val="nil"/>
          <w:right w:val="nil"/>
          <w:between w:val="nil"/>
        </w:pBdr>
        <w:jc w:val="center"/>
        <w:rPr>
          <w:color w:val="000000"/>
          <w:lang w:val="en-GB"/>
        </w:rPr>
      </w:pPr>
      <w:r w:rsidRPr="00820F7A">
        <w:rPr>
          <w:color w:val="000000"/>
          <w:lang w:val="en-GB"/>
        </w:rPr>
        <w:t>(Source: Created by the author)</w:t>
      </w:r>
    </w:p>
    <w:p w14:paraId="69BCE58B" w14:textId="77777777" w:rsidR="00826870" w:rsidRPr="00820F7A" w:rsidRDefault="00B21388">
      <w:pPr>
        <w:pStyle w:val="Heading2"/>
        <w:rPr>
          <w:lang w:val="en-GB"/>
        </w:rPr>
      </w:pPr>
      <w:bookmarkStart w:id="49" w:name="_Toc220759496"/>
      <w:r w:rsidRPr="00820F7A">
        <w:rPr>
          <w:lang w:val="en-GB"/>
        </w:rPr>
        <w:t>3.9.2 FRAMING THE RESEARCH QUESTION</w:t>
      </w:r>
      <w:bookmarkEnd w:id="49"/>
    </w:p>
    <w:tbl>
      <w:tblPr>
        <w:tblStyle w:val="afff1"/>
        <w:tblW w:w="9456" w:type="dxa"/>
        <w:jc w:val="center"/>
        <w:tblBorders>
          <w:top w:val="nil"/>
          <w:left w:val="nil"/>
          <w:bottom w:val="nil"/>
          <w:right w:val="nil"/>
          <w:insideH w:val="nil"/>
          <w:insideV w:val="nil"/>
        </w:tblBorders>
        <w:tblLayout w:type="fixed"/>
        <w:tblLook w:val="0600" w:firstRow="0" w:lastRow="0" w:firstColumn="0" w:lastColumn="0" w:noHBand="1" w:noVBand="1"/>
      </w:tblPr>
      <w:tblGrid>
        <w:gridCol w:w="1620"/>
        <w:gridCol w:w="7836"/>
      </w:tblGrid>
      <w:tr w:rsidR="00826870" w:rsidRPr="00820F7A" w14:paraId="3E5EDE4B" w14:textId="77777777">
        <w:trPr>
          <w:cantSplit/>
          <w:trHeight w:val="270"/>
          <w:tblHeader/>
          <w:jc w:val="center"/>
        </w:trPr>
        <w:tc>
          <w:tcPr>
            <w:tcW w:w="1620" w:type="dxa"/>
            <w:tcBorders>
              <w:top w:val="single" w:sz="6" w:space="0" w:color="000000"/>
              <w:left w:val="single" w:sz="6" w:space="0" w:color="000000"/>
              <w:bottom w:val="single" w:sz="6" w:space="0" w:color="000000"/>
              <w:right w:val="single" w:sz="6" w:space="0" w:color="000000"/>
            </w:tcBorders>
            <w:tcMar>
              <w:top w:w="0" w:type="dxa"/>
              <w:left w:w="0" w:type="dxa"/>
              <w:bottom w:w="0" w:type="dxa"/>
              <w:right w:w="0" w:type="dxa"/>
            </w:tcMar>
          </w:tcPr>
          <w:p w14:paraId="0EBF051A" w14:textId="77777777" w:rsidR="00826870" w:rsidRPr="00820F7A" w:rsidRDefault="00B21388">
            <w:pPr>
              <w:pStyle w:val="Normal1"/>
              <w:pBdr>
                <w:top w:val="nil"/>
                <w:left w:val="nil"/>
                <w:bottom w:val="nil"/>
                <w:right w:val="nil"/>
                <w:between w:val="nil"/>
              </w:pBdr>
              <w:jc w:val="center"/>
              <w:rPr>
                <w:b/>
                <w:bCs/>
                <w:color w:val="000000"/>
                <w:lang w:val="en-GB"/>
              </w:rPr>
            </w:pPr>
            <w:r w:rsidRPr="00820F7A">
              <w:rPr>
                <w:b/>
                <w:bCs/>
                <w:color w:val="000000"/>
                <w:lang w:val="en-GB"/>
              </w:rPr>
              <w:t>PICO</w:t>
            </w:r>
          </w:p>
        </w:tc>
        <w:tc>
          <w:tcPr>
            <w:tcW w:w="7836" w:type="dxa"/>
            <w:tcBorders>
              <w:top w:val="single" w:sz="6" w:space="0" w:color="000000"/>
              <w:left w:val="nil"/>
              <w:bottom w:val="single" w:sz="6" w:space="0" w:color="000000"/>
              <w:right w:val="single" w:sz="6" w:space="0" w:color="000000"/>
            </w:tcBorders>
            <w:tcMar>
              <w:top w:w="0" w:type="dxa"/>
              <w:left w:w="0" w:type="dxa"/>
              <w:bottom w:w="0" w:type="dxa"/>
              <w:right w:w="0" w:type="dxa"/>
            </w:tcMar>
          </w:tcPr>
          <w:p w14:paraId="513376BC" w14:textId="77777777" w:rsidR="00826870" w:rsidRPr="00820F7A" w:rsidRDefault="00B21388">
            <w:pPr>
              <w:pStyle w:val="Normal1"/>
              <w:pBdr>
                <w:top w:val="nil"/>
                <w:left w:val="nil"/>
                <w:bottom w:val="nil"/>
                <w:right w:val="nil"/>
                <w:between w:val="nil"/>
              </w:pBdr>
              <w:jc w:val="center"/>
              <w:rPr>
                <w:b/>
                <w:bCs/>
                <w:color w:val="000000"/>
                <w:lang w:val="en-GB"/>
              </w:rPr>
            </w:pPr>
            <w:r w:rsidRPr="00820F7A">
              <w:rPr>
                <w:b/>
                <w:bCs/>
                <w:color w:val="000000"/>
                <w:lang w:val="en-GB"/>
              </w:rPr>
              <w:t>Search Terms</w:t>
            </w:r>
          </w:p>
        </w:tc>
      </w:tr>
      <w:tr w:rsidR="00826870" w:rsidRPr="00820F7A" w14:paraId="5BDB9877" w14:textId="77777777">
        <w:trPr>
          <w:cantSplit/>
          <w:trHeight w:val="450"/>
          <w:tblHeader/>
          <w:jc w:val="center"/>
        </w:trPr>
        <w:tc>
          <w:tcPr>
            <w:tcW w:w="1620" w:type="dxa"/>
            <w:tcBorders>
              <w:top w:val="nil"/>
              <w:left w:val="single" w:sz="6" w:space="0" w:color="000000"/>
              <w:bottom w:val="single" w:sz="6" w:space="0" w:color="000000"/>
              <w:right w:val="single" w:sz="6" w:space="0" w:color="000000"/>
            </w:tcBorders>
            <w:tcMar>
              <w:top w:w="0" w:type="dxa"/>
              <w:left w:w="0" w:type="dxa"/>
              <w:bottom w:w="0" w:type="dxa"/>
              <w:right w:w="0" w:type="dxa"/>
            </w:tcMar>
          </w:tcPr>
          <w:p w14:paraId="5882AE79" w14:textId="77777777" w:rsidR="00826870" w:rsidRPr="00820F7A" w:rsidRDefault="00B21388">
            <w:pPr>
              <w:pStyle w:val="Normal1"/>
              <w:pBdr>
                <w:top w:val="nil"/>
                <w:left w:val="nil"/>
                <w:bottom w:val="nil"/>
                <w:right w:val="nil"/>
                <w:between w:val="nil"/>
              </w:pBdr>
              <w:rPr>
                <w:b/>
                <w:bCs/>
                <w:i/>
                <w:iCs/>
                <w:color w:val="000000"/>
                <w:lang w:val="en-GB"/>
              </w:rPr>
            </w:pPr>
            <w:r w:rsidRPr="00820F7A">
              <w:rPr>
                <w:b/>
                <w:bCs/>
                <w:i/>
                <w:iCs/>
                <w:color w:val="000000"/>
                <w:lang w:val="en-GB"/>
              </w:rPr>
              <w:t>Population</w:t>
            </w:r>
          </w:p>
        </w:tc>
        <w:tc>
          <w:tcPr>
            <w:tcW w:w="7836" w:type="dxa"/>
            <w:tcBorders>
              <w:top w:val="nil"/>
              <w:left w:val="nil"/>
              <w:bottom w:val="single" w:sz="6" w:space="0" w:color="000000"/>
              <w:right w:val="single" w:sz="6" w:space="0" w:color="000000"/>
            </w:tcBorders>
            <w:tcMar>
              <w:top w:w="0" w:type="dxa"/>
              <w:left w:w="0" w:type="dxa"/>
              <w:bottom w:w="0" w:type="dxa"/>
              <w:right w:w="0" w:type="dxa"/>
            </w:tcMar>
          </w:tcPr>
          <w:p w14:paraId="286C3FE2"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 Patient of UK-based hospitals </w:t>
            </w:r>
          </w:p>
        </w:tc>
      </w:tr>
      <w:tr w:rsidR="00826870" w:rsidRPr="00820F7A" w14:paraId="4650339E" w14:textId="77777777">
        <w:trPr>
          <w:cantSplit/>
          <w:trHeight w:val="390"/>
          <w:tblHeader/>
          <w:jc w:val="center"/>
        </w:trPr>
        <w:tc>
          <w:tcPr>
            <w:tcW w:w="1620" w:type="dxa"/>
            <w:tcBorders>
              <w:top w:val="nil"/>
              <w:left w:val="single" w:sz="6" w:space="0" w:color="000000"/>
              <w:bottom w:val="single" w:sz="6" w:space="0" w:color="000000"/>
              <w:right w:val="single" w:sz="6" w:space="0" w:color="000000"/>
            </w:tcBorders>
            <w:tcMar>
              <w:top w:w="0" w:type="dxa"/>
              <w:left w:w="0" w:type="dxa"/>
              <w:bottom w:w="0" w:type="dxa"/>
              <w:right w:w="0" w:type="dxa"/>
            </w:tcMar>
          </w:tcPr>
          <w:p w14:paraId="1275057E" w14:textId="77777777" w:rsidR="00826870" w:rsidRPr="00820F7A" w:rsidRDefault="00B21388">
            <w:pPr>
              <w:pStyle w:val="Normal1"/>
              <w:pBdr>
                <w:top w:val="nil"/>
                <w:left w:val="nil"/>
                <w:bottom w:val="nil"/>
                <w:right w:val="nil"/>
                <w:between w:val="nil"/>
              </w:pBdr>
              <w:rPr>
                <w:b/>
                <w:bCs/>
                <w:i/>
                <w:iCs/>
                <w:color w:val="000000"/>
                <w:lang w:val="en-GB"/>
              </w:rPr>
            </w:pPr>
            <w:r w:rsidRPr="00820F7A">
              <w:rPr>
                <w:b/>
                <w:bCs/>
                <w:i/>
                <w:iCs/>
                <w:color w:val="000000"/>
                <w:lang w:val="en-GB"/>
              </w:rPr>
              <w:t>Intervention</w:t>
            </w:r>
          </w:p>
        </w:tc>
        <w:tc>
          <w:tcPr>
            <w:tcW w:w="7836" w:type="dxa"/>
            <w:tcBorders>
              <w:top w:val="nil"/>
              <w:left w:val="nil"/>
              <w:bottom w:val="single" w:sz="6" w:space="0" w:color="000000"/>
              <w:right w:val="single" w:sz="6" w:space="0" w:color="000000"/>
            </w:tcBorders>
            <w:tcMar>
              <w:top w:w="0" w:type="dxa"/>
              <w:left w:w="0" w:type="dxa"/>
              <w:bottom w:w="0" w:type="dxa"/>
              <w:right w:w="0" w:type="dxa"/>
            </w:tcMar>
          </w:tcPr>
          <w:p w14:paraId="2E607AB5"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 Clinical leadership strategy and approach </w:t>
            </w:r>
          </w:p>
        </w:tc>
      </w:tr>
      <w:tr w:rsidR="00826870" w:rsidRPr="00820F7A" w14:paraId="3FB134AF" w14:textId="77777777">
        <w:trPr>
          <w:cantSplit/>
          <w:trHeight w:val="270"/>
          <w:tblHeader/>
          <w:jc w:val="center"/>
        </w:trPr>
        <w:tc>
          <w:tcPr>
            <w:tcW w:w="1620" w:type="dxa"/>
            <w:tcBorders>
              <w:top w:val="nil"/>
              <w:left w:val="single" w:sz="6" w:space="0" w:color="000000"/>
              <w:bottom w:val="single" w:sz="6" w:space="0" w:color="000000"/>
              <w:right w:val="single" w:sz="6" w:space="0" w:color="000000"/>
            </w:tcBorders>
            <w:tcMar>
              <w:top w:w="0" w:type="dxa"/>
              <w:left w:w="0" w:type="dxa"/>
              <w:bottom w:w="0" w:type="dxa"/>
              <w:right w:w="0" w:type="dxa"/>
            </w:tcMar>
          </w:tcPr>
          <w:p w14:paraId="0DD90147" w14:textId="77777777" w:rsidR="00826870" w:rsidRPr="00820F7A" w:rsidRDefault="00B21388">
            <w:pPr>
              <w:pStyle w:val="Normal1"/>
              <w:pBdr>
                <w:top w:val="nil"/>
                <w:left w:val="nil"/>
                <w:bottom w:val="nil"/>
                <w:right w:val="nil"/>
                <w:between w:val="nil"/>
              </w:pBdr>
              <w:rPr>
                <w:b/>
                <w:bCs/>
                <w:i/>
                <w:iCs/>
                <w:color w:val="000000"/>
                <w:lang w:val="en-GB"/>
              </w:rPr>
            </w:pPr>
            <w:r w:rsidRPr="00820F7A">
              <w:rPr>
                <w:b/>
                <w:bCs/>
                <w:i/>
                <w:iCs/>
                <w:color w:val="000000"/>
                <w:lang w:val="en-GB"/>
              </w:rPr>
              <w:t>Comparison</w:t>
            </w:r>
          </w:p>
        </w:tc>
        <w:tc>
          <w:tcPr>
            <w:tcW w:w="7836" w:type="dxa"/>
            <w:tcBorders>
              <w:top w:val="nil"/>
              <w:left w:val="nil"/>
              <w:bottom w:val="single" w:sz="6" w:space="0" w:color="000000"/>
              <w:right w:val="single" w:sz="6" w:space="0" w:color="000000"/>
            </w:tcBorders>
            <w:tcMar>
              <w:top w:w="0" w:type="dxa"/>
              <w:left w:w="0" w:type="dxa"/>
              <w:bottom w:w="0" w:type="dxa"/>
              <w:right w:w="0" w:type="dxa"/>
            </w:tcMar>
          </w:tcPr>
          <w:p w14:paraId="5912C234"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 Ethical leadership strategy and approach </w:t>
            </w:r>
          </w:p>
        </w:tc>
      </w:tr>
      <w:tr w:rsidR="00826870" w:rsidRPr="00820F7A" w14:paraId="531DB8AA" w14:textId="77777777">
        <w:trPr>
          <w:cantSplit/>
          <w:trHeight w:val="435"/>
          <w:tblHeader/>
          <w:jc w:val="center"/>
        </w:trPr>
        <w:tc>
          <w:tcPr>
            <w:tcW w:w="1620" w:type="dxa"/>
            <w:tcBorders>
              <w:top w:val="nil"/>
              <w:left w:val="single" w:sz="6" w:space="0" w:color="000000"/>
              <w:bottom w:val="single" w:sz="6" w:space="0" w:color="000000"/>
              <w:right w:val="single" w:sz="6" w:space="0" w:color="000000"/>
            </w:tcBorders>
            <w:tcMar>
              <w:top w:w="0" w:type="dxa"/>
              <w:left w:w="0" w:type="dxa"/>
              <w:bottom w:w="0" w:type="dxa"/>
              <w:right w:w="0" w:type="dxa"/>
            </w:tcMar>
          </w:tcPr>
          <w:p w14:paraId="0C3EF7B7" w14:textId="77777777" w:rsidR="00826870" w:rsidRPr="00820F7A" w:rsidRDefault="00B21388">
            <w:pPr>
              <w:pStyle w:val="Normal1"/>
              <w:pBdr>
                <w:top w:val="nil"/>
                <w:left w:val="nil"/>
                <w:bottom w:val="nil"/>
                <w:right w:val="nil"/>
                <w:between w:val="nil"/>
              </w:pBdr>
              <w:rPr>
                <w:b/>
                <w:bCs/>
                <w:i/>
                <w:iCs/>
                <w:color w:val="000000"/>
                <w:lang w:val="en-GB"/>
              </w:rPr>
            </w:pPr>
            <w:r w:rsidRPr="00820F7A">
              <w:rPr>
                <w:b/>
                <w:bCs/>
                <w:i/>
                <w:iCs/>
                <w:color w:val="000000"/>
                <w:lang w:val="en-GB"/>
              </w:rPr>
              <w:t>Outcome</w:t>
            </w:r>
          </w:p>
        </w:tc>
        <w:tc>
          <w:tcPr>
            <w:tcW w:w="7836" w:type="dxa"/>
            <w:tcBorders>
              <w:top w:val="nil"/>
              <w:left w:val="nil"/>
              <w:bottom w:val="single" w:sz="6" w:space="0" w:color="000000"/>
              <w:right w:val="single" w:sz="6" w:space="0" w:color="000000"/>
            </w:tcBorders>
            <w:tcMar>
              <w:top w:w="0" w:type="dxa"/>
              <w:left w:w="0" w:type="dxa"/>
              <w:bottom w:w="0" w:type="dxa"/>
              <w:right w:w="0" w:type="dxa"/>
            </w:tcMar>
          </w:tcPr>
          <w:p w14:paraId="66B1EEA9"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 Improved management performance for maximum patient safety culture in the UK-based hospitals </w:t>
            </w:r>
          </w:p>
        </w:tc>
      </w:tr>
      <w:tr w:rsidR="00826870" w:rsidRPr="00820F7A" w14:paraId="26FDE5C4" w14:textId="77777777">
        <w:trPr>
          <w:cantSplit/>
          <w:trHeight w:val="465"/>
          <w:tblHeader/>
          <w:jc w:val="center"/>
        </w:trPr>
        <w:tc>
          <w:tcPr>
            <w:tcW w:w="1620" w:type="dxa"/>
            <w:tcBorders>
              <w:top w:val="nil"/>
              <w:left w:val="single" w:sz="6" w:space="0" w:color="000000"/>
              <w:bottom w:val="single" w:sz="6" w:space="0" w:color="000000"/>
              <w:right w:val="single" w:sz="6" w:space="0" w:color="000000"/>
            </w:tcBorders>
            <w:tcMar>
              <w:top w:w="0" w:type="dxa"/>
              <w:left w:w="0" w:type="dxa"/>
              <w:bottom w:w="0" w:type="dxa"/>
              <w:right w:w="0" w:type="dxa"/>
            </w:tcMar>
          </w:tcPr>
          <w:p w14:paraId="3642217C" w14:textId="77777777" w:rsidR="00826870" w:rsidRPr="00820F7A" w:rsidRDefault="00B21388">
            <w:pPr>
              <w:pStyle w:val="Normal1"/>
              <w:pBdr>
                <w:top w:val="nil"/>
                <w:left w:val="nil"/>
                <w:bottom w:val="nil"/>
                <w:right w:val="nil"/>
                <w:between w:val="nil"/>
              </w:pBdr>
              <w:rPr>
                <w:b/>
                <w:bCs/>
                <w:i/>
                <w:iCs/>
                <w:color w:val="000000"/>
                <w:lang w:val="en-GB"/>
              </w:rPr>
            </w:pPr>
            <w:r w:rsidRPr="00820F7A">
              <w:rPr>
                <w:b/>
                <w:bCs/>
                <w:i/>
                <w:iCs/>
                <w:color w:val="000000"/>
                <w:lang w:val="en-GB"/>
              </w:rPr>
              <w:t>SETTING</w:t>
            </w:r>
          </w:p>
        </w:tc>
        <w:tc>
          <w:tcPr>
            <w:tcW w:w="7836" w:type="dxa"/>
            <w:tcBorders>
              <w:top w:val="nil"/>
              <w:left w:val="nil"/>
              <w:bottom w:val="single" w:sz="6" w:space="0" w:color="000000"/>
              <w:right w:val="single" w:sz="6" w:space="0" w:color="000000"/>
            </w:tcBorders>
            <w:tcMar>
              <w:top w:w="0" w:type="dxa"/>
              <w:left w:w="0" w:type="dxa"/>
              <w:bottom w:w="0" w:type="dxa"/>
              <w:right w:w="0" w:type="dxa"/>
            </w:tcMar>
          </w:tcPr>
          <w:p w14:paraId="220B4FB7"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The implementation of clinical leadership strategy and approach to enhance clinical concerns among the leaders in the UK's hospitals and maximising the patient safety culture with encouragement. </w:t>
            </w:r>
          </w:p>
        </w:tc>
      </w:tr>
    </w:tbl>
    <w:p w14:paraId="75645236" w14:textId="77777777" w:rsidR="00826870" w:rsidRPr="00820F7A" w:rsidRDefault="00B21388">
      <w:pPr>
        <w:pStyle w:val="Heading5"/>
        <w:rPr>
          <w:lang w:val="en-GB"/>
        </w:rPr>
      </w:pPr>
      <w:bookmarkStart w:id="50" w:name="_heading=h.biphgcgjj4df" w:colFirst="0" w:colLast="0"/>
      <w:bookmarkEnd w:id="50"/>
      <w:r w:rsidRPr="00820F7A">
        <w:rPr>
          <w:lang w:val="en-GB"/>
        </w:rPr>
        <w:t>Table 3.2: PICO Framework</w:t>
      </w:r>
    </w:p>
    <w:p w14:paraId="24B2E2CC" w14:textId="77777777" w:rsidR="00826870" w:rsidRPr="00820F7A" w:rsidRDefault="00B21388">
      <w:pPr>
        <w:pStyle w:val="Normal1"/>
        <w:pBdr>
          <w:top w:val="nil"/>
          <w:left w:val="nil"/>
          <w:bottom w:val="nil"/>
          <w:right w:val="nil"/>
          <w:between w:val="nil"/>
        </w:pBdr>
        <w:jc w:val="center"/>
        <w:rPr>
          <w:color w:val="000000"/>
          <w:lang w:val="en-GB"/>
        </w:rPr>
        <w:sectPr w:rsidR="00826870" w:rsidRPr="00820F7A">
          <w:pgSz w:w="15840" w:h="12240" w:orient="landscape"/>
          <w:pgMar w:top="1440" w:right="1440" w:bottom="1440" w:left="1440" w:header="720" w:footer="720" w:gutter="0"/>
          <w:cols w:space="720"/>
        </w:sectPr>
      </w:pPr>
      <w:r w:rsidRPr="00820F7A">
        <w:rPr>
          <w:color w:val="000000"/>
          <w:lang w:val="en-GB"/>
        </w:rPr>
        <w:t>(Source: Created by learner)</w:t>
      </w:r>
    </w:p>
    <w:p w14:paraId="7DB36547" w14:textId="77777777" w:rsidR="00826870" w:rsidRPr="00820F7A" w:rsidRDefault="00B21388">
      <w:pPr>
        <w:pStyle w:val="Normal1"/>
        <w:pBdr>
          <w:top w:val="nil"/>
          <w:left w:val="nil"/>
          <w:bottom w:val="nil"/>
          <w:right w:val="nil"/>
          <w:between w:val="nil"/>
        </w:pBdr>
        <w:rPr>
          <w:b/>
          <w:bCs/>
          <w:i/>
          <w:iCs/>
          <w:color w:val="000000"/>
          <w:lang w:val="en-GB"/>
        </w:rPr>
      </w:pPr>
      <w:r w:rsidRPr="00820F7A">
        <w:rPr>
          <w:b/>
          <w:bCs/>
          <w:i/>
          <w:iCs/>
          <w:color w:val="000000"/>
          <w:lang w:val="en-GB"/>
        </w:rPr>
        <w:t xml:space="preserve">Analysis </w:t>
      </w:r>
    </w:p>
    <w:p w14:paraId="66414555"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The above-presented PICO framework presents the population, intervention, comparison, outline and setting of the research idea. According to the perspectives of Schiavenato and Chu (2021), the application of the PICO framework is an example of evidence-based practices, which is considered in research work. </w:t>
      </w:r>
    </w:p>
    <w:p w14:paraId="710DC77C" w14:textId="77777777" w:rsidR="00826870" w:rsidRPr="00820F7A" w:rsidRDefault="00B21388">
      <w:pPr>
        <w:pStyle w:val="Heading2"/>
        <w:rPr>
          <w:lang w:val="en-GB"/>
        </w:rPr>
      </w:pPr>
      <w:bookmarkStart w:id="51" w:name="_Toc220759497"/>
      <w:r w:rsidRPr="00820F7A">
        <w:rPr>
          <w:lang w:val="en-GB"/>
        </w:rPr>
        <w:t>3.9.3 Database search procedure</w:t>
      </w:r>
      <w:bookmarkEnd w:id="51"/>
    </w:p>
    <w:tbl>
      <w:tblPr>
        <w:tblStyle w:val="afff2"/>
        <w:tblW w:w="13460" w:type="dxa"/>
        <w:tblInd w:w="-5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750"/>
        <w:gridCol w:w="4410"/>
        <w:gridCol w:w="2790"/>
        <w:gridCol w:w="3510"/>
      </w:tblGrid>
      <w:tr w:rsidR="00826870" w:rsidRPr="00820F7A" w14:paraId="3532CB16" w14:textId="77777777">
        <w:trPr>
          <w:cantSplit/>
          <w:tblHeader/>
        </w:trPr>
        <w:tc>
          <w:tcPr>
            <w:tcW w:w="2750" w:type="dxa"/>
            <w:tcMar>
              <w:top w:w="100" w:type="dxa"/>
              <w:left w:w="100" w:type="dxa"/>
              <w:bottom w:w="100" w:type="dxa"/>
              <w:right w:w="100" w:type="dxa"/>
            </w:tcMar>
          </w:tcPr>
          <w:p w14:paraId="38AAD8AF" w14:textId="77777777" w:rsidR="00826870" w:rsidRPr="00820F7A" w:rsidRDefault="00B21388">
            <w:pPr>
              <w:pStyle w:val="Normal1"/>
              <w:widowControl w:val="0"/>
              <w:pBdr>
                <w:top w:val="nil"/>
                <w:left w:val="nil"/>
                <w:bottom w:val="nil"/>
                <w:right w:val="nil"/>
                <w:between w:val="nil"/>
              </w:pBdr>
              <w:rPr>
                <w:rFonts w:ascii="Arial" w:eastAsia="Arial" w:hAnsi="Arial" w:cs="Arial"/>
                <w:b/>
                <w:bCs/>
                <w:color w:val="000000"/>
                <w:sz w:val="22"/>
                <w:szCs w:val="22"/>
                <w:lang w:val="en-GB"/>
              </w:rPr>
            </w:pPr>
            <w:r w:rsidRPr="00820F7A">
              <w:rPr>
                <w:rFonts w:ascii="Arial" w:eastAsia="Arial" w:hAnsi="Arial" w:cs="Arial"/>
                <w:b/>
                <w:bCs/>
                <w:color w:val="000000"/>
                <w:sz w:val="22"/>
                <w:szCs w:val="22"/>
                <w:lang w:val="en-GB"/>
              </w:rPr>
              <w:t xml:space="preserve">Keywords </w:t>
            </w:r>
          </w:p>
        </w:tc>
        <w:tc>
          <w:tcPr>
            <w:tcW w:w="4410" w:type="dxa"/>
            <w:tcMar>
              <w:top w:w="100" w:type="dxa"/>
              <w:left w:w="100" w:type="dxa"/>
              <w:bottom w:w="100" w:type="dxa"/>
              <w:right w:w="100" w:type="dxa"/>
            </w:tcMar>
          </w:tcPr>
          <w:p w14:paraId="0D477623" w14:textId="77777777" w:rsidR="00826870" w:rsidRPr="00820F7A" w:rsidRDefault="00B21388">
            <w:pPr>
              <w:pStyle w:val="Normal1"/>
              <w:widowControl w:val="0"/>
              <w:pBdr>
                <w:top w:val="nil"/>
                <w:left w:val="nil"/>
                <w:bottom w:val="nil"/>
                <w:right w:val="nil"/>
                <w:between w:val="nil"/>
              </w:pBdr>
              <w:rPr>
                <w:rFonts w:ascii="Arial" w:eastAsia="Arial" w:hAnsi="Arial" w:cs="Arial"/>
                <w:b/>
                <w:bCs/>
                <w:color w:val="000000"/>
                <w:sz w:val="22"/>
                <w:szCs w:val="22"/>
                <w:lang w:val="en-GB"/>
              </w:rPr>
            </w:pPr>
            <w:r w:rsidRPr="00820F7A">
              <w:rPr>
                <w:rFonts w:ascii="Arial" w:eastAsia="Arial" w:hAnsi="Arial" w:cs="Arial"/>
                <w:b/>
                <w:bCs/>
                <w:color w:val="000000"/>
                <w:sz w:val="22"/>
                <w:szCs w:val="22"/>
                <w:lang w:val="en-GB"/>
              </w:rPr>
              <w:t xml:space="preserve">MeSH Term </w:t>
            </w:r>
          </w:p>
        </w:tc>
        <w:tc>
          <w:tcPr>
            <w:tcW w:w="2790" w:type="dxa"/>
            <w:tcMar>
              <w:top w:w="100" w:type="dxa"/>
              <w:left w:w="100" w:type="dxa"/>
              <w:bottom w:w="100" w:type="dxa"/>
              <w:right w:w="100" w:type="dxa"/>
            </w:tcMar>
          </w:tcPr>
          <w:p w14:paraId="098BD7E9" w14:textId="77777777" w:rsidR="00826870" w:rsidRPr="00820F7A" w:rsidRDefault="00B21388">
            <w:pPr>
              <w:pStyle w:val="Normal1"/>
              <w:widowControl w:val="0"/>
              <w:pBdr>
                <w:top w:val="nil"/>
                <w:left w:val="nil"/>
                <w:bottom w:val="nil"/>
                <w:right w:val="nil"/>
                <w:between w:val="nil"/>
              </w:pBdr>
              <w:rPr>
                <w:rFonts w:ascii="Arial" w:eastAsia="Arial" w:hAnsi="Arial" w:cs="Arial"/>
                <w:b/>
                <w:bCs/>
                <w:color w:val="000000"/>
                <w:sz w:val="22"/>
                <w:szCs w:val="22"/>
                <w:lang w:val="en-GB"/>
              </w:rPr>
            </w:pPr>
            <w:r w:rsidRPr="00820F7A">
              <w:rPr>
                <w:rFonts w:ascii="Arial" w:eastAsia="Arial" w:hAnsi="Arial" w:cs="Arial"/>
                <w:b/>
                <w:bCs/>
                <w:color w:val="000000"/>
                <w:sz w:val="22"/>
                <w:szCs w:val="22"/>
                <w:lang w:val="en-GB"/>
              </w:rPr>
              <w:t xml:space="preserve">Database </w:t>
            </w:r>
          </w:p>
        </w:tc>
        <w:tc>
          <w:tcPr>
            <w:tcW w:w="3510" w:type="dxa"/>
            <w:tcMar>
              <w:top w:w="100" w:type="dxa"/>
              <w:left w:w="100" w:type="dxa"/>
              <w:bottom w:w="100" w:type="dxa"/>
              <w:right w:w="100" w:type="dxa"/>
            </w:tcMar>
          </w:tcPr>
          <w:p w14:paraId="54E6CC27" w14:textId="77777777" w:rsidR="00826870" w:rsidRPr="00820F7A" w:rsidRDefault="00B21388">
            <w:pPr>
              <w:pStyle w:val="Normal1"/>
              <w:widowControl w:val="0"/>
              <w:pBdr>
                <w:top w:val="nil"/>
                <w:left w:val="nil"/>
                <w:bottom w:val="nil"/>
                <w:right w:val="nil"/>
                <w:between w:val="nil"/>
              </w:pBdr>
              <w:rPr>
                <w:rFonts w:ascii="Arial" w:eastAsia="Arial" w:hAnsi="Arial" w:cs="Arial"/>
                <w:b/>
                <w:bCs/>
                <w:color w:val="000000"/>
                <w:sz w:val="22"/>
                <w:szCs w:val="22"/>
                <w:lang w:val="en-GB"/>
              </w:rPr>
            </w:pPr>
            <w:r w:rsidRPr="00820F7A">
              <w:rPr>
                <w:rFonts w:ascii="Arial" w:eastAsia="Arial" w:hAnsi="Arial" w:cs="Arial"/>
                <w:b/>
                <w:bCs/>
                <w:color w:val="000000"/>
                <w:sz w:val="22"/>
                <w:szCs w:val="22"/>
                <w:lang w:val="en-GB"/>
              </w:rPr>
              <w:t>Theme</w:t>
            </w:r>
          </w:p>
        </w:tc>
      </w:tr>
      <w:tr w:rsidR="00826870" w:rsidRPr="00820F7A" w14:paraId="11D7A91A" w14:textId="77777777">
        <w:trPr>
          <w:cantSplit/>
          <w:tblHeader/>
        </w:trPr>
        <w:tc>
          <w:tcPr>
            <w:tcW w:w="2750" w:type="dxa"/>
            <w:tcMar>
              <w:top w:w="100" w:type="dxa"/>
              <w:left w:w="100" w:type="dxa"/>
              <w:bottom w:w="100" w:type="dxa"/>
              <w:right w:w="100" w:type="dxa"/>
            </w:tcMar>
          </w:tcPr>
          <w:p w14:paraId="78A5D970" w14:textId="77777777" w:rsidR="00826870" w:rsidRPr="00820F7A" w:rsidRDefault="00B21388">
            <w:pPr>
              <w:pStyle w:val="Normal1"/>
              <w:widowControl w:val="0"/>
              <w:numPr>
                <w:ilvl w:val="0"/>
                <w:numId w:val="4"/>
              </w:numPr>
              <w:pBdr>
                <w:top w:val="nil"/>
                <w:left w:val="nil"/>
                <w:bottom w:val="nil"/>
                <w:right w:val="nil"/>
                <w:between w:val="nil"/>
              </w:pBdr>
              <w:rPr>
                <w:rFonts w:ascii="Arial" w:eastAsia="Arial" w:hAnsi="Arial" w:cs="Arial"/>
                <w:color w:val="000000"/>
                <w:sz w:val="22"/>
                <w:szCs w:val="22"/>
                <w:lang w:val="en-GB"/>
              </w:rPr>
            </w:pPr>
            <w:r w:rsidRPr="00820F7A">
              <w:rPr>
                <w:rFonts w:ascii="Arial" w:eastAsia="Arial" w:hAnsi="Arial" w:cs="Arial"/>
                <w:color w:val="000000"/>
                <w:sz w:val="22"/>
                <w:szCs w:val="22"/>
                <w:lang w:val="en-GB"/>
              </w:rPr>
              <w:t>“CLINICAL LEADERSHIP”</w:t>
            </w:r>
          </w:p>
          <w:p w14:paraId="0D93A4B6" w14:textId="77777777" w:rsidR="00826870" w:rsidRPr="00820F7A" w:rsidRDefault="00B21388">
            <w:pPr>
              <w:pStyle w:val="Normal1"/>
              <w:widowControl w:val="0"/>
              <w:numPr>
                <w:ilvl w:val="0"/>
                <w:numId w:val="4"/>
              </w:numPr>
              <w:pBdr>
                <w:top w:val="nil"/>
                <w:left w:val="nil"/>
                <w:bottom w:val="nil"/>
                <w:right w:val="nil"/>
                <w:between w:val="nil"/>
              </w:pBdr>
              <w:rPr>
                <w:rFonts w:ascii="Arial" w:eastAsia="Arial" w:hAnsi="Arial" w:cs="Arial"/>
                <w:color w:val="000000"/>
                <w:sz w:val="22"/>
                <w:szCs w:val="22"/>
                <w:lang w:val="en-GB"/>
              </w:rPr>
            </w:pPr>
            <w:r w:rsidRPr="00820F7A">
              <w:rPr>
                <w:rFonts w:ascii="Arial" w:eastAsia="Arial" w:hAnsi="Arial" w:cs="Arial"/>
                <w:color w:val="000000"/>
                <w:sz w:val="22"/>
                <w:szCs w:val="22"/>
                <w:lang w:val="en-GB"/>
              </w:rPr>
              <w:t xml:space="preserve">“PATIENT SAFETY” </w:t>
            </w:r>
          </w:p>
          <w:p w14:paraId="742299E1" w14:textId="77777777" w:rsidR="00826870" w:rsidRPr="00820F7A" w:rsidRDefault="00B21388">
            <w:pPr>
              <w:pStyle w:val="Normal1"/>
              <w:widowControl w:val="0"/>
              <w:numPr>
                <w:ilvl w:val="0"/>
                <w:numId w:val="4"/>
              </w:numPr>
              <w:pBdr>
                <w:top w:val="nil"/>
                <w:left w:val="nil"/>
                <w:bottom w:val="nil"/>
                <w:right w:val="nil"/>
                <w:between w:val="nil"/>
              </w:pBdr>
              <w:rPr>
                <w:rFonts w:ascii="Arial" w:eastAsia="Arial" w:hAnsi="Arial" w:cs="Arial"/>
                <w:color w:val="000000"/>
                <w:sz w:val="22"/>
                <w:szCs w:val="22"/>
                <w:lang w:val="en-GB"/>
              </w:rPr>
            </w:pPr>
            <w:r w:rsidRPr="00820F7A">
              <w:rPr>
                <w:rFonts w:ascii="Arial" w:eastAsia="Arial" w:hAnsi="Arial" w:cs="Arial"/>
                <w:color w:val="000000"/>
                <w:sz w:val="22"/>
                <w:szCs w:val="22"/>
                <w:lang w:val="en-GB"/>
              </w:rPr>
              <w:t>“UK HOSPITAL”</w:t>
            </w:r>
          </w:p>
        </w:tc>
        <w:tc>
          <w:tcPr>
            <w:tcW w:w="4410" w:type="dxa"/>
            <w:tcMar>
              <w:top w:w="100" w:type="dxa"/>
              <w:left w:w="100" w:type="dxa"/>
              <w:bottom w:w="100" w:type="dxa"/>
              <w:right w:w="100" w:type="dxa"/>
            </w:tcMar>
          </w:tcPr>
          <w:p w14:paraId="6E763CAE" w14:textId="77777777" w:rsidR="00826870" w:rsidRPr="00820F7A" w:rsidRDefault="00B21388">
            <w:pPr>
              <w:pStyle w:val="Normal1"/>
              <w:widowControl w:val="0"/>
              <w:numPr>
                <w:ilvl w:val="0"/>
                <w:numId w:val="4"/>
              </w:numPr>
              <w:pBdr>
                <w:top w:val="nil"/>
                <w:left w:val="nil"/>
                <w:bottom w:val="nil"/>
                <w:right w:val="nil"/>
                <w:between w:val="nil"/>
              </w:pBdr>
              <w:rPr>
                <w:rFonts w:ascii="Arial" w:eastAsia="Arial" w:hAnsi="Arial" w:cs="Arial"/>
                <w:color w:val="000000"/>
                <w:sz w:val="22"/>
                <w:szCs w:val="22"/>
                <w:lang w:val="en-GB"/>
              </w:rPr>
            </w:pPr>
            <w:r w:rsidRPr="00820F7A">
              <w:rPr>
                <w:rFonts w:ascii="Arial" w:eastAsia="Arial" w:hAnsi="Arial" w:cs="Arial"/>
                <w:color w:val="000000"/>
                <w:sz w:val="22"/>
                <w:szCs w:val="22"/>
                <w:lang w:val="en-GB"/>
              </w:rPr>
              <w:t xml:space="preserve">Attitude of health professionals </w:t>
            </w:r>
          </w:p>
          <w:p w14:paraId="4902C770" w14:textId="77777777" w:rsidR="00826870" w:rsidRPr="00820F7A" w:rsidRDefault="00B21388">
            <w:pPr>
              <w:pStyle w:val="Normal1"/>
              <w:widowControl w:val="0"/>
              <w:numPr>
                <w:ilvl w:val="0"/>
                <w:numId w:val="4"/>
              </w:numPr>
              <w:pBdr>
                <w:top w:val="nil"/>
                <w:left w:val="nil"/>
                <w:bottom w:val="nil"/>
                <w:right w:val="nil"/>
                <w:between w:val="nil"/>
              </w:pBdr>
              <w:rPr>
                <w:rFonts w:ascii="Arial" w:eastAsia="Arial" w:hAnsi="Arial" w:cs="Arial"/>
                <w:color w:val="000000"/>
                <w:sz w:val="22"/>
                <w:szCs w:val="22"/>
                <w:lang w:val="en-GB"/>
              </w:rPr>
            </w:pPr>
            <w:r w:rsidRPr="00820F7A">
              <w:rPr>
                <w:rFonts w:ascii="Arial" w:eastAsia="Arial" w:hAnsi="Arial" w:cs="Arial"/>
                <w:color w:val="000000"/>
                <w:sz w:val="22"/>
                <w:szCs w:val="22"/>
                <w:lang w:val="en-GB"/>
              </w:rPr>
              <w:t>Inter-professional relations</w:t>
            </w:r>
          </w:p>
          <w:p w14:paraId="0AA9E0A4" w14:textId="77777777" w:rsidR="00826870" w:rsidRPr="00820F7A" w:rsidRDefault="00B21388">
            <w:pPr>
              <w:pStyle w:val="Normal1"/>
              <w:widowControl w:val="0"/>
              <w:numPr>
                <w:ilvl w:val="0"/>
                <w:numId w:val="4"/>
              </w:numPr>
              <w:pBdr>
                <w:top w:val="nil"/>
                <w:left w:val="nil"/>
                <w:bottom w:val="nil"/>
                <w:right w:val="nil"/>
                <w:between w:val="nil"/>
              </w:pBdr>
              <w:rPr>
                <w:rFonts w:ascii="Arial" w:eastAsia="Arial" w:hAnsi="Arial" w:cs="Arial"/>
                <w:color w:val="000000"/>
                <w:sz w:val="22"/>
                <w:szCs w:val="22"/>
                <w:lang w:val="en-GB"/>
              </w:rPr>
            </w:pPr>
            <w:r w:rsidRPr="00820F7A">
              <w:rPr>
                <w:rFonts w:ascii="Arial" w:eastAsia="Arial" w:hAnsi="Arial" w:cs="Arial"/>
                <w:color w:val="000000"/>
                <w:sz w:val="22"/>
                <w:szCs w:val="22"/>
                <w:lang w:val="en-GB"/>
              </w:rPr>
              <w:t>Collaborative Supervisory</w:t>
            </w:r>
          </w:p>
          <w:p w14:paraId="321BBBF6" w14:textId="77777777" w:rsidR="00826870" w:rsidRPr="00820F7A" w:rsidRDefault="00B21388">
            <w:pPr>
              <w:pStyle w:val="Normal1"/>
              <w:widowControl w:val="0"/>
              <w:numPr>
                <w:ilvl w:val="0"/>
                <w:numId w:val="4"/>
              </w:numPr>
              <w:pBdr>
                <w:top w:val="nil"/>
                <w:left w:val="nil"/>
                <w:bottom w:val="nil"/>
                <w:right w:val="nil"/>
                <w:between w:val="nil"/>
              </w:pBdr>
              <w:rPr>
                <w:rFonts w:ascii="Arial" w:eastAsia="Arial" w:hAnsi="Arial" w:cs="Arial"/>
                <w:color w:val="000000"/>
                <w:sz w:val="22"/>
                <w:szCs w:val="22"/>
                <w:lang w:val="en-GB"/>
              </w:rPr>
            </w:pPr>
            <w:r w:rsidRPr="00820F7A">
              <w:rPr>
                <w:rFonts w:ascii="Arial" w:eastAsia="Arial" w:hAnsi="Arial" w:cs="Arial"/>
                <w:color w:val="000000"/>
                <w:sz w:val="22"/>
                <w:szCs w:val="22"/>
                <w:lang w:val="en-GB"/>
              </w:rPr>
              <w:t xml:space="preserve">Clinical competency </w:t>
            </w:r>
          </w:p>
        </w:tc>
        <w:tc>
          <w:tcPr>
            <w:tcW w:w="2790" w:type="dxa"/>
            <w:tcMar>
              <w:top w:w="100" w:type="dxa"/>
              <w:left w:w="100" w:type="dxa"/>
              <w:bottom w:w="100" w:type="dxa"/>
              <w:right w:w="100" w:type="dxa"/>
            </w:tcMar>
          </w:tcPr>
          <w:p w14:paraId="6D0691AC" w14:textId="77777777" w:rsidR="00826870" w:rsidRPr="00820F7A" w:rsidRDefault="00B21388">
            <w:pPr>
              <w:pStyle w:val="Normal1"/>
              <w:widowControl w:val="0"/>
              <w:numPr>
                <w:ilvl w:val="0"/>
                <w:numId w:val="3"/>
              </w:numPr>
              <w:pBdr>
                <w:top w:val="nil"/>
                <w:left w:val="nil"/>
                <w:bottom w:val="nil"/>
                <w:right w:val="nil"/>
                <w:between w:val="nil"/>
              </w:pBdr>
              <w:rPr>
                <w:rFonts w:ascii="Arial" w:eastAsia="Arial" w:hAnsi="Arial" w:cs="Arial"/>
                <w:color w:val="000000"/>
                <w:sz w:val="22"/>
                <w:szCs w:val="22"/>
                <w:lang w:val="en-GB"/>
              </w:rPr>
            </w:pPr>
            <w:r w:rsidRPr="00820F7A">
              <w:rPr>
                <w:rFonts w:ascii="Arial" w:eastAsia="Arial" w:hAnsi="Arial" w:cs="Arial"/>
                <w:color w:val="000000"/>
                <w:sz w:val="22"/>
                <w:szCs w:val="22"/>
                <w:lang w:val="en-GB"/>
              </w:rPr>
              <w:t>Google Scholar</w:t>
            </w:r>
          </w:p>
          <w:p w14:paraId="300F745D" w14:textId="77777777" w:rsidR="00826870" w:rsidRPr="00820F7A" w:rsidRDefault="00B21388">
            <w:pPr>
              <w:pStyle w:val="Normal1"/>
              <w:widowControl w:val="0"/>
              <w:numPr>
                <w:ilvl w:val="0"/>
                <w:numId w:val="3"/>
              </w:numPr>
              <w:pBdr>
                <w:top w:val="nil"/>
                <w:left w:val="nil"/>
                <w:bottom w:val="nil"/>
                <w:right w:val="nil"/>
                <w:between w:val="nil"/>
              </w:pBdr>
              <w:rPr>
                <w:rFonts w:ascii="Arial" w:eastAsia="Arial" w:hAnsi="Arial" w:cs="Arial"/>
                <w:color w:val="000000"/>
                <w:sz w:val="22"/>
                <w:szCs w:val="22"/>
                <w:lang w:val="en-GB"/>
              </w:rPr>
            </w:pPr>
            <w:r w:rsidRPr="00820F7A">
              <w:rPr>
                <w:rFonts w:ascii="Arial" w:eastAsia="Arial" w:hAnsi="Arial" w:cs="Arial"/>
                <w:color w:val="000000"/>
                <w:sz w:val="22"/>
                <w:szCs w:val="22"/>
                <w:lang w:val="en-GB"/>
              </w:rPr>
              <w:t xml:space="preserve">PubMed Central </w:t>
            </w:r>
          </w:p>
          <w:p w14:paraId="5BEFD772" w14:textId="77777777" w:rsidR="00826870" w:rsidRPr="00820F7A" w:rsidRDefault="00B21388">
            <w:pPr>
              <w:pStyle w:val="Normal1"/>
              <w:widowControl w:val="0"/>
              <w:numPr>
                <w:ilvl w:val="0"/>
                <w:numId w:val="3"/>
              </w:numPr>
              <w:pBdr>
                <w:top w:val="nil"/>
                <w:left w:val="nil"/>
                <w:bottom w:val="nil"/>
                <w:right w:val="nil"/>
                <w:between w:val="nil"/>
              </w:pBdr>
              <w:rPr>
                <w:rFonts w:ascii="Arial" w:eastAsia="Arial" w:hAnsi="Arial" w:cs="Arial"/>
                <w:color w:val="000000"/>
                <w:sz w:val="22"/>
                <w:szCs w:val="22"/>
                <w:lang w:val="en-GB"/>
              </w:rPr>
            </w:pPr>
            <w:r w:rsidRPr="00820F7A">
              <w:rPr>
                <w:rFonts w:ascii="Arial" w:eastAsia="Arial" w:hAnsi="Arial" w:cs="Arial"/>
                <w:color w:val="000000"/>
                <w:sz w:val="22"/>
                <w:szCs w:val="22"/>
                <w:lang w:val="en-GB"/>
              </w:rPr>
              <w:t>PubMed</w:t>
            </w:r>
          </w:p>
          <w:p w14:paraId="1B290B14" w14:textId="77777777" w:rsidR="00826870" w:rsidRPr="00820F7A" w:rsidRDefault="00826870">
            <w:pPr>
              <w:pStyle w:val="Normal1"/>
              <w:widowControl w:val="0"/>
              <w:pBdr>
                <w:top w:val="nil"/>
                <w:left w:val="nil"/>
                <w:bottom w:val="nil"/>
                <w:right w:val="nil"/>
                <w:between w:val="nil"/>
              </w:pBdr>
              <w:ind w:left="720" w:hanging="360"/>
              <w:rPr>
                <w:rFonts w:ascii="Arial" w:eastAsia="Arial" w:hAnsi="Arial" w:cs="Arial"/>
                <w:color w:val="000000"/>
                <w:sz w:val="22"/>
                <w:szCs w:val="22"/>
                <w:lang w:val="en-GB"/>
              </w:rPr>
            </w:pPr>
          </w:p>
        </w:tc>
        <w:tc>
          <w:tcPr>
            <w:tcW w:w="3510" w:type="dxa"/>
            <w:tcMar>
              <w:top w:w="100" w:type="dxa"/>
              <w:left w:w="100" w:type="dxa"/>
              <w:bottom w:w="100" w:type="dxa"/>
              <w:right w:w="100" w:type="dxa"/>
            </w:tcMar>
          </w:tcPr>
          <w:p w14:paraId="109ACFDE" w14:textId="77777777" w:rsidR="00826870" w:rsidRPr="00820F7A" w:rsidRDefault="00826870">
            <w:pPr>
              <w:pStyle w:val="Normal1"/>
              <w:widowControl w:val="0"/>
              <w:pBdr>
                <w:top w:val="nil"/>
                <w:left w:val="nil"/>
                <w:bottom w:val="nil"/>
                <w:right w:val="nil"/>
                <w:between w:val="nil"/>
              </w:pBdr>
              <w:rPr>
                <w:rFonts w:ascii="Arial" w:eastAsia="Arial" w:hAnsi="Arial" w:cs="Arial"/>
                <w:color w:val="000000"/>
                <w:sz w:val="22"/>
                <w:szCs w:val="22"/>
                <w:lang w:val="en-GB"/>
              </w:rPr>
            </w:pPr>
          </w:p>
          <w:p w14:paraId="1E2523B5" w14:textId="77777777" w:rsidR="00826870" w:rsidRPr="00820F7A" w:rsidRDefault="00B21388">
            <w:pPr>
              <w:pStyle w:val="Normal1"/>
              <w:widowControl w:val="0"/>
              <w:pBdr>
                <w:top w:val="nil"/>
                <w:left w:val="nil"/>
                <w:bottom w:val="nil"/>
                <w:right w:val="nil"/>
                <w:between w:val="nil"/>
              </w:pBdr>
              <w:rPr>
                <w:rFonts w:ascii="Arial" w:eastAsia="Arial" w:hAnsi="Arial" w:cs="Arial"/>
                <w:color w:val="000000"/>
                <w:sz w:val="22"/>
                <w:szCs w:val="22"/>
                <w:lang w:val="en-GB"/>
              </w:rPr>
            </w:pPr>
            <w:r w:rsidRPr="00820F7A">
              <w:rPr>
                <w:rFonts w:ascii="Arial" w:eastAsia="Arial" w:hAnsi="Arial" w:cs="Arial"/>
                <w:color w:val="000000"/>
                <w:sz w:val="22"/>
                <w:szCs w:val="22"/>
                <w:lang w:val="en-GB"/>
              </w:rPr>
              <w:t>Clinical Leadership For Ensuring Patient Safety culture in UK hospitals</w:t>
            </w:r>
          </w:p>
        </w:tc>
      </w:tr>
    </w:tbl>
    <w:p w14:paraId="197F15D3" w14:textId="77777777" w:rsidR="00826870" w:rsidRPr="00820F7A" w:rsidRDefault="00B21388">
      <w:pPr>
        <w:pStyle w:val="Heading5"/>
        <w:rPr>
          <w:lang w:val="en-GB"/>
        </w:rPr>
      </w:pPr>
      <w:bookmarkStart w:id="52" w:name="_heading=h.sxczee46clb2" w:colFirst="0" w:colLast="0"/>
      <w:bookmarkEnd w:id="52"/>
      <w:r w:rsidRPr="00820F7A">
        <w:rPr>
          <w:lang w:val="en-GB"/>
        </w:rPr>
        <w:t>Table 3.3: Data base search procedure</w:t>
      </w:r>
    </w:p>
    <w:p w14:paraId="3B750F27" w14:textId="77777777" w:rsidR="00826870" w:rsidRPr="00820F7A" w:rsidRDefault="00B21388">
      <w:pPr>
        <w:pStyle w:val="Normal1"/>
        <w:pBdr>
          <w:top w:val="nil"/>
          <w:left w:val="nil"/>
          <w:bottom w:val="nil"/>
          <w:right w:val="nil"/>
          <w:between w:val="nil"/>
        </w:pBdr>
        <w:jc w:val="center"/>
        <w:rPr>
          <w:color w:val="000000"/>
          <w:lang w:val="en-GB"/>
        </w:rPr>
      </w:pPr>
      <w:r w:rsidRPr="00820F7A">
        <w:rPr>
          <w:color w:val="000000"/>
          <w:lang w:val="en-GB"/>
        </w:rPr>
        <w:t>(Source: Created by the author)</w:t>
      </w:r>
    </w:p>
    <w:p w14:paraId="14D31A4C" w14:textId="77777777" w:rsidR="00826870" w:rsidRPr="00820F7A" w:rsidRDefault="00826870">
      <w:pPr>
        <w:pStyle w:val="Normal1"/>
        <w:pBdr>
          <w:top w:val="nil"/>
          <w:left w:val="nil"/>
          <w:bottom w:val="nil"/>
          <w:right w:val="nil"/>
          <w:between w:val="nil"/>
        </w:pBdr>
        <w:rPr>
          <w:color w:val="000000"/>
          <w:lang w:val="en-GB"/>
        </w:rPr>
      </w:pPr>
    </w:p>
    <w:p w14:paraId="01A481E5"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Wang et al. (2021) have analysed that using the MeSH term has been shown to be effective in improving search results and is widely used as a search term for systematic review. The search has been conducted on different databases including Google Scholar, PubMed Central and PubMed enabled in gathering accurate, relevant and updated information within 2021 to 2025. Based on the findings the key theme developed includes “Clinical Leadership for Ensuring Patient Safety culture in UK hospitals”. </w:t>
      </w:r>
    </w:p>
    <w:p w14:paraId="1F17EF15" w14:textId="77777777" w:rsidR="00826870" w:rsidRPr="00820F7A" w:rsidRDefault="00B21388">
      <w:pPr>
        <w:pStyle w:val="Heading2"/>
        <w:rPr>
          <w:lang w:val="en-GB"/>
        </w:rPr>
      </w:pPr>
      <w:bookmarkStart w:id="53" w:name="_Toc220759498"/>
      <w:r w:rsidRPr="00820F7A">
        <w:rPr>
          <w:lang w:val="en-GB"/>
        </w:rPr>
        <w:t>3.9.4 HAND search</w:t>
      </w:r>
      <w:bookmarkEnd w:id="53"/>
    </w:p>
    <w:p w14:paraId="743BB7A4"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Hand search has been conducted for obtaining information regarding the impact of clinical leadership in improving patient safety culture by conducting research through Google search. Chikada</w:t>
      </w:r>
      <w:r w:rsidRPr="00820F7A">
        <w:rPr>
          <w:i/>
          <w:iCs/>
          <w:color w:val="000000"/>
          <w:lang w:val="en-GB"/>
        </w:rPr>
        <w:t xml:space="preserve">et al. </w:t>
      </w:r>
      <w:r w:rsidRPr="00820F7A">
        <w:rPr>
          <w:color w:val="000000"/>
          <w:lang w:val="en-GB"/>
        </w:rPr>
        <w:t xml:space="preserve">(2021) have outlined that hand search is effective in obtaining reliable and precise data for systematic review to support the findings of the study. The search has been conducted using key terms such as Clinical leadership, patient safety culture and UK hospitals for obtaining specific and accurate data from hand search. Thus, hand research has been conducted in their study that focused on obtaining information that is related to clinical leadership, patient safety culture using Google Scholar. </w:t>
      </w:r>
    </w:p>
    <w:p w14:paraId="32011111" w14:textId="77777777" w:rsidR="00826870" w:rsidRPr="00820F7A" w:rsidRDefault="00B21388">
      <w:pPr>
        <w:pStyle w:val="Heading2"/>
        <w:rPr>
          <w:lang w:val="en-GB"/>
        </w:rPr>
      </w:pPr>
      <w:bookmarkStart w:id="54" w:name="_Toc220759499"/>
      <w:r w:rsidRPr="00820F7A">
        <w:rPr>
          <w:lang w:val="en-GB"/>
        </w:rPr>
        <w:t>3.9.5 Grey literature</w:t>
      </w:r>
      <w:bookmarkEnd w:id="54"/>
    </w:p>
    <w:p w14:paraId="6DF88C6B"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The grey literature has been gathered that includes additional information on clinical leadership and patient safety culture including government reports, healthcare records, patient reports in the UK healthcare sector. Khraisha</w:t>
      </w:r>
      <w:r w:rsidRPr="00820F7A">
        <w:rPr>
          <w:i/>
          <w:iCs/>
          <w:color w:val="000000"/>
          <w:lang w:val="en-GB"/>
        </w:rPr>
        <w:t xml:space="preserve">et al. </w:t>
      </w:r>
      <w:r w:rsidRPr="00820F7A">
        <w:rPr>
          <w:color w:val="000000"/>
          <w:lang w:val="en-GB"/>
        </w:rPr>
        <w:t xml:space="preserve">(2024) have analysed that the findings of the study can be supported by using grey literature that includes additional reports and government records on the specific issues. Thus, the implication of grey literature has been integrated that assisted in gathering additional information on the current when leadership approaches implemented in UK hospitals for patient safety culture. </w:t>
      </w:r>
    </w:p>
    <w:p w14:paraId="732FDD81" w14:textId="77777777" w:rsidR="00826870" w:rsidRPr="00820F7A" w:rsidRDefault="00B21388">
      <w:pPr>
        <w:pStyle w:val="Heading2"/>
        <w:rPr>
          <w:lang w:val="en-GB"/>
        </w:rPr>
      </w:pPr>
      <w:bookmarkStart w:id="55" w:name="_Toc220759500"/>
      <w:r w:rsidRPr="00820F7A">
        <w:rPr>
          <w:lang w:val="en-GB"/>
        </w:rPr>
        <w:t>3.9.6 Inclusion/Exclusion</w:t>
      </w:r>
      <w:bookmarkEnd w:id="55"/>
    </w:p>
    <w:tbl>
      <w:tblPr>
        <w:tblStyle w:val="afff3"/>
        <w:tblW w:w="13590" w:type="dxa"/>
        <w:tblInd w:w="-5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60"/>
        <w:gridCol w:w="5630"/>
        <w:gridCol w:w="6300"/>
      </w:tblGrid>
      <w:tr w:rsidR="00826870" w:rsidRPr="00820F7A" w14:paraId="3AE30A3D" w14:textId="77777777">
        <w:trPr>
          <w:cantSplit/>
          <w:tblHeader/>
        </w:trPr>
        <w:tc>
          <w:tcPr>
            <w:tcW w:w="1660" w:type="dxa"/>
            <w:tcMar>
              <w:top w:w="100" w:type="dxa"/>
              <w:left w:w="100" w:type="dxa"/>
              <w:bottom w:w="100" w:type="dxa"/>
              <w:right w:w="100" w:type="dxa"/>
            </w:tcMar>
          </w:tcPr>
          <w:p w14:paraId="0E5188CA" w14:textId="77777777" w:rsidR="00826870" w:rsidRPr="00820F7A" w:rsidRDefault="00B21388">
            <w:pPr>
              <w:pStyle w:val="Normal1"/>
              <w:widowControl w:val="0"/>
              <w:pBdr>
                <w:top w:val="nil"/>
                <w:left w:val="nil"/>
                <w:bottom w:val="nil"/>
                <w:right w:val="nil"/>
                <w:between w:val="nil"/>
              </w:pBdr>
              <w:rPr>
                <w:rFonts w:ascii="Arial" w:eastAsia="Arial" w:hAnsi="Arial" w:cs="Arial"/>
                <w:b/>
                <w:bCs/>
                <w:color w:val="000000"/>
                <w:sz w:val="22"/>
                <w:szCs w:val="22"/>
                <w:lang w:val="en-GB"/>
              </w:rPr>
            </w:pPr>
            <w:r w:rsidRPr="00820F7A">
              <w:rPr>
                <w:rFonts w:ascii="Arial" w:eastAsia="Arial" w:hAnsi="Arial" w:cs="Arial"/>
                <w:b/>
                <w:bCs/>
                <w:color w:val="000000"/>
                <w:sz w:val="22"/>
                <w:szCs w:val="22"/>
                <w:lang w:val="en-GB"/>
              </w:rPr>
              <w:t>PICO used</w:t>
            </w:r>
          </w:p>
        </w:tc>
        <w:tc>
          <w:tcPr>
            <w:tcW w:w="5630" w:type="dxa"/>
            <w:tcMar>
              <w:top w:w="100" w:type="dxa"/>
              <w:left w:w="100" w:type="dxa"/>
              <w:bottom w:w="100" w:type="dxa"/>
              <w:right w:w="100" w:type="dxa"/>
            </w:tcMar>
          </w:tcPr>
          <w:p w14:paraId="68F968A6" w14:textId="77777777" w:rsidR="00826870" w:rsidRPr="00820F7A" w:rsidRDefault="00B21388">
            <w:pPr>
              <w:pStyle w:val="Normal1"/>
              <w:widowControl w:val="0"/>
              <w:pBdr>
                <w:top w:val="nil"/>
                <w:left w:val="nil"/>
                <w:bottom w:val="nil"/>
                <w:right w:val="nil"/>
                <w:between w:val="nil"/>
              </w:pBdr>
              <w:rPr>
                <w:rFonts w:ascii="Arial" w:eastAsia="Arial" w:hAnsi="Arial" w:cs="Arial"/>
                <w:b/>
                <w:bCs/>
                <w:color w:val="000000"/>
                <w:sz w:val="22"/>
                <w:szCs w:val="22"/>
                <w:lang w:val="en-GB"/>
              </w:rPr>
            </w:pPr>
            <w:r w:rsidRPr="00820F7A">
              <w:rPr>
                <w:rFonts w:ascii="Arial" w:eastAsia="Arial" w:hAnsi="Arial" w:cs="Arial"/>
                <w:b/>
                <w:bCs/>
                <w:color w:val="000000"/>
                <w:sz w:val="22"/>
                <w:szCs w:val="22"/>
                <w:lang w:val="en-GB"/>
              </w:rPr>
              <w:t xml:space="preserve">Inclusion Criteria </w:t>
            </w:r>
          </w:p>
        </w:tc>
        <w:tc>
          <w:tcPr>
            <w:tcW w:w="6300" w:type="dxa"/>
            <w:tcMar>
              <w:top w:w="100" w:type="dxa"/>
              <w:left w:w="100" w:type="dxa"/>
              <w:bottom w:w="100" w:type="dxa"/>
              <w:right w:w="100" w:type="dxa"/>
            </w:tcMar>
          </w:tcPr>
          <w:p w14:paraId="43309C25" w14:textId="77777777" w:rsidR="00826870" w:rsidRPr="00820F7A" w:rsidRDefault="00B21388">
            <w:pPr>
              <w:pStyle w:val="Normal1"/>
              <w:widowControl w:val="0"/>
              <w:pBdr>
                <w:top w:val="nil"/>
                <w:left w:val="nil"/>
                <w:bottom w:val="nil"/>
                <w:right w:val="nil"/>
                <w:between w:val="nil"/>
              </w:pBdr>
              <w:rPr>
                <w:rFonts w:ascii="Arial" w:eastAsia="Arial" w:hAnsi="Arial" w:cs="Arial"/>
                <w:b/>
                <w:bCs/>
                <w:color w:val="000000"/>
                <w:sz w:val="22"/>
                <w:szCs w:val="22"/>
                <w:lang w:val="en-GB"/>
              </w:rPr>
            </w:pPr>
            <w:r w:rsidRPr="00820F7A">
              <w:rPr>
                <w:rFonts w:ascii="Arial" w:eastAsia="Arial" w:hAnsi="Arial" w:cs="Arial"/>
                <w:b/>
                <w:bCs/>
                <w:color w:val="000000"/>
                <w:sz w:val="22"/>
                <w:szCs w:val="22"/>
                <w:lang w:val="en-GB"/>
              </w:rPr>
              <w:t>Exclusion Criteria</w:t>
            </w:r>
          </w:p>
        </w:tc>
      </w:tr>
      <w:tr w:rsidR="00826870" w:rsidRPr="00820F7A" w14:paraId="2D9A4DCC" w14:textId="77777777">
        <w:trPr>
          <w:cantSplit/>
          <w:tblHeader/>
        </w:trPr>
        <w:tc>
          <w:tcPr>
            <w:tcW w:w="1660" w:type="dxa"/>
            <w:tcMar>
              <w:top w:w="100" w:type="dxa"/>
              <w:left w:w="100" w:type="dxa"/>
              <w:bottom w:w="100" w:type="dxa"/>
              <w:right w:w="100" w:type="dxa"/>
            </w:tcMar>
          </w:tcPr>
          <w:p w14:paraId="330C94FC" w14:textId="77777777" w:rsidR="00826870" w:rsidRPr="00820F7A" w:rsidRDefault="00B21388">
            <w:pPr>
              <w:pStyle w:val="Normal1"/>
              <w:widowControl w:val="0"/>
              <w:pBdr>
                <w:top w:val="nil"/>
                <w:left w:val="nil"/>
                <w:bottom w:val="nil"/>
                <w:right w:val="nil"/>
                <w:between w:val="nil"/>
              </w:pBdr>
              <w:rPr>
                <w:rFonts w:ascii="Arial" w:eastAsia="Arial" w:hAnsi="Arial" w:cs="Arial"/>
                <w:b/>
                <w:bCs/>
                <w:color w:val="000000"/>
                <w:sz w:val="22"/>
                <w:szCs w:val="22"/>
                <w:lang w:val="en-GB"/>
              </w:rPr>
            </w:pPr>
            <w:r w:rsidRPr="00820F7A">
              <w:rPr>
                <w:rFonts w:ascii="Arial" w:eastAsia="Arial" w:hAnsi="Arial" w:cs="Arial"/>
                <w:b/>
                <w:bCs/>
                <w:color w:val="000000"/>
                <w:sz w:val="22"/>
                <w:szCs w:val="22"/>
                <w:lang w:val="en-GB"/>
              </w:rPr>
              <w:t>Population</w:t>
            </w:r>
          </w:p>
        </w:tc>
        <w:tc>
          <w:tcPr>
            <w:tcW w:w="5630" w:type="dxa"/>
            <w:tcMar>
              <w:top w:w="100" w:type="dxa"/>
              <w:left w:w="100" w:type="dxa"/>
              <w:bottom w:w="100" w:type="dxa"/>
              <w:right w:w="100" w:type="dxa"/>
            </w:tcMar>
          </w:tcPr>
          <w:p w14:paraId="04BC64B0" w14:textId="77777777" w:rsidR="00826870" w:rsidRPr="00820F7A" w:rsidRDefault="00B21388">
            <w:pPr>
              <w:pStyle w:val="Normal1"/>
              <w:widowControl w:val="0"/>
              <w:pBdr>
                <w:top w:val="nil"/>
                <w:left w:val="nil"/>
                <w:bottom w:val="nil"/>
                <w:right w:val="nil"/>
                <w:between w:val="nil"/>
              </w:pBdr>
              <w:rPr>
                <w:rFonts w:ascii="Arial" w:eastAsia="Arial" w:hAnsi="Arial" w:cs="Arial"/>
                <w:color w:val="000000"/>
                <w:sz w:val="22"/>
                <w:szCs w:val="22"/>
                <w:lang w:val="en-GB"/>
              </w:rPr>
            </w:pPr>
            <w:r w:rsidRPr="00820F7A">
              <w:rPr>
                <w:rFonts w:ascii="Arial" w:eastAsia="Arial" w:hAnsi="Arial" w:cs="Arial"/>
                <w:color w:val="000000"/>
                <w:sz w:val="22"/>
                <w:szCs w:val="22"/>
                <w:lang w:val="en-GB"/>
              </w:rPr>
              <w:t>Patient with specific health issues that have obtained treatment from one of the UK hospitals</w:t>
            </w:r>
          </w:p>
        </w:tc>
        <w:tc>
          <w:tcPr>
            <w:tcW w:w="6300" w:type="dxa"/>
            <w:tcMar>
              <w:top w:w="100" w:type="dxa"/>
              <w:left w:w="100" w:type="dxa"/>
              <w:bottom w:w="100" w:type="dxa"/>
              <w:right w:w="100" w:type="dxa"/>
            </w:tcMar>
          </w:tcPr>
          <w:p w14:paraId="4A6F5EF2" w14:textId="77777777" w:rsidR="00826870" w:rsidRPr="00820F7A" w:rsidRDefault="00B21388">
            <w:pPr>
              <w:pStyle w:val="Normal1"/>
              <w:widowControl w:val="0"/>
              <w:pBdr>
                <w:top w:val="nil"/>
                <w:left w:val="nil"/>
                <w:bottom w:val="nil"/>
                <w:right w:val="nil"/>
                <w:between w:val="nil"/>
              </w:pBdr>
              <w:rPr>
                <w:rFonts w:ascii="Arial" w:eastAsia="Arial" w:hAnsi="Arial" w:cs="Arial"/>
                <w:color w:val="000000"/>
                <w:sz w:val="22"/>
                <w:szCs w:val="22"/>
                <w:lang w:val="en-GB"/>
              </w:rPr>
            </w:pPr>
            <w:r w:rsidRPr="00820F7A">
              <w:rPr>
                <w:rFonts w:ascii="Arial" w:eastAsia="Arial" w:hAnsi="Arial" w:cs="Arial"/>
                <w:color w:val="000000"/>
                <w:sz w:val="22"/>
                <w:szCs w:val="22"/>
                <w:lang w:val="en-GB"/>
              </w:rPr>
              <w:t>Excluded articles that lacks information related to UK-based population</w:t>
            </w:r>
          </w:p>
        </w:tc>
      </w:tr>
      <w:tr w:rsidR="00826870" w:rsidRPr="00820F7A" w14:paraId="555901B5" w14:textId="77777777">
        <w:trPr>
          <w:cantSplit/>
          <w:tblHeader/>
        </w:trPr>
        <w:tc>
          <w:tcPr>
            <w:tcW w:w="1660" w:type="dxa"/>
            <w:tcMar>
              <w:top w:w="100" w:type="dxa"/>
              <w:left w:w="100" w:type="dxa"/>
              <w:bottom w:w="100" w:type="dxa"/>
              <w:right w:w="100" w:type="dxa"/>
            </w:tcMar>
          </w:tcPr>
          <w:p w14:paraId="13A74375" w14:textId="77777777" w:rsidR="00826870" w:rsidRPr="00820F7A" w:rsidRDefault="00B21388">
            <w:pPr>
              <w:pStyle w:val="Normal1"/>
              <w:widowControl w:val="0"/>
              <w:pBdr>
                <w:top w:val="nil"/>
                <w:left w:val="nil"/>
                <w:bottom w:val="nil"/>
                <w:right w:val="nil"/>
                <w:between w:val="nil"/>
              </w:pBdr>
              <w:rPr>
                <w:rFonts w:ascii="Arial" w:eastAsia="Arial" w:hAnsi="Arial" w:cs="Arial"/>
                <w:b/>
                <w:bCs/>
                <w:color w:val="000000"/>
                <w:sz w:val="22"/>
                <w:szCs w:val="22"/>
                <w:lang w:val="en-GB"/>
              </w:rPr>
            </w:pPr>
            <w:r w:rsidRPr="00820F7A">
              <w:rPr>
                <w:rFonts w:ascii="Arial" w:eastAsia="Arial" w:hAnsi="Arial" w:cs="Arial"/>
                <w:b/>
                <w:bCs/>
                <w:color w:val="000000"/>
                <w:sz w:val="22"/>
                <w:szCs w:val="22"/>
                <w:lang w:val="en-GB"/>
              </w:rPr>
              <w:t>Intervention</w:t>
            </w:r>
          </w:p>
        </w:tc>
        <w:tc>
          <w:tcPr>
            <w:tcW w:w="5630" w:type="dxa"/>
            <w:tcMar>
              <w:top w:w="100" w:type="dxa"/>
              <w:left w:w="100" w:type="dxa"/>
              <w:bottom w:w="100" w:type="dxa"/>
              <w:right w:w="100" w:type="dxa"/>
            </w:tcMar>
          </w:tcPr>
          <w:p w14:paraId="12D3A9C3" w14:textId="77777777" w:rsidR="00826870" w:rsidRPr="00820F7A" w:rsidRDefault="00B21388">
            <w:pPr>
              <w:pStyle w:val="Normal1"/>
              <w:widowControl w:val="0"/>
              <w:pBdr>
                <w:top w:val="nil"/>
                <w:left w:val="nil"/>
                <w:bottom w:val="nil"/>
                <w:right w:val="nil"/>
                <w:between w:val="nil"/>
              </w:pBdr>
              <w:rPr>
                <w:rFonts w:ascii="Arial" w:eastAsia="Arial" w:hAnsi="Arial" w:cs="Arial"/>
                <w:color w:val="000000"/>
                <w:sz w:val="22"/>
                <w:szCs w:val="22"/>
                <w:lang w:val="en-GB"/>
              </w:rPr>
            </w:pPr>
            <w:r w:rsidRPr="00820F7A">
              <w:rPr>
                <w:rFonts w:ascii="Arial" w:eastAsia="Arial" w:hAnsi="Arial" w:cs="Arial"/>
                <w:color w:val="000000"/>
                <w:sz w:val="22"/>
                <w:szCs w:val="22"/>
                <w:lang w:val="en-GB"/>
              </w:rPr>
              <w:t xml:space="preserve">Articles that have specified the implications of clinical leadership have been included </w:t>
            </w:r>
          </w:p>
        </w:tc>
        <w:tc>
          <w:tcPr>
            <w:tcW w:w="6300" w:type="dxa"/>
            <w:tcMar>
              <w:top w:w="100" w:type="dxa"/>
              <w:left w:w="100" w:type="dxa"/>
              <w:bottom w:w="100" w:type="dxa"/>
              <w:right w:w="100" w:type="dxa"/>
            </w:tcMar>
          </w:tcPr>
          <w:p w14:paraId="5D24518A" w14:textId="77777777" w:rsidR="00826870" w:rsidRPr="00820F7A" w:rsidRDefault="00B21388">
            <w:pPr>
              <w:pStyle w:val="Normal1"/>
              <w:widowControl w:val="0"/>
              <w:pBdr>
                <w:top w:val="nil"/>
                <w:left w:val="nil"/>
                <w:bottom w:val="nil"/>
                <w:right w:val="nil"/>
                <w:between w:val="nil"/>
              </w:pBdr>
              <w:rPr>
                <w:rFonts w:ascii="Arial" w:eastAsia="Arial" w:hAnsi="Arial" w:cs="Arial"/>
                <w:color w:val="000000"/>
                <w:sz w:val="22"/>
                <w:szCs w:val="22"/>
                <w:lang w:val="en-GB"/>
              </w:rPr>
            </w:pPr>
            <w:r w:rsidRPr="00820F7A">
              <w:rPr>
                <w:rFonts w:ascii="Arial" w:eastAsia="Arial" w:hAnsi="Arial" w:cs="Arial"/>
                <w:color w:val="000000"/>
                <w:sz w:val="22"/>
                <w:szCs w:val="22"/>
                <w:lang w:val="en-GB"/>
              </w:rPr>
              <w:t xml:space="preserve">Articles that have limited discussion focus on leadership and other management aspects such as nursing staff and administrative teams have been excluded. </w:t>
            </w:r>
          </w:p>
        </w:tc>
      </w:tr>
      <w:tr w:rsidR="00826870" w:rsidRPr="00820F7A" w14:paraId="72F381B6" w14:textId="77777777">
        <w:trPr>
          <w:cantSplit/>
          <w:tblHeader/>
        </w:trPr>
        <w:tc>
          <w:tcPr>
            <w:tcW w:w="1660" w:type="dxa"/>
            <w:tcMar>
              <w:top w:w="100" w:type="dxa"/>
              <w:left w:w="100" w:type="dxa"/>
              <w:bottom w:w="100" w:type="dxa"/>
              <w:right w:w="100" w:type="dxa"/>
            </w:tcMar>
          </w:tcPr>
          <w:p w14:paraId="52A37025" w14:textId="77777777" w:rsidR="00826870" w:rsidRPr="00820F7A" w:rsidRDefault="00B21388">
            <w:pPr>
              <w:pStyle w:val="Normal1"/>
              <w:widowControl w:val="0"/>
              <w:pBdr>
                <w:top w:val="nil"/>
                <w:left w:val="nil"/>
                <w:bottom w:val="nil"/>
                <w:right w:val="nil"/>
                <w:between w:val="nil"/>
              </w:pBdr>
              <w:rPr>
                <w:rFonts w:ascii="Arial" w:eastAsia="Arial" w:hAnsi="Arial" w:cs="Arial"/>
                <w:b/>
                <w:bCs/>
                <w:color w:val="000000"/>
                <w:sz w:val="22"/>
                <w:szCs w:val="22"/>
                <w:lang w:val="en-GB"/>
              </w:rPr>
            </w:pPr>
            <w:r w:rsidRPr="00820F7A">
              <w:rPr>
                <w:rFonts w:ascii="Arial" w:eastAsia="Arial" w:hAnsi="Arial" w:cs="Arial"/>
                <w:b/>
                <w:bCs/>
                <w:color w:val="000000"/>
                <w:sz w:val="22"/>
                <w:szCs w:val="22"/>
                <w:lang w:val="en-GB"/>
              </w:rPr>
              <w:t>Comparison</w:t>
            </w:r>
          </w:p>
        </w:tc>
        <w:tc>
          <w:tcPr>
            <w:tcW w:w="5630" w:type="dxa"/>
            <w:tcMar>
              <w:top w:w="100" w:type="dxa"/>
              <w:left w:w="100" w:type="dxa"/>
              <w:bottom w:w="100" w:type="dxa"/>
              <w:right w:w="100" w:type="dxa"/>
            </w:tcMar>
          </w:tcPr>
          <w:p w14:paraId="63120ACA" w14:textId="77777777" w:rsidR="00826870" w:rsidRPr="00820F7A" w:rsidRDefault="00B21388">
            <w:pPr>
              <w:pStyle w:val="Normal1"/>
              <w:widowControl w:val="0"/>
              <w:pBdr>
                <w:top w:val="nil"/>
                <w:left w:val="nil"/>
                <w:bottom w:val="nil"/>
                <w:right w:val="nil"/>
                <w:between w:val="nil"/>
              </w:pBdr>
              <w:rPr>
                <w:rFonts w:ascii="Arial" w:eastAsia="Arial" w:hAnsi="Arial" w:cs="Arial"/>
                <w:color w:val="000000"/>
                <w:sz w:val="22"/>
                <w:szCs w:val="22"/>
                <w:lang w:val="en-GB"/>
              </w:rPr>
            </w:pPr>
            <w:r w:rsidRPr="00820F7A">
              <w:rPr>
                <w:rFonts w:ascii="Arial" w:eastAsia="Arial" w:hAnsi="Arial" w:cs="Arial"/>
                <w:color w:val="000000"/>
                <w:sz w:val="22"/>
                <w:szCs w:val="22"/>
                <w:lang w:val="en-GB"/>
              </w:rPr>
              <w:t xml:space="preserve">The articles containing ethical and clinical leadership has been included in the study </w:t>
            </w:r>
          </w:p>
        </w:tc>
        <w:tc>
          <w:tcPr>
            <w:tcW w:w="6300" w:type="dxa"/>
            <w:tcMar>
              <w:top w:w="100" w:type="dxa"/>
              <w:left w:w="100" w:type="dxa"/>
              <w:bottom w:w="100" w:type="dxa"/>
              <w:right w:w="100" w:type="dxa"/>
            </w:tcMar>
          </w:tcPr>
          <w:p w14:paraId="4634CEEF" w14:textId="77777777" w:rsidR="00826870" w:rsidRPr="00820F7A" w:rsidRDefault="00B21388">
            <w:pPr>
              <w:pStyle w:val="Normal1"/>
              <w:widowControl w:val="0"/>
              <w:pBdr>
                <w:top w:val="nil"/>
                <w:left w:val="nil"/>
                <w:bottom w:val="nil"/>
                <w:right w:val="nil"/>
                <w:between w:val="nil"/>
              </w:pBdr>
              <w:rPr>
                <w:rFonts w:ascii="Arial" w:eastAsia="Arial" w:hAnsi="Arial" w:cs="Arial"/>
                <w:color w:val="000000"/>
                <w:sz w:val="22"/>
                <w:szCs w:val="22"/>
                <w:lang w:val="en-GB"/>
              </w:rPr>
            </w:pPr>
            <w:r w:rsidRPr="00820F7A">
              <w:rPr>
                <w:rFonts w:ascii="Arial" w:eastAsia="Arial" w:hAnsi="Arial" w:cs="Arial"/>
                <w:color w:val="000000"/>
                <w:sz w:val="22"/>
                <w:szCs w:val="22"/>
                <w:lang w:val="en-GB"/>
              </w:rPr>
              <w:t xml:space="preserve"> Articles limited in analysing the ethical and clinical leadership for developing patient safety culture is excluded </w:t>
            </w:r>
          </w:p>
        </w:tc>
      </w:tr>
      <w:tr w:rsidR="00826870" w:rsidRPr="00820F7A" w14:paraId="28F09DA8" w14:textId="77777777">
        <w:trPr>
          <w:cantSplit/>
          <w:tblHeader/>
        </w:trPr>
        <w:tc>
          <w:tcPr>
            <w:tcW w:w="1660" w:type="dxa"/>
            <w:tcMar>
              <w:top w:w="100" w:type="dxa"/>
              <w:left w:w="100" w:type="dxa"/>
              <w:bottom w:w="100" w:type="dxa"/>
              <w:right w:w="100" w:type="dxa"/>
            </w:tcMar>
          </w:tcPr>
          <w:p w14:paraId="02C409A0" w14:textId="77777777" w:rsidR="00826870" w:rsidRPr="00820F7A" w:rsidRDefault="00B21388">
            <w:pPr>
              <w:pStyle w:val="Normal1"/>
              <w:widowControl w:val="0"/>
              <w:pBdr>
                <w:top w:val="nil"/>
                <w:left w:val="nil"/>
                <w:bottom w:val="nil"/>
                <w:right w:val="nil"/>
                <w:between w:val="nil"/>
              </w:pBdr>
              <w:rPr>
                <w:rFonts w:ascii="Arial" w:eastAsia="Arial" w:hAnsi="Arial" w:cs="Arial"/>
                <w:b/>
                <w:bCs/>
                <w:color w:val="000000"/>
                <w:sz w:val="22"/>
                <w:szCs w:val="22"/>
                <w:lang w:val="en-GB"/>
              </w:rPr>
            </w:pPr>
            <w:r w:rsidRPr="00820F7A">
              <w:rPr>
                <w:rFonts w:ascii="Arial" w:eastAsia="Arial" w:hAnsi="Arial" w:cs="Arial"/>
                <w:b/>
                <w:bCs/>
                <w:color w:val="000000"/>
                <w:sz w:val="22"/>
                <w:szCs w:val="22"/>
                <w:lang w:val="en-GB"/>
              </w:rPr>
              <w:t>Outcome</w:t>
            </w:r>
          </w:p>
        </w:tc>
        <w:tc>
          <w:tcPr>
            <w:tcW w:w="5630" w:type="dxa"/>
            <w:tcMar>
              <w:top w:w="100" w:type="dxa"/>
              <w:left w:w="100" w:type="dxa"/>
              <w:bottom w:w="100" w:type="dxa"/>
              <w:right w:w="100" w:type="dxa"/>
            </w:tcMar>
          </w:tcPr>
          <w:p w14:paraId="35B1DED2" w14:textId="77777777" w:rsidR="00826870" w:rsidRPr="00820F7A" w:rsidRDefault="00B21388">
            <w:pPr>
              <w:pStyle w:val="Normal1"/>
              <w:widowControl w:val="0"/>
              <w:pBdr>
                <w:top w:val="nil"/>
                <w:left w:val="nil"/>
                <w:bottom w:val="nil"/>
                <w:right w:val="nil"/>
                <w:between w:val="nil"/>
              </w:pBdr>
              <w:rPr>
                <w:rFonts w:ascii="Arial" w:eastAsia="Arial" w:hAnsi="Arial" w:cs="Arial"/>
                <w:color w:val="000000"/>
                <w:sz w:val="22"/>
                <w:szCs w:val="22"/>
                <w:lang w:val="en-GB"/>
              </w:rPr>
            </w:pPr>
            <w:r w:rsidRPr="00820F7A">
              <w:rPr>
                <w:rFonts w:ascii="Arial" w:eastAsia="Arial" w:hAnsi="Arial" w:cs="Arial"/>
                <w:color w:val="000000"/>
                <w:sz w:val="22"/>
                <w:szCs w:val="22"/>
                <w:lang w:val="en-GB"/>
              </w:rPr>
              <w:t xml:space="preserve">The articles clearly defining the role and impact of clinical leadership has been included for analysing the development of safe healthcare environment for patient safety </w:t>
            </w:r>
          </w:p>
        </w:tc>
        <w:tc>
          <w:tcPr>
            <w:tcW w:w="6300" w:type="dxa"/>
            <w:tcMar>
              <w:top w:w="100" w:type="dxa"/>
              <w:left w:w="100" w:type="dxa"/>
              <w:bottom w:w="100" w:type="dxa"/>
              <w:right w:w="100" w:type="dxa"/>
            </w:tcMar>
          </w:tcPr>
          <w:p w14:paraId="03BDF1C4" w14:textId="77777777" w:rsidR="00826870" w:rsidRPr="00820F7A" w:rsidRDefault="00B21388">
            <w:pPr>
              <w:pStyle w:val="Normal1"/>
              <w:widowControl w:val="0"/>
              <w:pBdr>
                <w:top w:val="nil"/>
                <w:left w:val="nil"/>
                <w:bottom w:val="nil"/>
                <w:right w:val="nil"/>
                <w:between w:val="nil"/>
              </w:pBdr>
              <w:rPr>
                <w:rFonts w:ascii="Arial" w:eastAsia="Arial" w:hAnsi="Arial" w:cs="Arial"/>
                <w:color w:val="000000"/>
                <w:sz w:val="22"/>
                <w:szCs w:val="22"/>
                <w:lang w:val="en-GB"/>
              </w:rPr>
            </w:pPr>
            <w:r w:rsidRPr="00820F7A">
              <w:rPr>
                <w:rFonts w:ascii="Arial" w:eastAsia="Arial" w:hAnsi="Arial" w:cs="Arial"/>
                <w:color w:val="000000"/>
                <w:sz w:val="22"/>
                <w:szCs w:val="22"/>
                <w:lang w:val="en-GB"/>
              </w:rPr>
              <w:t xml:space="preserve">The articles containing information lacking relations with clinical and ethical leadership will be excluded from the study </w:t>
            </w:r>
          </w:p>
        </w:tc>
      </w:tr>
    </w:tbl>
    <w:p w14:paraId="31DD0B60" w14:textId="77777777" w:rsidR="00826870" w:rsidRPr="00820F7A" w:rsidRDefault="00B21388">
      <w:pPr>
        <w:pStyle w:val="Heading5"/>
        <w:rPr>
          <w:lang w:val="en-GB"/>
        </w:rPr>
      </w:pPr>
      <w:bookmarkStart w:id="56" w:name="_heading=h.kl52h5eqxj6w" w:colFirst="0" w:colLast="0"/>
      <w:bookmarkEnd w:id="56"/>
      <w:r w:rsidRPr="00820F7A">
        <w:rPr>
          <w:lang w:val="en-GB"/>
        </w:rPr>
        <w:t>Table 3.4: Exclusion and Inclusion Criteria</w:t>
      </w:r>
    </w:p>
    <w:p w14:paraId="080A3772" w14:textId="77777777" w:rsidR="00826870" w:rsidRPr="00820F7A" w:rsidRDefault="00B21388">
      <w:pPr>
        <w:pStyle w:val="Normal1"/>
        <w:pBdr>
          <w:top w:val="nil"/>
          <w:left w:val="nil"/>
          <w:bottom w:val="nil"/>
          <w:right w:val="nil"/>
          <w:between w:val="nil"/>
        </w:pBdr>
        <w:jc w:val="center"/>
        <w:rPr>
          <w:color w:val="000000"/>
          <w:lang w:val="en-GB"/>
        </w:rPr>
      </w:pPr>
      <w:r w:rsidRPr="00820F7A">
        <w:rPr>
          <w:color w:val="000000"/>
          <w:lang w:val="en-GB"/>
        </w:rPr>
        <w:t>(Source: Created by the author)</w:t>
      </w:r>
    </w:p>
    <w:p w14:paraId="0AFDD487" w14:textId="77777777" w:rsidR="00826870" w:rsidRPr="00820F7A" w:rsidRDefault="00826870">
      <w:pPr>
        <w:pStyle w:val="Normal1"/>
        <w:pBdr>
          <w:top w:val="nil"/>
          <w:left w:val="nil"/>
          <w:bottom w:val="nil"/>
          <w:right w:val="nil"/>
          <w:between w:val="nil"/>
        </w:pBdr>
        <w:rPr>
          <w:b/>
          <w:bCs/>
          <w:color w:val="000000"/>
          <w:lang w:val="en-GB"/>
        </w:rPr>
      </w:pPr>
    </w:p>
    <w:tbl>
      <w:tblPr>
        <w:tblStyle w:val="afff4"/>
        <w:tblW w:w="9180" w:type="dxa"/>
        <w:jc w:val="center"/>
        <w:tblBorders>
          <w:top w:val="nil"/>
          <w:left w:val="nil"/>
          <w:bottom w:val="nil"/>
          <w:right w:val="nil"/>
          <w:insideH w:val="nil"/>
          <w:insideV w:val="nil"/>
        </w:tblBorders>
        <w:tblLayout w:type="fixed"/>
        <w:tblLook w:val="0600" w:firstRow="0" w:lastRow="0" w:firstColumn="0" w:lastColumn="0" w:noHBand="1" w:noVBand="1"/>
      </w:tblPr>
      <w:tblGrid>
        <w:gridCol w:w="1815"/>
        <w:gridCol w:w="1380"/>
        <w:gridCol w:w="1680"/>
        <w:gridCol w:w="1590"/>
        <w:gridCol w:w="1095"/>
        <w:gridCol w:w="1620"/>
      </w:tblGrid>
      <w:tr w:rsidR="00826870" w:rsidRPr="00820F7A" w14:paraId="1DCC900A" w14:textId="77777777">
        <w:trPr>
          <w:cantSplit/>
          <w:trHeight w:val="555"/>
          <w:tblHeader/>
          <w:jc w:val="center"/>
        </w:trPr>
        <w:tc>
          <w:tcPr>
            <w:tcW w:w="1815" w:type="dxa"/>
            <w:tcBorders>
              <w:top w:val="single" w:sz="6" w:space="0" w:color="000000"/>
              <w:left w:val="single" w:sz="6" w:space="0" w:color="000000"/>
              <w:bottom w:val="single" w:sz="6" w:space="0" w:color="000000"/>
              <w:right w:val="single" w:sz="6" w:space="0" w:color="000000"/>
            </w:tcBorders>
            <w:tcMar>
              <w:top w:w="0" w:type="dxa"/>
              <w:left w:w="0" w:type="dxa"/>
              <w:bottom w:w="0" w:type="dxa"/>
              <w:right w:w="0" w:type="dxa"/>
            </w:tcMar>
          </w:tcPr>
          <w:p w14:paraId="46CEF6CA" w14:textId="77777777" w:rsidR="00826870" w:rsidRPr="00820F7A" w:rsidRDefault="00B21388">
            <w:pPr>
              <w:pStyle w:val="Normal1"/>
              <w:pBdr>
                <w:top w:val="nil"/>
                <w:left w:val="nil"/>
                <w:bottom w:val="nil"/>
                <w:right w:val="nil"/>
                <w:between w:val="nil"/>
              </w:pBdr>
              <w:jc w:val="center"/>
              <w:rPr>
                <w:rFonts w:ascii="Arial" w:eastAsia="Arial" w:hAnsi="Arial" w:cs="Arial"/>
                <w:b/>
                <w:bCs/>
                <w:color w:val="000000"/>
                <w:sz w:val="22"/>
                <w:szCs w:val="22"/>
                <w:lang w:val="en-GB"/>
              </w:rPr>
            </w:pPr>
            <w:r w:rsidRPr="00820F7A">
              <w:rPr>
                <w:rFonts w:ascii="Arial" w:eastAsia="Arial" w:hAnsi="Arial" w:cs="Arial"/>
                <w:b/>
                <w:bCs/>
                <w:color w:val="000000"/>
                <w:sz w:val="22"/>
                <w:szCs w:val="22"/>
                <w:lang w:val="en-GB"/>
              </w:rPr>
              <w:t>Database</w:t>
            </w:r>
          </w:p>
        </w:tc>
        <w:tc>
          <w:tcPr>
            <w:tcW w:w="1380" w:type="dxa"/>
            <w:tcBorders>
              <w:top w:val="single" w:sz="6" w:space="0" w:color="000000"/>
              <w:left w:val="nil"/>
              <w:bottom w:val="single" w:sz="6" w:space="0" w:color="000000"/>
              <w:right w:val="single" w:sz="6" w:space="0" w:color="000000"/>
            </w:tcBorders>
            <w:tcMar>
              <w:top w:w="0" w:type="dxa"/>
              <w:left w:w="0" w:type="dxa"/>
              <w:bottom w:w="0" w:type="dxa"/>
              <w:right w:w="0" w:type="dxa"/>
            </w:tcMar>
          </w:tcPr>
          <w:p w14:paraId="0CDE829F" w14:textId="77777777" w:rsidR="00826870" w:rsidRPr="00820F7A" w:rsidRDefault="00B21388">
            <w:pPr>
              <w:pStyle w:val="Normal1"/>
              <w:pBdr>
                <w:top w:val="nil"/>
                <w:left w:val="nil"/>
                <w:bottom w:val="nil"/>
                <w:right w:val="nil"/>
                <w:between w:val="nil"/>
              </w:pBdr>
              <w:jc w:val="center"/>
              <w:rPr>
                <w:rFonts w:ascii="Arial" w:eastAsia="Arial" w:hAnsi="Arial" w:cs="Arial"/>
                <w:b/>
                <w:bCs/>
                <w:color w:val="000000"/>
                <w:sz w:val="22"/>
                <w:szCs w:val="22"/>
                <w:lang w:val="en-GB"/>
              </w:rPr>
            </w:pPr>
            <w:r w:rsidRPr="00820F7A">
              <w:rPr>
                <w:rFonts w:ascii="Arial" w:eastAsia="Arial" w:hAnsi="Arial" w:cs="Arial"/>
                <w:b/>
                <w:bCs/>
                <w:color w:val="000000"/>
                <w:sz w:val="22"/>
                <w:szCs w:val="22"/>
                <w:lang w:val="en-GB"/>
              </w:rPr>
              <w:t>Search Dates</w:t>
            </w:r>
          </w:p>
        </w:tc>
        <w:tc>
          <w:tcPr>
            <w:tcW w:w="1680" w:type="dxa"/>
            <w:tcBorders>
              <w:top w:val="single" w:sz="6" w:space="0" w:color="000000"/>
              <w:left w:val="nil"/>
              <w:bottom w:val="single" w:sz="6" w:space="0" w:color="000000"/>
              <w:right w:val="single" w:sz="6" w:space="0" w:color="000000"/>
            </w:tcBorders>
            <w:tcMar>
              <w:top w:w="0" w:type="dxa"/>
              <w:left w:w="0" w:type="dxa"/>
              <w:bottom w:w="0" w:type="dxa"/>
              <w:right w:w="0" w:type="dxa"/>
            </w:tcMar>
          </w:tcPr>
          <w:p w14:paraId="4F45BC11" w14:textId="77777777" w:rsidR="00826870" w:rsidRPr="00820F7A" w:rsidRDefault="00B21388">
            <w:pPr>
              <w:pStyle w:val="Normal1"/>
              <w:pBdr>
                <w:top w:val="nil"/>
                <w:left w:val="nil"/>
                <w:bottom w:val="nil"/>
                <w:right w:val="nil"/>
                <w:between w:val="nil"/>
              </w:pBdr>
              <w:jc w:val="center"/>
              <w:rPr>
                <w:rFonts w:ascii="Arial" w:eastAsia="Arial" w:hAnsi="Arial" w:cs="Arial"/>
                <w:b/>
                <w:bCs/>
                <w:color w:val="000000"/>
                <w:sz w:val="22"/>
                <w:szCs w:val="22"/>
                <w:lang w:val="en-GB"/>
              </w:rPr>
            </w:pPr>
            <w:r w:rsidRPr="00820F7A">
              <w:rPr>
                <w:rFonts w:ascii="Arial" w:eastAsia="Arial" w:hAnsi="Arial" w:cs="Arial"/>
                <w:b/>
                <w:bCs/>
                <w:color w:val="000000"/>
                <w:sz w:val="22"/>
                <w:szCs w:val="22"/>
                <w:lang w:val="en-GB"/>
              </w:rPr>
              <w:t>Inclusion Year</w:t>
            </w:r>
          </w:p>
        </w:tc>
        <w:tc>
          <w:tcPr>
            <w:tcW w:w="1590" w:type="dxa"/>
            <w:tcBorders>
              <w:top w:val="single" w:sz="6" w:space="0" w:color="000000"/>
              <w:left w:val="nil"/>
              <w:bottom w:val="single" w:sz="6" w:space="0" w:color="000000"/>
              <w:right w:val="single" w:sz="6" w:space="0" w:color="000000"/>
            </w:tcBorders>
            <w:tcMar>
              <w:top w:w="0" w:type="dxa"/>
              <w:left w:w="0" w:type="dxa"/>
              <w:bottom w:w="0" w:type="dxa"/>
              <w:right w:w="0" w:type="dxa"/>
            </w:tcMar>
          </w:tcPr>
          <w:p w14:paraId="414CBBC1" w14:textId="77777777" w:rsidR="00826870" w:rsidRPr="00820F7A" w:rsidRDefault="00B21388">
            <w:pPr>
              <w:pStyle w:val="Normal1"/>
              <w:pBdr>
                <w:top w:val="nil"/>
                <w:left w:val="nil"/>
                <w:bottom w:val="nil"/>
                <w:right w:val="nil"/>
                <w:between w:val="nil"/>
              </w:pBdr>
              <w:jc w:val="center"/>
              <w:rPr>
                <w:rFonts w:ascii="Arial" w:eastAsia="Arial" w:hAnsi="Arial" w:cs="Arial"/>
                <w:b/>
                <w:bCs/>
                <w:color w:val="000000"/>
                <w:sz w:val="22"/>
                <w:szCs w:val="22"/>
                <w:lang w:val="en-GB"/>
              </w:rPr>
            </w:pPr>
            <w:r w:rsidRPr="00820F7A">
              <w:rPr>
                <w:rFonts w:ascii="Arial" w:eastAsia="Arial" w:hAnsi="Arial" w:cs="Arial"/>
                <w:b/>
                <w:bCs/>
                <w:color w:val="000000"/>
                <w:sz w:val="22"/>
                <w:szCs w:val="22"/>
                <w:lang w:val="en-GB"/>
              </w:rPr>
              <w:t>Search Results</w:t>
            </w:r>
          </w:p>
        </w:tc>
        <w:tc>
          <w:tcPr>
            <w:tcW w:w="1095" w:type="dxa"/>
            <w:tcBorders>
              <w:top w:val="single" w:sz="6" w:space="0" w:color="000000"/>
              <w:left w:val="nil"/>
              <w:bottom w:val="single" w:sz="6" w:space="0" w:color="000000"/>
              <w:right w:val="single" w:sz="6" w:space="0" w:color="000000"/>
            </w:tcBorders>
            <w:tcMar>
              <w:top w:w="0" w:type="dxa"/>
              <w:left w:w="0" w:type="dxa"/>
              <w:bottom w:w="0" w:type="dxa"/>
              <w:right w:w="0" w:type="dxa"/>
            </w:tcMar>
          </w:tcPr>
          <w:p w14:paraId="37CBC450" w14:textId="77777777" w:rsidR="00826870" w:rsidRPr="00820F7A" w:rsidRDefault="00B21388">
            <w:pPr>
              <w:pStyle w:val="Normal1"/>
              <w:pBdr>
                <w:top w:val="nil"/>
                <w:left w:val="nil"/>
                <w:bottom w:val="nil"/>
                <w:right w:val="nil"/>
                <w:between w:val="nil"/>
              </w:pBdr>
              <w:jc w:val="center"/>
              <w:rPr>
                <w:rFonts w:ascii="Arial" w:eastAsia="Arial" w:hAnsi="Arial" w:cs="Arial"/>
                <w:b/>
                <w:bCs/>
                <w:color w:val="000000"/>
                <w:sz w:val="22"/>
                <w:szCs w:val="22"/>
                <w:lang w:val="en-GB"/>
              </w:rPr>
            </w:pPr>
            <w:r w:rsidRPr="00820F7A">
              <w:rPr>
                <w:rFonts w:ascii="Arial" w:eastAsia="Arial" w:hAnsi="Arial" w:cs="Arial"/>
                <w:b/>
                <w:bCs/>
                <w:color w:val="000000"/>
                <w:sz w:val="22"/>
                <w:szCs w:val="22"/>
                <w:lang w:val="en-GB"/>
              </w:rPr>
              <w:t>Excluded</w:t>
            </w:r>
          </w:p>
        </w:tc>
        <w:tc>
          <w:tcPr>
            <w:tcW w:w="1620" w:type="dxa"/>
            <w:tcBorders>
              <w:top w:val="single" w:sz="6" w:space="0" w:color="000000"/>
              <w:left w:val="nil"/>
              <w:bottom w:val="single" w:sz="6" w:space="0" w:color="000000"/>
              <w:right w:val="single" w:sz="6" w:space="0" w:color="000000"/>
            </w:tcBorders>
            <w:tcMar>
              <w:top w:w="0" w:type="dxa"/>
              <w:left w:w="0" w:type="dxa"/>
              <w:bottom w:w="0" w:type="dxa"/>
              <w:right w:w="0" w:type="dxa"/>
            </w:tcMar>
          </w:tcPr>
          <w:p w14:paraId="1F370BCE" w14:textId="77777777" w:rsidR="00826870" w:rsidRPr="00820F7A" w:rsidRDefault="00B21388">
            <w:pPr>
              <w:pStyle w:val="Normal1"/>
              <w:pBdr>
                <w:top w:val="nil"/>
                <w:left w:val="nil"/>
                <w:bottom w:val="nil"/>
                <w:right w:val="nil"/>
                <w:between w:val="nil"/>
              </w:pBdr>
              <w:jc w:val="center"/>
              <w:rPr>
                <w:rFonts w:ascii="Arial" w:eastAsia="Arial" w:hAnsi="Arial" w:cs="Arial"/>
                <w:b/>
                <w:bCs/>
                <w:color w:val="000000"/>
                <w:sz w:val="22"/>
                <w:szCs w:val="22"/>
                <w:lang w:val="en-GB"/>
              </w:rPr>
            </w:pPr>
            <w:r w:rsidRPr="00820F7A">
              <w:rPr>
                <w:rFonts w:ascii="Arial" w:eastAsia="Arial" w:hAnsi="Arial" w:cs="Arial"/>
                <w:b/>
                <w:bCs/>
                <w:color w:val="000000"/>
                <w:sz w:val="22"/>
                <w:szCs w:val="22"/>
                <w:lang w:val="en-GB"/>
              </w:rPr>
              <w:t>Included</w:t>
            </w:r>
          </w:p>
        </w:tc>
      </w:tr>
      <w:tr w:rsidR="00826870" w:rsidRPr="00820F7A" w14:paraId="68854D46" w14:textId="77777777">
        <w:trPr>
          <w:cantSplit/>
          <w:trHeight w:val="270"/>
          <w:tblHeader/>
          <w:jc w:val="center"/>
        </w:trPr>
        <w:tc>
          <w:tcPr>
            <w:tcW w:w="1815" w:type="dxa"/>
            <w:tcBorders>
              <w:top w:val="nil"/>
              <w:left w:val="single" w:sz="6" w:space="0" w:color="000000"/>
              <w:bottom w:val="single" w:sz="6" w:space="0" w:color="000000"/>
              <w:right w:val="single" w:sz="6" w:space="0" w:color="000000"/>
            </w:tcBorders>
            <w:tcMar>
              <w:top w:w="0" w:type="dxa"/>
              <w:left w:w="0" w:type="dxa"/>
              <w:bottom w:w="0" w:type="dxa"/>
              <w:right w:w="0" w:type="dxa"/>
            </w:tcMar>
          </w:tcPr>
          <w:p w14:paraId="4BBE9DEF" w14:textId="77777777" w:rsidR="00826870" w:rsidRPr="00820F7A" w:rsidRDefault="00B21388">
            <w:pPr>
              <w:pStyle w:val="Normal1"/>
              <w:pBdr>
                <w:top w:val="nil"/>
                <w:left w:val="nil"/>
                <w:bottom w:val="nil"/>
                <w:right w:val="nil"/>
                <w:between w:val="nil"/>
              </w:pBdr>
              <w:jc w:val="center"/>
              <w:rPr>
                <w:rFonts w:ascii="Arial" w:eastAsia="Arial" w:hAnsi="Arial" w:cs="Arial"/>
                <w:color w:val="000000"/>
                <w:sz w:val="22"/>
                <w:szCs w:val="22"/>
                <w:lang w:val="en-GB"/>
              </w:rPr>
            </w:pPr>
            <w:r w:rsidRPr="00820F7A">
              <w:rPr>
                <w:rFonts w:ascii="Arial" w:eastAsia="Arial" w:hAnsi="Arial" w:cs="Arial"/>
                <w:color w:val="000000"/>
                <w:sz w:val="22"/>
                <w:szCs w:val="22"/>
                <w:lang w:val="en-GB"/>
              </w:rPr>
              <w:t>PubMed</w:t>
            </w:r>
          </w:p>
        </w:tc>
        <w:tc>
          <w:tcPr>
            <w:tcW w:w="1380" w:type="dxa"/>
            <w:tcBorders>
              <w:top w:val="nil"/>
              <w:left w:val="nil"/>
              <w:bottom w:val="single" w:sz="6" w:space="0" w:color="000000"/>
              <w:right w:val="single" w:sz="6" w:space="0" w:color="000000"/>
            </w:tcBorders>
            <w:tcMar>
              <w:top w:w="0" w:type="dxa"/>
              <w:left w:w="0" w:type="dxa"/>
              <w:bottom w:w="0" w:type="dxa"/>
              <w:right w:w="0" w:type="dxa"/>
            </w:tcMar>
          </w:tcPr>
          <w:p w14:paraId="6ABDAC8B" w14:textId="77777777" w:rsidR="00826870" w:rsidRPr="00820F7A" w:rsidRDefault="00B21388">
            <w:pPr>
              <w:pStyle w:val="Normal1"/>
              <w:pBdr>
                <w:top w:val="nil"/>
                <w:left w:val="nil"/>
                <w:bottom w:val="nil"/>
                <w:right w:val="nil"/>
                <w:between w:val="nil"/>
              </w:pBdr>
              <w:jc w:val="center"/>
              <w:rPr>
                <w:rFonts w:ascii="Arial" w:eastAsia="Arial" w:hAnsi="Arial" w:cs="Arial"/>
                <w:color w:val="000000"/>
                <w:sz w:val="22"/>
                <w:szCs w:val="22"/>
                <w:lang w:val="en-GB"/>
              </w:rPr>
            </w:pPr>
            <w:r w:rsidRPr="00820F7A">
              <w:rPr>
                <w:rFonts w:ascii="Arial" w:eastAsia="Arial" w:hAnsi="Arial" w:cs="Arial"/>
                <w:color w:val="000000"/>
                <w:sz w:val="22"/>
                <w:szCs w:val="22"/>
                <w:lang w:val="en-GB"/>
              </w:rPr>
              <w:t>25/11/2025</w:t>
            </w:r>
          </w:p>
        </w:tc>
        <w:tc>
          <w:tcPr>
            <w:tcW w:w="1680" w:type="dxa"/>
            <w:tcBorders>
              <w:top w:val="nil"/>
              <w:left w:val="nil"/>
              <w:bottom w:val="single" w:sz="6" w:space="0" w:color="000000"/>
              <w:right w:val="single" w:sz="6" w:space="0" w:color="000000"/>
            </w:tcBorders>
            <w:tcMar>
              <w:top w:w="0" w:type="dxa"/>
              <w:left w:w="0" w:type="dxa"/>
              <w:bottom w:w="0" w:type="dxa"/>
              <w:right w:w="0" w:type="dxa"/>
            </w:tcMar>
          </w:tcPr>
          <w:p w14:paraId="09913EB8" w14:textId="77777777" w:rsidR="00826870" w:rsidRPr="00820F7A" w:rsidRDefault="00B21388">
            <w:pPr>
              <w:pStyle w:val="Normal1"/>
              <w:pBdr>
                <w:top w:val="nil"/>
                <w:left w:val="nil"/>
                <w:bottom w:val="nil"/>
                <w:right w:val="nil"/>
                <w:between w:val="nil"/>
              </w:pBdr>
              <w:jc w:val="center"/>
              <w:rPr>
                <w:rFonts w:ascii="Arial" w:eastAsia="Arial" w:hAnsi="Arial" w:cs="Arial"/>
                <w:color w:val="000000"/>
                <w:sz w:val="22"/>
                <w:szCs w:val="22"/>
                <w:lang w:val="en-GB"/>
              </w:rPr>
            </w:pPr>
            <w:r w:rsidRPr="00820F7A">
              <w:rPr>
                <w:rFonts w:ascii="Arial" w:eastAsia="Arial" w:hAnsi="Arial" w:cs="Arial"/>
                <w:color w:val="000000"/>
                <w:sz w:val="22"/>
                <w:szCs w:val="22"/>
                <w:lang w:val="en-GB"/>
              </w:rPr>
              <w:t>2021 to 2025</w:t>
            </w:r>
          </w:p>
        </w:tc>
        <w:tc>
          <w:tcPr>
            <w:tcW w:w="1590" w:type="dxa"/>
            <w:tcBorders>
              <w:top w:val="nil"/>
              <w:left w:val="nil"/>
              <w:bottom w:val="single" w:sz="6" w:space="0" w:color="000000"/>
              <w:right w:val="single" w:sz="6" w:space="0" w:color="000000"/>
            </w:tcBorders>
            <w:tcMar>
              <w:top w:w="0" w:type="dxa"/>
              <w:left w:w="0" w:type="dxa"/>
              <w:bottom w:w="0" w:type="dxa"/>
              <w:right w:w="0" w:type="dxa"/>
            </w:tcMar>
          </w:tcPr>
          <w:p w14:paraId="241FD3BD" w14:textId="77777777" w:rsidR="00826870" w:rsidRPr="00820F7A" w:rsidRDefault="00B21388">
            <w:pPr>
              <w:pStyle w:val="Normal1"/>
              <w:pBdr>
                <w:top w:val="nil"/>
                <w:left w:val="nil"/>
                <w:bottom w:val="nil"/>
                <w:right w:val="nil"/>
                <w:between w:val="nil"/>
              </w:pBdr>
              <w:jc w:val="center"/>
              <w:rPr>
                <w:rFonts w:ascii="Arial" w:eastAsia="Arial" w:hAnsi="Arial" w:cs="Arial"/>
                <w:color w:val="000000"/>
                <w:sz w:val="22"/>
                <w:szCs w:val="22"/>
                <w:lang w:val="en-GB"/>
              </w:rPr>
            </w:pPr>
            <w:r w:rsidRPr="00820F7A">
              <w:rPr>
                <w:rFonts w:ascii="Arial" w:eastAsia="Arial" w:hAnsi="Arial" w:cs="Arial"/>
                <w:color w:val="000000"/>
                <w:sz w:val="22"/>
                <w:szCs w:val="22"/>
                <w:lang w:val="en-GB"/>
              </w:rPr>
              <w:t>103</w:t>
            </w:r>
          </w:p>
        </w:tc>
        <w:tc>
          <w:tcPr>
            <w:tcW w:w="1095" w:type="dxa"/>
            <w:tcBorders>
              <w:top w:val="nil"/>
              <w:left w:val="nil"/>
              <w:bottom w:val="single" w:sz="6" w:space="0" w:color="000000"/>
              <w:right w:val="single" w:sz="6" w:space="0" w:color="000000"/>
            </w:tcBorders>
            <w:tcMar>
              <w:top w:w="0" w:type="dxa"/>
              <w:left w:w="0" w:type="dxa"/>
              <w:bottom w:w="0" w:type="dxa"/>
              <w:right w:w="0" w:type="dxa"/>
            </w:tcMar>
          </w:tcPr>
          <w:p w14:paraId="740ACAA8" w14:textId="77777777" w:rsidR="00826870" w:rsidRPr="00820F7A" w:rsidRDefault="00B21388">
            <w:pPr>
              <w:pStyle w:val="Normal1"/>
              <w:pBdr>
                <w:top w:val="nil"/>
                <w:left w:val="nil"/>
                <w:bottom w:val="nil"/>
                <w:right w:val="nil"/>
                <w:between w:val="nil"/>
              </w:pBdr>
              <w:jc w:val="center"/>
              <w:rPr>
                <w:rFonts w:ascii="Arial" w:eastAsia="Arial" w:hAnsi="Arial" w:cs="Arial"/>
                <w:color w:val="000000"/>
                <w:sz w:val="22"/>
                <w:szCs w:val="22"/>
                <w:lang w:val="en-GB"/>
              </w:rPr>
            </w:pPr>
            <w:r w:rsidRPr="00820F7A">
              <w:rPr>
                <w:rFonts w:ascii="Arial" w:eastAsia="Arial" w:hAnsi="Arial" w:cs="Arial"/>
                <w:color w:val="000000"/>
                <w:sz w:val="22"/>
                <w:szCs w:val="22"/>
                <w:lang w:val="en-GB"/>
              </w:rPr>
              <w:t>101</w:t>
            </w:r>
          </w:p>
        </w:tc>
        <w:tc>
          <w:tcPr>
            <w:tcW w:w="1620" w:type="dxa"/>
            <w:tcBorders>
              <w:top w:val="nil"/>
              <w:left w:val="nil"/>
              <w:bottom w:val="single" w:sz="6" w:space="0" w:color="000000"/>
              <w:right w:val="single" w:sz="6" w:space="0" w:color="000000"/>
            </w:tcBorders>
            <w:tcMar>
              <w:top w:w="0" w:type="dxa"/>
              <w:left w:w="0" w:type="dxa"/>
              <w:bottom w:w="0" w:type="dxa"/>
              <w:right w:w="0" w:type="dxa"/>
            </w:tcMar>
          </w:tcPr>
          <w:p w14:paraId="5D0D766E" w14:textId="77777777" w:rsidR="00826870" w:rsidRPr="00820F7A" w:rsidRDefault="00B21388">
            <w:pPr>
              <w:pStyle w:val="Normal1"/>
              <w:pBdr>
                <w:top w:val="nil"/>
                <w:left w:val="nil"/>
                <w:bottom w:val="nil"/>
                <w:right w:val="nil"/>
                <w:between w:val="nil"/>
              </w:pBdr>
              <w:jc w:val="center"/>
              <w:rPr>
                <w:rFonts w:ascii="Arial" w:eastAsia="Arial" w:hAnsi="Arial" w:cs="Arial"/>
                <w:color w:val="000000"/>
                <w:sz w:val="22"/>
                <w:szCs w:val="22"/>
                <w:lang w:val="en-GB"/>
              </w:rPr>
            </w:pPr>
            <w:r w:rsidRPr="00820F7A">
              <w:rPr>
                <w:rFonts w:ascii="Arial" w:eastAsia="Arial" w:hAnsi="Arial" w:cs="Arial"/>
                <w:color w:val="000000"/>
                <w:sz w:val="22"/>
                <w:szCs w:val="22"/>
                <w:lang w:val="en-GB"/>
              </w:rPr>
              <w:t>2</w:t>
            </w:r>
          </w:p>
        </w:tc>
      </w:tr>
      <w:tr w:rsidR="00826870" w:rsidRPr="00820F7A" w14:paraId="743119D1" w14:textId="77777777">
        <w:trPr>
          <w:cantSplit/>
          <w:trHeight w:val="285"/>
          <w:tblHeader/>
          <w:jc w:val="center"/>
        </w:trPr>
        <w:tc>
          <w:tcPr>
            <w:tcW w:w="1815" w:type="dxa"/>
            <w:tcBorders>
              <w:top w:val="nil"/>
              <w:left w:val="single" w:sz="6" w:space="0" w:color="000000"/>
              <w:bottom w:val="single" w:sz="6" w:space="0" w:color="000000"/>
              <w:right w:val="single" w:sz="6" w:space="0" w:color="000000"/>
            </w:tcBorders>
            <w:tcMar>
              <w:top w:w="0" w:type="dxa"/>
              <w:left w:w="0" w:type="dxa"/>
              <w:bottom w:w="0" w:type="dxa"/>
              <w:right w:w="0" w:type="dxa"/>
            </w:tcMar>
          </w:tcPr>
          <w:p w14:paraId="5CF2652C" w14:textId="77777777" w:rsidR="00826870" w:rsidRPr="00820F7A" w:rsidRDefault="00B21388">
            <w:pPr>
              <w:pStyle w:val="Normal1"/>
              <w:pBdr>
                <w:top w:val="nil"/>
                <w:left w:val="nil"/>
                <w:bottom w:val="nil"/>
                <w:right w:val="nil"/>
                <w:between w:val="nil"/>
              </w:pBdr>
              <w:jc w:val="center"/>
              <w:rPr>
                <w:rFonts w:ascii="Arial" w:eastAsia="Arial" w:hAnsi="Arial" w:cs="Arial"/>
                <w:color w:val="000000"/>
                <w:sz w:val="22"/>
                <w:szCs w:val="22"/>
                <w:lang w:val="en-GB"/>
              </w:rPr>
            </w:pPr>
            <w:r w:rsidRPr="00820F7A">
              <w:rPr>
                <w:rFonts w:ascii="Arial" w:eastAsia="Arial" w:hAnsi="Arial" w:cs="Arial"/>
                <w:color w:val="000000"/>
                <w:sz w:val="22"/>
                <w:szCs w:val="22"/>
                <w:lang w:val="en-GB"/>
              </w:rPr>
              <w:t>PubMed Central</w:t>
            </w:r>
          </w:p>
        </w:tc>
        <w:tc>
          <w:tcPr>
            <w:tcW w:w="1380" w:type="dxa"/>
            <w:tcBorders>
              <w:top w:val="nil"/>
              <w:left w:val="nil"/>
              <w:bottom w:val="single" w:sz="6" w:space="0" w:color="000000"/>
              <w:right w:val="single" w:sz="6" w:space="0" w:color="000000"/>
            </w:tcBorders>
            <w:tcMar>
              <w:top w:w="0" w:type="dxa"/>
              <w:left w:w="0" w:type="dxa"/>
              <w:bottom w:w="0" w:type="dxa"/>
              <w:right w:w="0" w:type="dxa"/>
            </w:tcMar>
          </w:tcPr>
          <w:p w14:paraId="5A2034A8" w14:textId="77777777" w:rsidR="00826870" w:rsidRPr="00820F7A" w:rsidRDefault="00B21388">
            <w:pPr>
              <w:pStyle w:val="Normal1"/>
              <w:pBdr>
                <w:top w:val="nil"/>
                <w:left w:val="nil"/>
                <w:bottom w:val="nil"/>
                <w:right w:val="nil"/>
                <w:between w:val="nil"/>
              </w:pBdr>
              <w:jc w:val="center"/>
              <w:rPr>
                <w:rFonts w:ascii="Arial" w:eastAsia="Arial" w:hAnsi="Arial" w:cs="Arial"/>
                <w:color w:val="000000"/>
                <w:sz w:val="22"/>
                <w:szCs w:val="22"/>
                <w:lang w:val="en-GB"/>
              </w:rPr>
            </w:pPr>
            <w:r w:rsidRPr="00820F7A">
              <w:rPr>
                <w:rFonts w:ascii="Arial" w:eastAsia="Arial" w:hAnsi="Arial" w:cs="Arial"/>
                <w:color w:val="000000"/>
                <w:sz w:val="22"/>
                <w:szCs w:val="22"/>
                <w:lang w:val="en-GB"/>
              </w:rPr>
              <w:t>25/11/2025</w:t>
            </w:r>
          </w:p>
        </w:tc>
        <w:tc>
          <w:tcPr>
            <w:tcW w:w="1680" w:type="dxa"/>
            <w:tcBorders>
              <w:top w:val="nil"/>
              <w:left w:val="nil"/>
              <w:bottom w:val="single" w:sz="6" w:space="0" w:color="000000"/>
              <w:right w:val="single" w:sz="6" w:space="0" w:color="000000"/>
            </w:tcBorders>
            <w:tcMar>
              <w:top w:w="0" w:type="dxa"/>
              <w:left w:w="0" w:type="dxa"/>
              <w:bottom w:w="0" w:type="dxa"/>
              <w:right w:w="0" w:type="dxa"/>
            </w:tcMar>
          </w:tcPr>
          <w:p w14:paraId="2090EB8C" w14:textId="77777777" w:rsidR="00826870" w:rsidRPr="00820F7A" w:rsidRDefault="00B21388">
            <w:pPr>
              <w:pStyle w:val="Normal1"/>
              <w:pBdr>
                <w:top w:val="nil"/>
                <w:left w:val="nil"/>
                <w:bottom w:val="nil"/>
                <w:right w:val="nil"/>
                <w:between w:val="nil"/>
              </w:pBdr>
              <w:jc w:val="center"/>
              <w:rPr>
                <w:rFonts w:ascii="Arial" w:eastAsia="Arial" w:hAnsi="Arial" w:cs="Arial"/>
                <w:color w:val="000000"/>
                <w:sz w:val="22"/>
                <w:szCs w:val="22"/>
                <w:lang w:val="en-GB"/>
              </w:rPr>
            </w:pPr>
            <w:r w:rsidRPr="00820F7A">
              <w:rPr>
                <w:rFonts w:ascii="Arial" w:eastAsia="Arial" w:hAnsi="Arial" w:cs="Arial"/>
                <w:color w:val="000000"/>
                <w:sz w:val="22"/>
                <w:szCs w:val="22"/>
                <w:lang w:val="en-GB"/>
              </w:rPr>
              <w:t>2021 to 2025</w:t>
            </w:r>
          </w:p>
        </w:tc>
        <w:tc>
          <w:tcPr>
            <w:tcW w:w="1590" w:type="dxa"/>
            <w:tcBorders>
              <w:top w:val="nil"/>
              <w:left w:val="nil"/>
              <w:bottom w:val="single" w:sz="6" w:space="0" w:color="000000"/>
              <w:right w:val="single" w:sz="6" w:space="0" w:color="000000"/>
            </w:tcBorders>
            <w:tcMar>
              <w:top w:w="0" w:type="dxa"/>
              <w:left w:w="0" w:type="dxa"/>
              <w:bottom w:w="0" w:type="dxa"/>
              <w:right w:w="0" w:type="dxa"/>
            </w:tcMar>
          </w:tcPr>
          <w:p w14:paraId="72A91D84" w14:textId="77777777" w:rsidR="00826870" w:rsidRPr="00820F7A" w:rsidRDefault="00B21388">
            <w:pPr>
              <w:pStyle w:val="Normal1"/>
              <w:pBdr>
                <w:top w:val="nil"/>
                <w:left w:val="nil"/>
                <w:bottom w:val="nil"/>
                <w:right w:val="nil"/>
                <w:between w:val="nil"/>
              </w:pBdr>
              <w:jc w:val="center"/>
              <w:rPr>
                <w:rFonts w:ascii="Arial" w:eastAsia="Arial" w:hAnsi="Arial" w:cs="Arial"/>
                <w:color w:val="000000"/>
                <w:sz w:val="22"/>
                <w:szCs w:val="22"/>
                <w:lang w:val="en-GB"/>
              </w:rPr>
            </w:pPr>
            <w:r w:rsidRPr="00820F7A">
              <w:rPr>
                <w:rFonts w:ascii="Arial" w:eastAsia="Arial" w:hAnsi="Arial" w:cs="Arial"/>
                <w:color w:val="000000"/>
                <w:sz w:val="22"/>
                <w:szCs w:val="22"/>
                <w:lang w:val="en-GB"/>
              </w:rPr>
              <w:t>200</w:t>
            </w:r>
          </w:p>
        </w:tc>
        <w:tc>
          <w:tcPr>
            <w:tcW w:w="1095" w:type="dxa"/>
            <w:tcBorders>
              <w:top w:val="nil"/>
              <w:left w:val="nil"/>
              <w:bottom w:val="single" w:sz="6" w:space="0" w:color="000000"/>
              <w:right w:val="single" w:sz="6" w:space="0" w:color="000000"/>
            </w:tcBorders>
            <w:tcMar>
              <w:top w:w="0" w:type="dxa"/>
              <w:left w:w="0" w:type="dxa"/>
              <w:bottom w:w="0" w:type="dxa"/>
              <w:right w:w="0" w:type="dxa"/>
            </w:tcMar>
          </w:tcPr>
          <w:p w14:paraId="5CDE51FA" w14:textId="77777777" w:rsidR="00826870" w:rsidRPr="00820F7A" w:rsidRDefault="00B21388">
            <w:pPr>
              <w:pStyle w:val="Normal1"/>
              <w:pBdr>
                <w:top w:val="nil"/>
                <w:left w:val="nil"/>
                <w:bottom w:val="nil"/>
                <w:right w:val="nil"/>
                <w:between w:val="nil"/>
              </w:pBdr>
              <w:jc w:val="center"/>
              <w:rPr>
                <w:rFonts w:ascii="Arial" w:eastAsia="Arial" w:hAnsi="Arial" w:cs="Arial"/>
                <w:color w:val="000000"/>
                <w:sz w:val="22"/>
                <w:szCs w:val="22"/>
                <w:lang w:val="en-GB"/>
              </w:rPr>
            </w:pPr>
            <w:r w:rsidRPr="00820F7A">
              <w:rPr>
                <w:rFonts w:ascii="Arial" w:eastAsia="Arial" w:hAnsi="Arial" w:cs="Arial"/>
                <w:color w:val="000000"/>
                <w:sz w:val="22"/>
                <w:szCs w:val="22"/>
                <w:lang w:val="en-GB"/>
              </w:rPr>
              <w:t>198</w:t>
            </w:r>
          </w:p>
        </w:tc>
        <w:tc>
          <w:tcPr>
            <w:tcW w:w="1620" w:type="dxa"/>
            <w:tcBorders>
              <w:top w:val="nil"/>
              <w:left w:val="nil"/>
              <w:bottom w:val="single" w:sz="6" w:space="0" w:color="000000"/>
              <w:right w:val="single" w:sz="6" w:space="0" w:color="000000"/>
            </w:tcBorders>
            <w:tcMar>
              <w:top w:w="0" w:type="dxa"/>
              <w:left w:w="0" w:type="dxa"/>
              <w:bottom w:w="0" w:type="dxa"/>
              <w:right w:w="0" w:type="dxa"/>
            </w:tcMar>
          </w:tcPr>
          <w:p w14:paraId="57FBDBEE" w14:textId="77777777" w:rsidR="00826870" w:rsidRPr="00820F7A" w:rsidRDefault="00B21388">
            <w:pPr>
              <w:pStyle w:val="Normal1"/>
              <w:pBdr>
                <w:top w:val="nil"/>
                <w:left w:val="nil"/>
                <w:bottom w:val="nil"/>
                <w:right w:val="nil"/>
                <w:between w:val="nil"/>
              </w:pBdr>
              <w:jc w:val="center"/>
              <w:rPr>
                <w:rFonts w:ascii="Arial" w:eastAsia="Arial" w:hAnsi="Arial" w:cs="Arial"/>
                <w:color w:val="000000"/>
                <w:sz w:val="22"/>
                <w:szCs w:val="22"/>
                <w:lang w:val="en-GB"/>
              </w:rPr>
            </w:pPr>
            <w:r w:rsidRPr="00820F7A">
              <w:rPr>
                <w:rFonts w:ascii="Arial" w:eastAsia="Arial" w:hAnsi="Arial" w:cs="Arial"/>
                <w:color w:val="000000"/>
                <w:sz w:val="22"/>
                <w:szCs w:val="22"/>
                <w:lang w:val="en-GB"/>
              </w:rPr>
              <w:t>2</w:t>
            </w:r>
          </w:p>
        </w:tc>
      </w:tr>
      <w:tr w:rsidR="00826870" w:rsidRPr="00820F7A" w14:paraId="4D258CF0" w14:textId="77777777">
        <w:trPr>
          <w:cantSplit/>
          <w:trHeight w:val="300"/>
          <w:tblHeader/>
          <w:jc w:val="center"/>
        </w:trPr>
        <w:tc>
          <w:tcPr>
            <w:tcW w:w="1815" w:type="dxa"/>
            <w:tcBorders>
              <w:top w:val="nil"/>
              <w:left w:val="single" w:sz="6" w:space="0" w:color="000000"/>
              <w:bottom w:val="single" w:sz="6" w:space="0" w:color="000000"/>
              <w:right w:val="single" w:sz="6" w:space="0" w:color="000000"/>
            </w:tcBorders>
            <w:tcMar>
              <w:top w:w="0" w:type="dxa"/>
              <w:left w:w="0" w:type="dxa"/>
              <w:bottom w:w="0" w:type="dxa"/>
              <w:right w:w="0" w:type="dxa"/>
            </w:tcMar>
          </w:tcPr>
          <w:p w14:paraId="1AB85765" w14:textId="77777777" w:rsidR="00826870" w:rsidRPr="00820F7A" w:rsidRDefault="00B21388">
            <w:pPr>
              <w:pStyle w:val="Normal1"/>
              <w:pBdr>
                <w:top w:val="nil"/>
                <w:left w:val="nil"/>
                <w:bottom w:val="nil"/>
                <w:right w:val="nil"/>
                <w:between w:val="nil"/>
              </w:pBdr>
              <w:jc w:val="center"/>
              <w:rPr>
                <w:rFonts w:ascii="Arial" w:eastAsia="Arial" w:hAnsi="Arial" w:cs="Arial"/>
                <w:color w:val="000000"/>
                <w:sz w:val="22"/>
                <w:szCs w:val="22"/>
                <w:lang w:val="en-GB"/>
              </w:rPr>
            </w:pPr>
            <w:r w:rsidRPr="00820F7A">
              <w:rPr>
                <w:rFonts w:ascii="Arial" w:eastAsia="Arial" w:hAnsi="Arial" w:cs="Arial"/>
                <w:color w:val="000000"/>
                <w:sz w:val="22"/>
                <w:szCs w:val="22"/>
                <w:lang w:val="en-GB"/>
              </w:rPr>
              <w:t>Google Scholar</w:t>
            </w:r>
          </w:p>
        </w:tc>
        <w:tc>
          <w:tcPr>
            <w:tcW w:w="1380" w:type="dxa"/>
            <w:tcBorders>
              <w:top w:val="nil"/>
              <w:left w:val="nil"/>
              <w:bottom w:val="single" w:sz="6" w:space="0" w:color="000000"/>
              <w:right w:val="single" w:sz="6" w:space="0" w:color="000000"/>
            </w:tcBorders>
            <w:tcMar>
              <w:top w:w="0" w:type="dxa"/>
              <w:left w:w="0" w:type="dxa"/>
              <w:bottom w:w="0" w:type="dxa"/>
              <w:right w:w="0" w:type="dxa"/>
            </w:tcMar>
          </w:tcPr>
          <w:p w14:paraId="2CFD89E5" w14:textId="77777777" w:rsidR="00826870" w:rsidRPr="00820F7A" w:rsidRDefault="00B21388">
            <w:pPr>
              <w:pStyle w:val="Normal1"/>
              <w:pBdr>
                <w:top w:val="nil"/>
                <w:left w:val="nil"/>
                <w:bottom w:val="nil"/>
                <w:right w:val="nil"/>
                <w:between w:val="nil"/>
              </w:pBdr>
              <w:jc w:val="center"/>
              <w:rPr>
                <w:rFonts w:ascii="Arial" w:eastAsia="Arial" w:hAnsi="Arial" w:cs="Arial"/>
                <w:color w:val="000000"/>
                <w:sz w:val="22"/>
                <w:szCs w:val="22"/>
                <w:lang w:val="en-GB"/>
              </w:rPr>
            </w:pPr>
            <w:r w:rsidRPr="00820F7A">
              <w:rPr>
                <w:rFonts w:ascii="Arial" w:eastAsia="Arial" w:hAnsi="Arial" w:cs="Arial"/>
                <w:color w:val="000000"/>
                <w:sz w:val="22"/>
                <w:szCs w:val="22"/>
                <w:lang w:val="en-GB"/>
              </w:rPr>
              <w:t>30/11/2025</w:t>
            </w:r>
          </w:p>
        </w:tc>
        <w:tc>
          <w:tcPr>
            <w:tcW w:w="1680" w:type="dxa"/>
            <w:tcBorders>
              <w:top w:val="nil"/>
              <w:left w:val="nil"/>
              <w:bottom w:val="single" w:sz="6" w:space="0" w:color="000000"/>
              <w:right w:val="single" w:sz="6" w:space="0" w:color="000000"/>
            </w:tcBorders>
            <w:tcMar>
              <w:top w:w="0" w:type="dxa"/>
              <w:left w:w="0" w:type="dxa"/>
              <w:bottom w:w="0" w:type="dxa"/>
              <w:right w:w="0" w:type="dxa"/>
            </w:tcMar>
          </w:tcPr>
          <w:p w14:paraId="159FE59E" w14:textId="77777777" w:rsidR="00826870" w:rsidRPr="00820F7A" w:rsidRDefault="00B21388">
            <w:pPr>
              <w:pStyle w:val="Normal1"/>
              <w:pBdr>
                <w:top w:val="nil"/>
                <w:left w:val="nil"/>
                <w:bottom w:val="nil"/>
                <w:right w:val="nil"/>
                <w:between w:val="nil"/>
              </w:pBdr>
              <w:jc w:val="center"/>
              <w:rPr>
                <w:rFonts w:ascii="Arial" w:eastAsia="Arial" w:hAnsi="Arial" w:cs="Arial"/>
                <w:color w:val="000000"/>
                <w:sz w:val="22"/>
                <w:szCs w:val="22"/>
                <w:lang w:val="en-GB"/>
              </w:rPr>
            </w:pPr>
            <w:r w:rsidRPr="00820F7A">
              <w:rPr>
                <w:rFonts w:ascii="Arial" w:eastAsia="Arial" w:hAnsi="Arial" w:cs="Arial"/>
                <w:color w:val="000000"/>
                <w:sz w:val="22"/>
                <w:szCs w:val="22"/>
                <w:lang w:val="en-GB"/>
              </w:rPr>
              <w:t>2021 to 2025</w:t>
            </w:r>
          </w:p>
        </w:tc>
        <w:tc>
          <w:tcPr>
            <w:tcW w:w="1590" w:type="dxa"/>
            <w:tcBorders>
              <w:top w:val="nil"/>
              <w:left w:val="nil"/>
              <w:bottom w:val="single" w:sz="6" w:space="0" w:color="000000"/>
              <w:right w:val="single" w:sz="6" w:space="0" w:color="000000"/>
            </w:tcBorders>
            <w:tcMar>
              <w:top w:w="0" w:type="dxa"/>
              <w:left w:w="0" w:type="dxa"/>
              <w:bottom w:w="0" w:type="dxa"/>
              <w:right w:w="0" w:type="dxa"/>
            </w:tcMar>
          </w:tcPr>
          <w:p w14:paraId="3238A68E" w14:textId="77777777" w:rsidR="00826870" w:rsidRPr="00820F7A" w:rsidRDefault="00B21388">
            <w:pPr>
              <w:pStyle w:val="Normal1"/>
              <w:pBdr>
                <w:top w:val="nil"/>
                <w:left w:val="nil"/>
                <w:bottom w:val="nil"/>
                <w:right w:val="nil"/>
                <w:between w:val="nil"/>
              </w:pBdr>
              <w:jc w:val="center"/>
              <w:rPr>
                <w:rFonts w:ascii="Arial" w:eastAsia="Arial" w:hAnsi="Arial" w:cs="Arial"/>
                <w:color w:val="000000"/>
                <w:sz w:val="22"/>
                <w:szCs w:val="22"/>
                <w:lang w:val="en-GB"/>
              </w:rPr>
            </w:pPr>
            <w:r w:rsidRPr="00820F7A">
              <w:rPr>
                <w:rFonts w:ascii="Arial" w:eastAsia="Arial" w:hAnsi="Arial" w:cs="Arial"/>
                <w:color w:val="000000"/>
                <w:sz w:val="22"/>
                <w:szCs w:val="22"/>
                <w:lang w:val="en-GB"/>
              </w:rPr>
              <w:t>500</w:t>
            </w:r>
          </w:p>
        </w:tc>
        <w:tc>
          <w:tcPr>
            <w:tcW w:w="1095" w:type="dxa"/>
            <w:tcBorders>
              <w:top w:val="nil"/>
              <w:left w:val="nil"/>
              <w:bottom w:val="single" w:sz="6" w:space="0" w:color="000000"/>
              <w:right w:val="single" w:sz="6" w:space="0" w:color="000000"/>
            </w:tcBorders>
            <w:tcMar>
              <w:top w:w="0" w:type="dxa"/>
              <w:left w:w="0" w:type="dxa"/>
              <w:bottom w:w="0" w:type="dxa"/>
              <w:right w:w="0" w:type="dxa"/>
            </w:tcMar>
          </w:tcPr>
          <w:p w14:paraId="425A6C5A" w14:textId="77777777" w:rsidR="00826870" w:rsidRPr="00820F7A" w:rsidRDefault="00B21388">
            <w:pPr>
              <w:pStyle w:val="Normal1"/>
              <w:pBdr>
                <w:top w:val="nil"/>
                <w:left w:val="nil"/>
                <w:bottom w:val="nil"/>
                <w:right w:val="nil"/>
                <w:between w:val="nil"/>
              </w:pBdr>
              <w:jc w:val="center"/>
              <w:rPr>
                <w:rFonts w:ascii="Arial" w:eastAsia="Arial" w:hAnsi="Arial" w:cs="Arial"/>
                <w:color w:val="000000"/>
                <w:sz w:val="22"/>
                <w:szCs w:val="22"/>
                <w:lang w:val="en-GB"/>
              </w:rPr>
            </w:pPr>
            <w:r w:rsidRPr="00820F7A">
              <w:rPr>
                <w:rFonts w:ascii="Arial" w:eastAsia="Arial" w:hAnsi="Arial" w:cs="Arial"/>
                <w:color w:val="000000"/>
                <w:sz w:val="22"/>
                <w:szCs w:val="22"/>
                <w:lang w:val="en-GB"/>
              </w:rPr>
              <w:t>496</w:t>
            </w:r>
          </w:p>
        </w:tc>
        <w:tc>
          <w:tcPr>
            <w:tcW w:w="1620" w:type="dxa"/>
            <w:tcBorders>
              <w:top w:val="nil"/>
              <w:left w:val="nil"/>
              <w:bottom w:val="single" w:sz="6" w:space="0" w:color="000000"/>
              <w:right w:val="single" w:sz="6" w:space="0" w:color="000000"/>
            </w:tcBorders>
            <w:tcMar>
              <w:top w:w="0" w:type="dxa"/>
              <w:left w:w="0" w:type="dxa"/>
              <w:bottom w:w="0" w:type="dxa"/>
              <w:right w:w="0" w:type="dxa"/>
            </w:tcMar>
          </w:tcPr>
          <w:p w14:paraId="21FB9F93" w14:textId="77777777" w:rsidR="00826870" w:rsidRPr="00820F7A" w:rsidRDefault="00B21388">
            <w:pPr>
              <w:pStyle w:val="Normal1"/>
              <w:pBdr>
                <w:top w:val="nil"/>
                <w:left w:val="nil"/>
                <w:bottom w:val="nil"/>
                <w:right w:val="nil"/>
                <w:between w:val="nil"/>
              </w:pBdr>
              <w:jc w:val="center"/>
              <w:rPr>
                <w:rFonts w:ascii="Arial" w:eastAsia="Arial" w:hAnsi="Arial" w:cs="Arial"/>
                <w:color w:val="000000"/>
                <w:sz w:val="22"/>
                <w:szCs w:val="22"/>
                <w:lang w:val="en-GB"/>
              </w:rPr>
            </w:pPr>
            <w:r w:rsidRPr="00820F7A">
              <w:rPr>
                <w:rFonts w:ascii="Arial" w:eastAsia="Arial" w:hAnsi="Arial" w:cs="Arial"/>
                <w:color w:val="000000"/>
                <w:sz w:val="22"/>
                <w:szCs w:val="22"/>
                <w:lang w:val="en-GB"/>
              </w:rPr>
              <w:t>9</w:t>
            </w:r>
          </w:p>
        </w:tc>
      </w:tr>
      <w:tr w:rsidR="00826870" w:rsidRPr="00820F7A" w14:paraId="2BF7059C" w14:textId="77777777">
        <w:trPr>
          <w:cantSplit/>
          <w:trHeight w:val="315"/>
          <w:tblHeader/>
          <w:jc w:val="center"/>
        </w:trPr>
        <w:tc>
          <w:tcPr>
            <w:tcW w:w="1815" w:type="dxa"/>
            <w:tcBorders>
              <w:top w:val="nil"/>
              <w:left w:val="single" w:sz="6" w:space="0" w:color="000000"/>
              <w:bottom w:val="single" w:sz="6" w:space="0" w:color="000000"/>
              <w:right w:val="single" w:sz="6" w:space="0" w:color="000000"/>
            </w:tcBorders>
            <w:tcMar>
              <w:top w:w="0" w:type="dxa"/>
              <w:left w:w="0" w:type="dxa"/>
              <w:bottom w:w="0" w:type="dxa"/>
              <w:right w:w="0" w:type="dxa"/>
            </w:tcMar>
          </w:tcPr>
          <w:p w14:paraId="349CB86B" w14:textId="77777777" w:rsidR="00826870" w:rsidRPr="00820F7A" w:rsidRDefault="00B21388">
            <w:pPr>
              <w:pStyle w:val="Normal1"/>
              <w:pBdr>
                <w:top w:val="nil"/>
                <w:left w:val="nil"/>
                <w:bottom w:val="nil"/>
                <w:right w:val="nil"/>
                <w:between w:val="nil"/>
              </w:pBdr>
              <w:jc w:val="center"/>
              <w:rPr>
                <w:rFonts w:ascii="Arial" w:eastAsia="Arial" w:hAnsi="Arial" w:cs="Arial"/>
                <w:color w:val="000000"/>
                <w:sz w:val="22"/>
                <w:szCs w:val="22"/>
                <w:lang w:val="en-GB"/>
              </w:rPr>
            </w:pPr>
            <w:r w:rsidRPr="00820F7A">
              <w:rPr>
                <w:rFonts w:ascii="Arial" w:eastAsia="Arial" w:hAnsi="Arial" w:cs="Arial"/>
                <w:color w:val="000000"/>
                <w:sz w:val="22"/>
                <w:szCs w:val="22"/>
                <w:lang w:val="en-GB"/>
              </w:rPr>
              <w:t>HAND SEARCH</w:t>
            </w:r>
          </w:p>
        </w:tc>
        <w:tc>
          <w:tcPr>
            <w:tcW w:w="1380" w:type="dxa"/>
            <w:tcBorders>
              <w:top w:val="nil"/>
              <w:left w:val="nil"/>
              <w:bottom w:val="single" w:sz="6" w:space="0" w:color="000000"/>
              <w:right w:val="single" w:sz="6" w:space="0" w:color="000000"/>
            </w:tcBorders>
            <w:tcMar>
              <w:top w:w="0" w:type="dxa"/>
              <w:left w:w="0" w:type="dxa"/>
              <w:bottom w:w="0" w:type="dxa"/>
              <w:right w:w="0" w:type="dxa"/>
            </w:tcMar>
          </w:tcPr>
          <w:p w14:paraId="7B5BA38E" w14:textId="77777777" w:rsidR="00826870" w:rsidRPr="00820F7A" w:rsidRDefault="00B21388">
            <w:pPr>
              <w:pStyle w:val="Normal1"/>
              <w:pBdr>
                <w:top w:val="nil"/>
                <w:left w:val="nil"/>
                <w:bottom w:val="nil"/>
                <w:right w:val="nil"/>
                <w:between w:val="nil"/>
              </w:pBdr>
              <w:jc w:val="center"/>
              <w:rPr>
                <w:rFonts w:ascii="Arial" w:eastAsia="Arial" w:hAnsi="Arial" w:cs="Arial"/>
                <w:color w:val="000000"/>
                <w:sz w:val="22"/>
                <w:szCs w:val="22"/>
                <w:lang w:val="en-GB"/>
              </w:rPr>
            </w:pPr>
            <w:r w:rsidRPr="00820F7A">
              <w:rPr>
                <w:rFonts w:ascii="Arial" w:eastAsia="Arial" w:hAnsi="Arial" w:cs="Arial"/>
                <w:color w:val="000000"/>
                <w:sz w:val="22"/>
                <w:szCs w:val="22"/>
                <w:lang w:val="en-GB"/>
              </w:rPr>
              <w:t>01/12/2025</w:t>
            </w:r>
          </w:p>
        </w:tc>
        <w:tc>
          <w:tcPr>
            <w:tcW w:w="1680" w:type="dxa"/>
            <w:tcBorders>
              <w:top w:val="nil"/>
              <w:left w:val="nil"/>
              <w:bottom w:val="single" w:sz="6" w:space="0" w:color="000000"/>
              <w:right w:val="single" w:sz="6" w:space="0" w:color="000000"/>
            </w:tcBorders>
            <w:tcMar>
              <w:top w:w="0" w:type="dxa"/>
              <w:left w:w="0" w:type="dxa"/>
              <w:bottom w:w="0" w:type="dxa"/>
              <w:right w:w="0" w:type="dxa"/>
            </w:tcMar>
          </w:tcPr>
          <w:p w14:paraId="059E71C1" w14:textId="77777777" w:rsidR="00826870" w:rsidRPr="00820F7A" w:rsidRDefault="00B21388">
            <w:pPr>
              <w:pStyle w:val="Normal1"/>
              <w:pBdr>
                <w:top w:val="nil"/>
                <w:left w:val="nil"/>
                <w:bottom w:val="nil"/>
                <w:right w:val="nil"/>
                <w:between w:val="nil"/>
              </w:pBdr>
              <w:jc w:val="center"/>
              <w:rPr>
                <w:rFonts w:ascii="Arial" w:eastAsia="Arial" w:hAnsi="Arial" w:cs="Arial"/>
                <w:color w:val="000000"/>
                <w:sz w:val="22"/>
                <w:szCs w:val="22"/>
                <w:lang w:val="en-GB"/>
              </w:rPr>
            </w:pPr>
            <w:r w:rsidRPr="00820F7A">
              <w:rPr>
                <w:rFonts w:ascii="Arial" w:eastAsia="Arial" w:hAnsi="Arial" w:cs="Arial"/>
                <w:color w:val="000000"/>
                <w:sz w:val="22"/>
                <w:szCs w:val="22"/>
                <w:lang w:val="en-GB"/>
              </w:rPr>
              <w:t>2021 to 2025</w:t>
            </w:r>
          </w:p>
        </w:tc>
        <w:tc>
          <w:tcPr>
            <w:tcW w:w="1590" w:type="dxa"/>
            <w:tcBorders>
              <w:top w:val="nil"/>
              <w:left w:val="nil"/>
              <w:bottom w:val="single" w:sz="6" w:space="0" w:color="000000"/>
              <w:right w:val="single" w:sz="6" w:space="0" w:color="000000"/>
            </w:tcBorders>
            <w:tcMar>
              <w:top w:w="0" w:type="dxa"/>
              <w:left w:w="0" w:type="dxa"/>
              <w:bottom w:w="0" w:type="dxa"/>
              <w:right w:w="0" w:type="dxa"/>
            </w:tcMar>
          </w:tcPr>
          <w:p w14:paraId="2A7EB3A2" w14:textId="77777777" w:rsidR="00826870" w:rsidRPr="00820F7A" w:rsidRDefault="00B21388">
            <w:pPr>
              <w:pStyle w:val="Normal1"/>
              <w:pBdr>
                <w:top w:val="nil"/>
                <w:left w:val="nil"/>
                <w:bottom w:val="nil"/>
                <w:right w:val="nil"/>
                <w:between w:val="nil"/>
              </w:pBdr>
              <w:jc w:val="center"/>
              <w:rPr>
                <w:rFonts w:ascii="Arial" w:eastAsia="Arial" w:hAnsi="Arial" w:cs="Arial"/>
                <w:color w:val="000000"/>
                <w:sz w:val="22"/>
                <w:szCs w:val="22"/>
                <w:lang w:val="en-GB"/>
              </w:rPr>
            </w:pPr>
            <w:r w:rsidRPr="00820F7A">
              <w:rPr>
                <w:rFonts w:ascii="Arial" w:eastAsia="Arial" w:hAnsi="Arial" w:cs="Arial"/>
                <w:color w:val="000000"/>
                <w:sz w:val="22"/>
                <w:szCs w:val="22"/>
                <w:lang w:val="en-GB"/>
              </w:rPr>
              <w:t>200</w:t>
            </w:r>
          </w:p>
        </w:tc>
        <w:tc>
          <w:tcPr>
            <w:tcW w:w="1095" w:type="dxa"/>
            <w:tcBorders>
              <w:top w:val="nil"/>
              <w:left w:val="nil"/>
              <w:bottom w:val="single" w:sz="6" w:space="0" w:color="000000"/>
              <w:right w:val="single" w:sz="6" w:space="0" w:color="000000"/>
            </w:tcBorders>
            <w:tcMar>
              <w:top w:w="0" w:type="dxa"/>
              <w:left w:w="0" w:type="dxa"/>
              <w:bottom w:w="0" w:type="dxa"/>
              <w:right w:w="0" w:type="dxa"/>
            </w:tcMar>
          </w:tcPr>
          <w:p w14:paraId="59BE225F" w14:textId="77777777" w:rsidR="00826870" w:rsidRPr="00820F7A" w:rsidRDefault="00B21388">
            <w:pPr>
              <w:pStyle w:val="Normal1"/>
              <w:pBdr>
                <w:top w:val="nil"/>
                <w:left w:val="nil"/>
                <w:bottom w:val="nil"/>
                <w:right w:val="nil"/>
                <w:between w:val="nil"/>
              </w:pBdr>
              <w:jc w:val="center"/>
              <w:rPr>
                <w:rFonts w:ascii="Arial" w:eastAsia="Arial" w:hAnsi="Arial" w:cs="Arial"/>
                <w:color w:val="000000"/>
                <w:sz w:val="22"/>
                <w:szCs w:val="22"/>
                <w:lang w:val="en-GB"/>
              </w:rPr>
            </w:pPr>
            <w:r w:rsidRPr="00820F7A">
              <w:rPr>
                <w:rFonts w:ascii="Arial" w:eastAsia="Arial" w:hAnsi="Arial" w:cs="Arial"/>
                <w:color w:val="000000"/>
                <w:sz w:val="22"/>
                <w:szCs w:val="22"/>
                <w:lang w:val="en-GB"/>
              </w:rPr>
              <w:t>196</w:t>
            </w:r>
          </w:p>
        </w:tc>
        <w:tc>
          <w:tcPr>
            <w:tcW w:w="1620" w:type="dxa"/>
            <w:tcBorders>
              <w:top w:val="nil"/>
              <w:left w:val="nil"/>
              <w:bottom w:val="single" w:sz="6" w:space="0" w:color="000000"/>
              <w:right w:val="single" w:sz="6" w:space="0" w:color="000000"/>
            </w:tcBorders>
            <w:tcMar>
              <w:top w:w="0" w:type="dxa"/>
              <w:left w:w="0" w:type="dxa"/>
              <w:bottom w:w="0" w:type="dxa"/>
              <w:right w:w="0" w:type="dxa"/>
            </w:tcMar>
          </w:tcPr>
          <w:p w14:paraId="6E396C27" w14:textId="77777777" w:rsidR="00826870" w:rsidRPr="00820F7A" w:rsidRDefault="00B21388">
            <w:pPr>
              <w:pStyle w:val="Normal1"/>
              <w:pBdr>
                <w:top w:val="nil"/>
                <w:left w:val="nil"/>
                <w:bottom w:val="nil"/>
                <w:right w:val="nil"/>
                <w:between w:val="nil"/>
              </w:pBdr>
              <w:jc w:val="center"/>
              <w:rPr>
                <w:rFonts w:ascii="Arial" w:eastAsia="Arial" w:hAnsi="Arial" w:cs="Arial"/>
                <w:color w:val="000000"/>
                <w:sz w:val="22"/>
                <w:szCs w:val="22"/>
                <w:lang w:val="en-GB"/>
              </w:rPr>
            </w:pPr>
            <w:r w:rsidRPr="00820F7A">
              <w:rPr>
                <w:rFonts w:ascii="Arial" w:eastAsia="Arial" w:hAnsi="Arial" w:cs="Arial"/>
                <w:color w:val="000000"/>
                <w:sz w:val="22"/>
                <w:szCs w:val="22"/>
                <w:lang w:val="en-GB"/>
              </w:rPr>
              <w:t>4</w:t>
            </w:r>
          </w:p>
        </w:tc>
      </w:tr>
      <w:tr w:rsidR="00826870" w:rsidRPr="00820F7A" w14:paraId="5163E8DC" w14:textId="77777777">
        <w:trPr>
          <w:cantSplit/>
          <w:trHeight w:val="600"/>
          <w:tblHeader/>
          <w:jc w:val="center"/>
        </w:trPr>
        <w:tc>
          <w:tcPr>
            <w:tcW w:w="1815" w:type="dxa"/>
            <w:tcBorders>
              <w:top w:val="nil"/>
              <w:left w:val="single" w:sz="6" w:space="0" w:color="000000"/>
              <w:bottom w:val="single" w:sz="6" w:space="0" w:color="000000"/>
              <w:right w:val="single" w:sz="6" w:space="0" w:color="000000"/>
            </w:tcBorders>
            <w:tcMar>
              <w:top w:w="0" w:type="dxa"/>
              <w:left w:w="0" w:type="dxa"/>
              <w:bottom w:w="0" w:type="dxa"/>
              <w:right w:w="0" w:type="dxa"/>
            </w:tcMar>
          </w:tcPr>
          <w:p w14:paraId="3E9F0BD0" w14:textId="77777777" w:rsidR="00826870" w:rsidRPr="00820F7A" w:rsidRDefault="00B21388">
            <w:pPr>
              <w:pStyle w:val="Normal1"/>
              <w:pBdr>
                <w:top w:val="nil"/>
                <w:left w:val="nil"/>
                <w:bottom w:val="nil"/>
                <w:right w:val="nil"/>
                <w:between w:val="nil"/>
              </w:pBdr>
              <w:jc w:val="center"/>
              <w:rPr>
                <w:rFonts w:ascii="Arial" w:eastAsia="Arial" w:hAnsi="Arial" w:cs="Arial"/>
                <w:color w:val="000000"/>
                <w:sz w:val="22"/>
                <w:szCs w:val="22"/>
                <w:lang w:val="en-GB"/>
              </w:rPr>
            </w:pPr>
            <w:r w:rsidRPr="00820F7A">
              <w:rPr>
                <w:rFonts w:ascii="Arial" w:eastAsia="Arial" w:hAnsi="Arial" w:cs="Arial"/>
                <w:color w:val="000000"/>
                <w:sz w:val="22"/>
                <w:szCs w:val="22"/>
                <w:lang w:val="en-GB"/>
              </w:rPr>
              <w:t>TOTAL ARTICLES</w:t>
            </w:r>
          </w:p>
        </w:tc>
        <w:tc>
          <w:tcPr>
            <w:tcW w:w="1380" w:type="dxa"/>
            <w:tcBorders>
              <w:top w:val="nil"/>
              <w:left w:val="nil"/>
              <w:bottom w:val="single" w:sz="6" w:space="0" w:color="000000"/>
              <w:right w:val="single" w:sz="6" w:space="0" w:color="000000"/>
            </w:tcBorders>
            <w:tcMar>
              <w:top w:w="0" w:type="dxa"/>
              <w:left w:w="0" w:type="dxa"/>
              <w:bottom w:w="0" w:type="dxa"/>
              <w:right w:w="0" w:type="dxa"/>
            </w:tcMar>
          </w:tcPr>
          <w:p w14:paraId="7694F1BE" w14:textId="77777777" w:rsidR="00826870" w:rsidRPr="00820F7A" w:rsidRDefault="00826870">
            <w:pPr>
              <w:pStyle w:val="Normal1"/>
              <w:pBdr>
                <w:top w:val="nil"/>
                <w:left w:val="nil"/>
                <w:bottom w:val="nil"/>
                <w:right w:val="nil"/>
                <w:between w:val="nil"/>
              </w:pBdr>
              <w:jc w:val="center"/>
              <w:rPr>
                <w:rFonts w:ascii="Arial" w:eastAsia="Arial" w:hAnsi="Arial" w:cs="Arial"/>
                <w:color w:val="000000"/>
                <w:sz w:val="22"/>
                <w:szCs w:val="22"/>
                <w:lang w:val="en-GB"/>
              </w:rPr>
            </w:pPr>
          </w:p>
        </w:tc>
        <w:tc>
          <w:tcPr>
            <w:tcW w:w="1680" w:type="dxa"/>
            <w:tcBorders>
              <w:top w:val="nil"/>
              <w:left w:val="nil"/>
              <w:bottom w:val="single" w:sz="6" w:space="0" w:color="000000"/>
              <w:right w:val="single" w:sz="6" w:space="0" w:color="000000"/>
            </w:tcBorders>
            <w:tcMar>
              <w:top w:w="0" w:type="dxa"/>
              <w:left w:w="0" w:type="dxa"/>
              <w:bottom w:w="0" w:type="dxa"/>
              <w:right w:w="0" w:type="dxa"/>
            </w:tcMar>
          </w:tcPr>
          <w:p w14:paraId="4B0AF54B" w14:textId="77777777" w:rsidR="00826870" w:rsidRPr="00820F7A" w:rsidRDefault="00826870">
            <w:pPr>
              <w:pStyle w:val="Normal1"/>
              <w:pBdr>
                <w:top w:val="nil"/>
                <w:left w:val="nil"/>
                <w:bottom w:val="nil"/>
                <w:right w:val="nil"/>
                <w:between w:val="nil"/>
              </w:pBdr>
              <w:jc w:val="center"/>
              <w:rPr>
                <w:rFonts w:ascii="Arial" w:eastAsia="Arial" w:hAnsi="Arial" w:cs="Arial"/>
                <w:color w:val="000000"/>
                <w:sz w:val="22"/>
                <w:szCs w:val="22"/>
                <w:lang w:val="en-GB"/>
              </w:rPr>
            </w:pPr>
          </w:p>
        </w:tc>
        <w:tc>
          <w:tcPr>
            <w:tcW w:w="1590" w:type="dxa"/>
            <w:tcBorders>
              <w:top w:val="nil"/>
              <w:left w:val="nil"/>
              <w:bottom w:val="single" w:sz="6" w:space="0" w:color="000000"/>
              <w:right w:val="single" w:sz="6" w:space="0" w:color="000000"/>
            </w:tcBorders>
            <w:tcMar>
              <w:top w:w="0" w:type="dxa"/>
              <w:left w:w="0" w:type="dxa"/>
              <w:bottom w:w="0" w:type="dxa"/>
              <w:right w:w="0" w:type="dxa"/>
            </w:tcMar>
          </w:tcPr>
          <w:p w14:paraId="7E710E0B" w14:textId="77777777" w:rsidR="00826870" w:rsidRPr="00820F7A" w:rsidRDefault="00B21388">
            <w:pPr>
              <w:pStyle w:val="Normal1"/>
              <w:pBdr>
                <w:top w:val="nil"/>
                <w:left w:val="nil"/>
                <w:bottom w:val="nil"/>
                <w:right w:val="nil"/>
                <w:between w:val="nil"/>
              </w:pBdr>
              <w:jc w:val="center"/>
              <w:rPr>
                <w:rFonts w:ascii="Arial" w:eastAsia="Arial" w:hAnsi="Arial" w:cs="Arial"/>
                <w:color w:val="000000"/>
                <w:sz w:val="22"/>
                <w:szCs w:val="22"/>
                <w:lang w:val="en-GB"/>
              </w:rPr>
            </w:pPr>
            <w:r w:rsidRPr="00820F7A">
              <w:rPr>
                <w:rFonts w:ascii="Arial" w:eastAsia="Arial" w:hAnsi="Arial" w:cs="Arial"/>
                <w:color w:val="000000"/>
                <w:sz w:val="22"/>
                <w:szCs w:val="22"/>
                <w:lang w:val="en-GB"/>
              </w:rPr>
              <w:t>1000</w:t>
            </w:r>
          </w:p>
        </w:tc>
        <w:tc>
          <w:tcPr>
            <w:tcW w:w="1095" w:type="dxa"/>
            <w:tcBorders>
              <w:top w:val="nil"/>
              <w:left w:val="nil"/>
              <w:bottom w:val="single" w:sz="6" w:space="0" w:color="000000"/>
              <w:right w:val="single" w:sz="6" w:space="0" w:color="000000"/>
            </w:tcBorders>
            <w:tcMar>
              <w:top w:w="0" w:type="dxa"/>
              <w:left w:w="0" w:type="dxa"/>
              <w:bottom w:w="0" w:type="dxa"/>
              <w:right w:w="0" w:type="dxa"/>
            </w:tcMar>
          </w:tcPr>
          <w:p w14:paraId="5234A6FE" w14:textId="77777777" w:rsidR="00826870" w:rsidRPr="00820F7A" w:rsidRDefault="00B21388">
            <w:pPr>
              <w:pStyle w:val="Normal1"/>
              <w:pBdr>
                <w:top w:val="nil"/>
                <w:left w:val="nil"/>
                <w:bottom w:val="nil"/>
                <w:right w:val="nil"/>
                <w:between w:val="nil"/>
              </w:pBdr>
              <w:jc w:val="center"/>
              <w:rPr>
                <w:rFonts w:ascii="Arial" w:eastAsia="Arial" w:hAnsi="Arial" w:cs="Arial"/>
                <w:color w:val="000000"/>
                <w:sz w:val="22"/>
                <w:szCs w:val="22"/>
                <w:lang w:val="en-GB"/>
              </w:rPr>
            </w:pPr>
            <w:r w:rsidRPr="00820F7A">
              <w:rPr>
                <w:rFonts w:ascii="Arial" w:eastAsia="Arial" w:hAnsi="Arial" w:cs="Arial"/>
                <w:color w:val="000000"/>
                <w:sz w:val="22"/>
                <w:szCs w:val="22"/>
                <w:lang w:val="en-GB"/>
              </w:rPr>
              <w:t>991</w:t>
            </w:r>
          </w:p>
        </w:tc>
        <w:tc>
          <w:tcPr>
            <w:tcW w:w="1620" w:type="dxa"/>
            <w:tcBorders>
              <w:top w:val="nil"/>
              <w:left w:val="nil"/>
              <w:bottom w:val="single" w:sz="6" w:space="0" w:color="000000"/>
              <w:right w:val="single" w:sz="6" w:space="0" w:color="000000"/>
            </w:tcBorders>
            <w:tcMar>
              <w:top w:w="0" w:type="dxa"/>
              <w:left w:w="0" w:type="dxa"/>
              <w:bottom w:w="0" w:type="dxa"/>
              <w:right w:w="0" w:type="dxa"/>
            </w:tcMar>
          </w:tcPr>
          <w:p w14:paraId="48F746CC" w14:textId="77777777" w:rsidR="00826870" w:rsidRPr="00820F7A" w:rsidRDefault="00B21388">
            <w:pPr>
              <w:pStyle w:val="Normal1"/>
              <w:pBdr>
                <w:top w:val="nil"/>
                <w:left w:val="nil"/>
                <w:bottom w:val="nil"/>
                <w:right w:val="nil"/>
                <w:between w:val="nil"/>
              </w:pBdr>
              <w:jc w:val="center"/>
              <w:rPr>
                <w:rFonts w:ascii="Arial" w:eastAsia="Arial" w:hAnsi="Arial" w:cs="Arial"/>
                <w:color w:val="000000"/>
                <w:sz w:val="22"/>
                <w:szCs w:val="22"/>
                <w:lang w:val="en-GB"/>
              </w:rPr>
            </w:pPr>
            <w:r w:rsidRPr="00820F7A">
              <w:rPr>
                <w:rFonts w:ascii="Arial" w:eastAsia="Arial" w:hAnsi="Arial" w:cs="Arial"/>
                <w:color w:val="000000"/>
                <w:sz w:val="22"/>
                <w:szCs w:val="22"/>
                <w:lang w:val="en-GB"/>
              </w:rPr>
              <w:t>17</w:t>
            </w:r>
          </w:p>
        </w:tc>
      </w:tr>
    </w:tbl>
    <w:p w14:paraId="00E91738" w14:textId="77777777" w:rsidR="00826870" w:rsidRPr="00820F7A" w:rsidRDefault="00B21388">
      <w:pPr>
        <w:pStyle w:val="Heading5"/>
        <w:rPr>
          <w:lang w:val="en-GB"/>
        </w:rPr>
        <w:sectPr w:rsidR="00826870" w:rsidRPr="00820F7A">
          <w:pgSz w:w="15840" w:h="12240" w:orient="landscape"/>
          <w:pgMar w:top="1440" w:right="1440" w:bottom="1440" w:left="1440" w:header="720" w:footer="720" w:gutter="0"/>
          <w:cols w:space="720"/>
        </w:sectPr>
      </w:pPr>
      <w:bookmarkStart w:id="57" w:name="_heading=h.5wkxcy8i6sxv" w:colFirst="0" w:colLast="0"/>
      <w:bookmarkEnd w:id="57"/>
      <w:r w:rsidRPr="00820F7A">
        <w:rPr>
          <w:lang w:val="en-GB"/>
        </w:rPr>
        <w:t>Table 3.5: Database search</w:t>
      </w:r>
    </w:p>
    <w:p w14:paraId="092C63EA" w14:textId="77777777" w:rsidR="00826870" w:rsidRPr="00820F7A" w:rsidRDefault="00B21388">
      <w:pPr>
        <w:pStyle w:val="Normal1"/>
        <w:pBdr>
          <w:top w:val="nil"/>
          <w:left w:val="nil"/>
          <w:bottom w:val="nil"/>
          <w:right w:val="nil"/>
          <w:between w:val="nil"/>
        </w:pBdr>
        <w:jc w:val="center"/>
        <w:rPr>
          <w:color w:val="000000"/>
          <w:lang w:val="en-GB"/>
        </w:rPr>
      </w:pPr>
      <w:bookmarkStart w:id="58" w:name="_heading=h.i27wfyw71v7u" w:colFirst="0" w:colLast="0"/>
      <w:bookmarkEnd w:id="58"/>
      <w:r w:rsidRPr="00820F7A">
        <w:rPr>
          <w:color w:val="000000"/>
          <w:lang w:val="en-GB"/>
        </w:rPr>
        <w:t>(Source: Self-created)</w:t>
      </w:r>
    </w:p>
    <w:p w14:paraId="0701ADB4" w14:textId="77777777" w:rsidR="00826870" w:rsidRPr="00820F7A" w:rsidRDefault="00B21388">
      <w:pPr>
        <w:pStyle w:val="Normal1"/>
        <w:pBdr>
          <w:top w:val="nil"/>
          <w:left w:val="nil"/>
          <w:bottom w:val="nil"/>
          <w:right w:val="nil"/>
          <w:between w:val="nil"/>
        </w:pBdr>
        <w:jc w:val="center"/>
        <w:rPr>
          <w:color w:val="000000"/>
          <w:lang w:val="en-GB"/>
        </w:rPr>
      </w:pPr>
      <w:bookmarkStart w:id="59" w:name="_heading=h.blw1q7l2yzsd" w:colFirst="0" w:colLast="0"/>
      <w:bookmarkEnd w:id="59"/>
      <w:r w:rsidRPr="00820F7A">
        <w:rPr>
          <w:color w:val="000000"/>
          <w:lang w:val="en-GB"/>
        </w:rPr>
        <w:t>[Refer to Appendix]</w:t>
      </w:r>
    </w:p>
    <w:p w14:paraId="66717904" w14:textId="77777777" w:rsidR="00826870" w:rsidRPr="00820F7A" w:rsidRDefault="00B21388">
      <w:pPr>
        <w:pStyle w:val="Heading2"/>
        <w:rPr>
          <w:lang w:val="en-GB"/>
        </w:rPr>
      </w:pPr>
      <w:bookmarkStart w:id="60" w:name="_Toc220759501"/>
      <w:r w:rsidRPr="00820F7A">
        <w:rPr>
          <w:lang w:val="en-GB"/>
        </w:rPr>
        <w:t>3.10 Screening results</w:t>
      </w:r>
      <w:bookmarkEnd w:id="60"/>
    </w:p>
    <w:p w14:paraId="2A3C6D80" w14:textId="77777777" w:rsidR="00826870" w:rsidRPr="00820F7A" w:rsidRDefault="00B21388">
      <w:pPr>
        <w:pStyle w:val="Normal1"/>
        <w:pBdr>
          <w:top w:val="nil"/>
          <w:left w:val="nil"/>
          <w:bottom w:val="nil"/>
          <w:right w:val="nil"/>
          <w:between w:val="nil"/>
        </w:pBdr>
        <w:rPr>
          <w:color w:val="000000"/>
          <w:lang w:val="en-GB"/>
        </w:rPr>
      </w:pPr>
      <w:bookmarkStart w:id="61" w:name="_heading=h.5e05kgo3yn5d" w:colFirst="0" w:colLast="0"/>
      <w:bookmarkEnd w:id="61"/>
      <w:r w:rsidRPr="00820F7A">
        <w:rPr>
          <w:color w:val="000000"/>
          <w:lang w:val="en-GB"/>
        </w:rPr>
        <w:t xml:space="preserve">The screening results of research on the results indicates that the effective clinical leadership has a significant positive impact on patients safety and its culture maintenance, the strong leadership is determined to enhance the specific safety dimensions such as teamwork, communication as well as working conditions that helps in reducing a pervasive blaming culture. The major barrier is identified for being able to balance the culture as the staffs is afraid to report the incidents for fear of punishment. The strong clinical leadership is determined to address creating a psychologically safe and non-punitive environment. Thus, it tends to develop the organisational lean ring disputes and a clear communication regarding commitment to safety. </w:t>
      </w:r>
    </w:p>
    <w:p w14:paraId="6B419DF7" w14:textId="77777777" w:rsidR="00826870" w:rsidRPr="00820F7A" w:rsidRDefault="00B21388">
      <w:pPr>
        <w:pStyle w:val="Heading2"/>
        <w:rPr>
          <w:lang w:val="en-GB"/>
        </w:rPr>
      </w:pPr>
      <w:bookmarkStart w:id="62" w:name="_Toc220759502"/>
      <w:r w:rsidRPr="00820F7A">
        <w:rPr>
          <w:lang w:val="en-GB"/>
        </w:rPr>
        <w:t>3.11 Study selection</w:t>
      </w:r>
      <w:bookmarkEnd w:id="62"/>
      <w:r w:rsidRPr="00820F7A">
        <w:rPr>
          <w:lang w:val="en-GB"/>
        </w:rPr>
        <w:t xml:space="preserve"> </w:t>
      </w:r>
    </w:p>
    <w:p w14:paraId="4F55FE19" w14:textId="77777777" w:rsidR="00826870" w:rsidRPr="00820F7A" w:rsidRDefault="00B21388">
      <w:pPr>
        <w:pStyle w:val="Normal1"/>
        <w:pBdr>
          <w:top w:val="nil"/>
          <w:left w:val="nil"/>
          <w:bottom w:val="nil"/>
          <w:right w:val="nil"/>
          <w:between w:val="nil"/>
        </w:pBdr>
        <w:rPr>
          <w:b/>
          <w:bCs/>
          <w:color w:val="000000"/>
          <w:lang w:val="en-GB"/>
        </w:rPr>
      </w:pPr>
      <w:r w:rsidRPr="00820F7A">
        <w:rPr>
          <w:b/>
          <w:bCs/>
          <w:color w:val="000000"/>
          <w:lang w:val="en-GB"/>
        </w:rPr>
        <w:t xml:space="preserve">a. Step 1: overall screening of articles </w:t>
      </w:r>
    </w:p>
    <w:p w14:paraId="3101D82E"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The key articles that have been accessed and analysed includes PubMed Central, Google Scholar and hand research that assisted in gathering relevant and in-depth insights into clinical leadership effectiveness. Idrees </w:t>
      </w:r>
      <w:r w:rsidRPr="00820F7A">
        <w:rPr>
          <w:i/>
          <w:iCs/>
          <w:color w:val="000000"/>
          <w:lang w:val="en-GB"/>
        </w:rPr>
        <w:t>et al.</w:t>
      </w:r>
      <w:r w:rsidRPr="00820F7A">
        <w:rPr>
          <w:color w:val="000000"/>
          <w:lang w:val="en-GB"/>
        </w:rPr>
        <w:t xml:space="preserve"> (2021) have evaluated that using strict inclusion and exclusion criteria for searching databases provide more accurate and precise access to information. Accordingly, the implication of inclusion and exclusion criteria based on keyword search strategy has been ensured for improving data assessment and gathering. </w:t>
      </w:r>
    </w:p>
    <w:p w14:paraId="2ECF210C" w14:textId="77777777" w:rsidR="00826870" w:rsidRPr="00820F7A" w:rsidRDefault="00B21388">
      <w:pPr>
        <w:pStyle w:val="Normal1"/>
        <w:pBdr>
          <w:top w:val="nil"/>
          <w:left w:val="nil"/>
          <w:bottom w:val="nil"/>
          <w:right w:val="nil"/>
          <w:between w:val="nil"/>
        </w:pBdr>
        <w:rPr>
          <w:b/>
          <w:bCs/>
          <w:color w:val="000000"/>
          <w:lang w:val="en-GB"/>
        </w:rPr>
      </w:pPr>
      <w:r w:rsidRPr="00820F7A">
        <w:rPr>
          <w:b/>
          <w:bCs/>
          <w:color w:val="000000"/>
          <w:lang w:val="en-GB"/>
        </w:rPr>
        <w:t>B. Step 2: Title and abstract screening</w:t>
      </w:r>
    </w:p>
    <w:p w14:paraId="5B339602" w14:textId="77777777" w:rsidR="00826870" w:rsidRPr="00820F7A" w:rsidRDefault="00B21388">
      <w:pPr>
        <w:pStyle w:val="Normal1"/>
        <w:pBdr>
          <w:top w:val="nil"/>
          <w:left w:val="nil"/>
          <w:bottom w:val="nil"/>
          <w:right w:val="nil"/>
          <w:between w:val="nil"/>
        </w:pBdr>
        <w:rPr>
          <w:b/>
          <w:bCs/>
          <w:color w:val="000000"/>
          <w:lang w:val="en-GB"/>
        </w:rPr>
      </w:pPr>
      <w:r w:rsidRPr="00820F7A">
        <w:rPr>
          <w:color w:val="000000"/>
          <w:lang w:val="en-GB"/>
        </w:rPr>
        <w:t xml:space="preserve">The articles that contained comprehensive information on clinical leadership within the healthcare sector of the UK have been included in the study. The abstract that contained information of clinical leadership for developing positive patient culture has been included that assists in supporting the findings of the study. Fekadu </w:t>
      </w:r>
      <w:r w:rsidRPr="00820F7A">
        <w:rPr>
          <w:i/>
          <w:iCs/>
          <w:color w:val="000000"/>
          <w:lang w:val="en-GB"/>
        </w:rPr>
        <w:t>et al.</w:t>
      </w:r>
      <w:r w:rsidRPr="00820F7A">
        <w:rPr>
          <w:color w:val="000000"/>
          <w:lang w:val="en-GB"/>
        </w:rPr>
        <w:t xml:space="preserve"> (2025) discussed that patient safety culture in the healthcare setting is associated with developing a blame-free environment, promoting continuous improvement and learning, leading to enhanced individual accountability. </w:t>
      </w:r>
    </w:p>
    <w:p w14:paraId="650EC3F5" w14:textId="77777777" w:rsidR="00826870" w:rsidRPr="00820F7A" w:rsidRDefault="00B21388">
      <w:pPr>
        <w:pStyle w:val="Normal1"/>
        <w:pBdr>
          <w:top w:val="nil"/>
          <w:left w:val="nil"/>
          <w:bottom w:val="nil"/>
          <w:right w:val="nil"/>
          <w:between w:val="nil"/>
        </w:pBdr>
        <w:rPr>
          <w:b/>
          <w:bCs/>
          <w:color w:val="000000"/>
          <w:lang w:val="en-GB"/>
        </w:rPr>
      </w:pPr>
      <w:r w:rsidRPr="00820F7A">
        <w:rPr>
          <w:b/>
          <w:bCs/>
          <w:color w:val="000000"/>
          <w:lang w:val="en-GB"/>
        </w:rPr>
        <w:t xml:space="preserve">C. Step 3: full-text downloading and screening </w:t>
      </w:r>
    </w:p>
    <w:p w14:paraId="02808A2A"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Lockhart </w:t>
      </w:r>
      <w:r w:rsidRPr="00820F7A">
        <w:rPr>
          <w:i/>
          <w:iCs/>
          <w:color w:val="000000"/>
          <w:lang w:val="en-GB"/>
        </w:rPr>
        <w:t xml:space="preserve">et al. </w:t>
      </w:r>
      <w:r w:rsidRPr="00820F7A">
        <w:rPr>
          <w:color w:val="000000"/>
          <w:lang w:val="en-GB"/>
        </w:rPr>
        <w:t xml:space="preserve">(2025) have analysed that scientific methods in healthcare research are associated with implementing Precision Criteria for gathering evidence related to the research topic and reducing variability of the data. The precision criteria for conducting database search in the study include full-text downloading options and alignment of the research question with the aim of the articles gathered. </w:t>
      </w:r>
    </w:p>
    <w:p w14:paraId="18411FE9" w14:textId="77777777" w:rsidR="00826870" w:rsidRPr="00820F7A" w:rsidRDefault="00B21388">
      <w:pPr>
        <w:pStyle w:val="Normal1"/>
        <w:pBdr>
          <w:top w:val="nil"/>
          <w:left w:val="nil"/>
          <w:bottom w:val="nil"/>
          <w:right w:val="nil"/>
          <w:between w:val="nil"/>
        </w:pBdr>
        <w:rPr>
          <w:b/>
          <w:bCs/>
          <w:color w:val="000000"/>
          <w:lang w:val="en-GB"/>
        </w:rPr>
      </w:pPr>
      <w:r w:rsidRPr="00820F7A">
        <w:rPr>
          <w:b/>
          <w:bCs/>
          <w:color w:val="000000"/>
          <w:lang w:val="en-GB"/>
        </w:rPr>
        <w:t xml:space="preserve">D. Step 4: abstracts in inclusion criteria </w:t>
      </w:r>
    </w:p>
    <w:p w14:paraId="1571FF66"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The research question that was at the core of obtaining information was based on analysing the role of clinical leadership in improving and maintaining a culture of patient safety across the UK. For example, 500 articles were accessed from Google scholar out of those 496 articles was excluded from the study due to lack of relevance with the research aim. Khatatbeh</w:t>
      </w:r>
      <w:r w:rsidRPr="00820F7A">
        <w:rPr>
          <w:i/>
          <w:iCs/>
          <w:color w:val="000000"/>
          <w:lang w:val="en-GB"/>
        </w:rPr>
        <w:t xml:space="preserve"> et al.</w:t>
      </w:r>
      <w:r w:rsidRPr="00820F7A">
        <w:rPr>
          <w:color w:val="000000"/>
          <w:lang w:val="en-GB"/>
        </w:rPr>
        <w:t xml:space="preserve"> (2022) have evaluated that MeSH term usage in healthcare research is linked with conducting specific research for database search on clinical leadership for development of comprehensive safety culture. </w:t>
      </w:r>
    </w:p>
    <w:p w14:paraId="515F96B0" w14:textId="77777777" w:rsidR="00826870" w:rsidRPr="00820F7A" w:rsidRDefault="00B21388">
      <w:pPr>
        <w:pStyle w:val="Normal1"/>
        <w:pBdr>
          <w:top w:val="nil"/>
          <w:left w:val="nil"/>
          <w:bottom w:val="nil"/>
          <w:right w:val="nil"/>
          <w:between w:val="nil"/>
        </w:pBdr>
        <w:rPr>
          <w:b/>
          <w:bCs/>
          <w:color w:val="000000"/>
          <w:lang w:val="en-GB"/>
        </w:rPr>
      </w:pPr>
      <w:r w:rsidRPr="00820F7A">
        <w:rPr>
          <w:b/>
          <w:bCs/>
          <w:color w:val="000000"/>
          <w:lang w:val="en-GB"/>
        </w:rPr>
        <w:t xml:space="preserve">3.12 Left articles form whole process </w:t>
      </w:r>
    </w:p>
    <w:p w14:paraId="5B24C556"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The articles that were utilised from databases including Google scholar, PubMed and PubMed Plus were selected in facilitating ethical leadership for development of collaboration and engaging workplace culture to ensure patient safety. Camanni</w:t>
      </w:r>
      <w:r w:rsidRPr="00820F7A">
        <w:rPr>
          <w:i/>
          <w:iCs/>
          <w:color w:val="000000"/>
          <w:lang w:val="en-GB"/>
        </w:rPr>
        <w:t xml:space="preserve"> et al. </w:t>
      </w:r>
      <w:r w:rsidRPr="00820F7A">
        <w:rPr>
          <w:color w:val="000000"/>
          <w:lang w:val="en-GB"/>
        </w:rPr>
        <w:t xml:space="preserve">(2023) have analysed that exclusion criteria implemented in research study assist in assessing the appropriateness of the study and qualitative information for improving search quality. </w:t>
      </w:r>
    </w:p>
    <w:p w14:paraId="2CB3678F" w14:textId="77777777" w:rsidR="00826870" w:rsidRPr="00820F7A" w:rsidRDefault="00B21388">
      <w:pPr>
        <w:pStyle w:val="Heading2"/>
        <w:rPr>
          <w:lang w:val="en-GB"/>
        </w:rPr>
      </w:pPr>
      <w:bookmarkStart w:id="63" w:name="_Toc220759503"/>
      <w:r w:rsidRPr="00820F7A">
        <w:rPr>
          <w:lang w:val="en-GB"/>
        </w:rPr>
        <w:t>3.13 PRISMA chart</w:t>
      </w:r>
      <w:bookmarkEnd w:id="63"/>
      <w:r w:rsidRPr="00820F7A">
        <w:rPr>
          <w:lang w:val="en-GB"/>
        </w:rPr>
        <w:t xml:space="preserve"> </w:t>
      </w:r>
    </w:p>
    <w:p w14:paraId="7998A154" w14:textId="77777777" w:rsidR="00826870" w:rsidRPr="00820F7A" w:rsidRDefault="00B21388">
      <w:pPr>
        <w:pStyle w:val="Normal1"/>
        <w:pBdr>
          <w:top w:val="nil"/>
          <w:left w:val="nil"/>
          <w:bottom w:val="nil"/>
          <w:right w:val="nil"/>
          <w:between w:val="nil"/>
        </w:pBdr>
        <w:jc w:val="center"/>
        <w:rPr>
          <w:color w:val="000000"/>
          <w:lang w:val="en-GB"/>
        </w:rPr>
      </w:pPr>
      <w:r w:rsidRPr="00820F7A">
        <w:rPr>
          <w:noProof/>
          <w:color w:val="000000"/>
          <w:lang w:val="en-GB"/>
        </w:rPr>
        <w:drawing>
          <wp:inline distT="114300" distB="114300" distL="114300" distR="114300" wp14:anchorId="510AD65F" wp14:editId="27CED34E">
            <wp:extent cx="4810125" cy="5276850"/>
            <wp:effectExtent l="25400" t="25400" r="25400" b="25400"/>
            <wp:docPr id="13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3"/>
                    <a:srcRect/>
                    <a:stretch>
                      <a:fillRect/>
                    </a:stretch>
                  </pic:blipFill>
                  <pic:spPr>
                    <a:xfrm>
                      <a:off x="0" y="0"/>
                      <a:ext cx="4810125" cy="5276850"/>
                    </a:xfrm>
                    <a:prstGeom prst="rect">
                      <a:avLst/>
                    </a:prstGeom>
                    <a:ln w="25400">
                      <a:solidFill>
                        <a:srgbClr val="0000FF"/>
                      </a:solidFill>
                      <a:prstDash val="solid"/>
                    </a:ln>
                  </pic:spPr>
                </pic:pic>
              </a:graphicData>
            </a:graphic>
          </wp:inline>
        </w:drawing>
      </w:r>
    </w:p>
    <w:p w14:paraId="6F71FF2F" w14:textId="77777777" w:rsidR="00826870" w:rsidRPr="00820F7A" w:rsidRDefault="00B21388">
      <w:pPr>
        <w:pStyle w:val="Heading4"/>
        <w:rPr>
          <w:lang w:val="en-GB"/>
        </w:rPr>
      </w:pPr>
      <w:bookmarkStart w:id="64" w:name="_heading=h.4e33alo8am0r" w:colFirst="0" w:colLast="0"/>
      <w:bookmarkEnd w:id="64"/>
      <w:r w:rsidRPr="00820F7A">
        <w:rPr>
          <w:lang w:val="en-GB"/>
        </w:rPr>
        <w:t>Figure 3.1: PRISMA</w:t>
      </w:r>
    </w:p>
    <w:p w14:paraId="0357AF08" w14:textId="77777777" w:rsidR="00826870" w:rsidRPr="00820F7A" w:rsidRDefault="00B21388">
      <w:pPr>
        <w:pStyle w:val="Normal1"/>
        <w:pBdr>
          <w:top w:val="nil"/>
          <w:left w:val="nil"/>
          <w:bottom w:val="nil"/>
          <w:right w:val="nil"/>
          <w:between w:val="nil"/>
        </w:pBdr>
        <w:jc w:val="center"/>
        <w:rPr>
          <w:color w:val="000000"/>
          <w:lang w:val="en-GB"/>
        </w:rPr>
      </w:pPr>
      <w:r w:rsidRPr="00820F7A">
        <w:rPr>
          <w:color w:val="000000"/>
          <w:lang w:val="en-GB"/>
        </w:rPr>
        <w:t>(Source: Self-Created)</w:t>
      </w:r>
    </w:p>
    <w:p w14:paraId="55E26A3F"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The above figure has presented the PRISMA framework based on the database table to inform the process of data collection after excluding the unnecessary and irrelevant data. Based on the PRISMA framework, 17 resources have been used in this research to draw concluding remarks on the role of clinical leadership for managing patient safety culture in the UK’s hospitals.</w:t>
      </w:r>
    </w:p>
    <w:p w14:paraId="6A12D065" w14:textId="77777777" w:rsidR="00826870" w:rsidRPr="00820F7A" w:rsidRDefault="00B21388">
      <w:pPr>
        <w:pStyle w:val="Heading2"/>
        <w:rPr>
          <w:lang w:val="en-GB"/>
        </w:rPr>
      </w:pPr>
      <w:bookmarkStart w:id="65" w:name="_Toc220759504"/>
      <w:r w:rsidRPr="00820F7A">
        <w:rPr>
          <w:lang w:val="en-GB"/>
        </w:rPr>
        <w:t>3.14 Quality assessment (QA)</w:t>
      </w:r>
      <w:bookmarkEnd w:id="65"/>
    </w:p>
    <w:p w14:paraId="6ED1A6E7" w14:textId="77777777" w:rsidR="00826870" w:rsidRPr="00820F7A" w:rsidRDefault="00B21388">
      <w:pPr>
        <w:pStyle w:val="Normal1"/>
        <w:pBdr>
          <w:top w:val="nil"/>
          <w:left w:val="nil"/>
          <w:bottom w:val="nil"/>
          <w:right w:val="nil"/>
          <w:between w:val="nil"/>
        </w:pBdr>
        <w:rPr>
          <w:b/>
          <w:bCs/>
          <w:i/>
          <w:iCs/>
          <w:color w:val="000000"/>
          <w:lang w:val="en-GB"/>
        </w:rPr>
      </w:pPr>
      <w:r w:rsidRPr="00820F7A">
        <w:rPr>
          <w:b/>
          <w:bCs/>
          <w:i/>
          <w:iCs/>
          <w:color w:val="000000"/>
          <w:lang w:val="en-GB"/>
        </w:rPr>
        <w:t>Refer to Appendix 1</w:t>
      </w:r>
    </w:p>
    <w:p w14:paraId="7BFCE18D" w14:textId="77777777" w:rsidR="00826870" w:rsidRPr="00820F7A" w:rsidRDefault="00B21388">
      <w:pPr>
        <w:pStyle w:val="Heading2"/>
        <w:rPr>
          <w:lang w:val="en-GB"/>
        </w:rPr>
      </w:pPr>
      <w:bookmarkStart w:id="66" w:name="_Toc220759505"/>
      <w:r w:rsidRPr="00820F7A">
        <w:rPr>
          <w:lang w:val="en-GB"/>
        </w:rPr>
        <w:t>3.15 Data characteristics and data extraction</w:t>
      </w:r>
      <w:bookmarkEnd w:id="66"/>
    </w:p>
    <w:p w14:paraId="2F65E552" w14:textId="77777777" w:rsidR="00826870" w:rsidRPr="00820F7A" w:rsidRDefault="00B21388">
      <w:pPr>
        <w:pStyle w:val="Normal1"/>
        <w:pBdr>
          <w:top w:val="nil"/>
          <w:left w:val="nil"/>
          <w:bottom w:val="nil"/>
          <w:right w:val="nil"/>
          <w:between w:val="nil"/>
        </w:pBdr>
        <w:rPr>
          <w:color w:val="000000"/>
          <w:lang w:val="en-GB"/>
        </w:rPr>
      </w:pPr>
      <w:bookmarkStart w:id="67" w:name="_heading=h.mmd4czhfwckb" w:colFirst="0" w:colLast="0"/>
      <w:bookmarkEnd w:id="67"/>
      <w:r w:rsidRPr="00820F7A">
        <w:rPr>
          <w:color w:val="000000"/>
          <w:lang w:val="en-GB"/>
        </w:rPr>
        <w:t>The evaluation of the clinical leadership’s role within the UK hospitals patients after culture, the data characteristics tends to involve the leadership styles, management actions and also staff perceptions. These are further measured through the surveys and focusing on qualitative extracted data. These data are used within the spreadsheet for analysis of the direct and indirect impacts through the SEM. The key extraction is determined to ensure the points involve the leadership behaviours, safety climate dimensions and also safety outcomes that ensure the tools that fit the UK context. Thus, the transformational, supportive,</w:t>
      </w:r>
      <w:r w:rsidRPr="00820F7A">
        <w:rPr>
          <w:b/>
          <w:bCs/>
          <w:color w:val="000000"/>
          <w:lang w:val="en-GB"/>
        </w:rPr>
        <w:t xml:space="preserve"> authentic and also management's</w:t>
      </w:r>
      <w:r w:rsidRPr="00820F7A">
        <w:rPr>
          <w:color w:val="000000"/>
          <w:lang w:val="en-GB"/>
        </w:rPr>
        <w:t xml:space="preserve"> active support ensures the safety goals for the research. </w:t>
      </w:r>
    </w:p>
    <w:p w14:paraId="731B4172" w14:textId="77777777" w:rsidR="00826870" w:rsidRPr="00820F7A" w:rsidRDefault="00B21388">
      <w:pPr>
        <w:pStyle w:val="Heading2"/>
        <w:rPr>
          <w:lang w:val="en-GB"/>
        </w:rPr>
      </w:pPr>
      <w:bookmarkStart w:id="68" w:name="_Toc220759506"/>
      <w:r w:rsidRPr="00820F7A">
        <w:rPr>
          <w:lang w:val="en-GB"/>
        </w:rPr>
        <w:t>3.16 Data synthesis</w:t>
      </w:r>
      <w:bookmarkEnd w:id="68"/>
      <w:r w:rsidRPr="00820F7A">
        <w:rPr>
          <w:lang w:val="en-GB"/>
        </w:rPr>
        <w:t xml:space="preserve"> </w:t>
      </w:r>
    </w:p>
    <w:p w14:paraId="77AA9744"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Thematic analysis of the data synthesis within the studies evaluates the clinical leadership within managing patient safety culture within UK hospitals that highlights that is effective leadership significance that influences safety attitudes. Thematic data analysis is used within the research that is developed by Braun and Clarke for evaluating the data that are based on 4 themes for meeting the research objectives. The practice of thematic analysis is further associated with the development of the themes that are based on the codes within the research. Therefore, the research is aligned with Braun and Clarke’s thematic analysis within the qualitative research that is easy to conduct as it provides more access to details. </w:t>
      </w:r>
    </w:p>
    <w:p w14:paraId="6679F86C" w14:textId="77777777" w:rsidR="00826870" w:rsidRPr="00820F7A" w:rsidRDefault="00B21388">
      <w:pPr>
        <w:pStyle w:val="Heading2"/>
        <w:rPr>
          <w:lang w:val="en-GB"/>
        </w:rPr>
      </w:pPr>
      <w:bookmarkStart w:id="69" w:name="_Toc220759507"/>
      <w:r w:rsidRPr="00820F7A">
        <w:rPr>
          <w:lang w:val="en-GB"/>
        </w:rPr>
        <w:t>3.17 Limitation of the methods</w:t>
      </w:r>
      <w:bookmarkEnd w:id="69"/>
      <w:r w:rsidRPr="00820F7A">
        <w:rPr>
          <w:lang w:val="en-GB"/>
        </w:rPr>
        <w:t xml:space="preserve"> </w:t>
      </w:r>
    </w:p>
    <w:p w14:paraId="703C36A6"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The limitations within evaluating the clinical leadership's role within the UK patient safety culture are often involved within the reliance on subjective perceptions, lack of objective outcome measurements, difficulties in measuring actual leadership. The complications are isolating leadership's specific impacts amidst other factors as well as challenges with the staff honesty within reporting because of the fear of hierarchy. The methods struggle to capture nuanced, context-specific leadership behaviours with the true link between leadership actions and also safety outcomes. </w:t>
      </w:r>
    </w:p>
    <w:p w14:paraId="51098254" w14:textId="77777777" w:rsidR="00826870" w:rsidRPr="00820F7A" w:rsidRDefault="00B21388">
      <w:pPr>
        <w:pStyle w:val="Heading2"/>
        <w:rPr>
          <w:lang w:val="en-GB"/>
        </w:rPr>
      </w:pPr>
      <w:bookmarkStart w:id="70" w:name="_Toc220759508"/>
      <w:r w:rsidRPr="00820F7A">
        <w:rPr>
          <w:lang w:val="en-GB"/>
        </w:rPr>
        <w:t>3.18 Chapter summary</w:t>
      </w:r>
      <w:bookmarkEnd w:id="70"/>
      <w:r w:rsidRPr="00820F7A">
        <w:rPr>
          <w:lang w:val="en-GB"/>
        </w:rPr>
        <w:t xml:space="preserve"> </w:t>
      </w:r>
    </w:p>
    <w:p w14:paraId="74D9AC73"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In the summary, the methodology for evaluating the clinical leadership’s role within the UK hospital patient safety culture is typically involved within a qualitative approach. The secondary qualitative systemic revenue on the clinical leadership and patients' safety couture ensures a narrative synthesis for exploring themes from existing qualitative studies. This chapter involves systematic thematic analysis for identifying leadership styles to shape the safety culture dimensions and to influence the staff perceptions and its behaviours within the demanding NHS environments. Thus, this focuses on the impact of the leaders for better safety measurements. </w:t>
      </w:r>
    </w:p>
    <w:p w14:paraId="5DB9B31C" w14:textId="77777777" w:rsidR="00826870" w:rsidRPr="00820F7A" w:rsidRDefault="00B21388">
      <w:pPr>
        <w:pStyle w:val="Heading1"/>
        <w:rPr>
          <w:lang w:val="en-GB"/>
        </w:rPr>
      </w:pPr>
      <w:bookmarkStart w:id="71" w:name="_Toc220759509"/>
      <w:r w:rsidRPr="00820F7A">
        <w:rPr>
          <w:lang w:val="en-GB"/>
        </w:rPr>
        <w:t>Chapter 4- Results</w:t>
      </w:r>
      <w:bookmarkEnd w:id="71"/>
    </w:p>
    <w:p w14:paraId="3819126A" w14:textId="77777777" w:rsidR="00826870" w:rsidRPr="00820F7A" w:rsidRDefault="00B21388">
      <w:pPr>
        <w:pStyle w:val="Heading2"/>
        <w:rPr>
          <w:lang w:val="en-GB"/>
        </w:rPr>
      </w:pPr>
      <w:bookmarkStart w:id="72" w:name="_Toc220759510"/>
      <w:r w:rsidRPr="00820F7A">
        <w:rPr>
          <w:lang w:val="en-GB"/>
        </w:rPr>
        <w:t>4.1 Introduction</w:t>
      </w:r>
      <w:bookmarkEnd w:id="72"/>
    </w:p>
    <w:p w14:paraId="34E42CCC"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The chapter discussed the results of the articles that have been obtained from secondary sources regarding the role of clinical leadership in managing patients' safety culture in UK hospitals. The data extraction and thematic analysis has also been conducted to draw matters and theme from the contextual information </w:t>
      </w:r>
    </w:p>
    <w:p w14:paraId="3097621B" w14:textId="77777777" w:rsidR="00826870" w:rsidRPr="00820F7A" w:rsidRDefault="00B21388">
      <w:pPr>
        <w:pStyle w:val="Heading2"/>
        <w:rPr>
          <w:lang w:val="en-GB"/>
        </w:rPr>
      </w:pPr>
      <w:bookmarkStart w:id="73" w:name="_Toc220759511"/>
      <w:r w:rsidRPr="00820F7A">
        <w:rPr>
          <w:lang w:val="en-GB"/>
        </w:rPr>
        <w:t>4.2 Results</w:t>
      </w:r>
      <w:bookmarkEnd w:id="73"/>
    </w:p>
    <w:p w14:paraId="3A9B710A"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The articles regarding the role of clinical leadership in managing patient safety culture within UK hospitals have been accessed from different secondary databases. The key databases searched for the study include Google Scholar, PubMed and ProQuest that assisted in obtaining 17 articles that are directly associated with evaluating the role of clinical leadership. Around 830 articles were removed from the diverse database search, 99 were removed due to poor relevance with the topic and 403 articles were removed due to non-English publications. </w:t>
      </w:r>
    </w:p>
    <w:p w14:paraId="784C4E31" w14:textId="77777777" w:rsidR="00826870" w:rsidRPr="00820F7A" w:rsidRDefault="00B21388">
      <w:pPr>
        <w:pStyle w:val="Heading2"/>
        <w:rPr>
          <w:lang w:val="en-GB"/>
        </w:rPr>
        <w:sectPr w:rsidR="00826870" w:rsidRPr="00820F7A">
          <w:pgSz w:w="12240" w:h="15840"/>
          <w:pgMar w:top="1440" w:right="1440" w:bottom="1440" w:left="1440" w:header="720" w:footer="720" w:gutter="0"/>
          <w:cols w:space="720"/>
        </w:sectPr>
      </w:pPr>
      <w:bookmarkStart w:id="74" w:name="_Toc220759512"/>
      <w:r w:rsidRPr="00820F7A">
        <w:rPr>
          <w:lang w:val="en-GB"/>
        </w:rPr>
        <w:t>4.3 Characteristics of the studies</w:t>
      </w:r>
      <w:bookmarkEnd w:id="74"/>
    </w:p>
    <w:p w14:paraId="2260AB88" w14:textId="77777777" w:rsidR="00826870" w:rsidRPr="00820F7A" w:rsidRDefault="00826870">
      <w:pPr>
        <w:pStyle w:val="Normal1"/>
        <w:widowControl w:val="0"/>
        <w:pBdr>
          <w:top w:val="nil"/>
          <w:left w:val="nil"/>
          <w:bottom w:val="nil"/>
          <w:right w:val="nil"/>
          <w:between w:val="nil"/>
        </w:pBdr>
        <w:spacing w:line="276" w:lineRule="auto"/>
        <w:jc w:val="left"/>
        <w:rPr>
          <w:color w:val="000000"/>
          <w:lang w:val="en-GB"/>
        </w:rPr>
      </w:pPr>
    </w:p>
    <w:tbl>
      <w:tblPr>
        <w:tblStyle w:val="afff5"/>
        <w:tblW w:w="1414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36"/>
        <w:gridCol w:w="1594"/>
        <w:gridCol w:w="1350"/>
        <w:gridCol w:w="1350"/>
        <w:gridCol w:w="2070"/>
        <w:gridCol w:w="1530"/>
        <w:gridCol w:w="1710"/>
        <w:gridCol w:w="1530"/>
        <w:gridCol w:w="1170"/>
        <w:gridCol w:w="900"/>
      </w:tblGrid>
      <w:tr w:rsidR="00826870" w:rsidRPr="00820F7A" w14:paraId="56B68B7A" w14:textId="77777777">
        <w:trPr>
          <w:cantSplit/>
          <w:tblHeader/>
        </w:trPr>
        <w:tc>
          <w:tcPr>
            <w:tcW w:w="936" w:type="dxa"/>
          </w:tcPr>
          <w:p w14:paraId="71A15273" w14:textId="77777777" w:rsidR="00826870" w:rsidRPr="00820F7A" w:rsidRDefault="00B21388">
            <w:pPr>
              <w:pStyle w:val="Normal1"/>
              <w:widowControl w:val="0"/>
              <w:pBdr>
                <w:top w:val="nil"/>
                <w:left w:val="nil"/>
                <w:bottom w:val="nil"/>
                <w:right w:val="nil"/>
                <w:between w:val="nil"/>
              </w:pBdr>
              <w:spacing w:line="360" w:lineRule="auto"/>
              <w:ind w:left="108"/>
              <w:rPr>
                <w:b/>
                <w:bCs/>
                <w:color w:val="000000"/>
                <w:sz w:val="20"/>
                <w:szCs w:val="20"/>
                <w:lang w:val="en-GB"/>
              </w:rPr>
            </w:pPr>
            <w:r w:rsidRPr="00820F7A">
              <w:rPr>
                <w:b/>
                <w:bCs/>
                <w:color w:val="000000"/>
                <w:sz w:val="20"/>
                <w:szCs w:val="20"/>
                <w:lang w:val="en-GB"/>
              </w:rPr>
              <w:t>Study</w:t>
            </w:r>
          </w:p>
          <w:p w14:paraId="54E50202" w14:textId="77777777" w:rsidR="00826870" w:rsidRPr="00820F7A" w:rsidRDefault="00B21388">
            <w:pPr>
              <w:pStyle w:val="Normal1"/>
              <w:widowControl w:val="0"/>
              <w:pBdr>
                <w:top w:val="nil"/>
                <w:left w:val="nil"/>
                <w:bottom w:val="nil"/>
                <w:right w:val="nil"/>
                <w:between w:val="nil"/>
              </w:pBdr>
              <w:spacing w:line="360" w:lineRule="auto"/>
              <w:ind w:left="108"/>
              <w:rPr>
                <w:b/>
                <w:bCs/>
                <w:color w:val="000000"/>
                <w:sz w:val="20"/>
                <w:szCs w:val="20"/>
                <w:lang w:val="en-GB"/>
              </w:rPr>
            </w:pPr>
            <w:r w:rsidRPr="00820F7A">
              <w:rPr>
                <w:b/>
                <w:bCs/>
                <w:color w:val="000000"/>
                <w:sz w:val="20"/>
                <w:szCs w:val="20"/>
                <w:lang w:val="en-GB"/>
              </w:rPr>
              <w:t>Author’s name</w:t>
            </w:r>
          </w:p>
        </w:tc>
        <w:tc>
          <w:tcPr>
            <w:tcW w:w="1594" w:type="dxa"/>
          </w:tcPr>
          <w:p w14:paraId="708AE6DB" w14:textId="77777777" w:rsidR="00826870" w:rsidRPr="00820F7A" w:rsidRDefault="00B21388">
            <w:pPr>
              <w:pStyle w:val="Normal1"/>
              <w:widowControl w:val="0"/>
              <w:pBdr>
                <w:top w:val="nil"/>
                <w:left w:val="nil"/>
                <w:bottom w:val="nil"/>
                <w:right w:val="nil"/>
                <w:between w:val="nil"/>
              </w:pBdr>
              <w:spacing w:line="360" w:lineRule="auto"/>
              <w:ind w:left="107"/>
              <w:rPr>
                <w:b/>
                <w:bCs/>
                <w:color w:val="000000"/>
                <w:sz w:val="20"/>
                <w:szCs w:val="20"/>
                <w:lang w:val="en-GB"/>
              </w:rPr>
            </w:pPr>
            <w:r w:rsidRPr="00820F7A">
              <w:rPr>
                <w:b/>
                <w:bCs/>
                <w:color w:val="000000"/>
                <w:sz w:val="20"/>
                <w:szCs w:val="20"/>
                <w:lang w:val="en-GB"/>
              </w:rPr>
              <w:t>Objective</w:t>
            </w:r>
          </w:p>
        </w:tc>
        <w:tc>
          <w:tcPr>
            <w:tcW w:w="1350" w:type="dxa"/>
          </w:tcPr>
          <w:p w14:paraId="1BC7617D" w14:textId="77777777" w:rsidR="00826870" w:rsidRPr="00820F7A" w:rsidRDefault="00B21388">
            <w:pPr>
              <w:pStyle w:val="Normal1"/>
              <w:widowControl w:val="0"/>
              <w:pBdr>
                <w:top w:val="nil"/>
                <w:left w:val="nil"/>
                <w:bottom w:val="nil"/>
                <w:right w:val="nil"/>
                <w:between w:val="nil"/>
              </w:pBdr>
              <w:spacing w:line="360" w:lineRule="auto"/>
              <w:ind w:left="107"/>
              <w:rPr>
                <w:b/>
                <w:bCs/>
                <w:color w:val="000000"/>
                <w:sz w:val="20"/>
                <w:szCs w:val="20"/>
                <w:lang w:val="en-GB"/>
              </w:rPr>
            </w:pPr>
            <w:r w:rsidRPr="00820F7A">
              <w:rPr>
                <w:b/>
                <w:bCs/>
                <w:color w:val="000000"/>
                <w:sz w:val="20"/>
                <w:szCs w:val="20"/>
                <w:lang w:val="en-GB"/>
              </w:rPr>
              <w:t>Sample</w:t>
            </w:r>
          </w:p>
        </w:tc>
        <w:tc>
          <w:tcPr>
            <w:tcW w:w="1350" w:type="dxa"/>
          </w:tcPr>
          <w:p w14:paraId="4AF3AAB0" w14:textId="77777777" w:rsidR="00826870" w:rsidRPr="00820F7A" w:rsidRDefault="00B21388">
            <w:pPr>
              <w:pStyle w:val="Normal1"/>
              <w:widowControl w:val="0"/>
              <w:pBdr>
                <w:top w:val="nil"/>
                <w:left w:val="nil"/>
                <w:bottom w:val="nil"/>
                <w:right w:val="nil"/>
                <w:between w:val="nil"/>
              </w:pBdr>
              <w:spacing w:line="360" w:lineRule="auto"/>
              <w:rPr>
                <w:b/>
                <w:bCs/>
                <w:color w:val="000000"/>
                <w:sz w:val="20"/>
                <w:szCs w:val="20"/>
                <w:lang w:val="en-GB"/>
              </w:rPr>
            </w:pPr>
            <w:r w:rsidRPr="00820F7A">
              <w:rPr>
                <w:b/>
                <w:bCs/>
                <w:color w:val="000000"/>
                <w:sz w:val="20"/>
                <w:szCs w:val="20"/>
                <w:lang w:val="en-GB"/>
              </w:rPr>
              <w:t xml:space="preserve">Study design </w:t>
            </w:r>
          </w:p>
        </w:tc>
        <w:tc>
          <w:tcPr>
            <w:tcW w:w="2070" w:type="dxa"/>
          </w:tcPr>
          <w:p w14:paraId="00E7F736" w14:textId="77777777" w:rsidR="00826870" w:rsidRPr="00820F7A" w:rsidRDefault="00B21388">
            <w:pPr>
              <w:pStyle w:val="Normal1"/>
              <w:widowControl w:val="0"/>
              <w:pBdr>
                <w:top w:val="nil"/>
                <w:left w:val="nil"/>
                <w:bottom w:val="nil"/>
                <w:right w:val="nil"/>
                <w:between w:val="nil"/>
              </w:pBdr>
              <w:spacing w:line="360" w:lineRule="auto"/>
              <w:ind w:left="108"/>
              <w:rPr>
                <w:b/>
                <w:bCs/>
                <w:color w:val="000000"/>
                <w:sz w:val="20"/>
                <w:szCs w:val="20"/>
                <w:lang w:val="en-GB"/>
              </w:rPr>
            </w:pPr>
            <w:r w:rsidRPr="00820F7A">
              <w:rPr>
                <w:b/>
                <w:bCs/>
                <w:color w:val="000000"/>
                <w:sz w:val="20"/>
                <w:szCs w:val="20"/>
                <w:lang w:val="en-GB"/>
              </w:rPr>
              <w:t>Strengths</w:t>
            </w:r>
          </w:p>
          <w:p w14:paraId="5E037ADA" w14:textId="77777777" w:rsidR="00826870" w:rsidRPr="00820F7A" w:rsidRDefault="00826870">
            <w:pPr>
              <w:pStyle w:val="Normal1"/>
              <w:widowControl w:val="0"/>
              <w:pBdr>
                <w:top w:val="nil"/>
                <w:left w:val="nil"/>
                <w:bottom w:val="nil"/>
                <w:right w:val="nil"/>
                <w:between w:val="nil"/>
              </w:pBdr>
              <w:spacing w:line="360" w:lineRule="auto"/>
              <w:ind w:left="108"/>
              <w:rPr>
                <w:b/>
                <w:bCs/>
                <w:color w:val="000000"/>
                <w:sz w:val="20"/>
                <w:szCs w:val="20"/>
                <w:lang w:val="en-GB"/>
              </w:rPr>
            </w:pPr>
          </w:p>
        </w:tc>
        <w:tc>
          <w:tcPr>
            <w:tcW w:w="1530" w:type="dxa"/>
          </w:tcPr>
          <w:p w14:paraId="468CEBCA" w14:textId="77777777" w:rsidR="00826870" w:rsidRPr="00820F7A" w:rsidRDefault="00B21388">
            <w:pPr>
              <w:pStyle w:val="Normal1"/>
              <w:widowControl w:val="0"/>
              <w:pBdr>
                <w:top w:val="nil"/>
                <w:left w:val="nil"/>
                <w:bottom w:val="nil"/>
                <w:right w:val="nil"/>
                <w:between w:val="nil"/>
              </w:pBdr>
              <w:spacing w:line="360" w:lineRule="auto"/>
              <w:ind w:left="107"/>
              <w:rPr>
                <w:b/>
                <w:bCs/>
                <w:color w:val="000000"/>
                <w:sz w:val="20"/>
                <w:szCs w:val="20"/>
                <w:lang w:val="en-GB"/>
              </w:rPr>
            </w:pPr>
            <w:r w:rsidRPr="00820F7A">
              <w:rPr>
                <w:b/>
                <w:bCs/>
                <w:color w:val="000000"/>
                <w:sz w:val="20"/>
                <w:szCs w:val="20"/>
                <w:lang w:val="en-GB"/>
              </w:rPr>
              <w:t>Weaknesses</w:t>
            </w:r>
          </w:p>
          <w:p w14:paraId="273E8D95" w14:textId="77777777" w:rsidR="00826870" w:rsidRPr="00820F7A" w:rsidRDefault="00826870">
            <w:pPr>
              <w:pStyle w:val="Normal1"/>
              <w:widowControl w:val="0"/>
              <w:pBdr>
                <w:top w:val="nil"/>
                <w:left w:val="nil"/>
                <w:bottom w:val="nil"/>
                <w:right w:val="nil"/>
                <w:between w:val="nil"/>
              </w:pBdr>
              <w:spacing w:line="360" w:lineRule="auto"/>
              <w:ind w:left="107"/>
              <w:rPr>
                <w:b/>
                <w:bCs/>
                <w:color w:val="000000"/>
                <w:sz w:val="20"/>
                <w:szCs w:val="20"/>
                <w:lang w:val="en-GB"/>
              </w:rPr>
            </w:pPr>
          </w:p>
        </w:tc>
        <w:tc>
          <w:tcPr>
            <w:tcW w:w="1710" w:type="dxa"/>
          </w:tcPr>
          <w:p w14:paraId="25CA67DE" w14:textId="77777777" w:rsidR="00826870" w:rsidRPr="00820F7A" w:rsidRDefault="00B21388">
            <w:pPr>
              <w:pStyle w:val="Normal1"/>
              <w:widowControl w:val="0"/>
              <w:pBdr>
                <w:top w:val="nil"/>
                <w:left w:val="nil"/>
                <w:bottom w:val="nil"/>
                <w:right w:val="nil"/>
                <w:between w:val="nil"/>
              </w:pBdr>
              <w:spacing w:line="360" w:lineRule="auto"/>
              <w:ind w:left="108"/>
              <w:rPr>
                <w:b/>
                <w:bCs/>
                <w:color w:val="000000"/>
                <w:sz w:val="20"/>
                <w:szCs w:val="20"/>
                <w:lang w:val="en-GB"/>
              </w:rPr>
            </w:pPr>
            <w:r w:rsidRPr="00820F7A">
              <w:rPr>
                <w:b/>
                <w:bCs/>
                <w:color w:val="000000"/>
                <w:sz w:val="20"/>
                <w:szCs w:val="20"/>
                <w:lang w:val="en-GB"/>
              </w:rPr>
              <w:t>Results</w:t>
            </w:r>
          </w:p>
          <w:p w14:paraId="60FF8836" w14:textId="77777777" w:rsidR="00826870" w:rsidRPr="00820F7A" w:rsidRDefault="00B21388">
            <w:pPr>
              <w:pStyle w:val="Normal1"/>
              <w:widowControl w:val="0"/>
              <w:pBdr>
                <w:top w:val="nil"/>
                <w:left w:val="nil"/>
                <w:bottom w:val="nil"/>
                <w:right w:val="nil"/>
                <w:between w:val="nil"/>
              </w:pBdr>
              <w:spacing w:line="360" w:lineRule="auto"/>
              <w:ind w:left="108"/>
              <w:rPr>
                <w:b/>
                <w:bCs/>
                <w:color w:val="000000"/>
                <w:sz w:val="20"/>
                <w:szCs w:val="20"/>
                <w:lang w:val="en-GB"/>
              </w:rPr>
            </w:pPr>
            <w:r w:rsidRPr="00820F7A">
              <w:rPr>
                <w:b/>
                <w:bCs/>
                <w:color w:val="000000"/>
                <w:sz w:val="20"/>
                <w:szCs w:val="20"/>
                <w:lang w:val="en-GB"/>
              </w:rPr>
              <w:t>/outcomes</w:t>
            </w:r>
          </w:p>
        </w:tc>
        <w:tc>
          <w:tcPr>
            <w:tcW w:w="1530" w:type="dxa"/>
          </w:tcPr>
          <w:p w14:paraId="46197448" w14:textId="77777777" w:rsidR="00826870" w:rsidRPr="00820F7A" w:rsidRDefault="00B21388">
            <w:pPr>
              <w:pStyle w:val="Normal1"/>
              <w:widowControl w:val="0"/>
              <w:pBdr>
                <w:top w:val="nil"/>
                <w:left w:val="nil"/>
                <w:bottom w:val="nil"/>
                <w:right w:val="nil"/>
                <w:between w:val="nil"/>
              </w:pBdr>
              <w:spacing w:line="360" w:lineRule="auto"/>
              <w:ind w:left="108"/>
              <w:rPr>
                <w:b/>
                <w:bCs/>
                <w:color w:val="000000"/>
                <w:sz w:val="20"/>
                <w:szCs w:val="20"/>
                <w:lang w:val="en-GB"/>
              </w:rPr>
            </w:pPr>
            <w:r w:rsidRPr="00820F7A">
              <w:rPr>
                <w:b/>
                <w:bCs/>
                <w:color w:val="000000"/>
                <w:sz w:val="20"/>
                <w:szCs w:val="20"/>
                <w:lang w:val="en-GB"/>
              </w:rPr>
              <w:t>Conclusion</w:t>
            </w:r>
          </w:p>
        </w:tc>
        <w:tc>
          <w:tcPr>
            <w:tcW w:w="1170" w:type="dxa"/>
          </w:tcPr>
          <w:p w14:paraId="598EC0E0" w14:textId="77777777" w:rsidR="00826870" w:rsidRPr="00820F7A" w:rsidRDefault="00B21388">
            <w:pPr>
              <w:pStyle w:val="Normal1"/>
              <w:widowControl w:val="0"/>
              <w:pBdr>
                <w:top w:val="nil"/>
                <w:left w:val="nil"/>
                <w:bottom w:val="nil"/>
                <w:right w:val="nil"/>
                <w:between w:val="nil"/>
              </w:pBdr>
              <w:spacing w:line="360" w:lineRule="auto"/>
              <w:ind w:left="108"/>
              <w:rPr>
                <w:b/>
                <w:bCs/>
                <w:color w:val="000000"/>
                <w:sz w:val="20"/>
                <w:szCs w:val="20"/>
                <w:lang w:val="en-GB"/>
              </w:rPr>
            </w:pPr>
            <w:r w:rsidRPr="00820F7A">
              <w:rPr>
                <w:b/>
                <w:bCs/>
                <w:color w:val="000000"/>
                <w:sz w:val="20"/>
                <w:szCs w:val="20"/>
                <w:lang w:val="en-GB"/>
              </w:rPr>
              <w:t xml:space="preserve">Data extraction criteria </w:t>
            </w:r>
          </w:p>
        </w:tc>
        <w:tc>
          <w:tcPr>
            <w:tcW w:w="900" w:type="dxa"/>
          </w:tcPr>
          <w:p w14:paraId="548A3F98" w14:textId="77777777" w:rsidR="00826870" w:rsidRPr="00820F7A" w:rsidRDefault="00B21388">
            <w:pPr>
              <w:pStyle w:val="Normal1"/>
              <w:widowControl w:val="0"/>
              <w:pBdr>
                <w:top w:val="nil"/>
                <w:left w:val="nil"/>
                <w:bottom w:val="nil"/>
                <w:right w:val="nil"/>
                <w:between w:val="nil"/>
              </w:pBdr>
              <w:spacing w:line="360" w:lineRule="auto"/>
              <w:ind w:left="108"/>
              <w:rPr>
                <w:b/>
                <w:bCs/>
                <w:color w:val="000000"/>
                <w:sz w:val="20"/>
                <w:szCs w:val="20"/>
                <w:lang w:val="en-GB"/>
              </w:rPr>
            </w:pPr>
            <w:r w:rsidRPr="00820F7A">
              <w:rPr>
                <w:b/>
                <w:bCs/>
                <w:color w:val="000000"/>
                <w:sz w:val="20"/>
                <w:szCs w:val="20"/>
                <w:lang w:val="en-GB"/>
              </w:rPr>
              <w:t>Themes per each article</w:t>
            </w:r>
          </w:p>
        </w:tc>
      </w:tr>
      <w:tr w:rsidR="00826870" w:rsidRPr="00820F7A" w14:paraId="57AEC93C" w14:textId="77777777">
        <w:trPr>
          <w:cantSplit/>
          <w:tblHeader/>
        </w:trPr>
        <w:tc>
          <w:tcPr>
            <w:tcW w:w="936" w:type="dxa"/>
          </w:tcPr>
          <w:p w14:paraId="34119852"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Yeowell et al. (2024)</w:t>
            </w:r>
          </w:p>
        </w:tc>
        <w:tc>
          <w:tcPr>
            <w:tcW w:w="1594" w:type="dxa"/>
          </w:tcPr>
          <w:p w14:paraId="220D42D4"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To evaluate the impact of regulatory and governance framework on UK healthcare </w:t>
            </w:r>
          </w:p>
        </w:tc>
        <w:tc>
          <w:tcPr>
            <w:tcW w:w="1350" w:type="dxa"/>
          </w:tcPr>
          <w:p w14:paraId="71C98BF7"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Conducted survey by including 688 respondents</w:t>
            </w:r>
          </w:p>
        </w:tc>
        <w:tc>
          <w:tcPr>
            <w:tcW w:w="1350" w:type="dxa"/>
          </w:tcPr>
          <w:p w14:paraId="5C0B7179"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Cross-sectional questionnaire survey design for evaluation </w:t>
            </w:r>
          </w:p>
        </w:tc>
        <w:tc>
          <w:tcPr>
            <w:tcW w:w="2070" w:type="dxa"/>
          </w:tcPr>
          <w:p w14:paraId="3E0D1AC7"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Obtained Ethical approval from Manchester Metropolitan University Faculty of Health and Education Ethics Committee </w:t>
            </w:r>
          </w:p>
        </w:tc>
        <w:tc>
          <w:tcPr>
            <w:tcW w:w="1530" w:type="dxa"/>
          </w:tcPr>
          <w:p w14:paraId="17C92CBF"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Limited in exploring the data due to descriptive analytics </w:t>
            </w:r>
          </w:p>
        </w:tc>
        <w:tc>
          <w:tcPr>
            <w:tcW w:w="1710" w:type="dxa"/>
          </w:tcPr>
          <w:p w14:paraId="1BC656CF"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77% of respondents believe that litigation training is crucial for clinical leadership </w:t>
            </w:r>
          </w:p>
        </w:tc>
        <w:tc>
          <w:tcPr>
            <w:tcW w:w="1530" w:type="dxa"/>
          </w:tcPr>
          <w:p w14:paraId="22FCF840"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Litigation training should be provided during leadership training in UK healthcare </w:t>
            </w:r>
          </w:p>
        </w:tc>
        <w:tc>
          <w:tcPr>
            <w:tcW w:w="1170" w:type="dxa"/>
          </w:tcPr>
          <w:p w14:paraId="5DCC79CD"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Objective 1</w:t>
            </w:r>
          </w:p>
        </w:tc>
        <w:tc>
          <w:tcPr>
            <w:tcW w:w="900" w:type="dxa"/>
          </w:tcPr>
          <w:p w14:paraId="0869A36A"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Theme 1</w:t>
            </w:r>
          </w:p>
        </w:tc>
      </w:tr>
      <w:tr w:rsidR="00826870" w:rsidRPr="00820F7A" w14:paraId="024D6B65" w14:textId="77777777">
        <w:trPr>
          <w:cantSplit/>
          <w:tblHeader/>
        </w:trPr>
        <w:tc>
          <w:tcPr>
            <w:tcW w:w="936" w:type="dxa"/>
          </w:tcPr>
          <w:p w14:paraId="676AF7AF"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Wickramasekera et al. (2024)</w:t>
            </w:r>
          </w:p>
        </w:tc>
        <w:tc>
          <w:tcPr>
            <w:tcW w:w="1594" w:type="dxa"/>
          </w:tcPr>
          <w:p w14:paraId="0DACDC34"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To evaluate the factors that influence patient safety incident in healthcare </w:t>
            </w:r>
          </w:p>
        </w:tc>
        <w:tc>
          <w:tcPr>
            <w:tcW w:w="1350" w:type="dxa"/>
          </w:tcPr>
          <w:p w14:paraId="3B887262"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Survey was conducted using 1029 participants </w:t>
            </w:r>
          </w:p>
        </w:tc>
        <w:tc>
          <w:tcPr>
            <w:tcW w:w="1350" w:type="dxa"/>
          </w:tcPr>
          <w:p w14:paraId="7C98FBFB"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Participants conducted online discrete choice experiment (DCE) </w:t>
            </w:r>
          </w:p>
        </w:tc>
        <w:tc>
          <w:tcPr>
            <w:tcW w:w="2070" w:type="dxa"/>
          </w:tcPr>
          <w:p w14:paraId="1407B8FC"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Obtained ethical compliance by taking compliance permission from University of Sheffield</w:t>
            </w:r>
          </w:p>
          <w:p w14:paraId="07504523"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Research Ethics Committee</w:t>
            </w:r>
          </w:p>
        </w:tc>
        <w:tc>
          <w:tcPr>
            <w:tcW w:w="1530" w:type="dxa"/>
          </w:tcPr>
          <w:p w14:paraId="2D78FBED"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Biases in participants self-selecting processes without any verification </w:t>
            </w:r>
          </w:p>
        </w:tc>
        <w:tc>
          <w:tcPr>
            <w:tcW w:w="1710" w:type="dxa"/>
          </w:tcPr>
          <w:p w14:paraId="15656D05"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Majority of participants experience an incident and would consider the leadership accountable </w:t>
            </w:r>
          </w:p>
        </w:tc>
        <w:tc>
          <w:tcPr>
            <w:tcW w:w="1530" w:type="dxa"/>
          </w:tcPr>
          <w:p w14:paraId="6F141BF3"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Leadership is important for developing a safety culture through individual accountability </w:t>
            </w:r>
          </w:p>
        </w:tc>
        <w:tc>
          <w:tcPr>
            <w:tcW w:w="1170" w:type="dxa"/>
          </w:tcPr>
          <w:p w14:paraId="71812FE3"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Objective 1 </w:t>
            </w:r>
          </w:p>
        </w:tc>
        <w:tc>
          <w:tcPr>
            <w:tcW w:w="900" w:type="dxa"/>
          </w:tcPr>
          <w:p w14:paraId="041705FD"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Theme 1</w:t>
            </w:r>
          </w:p>
        </w:tc>
      </w:tr>
      <w:tr w:rsidR="00826870" w:rsidRPr="00820F7A" w14:paraId="49418672" w14:textId="77777777">
        <w:trPr>
          <w:cantSplit/>
          <w:tblHeader/>
        </w:trPr>
        <w:tc>
          <w:tcPr>
            <w:tcW w:w="936" w:type="dxa"/>
          </w:tcPr>
          <w:p w14:paraId="6F1DA2CF"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Scheffer, (2025)</w:t>
            </w:r>
          </w:p>
        </w:tc>
        <w:tc>
          <w:tcPr>
            <w:tcW w:w="1594" w:type="dxa"/>
          </w:tcPr>
          <w:p w14:paraId="5EFBC3FB"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To analyse the role of clinical leadership in emergency departments for evaluating future development </w:t>
            </w:r>
          </w:p>
        </w:tc>
        <w:tc>
          <w:tcPr>
            <w:tcW w:w="1350" w:type="dxa"/>
          </w:tcPr>
          <w:p w14:paraId="7B9A4A6C"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Conducted survey of V and semi-structured interviews of 12 </w:t>
            </w:r>
          </w:p>
        </w:tc>
        <w:tc>
          <w:tcPr>
            <w:tcW w:w="1350" w:type="dxa"/>
          </w:tcPr>
          <w:p w14:paraId="6926140F"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descriptive statistics for analysing qualitative data </w:t>
            </w:r>
          </w:p>
        </w:tc>
        <w:tc>
          <w:tcPr>
            <w:tcW w:w="2070" w:type="dxa"/>
          </w:tcPr>
          <w:p w14:paraId="74DC62FB"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Obtained ethical approval from Medical Research Council</w:t>
            </w:r>
          </w:p>
          <w:p w14:paraId="45CE27BA"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(MRC) </w:t>
            </w:r>
          </w:p>
        </w:tc>
        <w:tc>
          <w:tcPr>
            <w:tcW w:w="1530" w:type="dxa"/>
          </w:tcPr>
          <w:p w14:paraId="10D6DDD2"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Limited involvement of healthcare trusts in UK reduced data efficiency </w:t>
            </w:r>
          </w:p>
        </w:tc>
        <w:tc>
          <w:tcPr>
            <w:tcW w:w="1710" w:type="dxa"/>
          </w:tcPr>
          <w:p w14:paraId="1E086D33"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Establishment of leadership development framework is crucial to enhance clinical leadership efficiency </w:t>
            </w:r>
          </w:p>
        </w:tc>
        <w:tc>
          <w:tcPr>
            <w:tcW w:w="1530" w:type="dxa"/>
          </w:tcPr>
          <w:p w14:paraId="445201F0"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An emphasis on individual-centric focus is required for enhancing clinical leadership </w:t>
            </w:r>
          </w:p>
        </w:tc>
        <w:tc>
          <w:tcPr>
            <w:tcW w:w="1170" w:type="dxa"/>
          </w:tcPr>
          <w:p w14:paraId="192127CF"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Objective 1 </w:t>
            </w:r>
          </w:p>
        </w:tc>
        <w:tc>
          <w:tcPr>
            <w:tcW w:w="900" w:type="dxa"/>
          </w:tcPr>
          <w:p w14:paraId="2800FEF3"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Theme 1</w:t>
            </w:r>
          </w:p>
        </w:tc>
      </w:tr>
      <w:tr w:rsidR="00826870" w:rsidRPr="00820F7A" w14:paraId="11055325" w14:textId="77777777">
        <w:trPr>
          <w:cantSplit/>
          <w:tblHeader/>
        </w:trPr>
        <w:tc>
          <w:tcPr>
            <w:tcW w:w="936" w:type="dxa"/>
          </w:tcPr>
          <w:p w14:paraId="71CF98E8"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Haoyan et al. (2023)</w:t>
            </w:r>
          </w:p>
        </w:tc>
        <w:tc>
          <w:tcPr>
            <w:tcW w:w="1594" w:type="dxa"/>
          </w:tcPr>
          <w:p w14:paraId="4429DFC9"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To evaluate nursing staff perception of transformational leadership style towards organizational commitment </w:t>
            </w:r>
          </w:p>
        </w:tc>
        <w:tc>
          <w:tcPr>
            <w:tcW w:w="1350" w:type="dxa"/>
          </w:tcPr>
          <w:p w14:paraId="157B0441"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Obtained observational study from January 2009 and December 2020</w:t>
            </w:r>
          </w:p>
        </w:tc>
        <w:tc>
          <w:tcPr>
            <w:tcW w:w="1350" w:type="dxa"/>
          </w:tcPr>
          <w:p w14:paraId="2B5EEA1C"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Conducted a Narrative systematic review </w:t>
            </w:r>
          </w:p>
        </w:tc>
        <w:tc>
          <w:tcPr>
            <w:tcW w:w="2070" w:type="dxa"/>
          </w:tcPr>
          <w:p w14:paraId="73480C5C"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Utilised Critical Appraisal Checklist for reducing biases </w:t>
            </w:r>
          </w:p>
        </w:tc>
        <w:tc>
          <w:tcPr>
            <w:tcW w:w="1530" w:type="dxa"/>
          </w:tcPr>
          <w:p w14:paraId="2E0F1D9C"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Evaluation of cross-sectional survey limited the assessment of change made over time in individual perception </w:t>
            </w:r>
          </w:p>
        </w:tc>
        <w:tc>
          <w:tcPr>
            <w:tcW w:w="1710" w:type="dxa"/>
          </w:tcPr>
          <w:p w14:paraId="14EFAAA3"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Results showed moderate to low association of transformational leadership and organisational commitment </w:t>
            </w:r>
          </w:p>
        </w:tc>
        <w:tc>
          <w:tcPr>
            <w:tcW w:w="1530" w:type="dxa"/>
          </w:tcPr>
          <w:p w14:paraId="4971F533"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Transformational leadership is linked with strengthening organizational culture within healthcare sector </w:t>
            </w:r>
          </w:p>
        </w:tc>
        <w:tc>
          <w:tcPr>
            <w:tcW w:w="1170" w:type="dxa"/>
          </w:tcPr>
          <w:p w14:paraId="33D87208"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Objective 2</w:t>
            </w:r>
          </w:p>
        </w:tc>
        <w:tc>
          <w:tcPr>
            <w:tcW w:w="900" w:type="dxa"/>
          </w:tcPr>
          <w:p w14:paraId="119B61D8"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Theme 2 </w:t>
            </w:r>
          </w:p>
        </w:tc>
      </w:tr>
      <w:tr w:rsidR="00826870" w:rsidRPr="00820F7A" w14:paraId="7B94A818" w14:textId="77777777">
        <w:trPr>
          <w:cantSplit/>
          <w:tblHeader/>
        </w:trPr>
        <w:tc>
          <w:tcPr>
            <w:tcW w:w="936" w:type="dxa"/>
          </w:tcPr>
          <w:p w14:paraId="14536459"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Backman </w:t>
            </w:r>
            <w:r w:rsidRPr="00820F7A">
              <w:rPr>
                <w:i/>
                <w:iCs/>
                <w:color w:val="000000"/>
                <w:sz w:val="20"/>
                <w:szCs w:val="20"/>
                <w:lang w:val="en-GB"/>
              </w:rPr>
              <w:t>et al.</w:t>
            </w:r>
            <w:r w:rsidRPr="00820F7A">
              <w:rPr>
                <w:color w:val="000000"/>
                <w:sz w:val="20"/>
                <w:szCs w:val="20"/>
                <w:lang w:val="en-GB"/>
              </w:rPr>
              <w:t xml:space="preserve"> (2025)</w:t>
            </w:r>
          </w:p>
        </w:tc>
        <w:tc>
          <w:tcPr>
            <w:tcW w:w="1594" w:type="dxa"/>
          </w:tcPr>
          <w:p w14:paraId="5E3D5CC2"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To evaluate cross-culturally adaptability framework for person-centred leadership </w:t>
            </w:r>
          </w:p>
        </w:tc>
        <w:tc>
          <w:tcPr>
            <w:tcW w:w="1350" w:type="dxa"/>
          </w:tcPr>
          <w:p w14:paraId="731C61AE"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Involved 34 clinical leaders </w:t>
            </w:r>
          </w:p>
        </w:tc>
        <w:tc>
          <w:tcPr>
            <w:tcW w:w="1350" w:type="dxa"/>
          </w:tcPr>
          <w:p w14:paraId="22DC3CEF"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Conducted an exploratory and descriptive design </w:t>
            </w:r>
          </w:p>
          <w:p w14:paraId="761A65E0" w14:textId="77777777" w:rsidR="00826870" w:rsidRPr="00820F7A" w:rsidRDefault="00826870">
            <w:pPr>
              <w:pStyle w:val="Normal1"/>
              <w:widowControl w:val="0"/>
              <w:pBdr>
                <w:top w:val="nil"/>
                <w:left w:val="nil"/>
                <w:bottom w:val="nil"/>
                <w:right w:val="nil"/>
                <w:between w:val="nil"/>
              </w:pBdr>
              <w:spacing w:line="360" w:lineRule="auto"/>
              <w:rPr>
                <w:color w:val="000000"/>
                <w:sz w:val="20"/>
                <w:szCs w:val="20"/>
                <w:lang w:val="en-GB"/>
              </w:rPr>
            </w:pPr>
          </w:p>
          <w:p w14:paraId="6DC34665" w14:textId="77777777" w:rsidR="00826870" w:rsidRPr="00820F7A" w:rsidRDefault="00826870">
            <w:pPr>
              <w:pStyle w:val="Normal1"/>
              <w:widowControl w:val="0"/>
              <w:pBdr>
                <w:top w:val="nil"/>
                <w:left w:val="nil"/>
                <w:bottom w:val="nil"/>
                <w:right w:val="nil"/>
                <w:between w:val="nil"/>
              </w:pBdr>
              <w:spacing w:line="360" w:lineRule="auto"/>
              <w:rPr>
                <w:color w:val="000000"/>
                <w:sz w:val="20"/>
                <w:szCs w:val="20"/>
                <w:lang w:val="en-GB"/>
              </w:rPr>
            </w:pPr>
          </w:p>
        </w:tc>
        <w:tc>
          <w:tcPr>
            <w:tcW w:w="2070" w:type="dxa"/>
          </w:tcPr>
          <w:p w14:paraId="777092FD"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Ensured content validity by obtaining quantitative data </w:t>
            </w:r>
          </w:p>
        </w:tc>
        <w:tc>
          <w:tcPr>
            <w:tcW w:w="1530" w:type="dxa"/>
          </w:tcPr>
          <w:p w14:paraId="34C3EF51"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Differing information assessment due to participants’ language barriers </w:t>
            </w:r>
          </w:p>
        </w:tc>
        <w:tc>
          <w:tcPr>
            <w:tcW w:w="1710" w:type="dxa"/>
          </w:tcPr>
          <w:p w14:paraId="5BC0D68F"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Clinical</w:t>
            </w:r>
          </w:p>
          <w:p w14:paraId="0FF40784"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Leadership Qualities Framework are effective for strengthening cultural adaptation</w:t>
            </w:r>
          </w:p>
        </w:tc>
        <w:tc>
          <w:tcPr>
            <w:tcW w:w="1530" w:type="dxa"/>
          </w:tcPr>
          <w:p w14:paraId="1FD10515"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Cultural adaptation framework is effective and is associated with improving clinical leadership expertise </w:t>
            </w:r>
          </w:p>
        </w:tc>
        <w:tc>
          <w:tcPr>
            <w:tcW w:w="1170" w:type="dxa"/>
          </w:tcPr>
          <w:p w14:paraId="30BCBDF6"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Objective 2</w:t>
            </w:r>
          </w:p>
        </w:tc>
        <w:tc>
          <w:tcPr>
            <w:tcW w:w="900" w:type="dxa"/>
          </w:tcPr>
          <w:p w14:paraId="53D05D35"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Theme 2</w:t>
            </w:r>
          </w:p>
        </w:tc>
      </w:tr>
      <w:tr w:rsidR="00826870" w:rsidRPr="00820F7A" w14:paraId="6B668278" w14:textId="77777777">
        <w:trPr>
          <w:cantSplit/>
          <w:tblHeader/>
        </w:trPr>
        <w:tc>
          <w:tcPr>
            <w:tcW w:w="936" w:type="dxa"/>
          </w:tcPr>
          <w:p w14:paraId="1101ABDD"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Alkan et al. (2024)</w:t>
            </w:r>
          </w:p>
        </w:tc>
        <w:tc>
          <w:tcPr>
            <w:tcW w:w="1594" w:type="dxa"/>
          </w:tcPr>
          <w:p w14:paraId="082AFC9A"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To evaluate the role of leadership in healthcare for improving employee management and driving safety culture </w:t>
            </w:r>
          </w:p>
        </w:tc>
        <w:tc>
          <w:tcPr>
            <w:tcW w:w="1350" w:type="dxa"/>
          </w:tcPr>
          <w:p w14:paraId="74296613"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Conducted statistical analysis by involving 373 participants </w:t>
            </w:r>
          </w:p>
        </w:tc>
        <w:tc>
          <w:tcPr>
            <w:tcW w:w="1350" w:type="dxa"/>
          </w:tcPr>
          <w:p w14:paraId="733DE7B4"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The sequential explanatory mixed-methods design was approached</w:t>
            </w:r>
          </w:p>
        </w:tc>
        <w:tc>
          <w:tcPr>
            <w:tcW w:w="2070" w:type="dxa"/>
          </w:tcPr>
          <w:p w14:paraId="28EEC786"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The questionnaire is piloted using 10 participants for ensuring validity </w:t>
            </w:r>
          </w:p>
        </w:tc>
        <w:tc>
          <w:tcPr>
            <w:tcW w:w="1530" w:type="dxa"/>
          </w:tcPr>
          <w:p w14:paraId="6B691F24"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Generalisation of findings limits exclusivity of the data in healthcare sector </w:t>
            </w:r>
          </w:p>
        </w:tc>
        <w:tc>
          <w:tcPr>
            <w:tcW w:w="1710" w:type="dxa"/>
          </w:tcPr>
          <w:p w14:paraId="3ADCA283"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Clinical leadership drives the growth of safety culture in healthcare </w:t>
            </w:r>
          </w:p>
        </w:tc>
        <w:tc>
          <w:tcPr>
            <w:tcW w:w="1530" w:type="dxa"/>
          </w:tcPr>
          <w:p w14:paraId="3D534DF0"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Focusing on recruitment and selection by providing training on patient safety is effective to improve individual accountability </w:t>
            </w:r>
          </w:p>
        </w:tc>
        <w:tc>
          <w:tcPr>
            <w:tcW w:w="1170" w:type="dxa"/>
          </w:tcPr>
          <w:p w14:paraId="3FE1BB91"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Objective 2</w:t>
            </w:r>
          </w:p>
        </w:tc>
        <w:tc>
          <w:tcPr>
            <w:tcW w:w="900" w:type="dxa"/>
          </w:tcPr>
          <w:p w14:paraId="51E5792D"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Theme2</w:t>
            </w:r>
          </w:p>
        </w:tc>
      </w:tr>
      <w:tr w:rsidR="00826870" w:rsidRPr="00820F7A" w14:paraId="36B2D549" w14:textId="77777777">
        <w:trPr>
          <w:cantSplit/>
          <w:tblHeader/>
        </w:trPr>
        <w:tc>
          <w:tcPr>
            <w:tcW w:w="936" w:type="dxa"/>
          </w:tcPr>
          <w:p w14:paraId="56A82E9A"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Carter et al. (2022)</w:t>
            </w:r>
          </w:p>
        </w:tc>
        <w:tc>
          <w:tcPr>
            <w:tcW w:w="1594" w:type="dxa"/>
          </w:tcPr>
          <w:p w14:paraId="0D10B146"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To evaluate the role of clinical leadership in addressing medical negligence </w:t>
            </w:r>
          </w:p>
        </w:tc>
        <w:tc>
          <w:tcPr>
            <w:tcW w:w="1350" w:type="dxa"/>
          </w:tcPr>
          <w:p w14:paraId="546D9069"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Incorporating 15 cases of medical negligence from NHS Trust between 2004 and 2016</w:t>
            </w:r>
          </w:p>
        </w:tc>
        <w:tc>
          <w:tcPr>
            <w:tcW w:w="1350" w:type="dxa"/>
          </w:tcPr>
          <w:p w14:paraId="0A49FF03"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Conducted an exploratory study</w:t>
            </w:r>
          </w:p>
        </w:tc>
        <w:tc>
          <w:tcPr>
            <w:tcW w:w="2070" w:type="dxa"/>
          </w:tcPr>
          <w:p w14:paraId="53C8DB06"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Avoided using qualitative analysis to maintain the confidentiality of patients </w:t>
            </w:r>
          </w:p>
        </w:tc>
        <w:tc>
          <w:tcPr>
            <w:tcW w:w="1530" w:type="dxa"/>
          </w:tcPr>
          <w:p w14:paraId="5B875337"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Lack of emphasis on medical negligence on wider scope </w:t>
            </w:r>
          </w:p>
        </w:tc>
        <w:tc>
          <w:tcPr>
            <w:tcW w:w="1710" w:type="dxa"/>
          </w:tcPr>
          <w:p w14:paraId="71903D3E"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Evidence-based practices are crucial for improving patient safety</w:t>
            </w:r>
          </w:p>
        </w:tc>
        <w:tc>
          <w:tcPr>
            <w:tcW w:w="1530" w:type="dxa"/>
          </w:tcPr>
          <w:p w14:paraId="458A72AD"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Legal adherence and compliance are crucial for improving individual accountability </w:t>
            </w:r>
          </w:p>
        </w:tc>
        <w:tc>
          <w:tcPr>
            <w:tcW w:w="1170" w:type="dxa"/>
          </w:tcPr>
          <w:p w14:paraId="6B5E3A20"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Objective 3 </w:t>
            </w:r>
          </w:p>
        </w:tc>
        <w:tc>
          <w:tcPr>
            <w:tcW w:w="900" w:type="dxa"/>
          </w:tcPr>
          <w:p w14:paraId="18E8D151"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Theme 3</w:t>
            </w:r>
          </w:p>
        </w:tc>
      </w:tr>
      <w:tr w:rsidR="00826870" w:rsidRPr="00820F7A" w14:paraId="25457B83" w14:textId="77777777">
        <w:trPr>
          <w:cantSplit/>
          <w:tblHeader/>
        </w:trPr>
        <w:tc>
          <w:tcPr>
            <w:tcW w:w="936" w:type="dxa"/>
          </w:tcPr>
          <w:p w14:paraId="05AD2897"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Rowen et al. (2022)</w:t>
            </w:r>
          </w:p>
        </w:tc>
        <w:tc>
          <w:tcPr>
            <w:tcW w:w="1594" w:type="dxa"/>
          </w:tcPr>
          <w:p w14:paraId="5EFADEE1"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To analyse different factors that influence patients’ safety and safety negligence</w:t>
            </w:r>
          </w:p>
        </w:tc>
        <w:tc>
          <w:tcPr>
            <w:tcW w:w="1350" w:type="dxa"/>
          </w:tcPr>
          <w:p w14:paraId="59453627"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Conducted online survey of 1013 UK general population </w:t>
            </w:r>
          </w:p>
        </w:tc>
        <w:tc>
          <w:tcPr>
            <w:tcW w:w="1350" w:type="dxa"/>
          </w:tcPr>
          <w:p w14:paraId="4F3B5CE5"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Conducted online survey</w:t>
            </w:r>
          </w:p>
          <w:p w14:paraId="33679828" w14:textId="77777777" w:rsidR="00826870" w:rsidRPr="00820F7A" w:rsidRDefault="00826870">
            <w:pPr>
              <w:pStyle w:val="Normal1"/>
              <w:widowControl w:val="0"/>
              <w:pBdr>
                <w:top w:val="nil"/>
                <w:left w:val="nil"/>
                <w:bottom w:val="nil"/>
                <w:right w:val="nil"/>
                <w:between w:val="nil"/>
              </w:pBdr>
              <w:spacing w:line="360" w:lineRule="auto"/>
              <w:rPr>
                <w:color w:val="000000"/>
                <w:sz w:val="20"/>
                <w:szCs w:val="20"/>
                <w:lang w:val="en-GB"/>
              </w:rPr>
            </w:pPr>
          </w:p>
          <w:p w14:paraId="2844FDA4" w14:textId="77777777" w:rsidR="00826870" w:rsidRPr="00820F7A" w:rsidRDefault="00826870">
            <w:pPr>
              <w:pStyle w:val="Normal1"/>
              <w:widowControl w:val="0"/>
              <w:pBdr>
                <w:top w:val="nil"/>
                <w:left w:val="nil"/>
                <w:bottom w:val="nil"/>
                <w:right w:val="nil"/>
                <w:between w:val="nil"/>
              </w:pBdr>
              <w:spacing w:line="360" w:lineRule="auto"/>
              <w:rPr>
                <w:color w:val="000000"/>
                <w:sz w:val="20"/>
                <w:szCs w:val="20"/>
                <w:lang w:val="en-GB"/>
              </w:rPr>
            </w:pPr>
          </w:p>
        </w:tc>
        <w:tc>
          <w:tcPr>
            <w:tcW w:w="2070" w:type="dxa"/>
          </w:tcPr>
          <w:p w14:paraId="79C33E83"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Obtained ethical approval from University of Sheffield Research Ethics Committee. </w:t>
            </w:r>
          </w:p>
        </w:tc>
        <w:tc>
          <w:tcPr>
            <w:tcW w:w="1530" w:type="dxa"/>
          </w:tcPr>
          <w:p w14:paraId="524221CC"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Limitation is that data collection</w:t>
            </w:r>
          </w:p>
          <w:p w14:paraId="4E1772D7"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was undertaken during the COVID-19 pandemic </w:t>
            </w:r>
          </w:p>
        </w:tc>
        <w:tc>
          <w:tcPr>
            <w:tcW w:w="1710" w:type="dxa"/>
          </w:tcPr>
          <w:p w14:paraId="749D72E0"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patient safety incident claims are influenced by management approaches to safety in healthcare</w:t>
            </w:r>
          </w:p>
        </w:tc>
        <w:tc>
          <w:tcPr>
            <w:tcW w:w="1530" w:type="dxa"/>
          </w:tcPr>
          <w:p w14:paraId="574CF43C"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Actions of healthcare system and leadership shape patient’s safety culture</w:t>
            </w:r>
          </w:p>
        </w:tc>
        <w:tc>
          <w:tcPr>
            <w:tcW w:w="1170" w:type="dxa"/>
          </w:tcPr>
          <w:p w14:paraId="3E427B30"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Objective 3</w:t>
            </w:r>
          </w:p>
        </w:tc>
        <w:tc>
          <w:tcPr>
            <w:tcW w:w="900" w:type="dxa"/>
          </w:tcPr>
          <w:p w14:paraId="177CAEAA"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Theme 3</w:t>
            </w:r>
          </w:p>
        </w:tc>
      </w:tr>
      <w:tr w:rsidR="00826870" w:rsidRPr="00820F7A" w14:paraId="2E0EF5E6" w14:textId="77777777">
        <w:trPr>
          <w:cantSplit/>
          <w:tblHeader/>
        </w:trPr>
        <w:tc>
          <w:tcPr>
            <w:tcW w:w="936" w:type="dxa"/>
          </w:tcPr>
          <w:p w14:paraId="75A01C90"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Lorenc et al. (2024)</w:t>
            </w:r>
          </w:p>
        </w:tc>
        <w:tc>
          <w:tcPr>
            <w:tcW w:w="1594" w:type="dxa"/>
          </w:tcPr>
          <w:p w14:paraId="1A74C790"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To analyse the qualitative evidence on using defensive practice</w:t>
            </w:r>
          </w:p>
        </w:tc>
        <w:tc>
          <w:tcPr>
            <w:tcW w:w="1350" w:type="dxa"/>
          </w:tcPr>
          <w:p w14:paraId="0D188D8C"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Obtained qualitative information from 2000 to October 2023 </w:t>
            </w:r>
          </w:p>
        </w:tc>
        <w:tc>
          <w:tcPr>
            <w:tcW w:w="1350" w:type="dxa"/>
          </w:tcPr>
          <w:p w14:paraId="01FAEA1D"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Systematic review of qualitative data</w:t>
            </w:r>
          </w:p>
        </w:tc>
        <w:tc>
          <w:tcPr>
            <w:tcW w:w="2070" w:type="dxa"/>
          </w:tcPr>
          <w:p w14:paraId="11F3FB22"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Integrated English-language studies for improved comprehension</w:t>
            </w:r>
          </w:p>
        </w:tc>
        <w:tc>
          <w:tcPr>
            <w:tcW w:w="1530" w:type="dxa"/>
          </w:tcPr>
          <w:p w14:paraId="57F5FB5A"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Issues of possible selection bias </w:t>
            </w:r>
          </w:p>
        </w:tc>
        <w:tc>
          <w:tcPr>
            <w:tcW w:w="1710" w:type="dxa"/>
          </w:tcPr>
          <w:p w14:paraId="12B89ECA"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Defensive practice enhances clinical leadership accountability </w:t>
            </w:r>
          </w:p>
        </w:tc>
        <w:tc>
          <w:tcPr>
            <w:tcW w:w="1530" w:type="dxa"/>
          </w:tcPr>
          <w:p w14:paraId="4FB05EDC"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Implementing defensive practice are complex</w:t>
            </w:r>
          </w:p>
        </w:tc>
        <w:tc>
          <w:tcPr>
            <w:tcW w:w="1170" w:type="dxa"/>
          </w:tcPr>
          <w:p w14:paraId="3C33EF98"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Objective 4</w:t>
            </w:r>
          </w:p>
        </w:tc>
        <w:tc>
          <w:tcPr>
            <w:tcW w:w="900" w:type="dxa"/>
          </w:tcPr>
          <w:p w14:paraId="2F7B739C"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Theme 4</w:t>
            </w:r>
          </w:p>
        </w:tc>
      </w:tr>
      <w:tr w:rsidR="00826870" w:rsidRPr="00820F7A" w14:paraId="2E966CAE" w14:textId="77777777">
        <w:trPr>
          <w:cantSplit/>
          <w:tblHeader/>
        </w:trPr>
        <w:tc>
          <w:tcPr>
            <w:tcW w:w="936" w:type="dxa"/>
          </w:tcPr>
          <w:p w14:paraId="0EFC444F"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Jones et al. (2024)</w:t>
            </w:r>
          </w:p>
        </w:tc>
        <w:tc>
          <w:tcPr>
            <w:tcW w:w="1594" w:type="dxa"/>
          </w:tcPr>
          <w:p w14:paraId="7ED556AC"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To evaluate collaborative leadership impact on clinical efficiency</w:t>
            </w:r>
          </w:p>
        </w:tc>
        <w:tc>
          <w:tcPr>
            <w:tcW w:w="1350" w:type="dxa"/>
          </w:tcPr>
          <w:p w14:paraId="596B0BBB"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Integrated qualitative information </w:t>
            </w:r>
          </w:p>
        </w:tc>
        <w:tc>
          <w:tcPr>
            <w:tcW w:w="1350" w:type="dxa"/>
          </w:tcPr>
          <w:p w14:paraId="7AADD986"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Clinical research study</w:t>
            </w:r>
          </w:p>
        </w:tc>
        <w:tc>
          <w:tcPr>
            <w:tcW w:w="2070" w:type="dxa"/>
          </w:tcPr>
          <w:p w14:paraId="7A7EECA7"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Maintain validity by integrating qualitative information </w:t>
            </w:r>
          </w:p>
        </w:tc>
        <w:tc>
          <w:tcPr>
            <w:tcW w:w="1530" w:type="dxa"/>
          </w:tcPr>
          <w:p w14:paraId="7249AFFC"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Limiting involvement of quantitative information on clinical leadership </w:t>
            </w:r>
          </w:p>
        </w:tc>
        <w:tc>
          <w:tcPr>
            <w:tcW w:w="1710" w:type="dxa"/>
          </w:tcPr>
          <w:p w14:paraId="0FF1575A"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Clinical leadership improve quality outcome </w:t>
            </w:r>
          </w:p>
        </w:tc>
        <w:tc>
          <w:tcPr>
            <w:tcW w:w="1530" w:type="dxa"/>
          </w:tcPr>
          <w:p w14:paraId="38B0D477"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supporting greater clinical leadership through training and development </w:t>
            </w:r>
          </w:p>
        </w:tc>
        <w:tc>
          <w:tcPr>
            <w:tcW w:w="1170" w:type="dxa"/>
          </w:tcPr>
          <w:p w14:paraId="72D3989E"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Objective 4</w:t>
            </w:r>
          </w:p>
        </w:tc>
        <w:tc>
          <w:tcPr>
            <w:tcW w:w="900" w:type="dxa"/>
          </w:tcPr>
          <w:p w14:paraId="3A92D8DD"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Theme 4 </w:t>
            </w:r>
          </w:p>
        </w:tc>
      </w:tr>
      <w:tr w:rsidR="00826870" w:rsidRPr="00820F7A" w14:paraId="0B924007" w14:textId="77777777">
        <w:trPr>
          <w:cantSplit/>
          <w:tblHeader/>
        </w:trPr>
        <w:tc>
          <w:tcPr>
            <w:tcW w:w="936" w:type="dxa"/>
          </w:tcPr>
          <w:p w14:paraId="5BD4133F"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Phillipson et al. (2025)</w:t>
            </w:r>
          </w:p>
        </w:tc>
        <w:tc>
          <w:tcPr>
            <w:tcW w:w="1594" w:type="dxa"/>
          </w:tcPr>
          <w:p w14:paraId="71F32F07"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To analyse the impact of clinical leadership programs </w:t>
            </w:r>
          </w:p>
        </w:tc>
        <w:tc>
          <w:tcPr>
            <w:tcW w:w="1350" w:type="dxa"/>
          </w:tcPr>
          <w:p w14:paraId="196002E7"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Integrated 86 systematic and non-systematic</w:t>
            </w:r>
          </w:p>
          <w:p w14:paraId="135C0600"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reviews</w:t>
            </w:r>
          </w:p>
        </w:tc>
        <w:tc>
          <w:tcPr>
            <w:tcW w:w="1350" w:type="dxa"/>
          </w:tcPr>
          <w:p w14:paraId="4C5EFCAD"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Conducted a systematic umbrella review</w:t>
            </w:r>
          </w:p>
          <w:p w14:paraId="7310480B" w14:textId="77777777" w:rsidR="00826870" w:rsidRPr="00820F7A" w:rsidRDefault="00826870">
            <w:pPr>
              <w:pStyle w:val="Normal1"/>
              <w:widowControl w:val="0"/>
              <w:pBdr>
                <w:top w:val="nil"/>
                <w:left w:val="nil"/>
                <w:bottom w:val="nil"/>
                <w:right w:val="nil"/>
                <w:between w:val="nil"/>
              </w:pBdr>
              <w:spacing w:line="360" w:lineRule="auto"/>
              <w:rPr>
                <w:color w:val="000000"/>
                <w:sz w:val="20"/>
                <w:szCs w:val="20"/>
                <w:lang w:val="en-GB"/>
              </w:rPr>
            </w:pPr>
          </w:p>
          <w:p w14:paraId="52A8CDF9" w14:textId="77777777" w:rsidR="00826870" w:rsidRPr="00820F7A" w:rsidRDefault="00826870">
            <w:pPr>
              <w:pStyle w:val="Normal1"/>
              <w:widowControl w:val="0"/>
              <w:pBdr>
                <w:top w:val="nil"/>
                <w:left w:val="nil"/>
                <w:bottom w:val="nil"/>
                <w:right w:val="nil"/>
                <w:between w:val="nil"/>
              </w:pBdr>
              <w:spacing w:line="360" w:lineRule="auto"/>
              <w:rPr>
                <w:color w:val="000000"/>
                <w:sz w:val="20"/>
                <w:szCs w:val="20"/>
                <w:lang w:val="en-GB"/>
              </w:rPr>
            </w:pPr>
          </w:p>
        </w:tc>
        <w:tc>
          <w:tcPr>
            <w:tcW w:w="2070" w:type="dxa"/>
          </w:tcPr>
          <w:p w14:paraId="30F2AC97"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Limited data accessibility for ensuring safety </w:t>
            </w:r>
          </w:p>
          <w:p w14:paraId="68D3DC3E" w14:textId="77777777" w:rsidR="00826870" w:rsidRPr="00820F7A" w:rsidRDefault="00826870">
            <w:pPr>
              <w:pStyle w:val="Normal1"/>
              <w:rPr>
                <w:lang w:val="en-GB"/>
              </w:rPr>
            </w:pPr>
          </w:p>
          <w:p w14:paraId="22B529FD" w14:textId="77777777" w:rsidR="00826870" w:rsidRPr="00820F7A" w:rsidRDefault="00826870">
            <w:pPr>
              <w:pStyle w:val="Normal1"/>
              <w:rPr>
                <w:lang w:val="en-GB"/>
              </w:rPr>
            </w:pPr>
          </w:p>
          <w:p w14:paraId="1B18A53B" w14:textId="77777777" w:rsidR="00826870" w:rsidRPr="00820F7A" w:rsidRDefault="00826870">
            <w:pPr>
              <w:pStyle w:val="Normal1"/>
              <w:rPr>
                <w:lang w:val="en-GB"/>
              </w:rPr>
            </w:pPr>
          </w:p>
          <w:p w14:paraId="1B878581" w14:textId="77777777" w:rsidR="00826870" w:rsidRPr="00820F7A" w:rsidRDefault="00826870">
            <w:pPr>
              <w:pStyle w:val="Normal1"/>
              <w:rPr>
                <w:lang w:val="en-GB"/>
              </w:rPr>
            </w:pPr>
          </w:p>
          <w:p w14:paraId="39195AC3" w14:textId="77777777" w:rsidR="00826870" w:rsidRPr="00820F7A" w:rsidRDefault="00826870">
            <w:pPr>
              <w:pStyle w:val="Normal1"/>
              <w:rPr>
                <w:lang w:val="en-GB"/>
              </w:rPr>
            </w:pPr>
          </w:p>
          <w:p w14:paraId="1CBBCDD3" w14:textId="77777777" w:rsidR="00826870" w:rsidRPr="00820F7A" w:rsidRDefault="00826870">
            <w:pPr>
              <w:pStyle w:val="Normal1"/>
              <w:ind w:firstLine="720"/>
              <w:rPr>
                <w:lang w:val="en-GB"/>
              </w:rPr>
            </w:pPr>
          </w:p>
        </w:tc>
        <w:tc>
          <w:tcPr>
            <w:tcW w:w="1530" w:type="dxa"/>
          </w:tcPr>
          <w:p w14:paraId="6BD3C91A"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Restricted use of ethical, approval </w:t>
            </w:r>
          </w:p>
        </w:tc>
        <w:tc>
          <w:tcPr>
            <w:tcW w:w="1710" w:type="dxa"/>
          </w:tcPr>
          <w:p w14:paraId="36D6E627"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Improving clinical leadership through fostering continuous learning environment among healthcare workers</w:t>
            </w:r>
          </w:p>
        </w:tc>
        <w:tc>
          <w:tcPr>
            <w:tcW w:w="1530" w:type="dxa"/>
          </w:tcPr>
          <w:p w14:paraId="6D483BCF"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leadership training fosters experiential learning </w:t>
            </w:r>
          </w:p>
        </w:tc>
        <w:tc>
          <w:tcPr>
            <w:tcW w:w="1170" w:type="dxa"/>
          </w:tcPr>
          <w:p w14:paraId="072B65A5"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Objective 4</w:t>
            </w:r>
          </w:p>
        </w:tc>
        <w:tc>
          <w:tcPr>
            <w:tcW w:w="900" w:type="dxa"/>
          </w:tcPr>
          <w:p w14:paraId="26E71EB8"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Theme 4 </w:t>
            </w:r>
          </w:p>
        </w:tc>
      </w:tr>
      <w:tr w:rsidR="00826870" w:rsidRPr="00820F7A" w14:paraId="6EAB705A" w14:textId="77777777">
        <w:trPr>
          <w:cantSplit/>
          <w:tblHeader/>
        </w:trPr>
        <w:tc>
          <w:tcPr>
            <w:tcW w:w="936" w:type="dxa"/>
          </w:tcPr>
          <w:p w14:paraId="04AF1574"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Antonopoulou et al. (2024)</w:t>
            </w:r>
          </w:p>
        </w:tc>
        <w:tc>
          <w:tcPr>
            <w:tcW w:w="1594" w:type="dxa"/>
          </w:tcPr>
          <w:p w14:paraId="4BD6AC80"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To evaluate the key actors, behaviours and factors </w:t>
            </w:r>
          </w:p>
        </w:tc>
        <w:tc>
          <w:tcPr>
            <w:tcW w:w="1350" w:type="dxa"/>
          </w:tcPr>
          <w:p w14:paraId="05A48E88"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Articles published from 2001 and 2021 has been accessed </w:t>
            </w:r>
          </w:p>
        </w:tc>
        <w:tc>
          <w:tcPr>
            <w:tcW w:w="1350" w:type="dxa"/>
          </w:tcPr>
          <w:p w14:paraId="14FCBDB1"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Conducted a systematic literature review</w:t>
            </w:r>
          </w:p>
          <w:p w14:paraId="3F05F150" w14:textId="77777777" w:rsidR="00826870" w:rsidRPr="00820F7A" w:rsidRDefault="00826870">
            <w:pPr>
              <w:pStyle w:val="Normal1"/>
              <w:widowControl w:val="0"/>
              <w:pBdr>
                <w:top w:val="nil"/>
                <w:left w:val="nil"/>
                <w:bottom w:val="nil"/>
                <w:right w:val="nil"/>
                <w:between w:val="nil"/>
              </w:pBdr>
              <w:spacing w:line="360" w:lineRule="auto"/>
              <w:rPr>
                <w:color w:val="000000"/>
                <w:sz w:val="20"/>
                <w:szCs w:val="20"/>
                <w:lang w:val="en-GB"/>
              </w:rPr>
            </w:pPr>
          </w:p>
        </w:tc>
        <w:tc>
          <w:tcPr>
            <w:tcW w:w="2070" w:type="dxa"/>
          </w:tcPr>
          <w:p w14:paraId="620764E0"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The use of mixed-methods evidence ensures holistic assessment of information </w:t>
            </w:r>
          </w:p>
        </w:tc>
        <w:tc>
          <w:tcPr>
            <w:tcW w:w="1530" w:type="dxa"/>
          </w:tcPr>
          <w:p w14:paraId="50B5C4E8"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Variations in legal, procedural and</w:t>
            </w:r>
          </w:p>
          <w:p w14:paraId="684FE8D2"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organizational frameworks within patients’ complaints</w:t>
            </w:r>
          </w:p>
        </w:tc>
        <w:tc>
          <w:tcPr>
            <w:tcW w:w="1710" w:type="dxa"/>
          </w:tcPr>
          <w:p w14:paraId="5CA3B9BF"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Leadership and healthcare professional’s competency is crucial for managing patients’ complaints </w:t>
            </w:r>
          </w:p>
        </w:tc>
        <w:tc>
          <w:tcPr>
            <w:tcW w:w="1530" w:type="dxa"/>
          </w:tcPr>
          <w:p w14:paraId="1019BF16"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knowledge, skills, environmental context are significant for improving safety culture </w:t>
            </w:r>
          </w:p>
        </w:tc>
        <w:tc>
          <w:tcPr>
            <w:tcW w:w="1170" w:type="dxa"/>
          </w:tcPr>
          <w:p w14:paraId="46C47BA5"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Objective 4 </w:t>
            </w:r>
          </w:p>
        </w:tc>
        <w:tc>
          <w:tcPr>
            <w:tcW w:w="900" w:type="dxa"/>
          </w:tcPr>
          <w:p w14:paraId="7AC83BCF"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Theme 4</w:t>
            </w:r>
          </w:p>
        </w:tc>
      </w:tr>
      <w:tr w:rsidR="00826870" w:rsidRPr="00820F7A" w14:paraId="2B28C44D" w14:textId="77777777">
        <w:trPr>
          <w:cantSplit/>
          <w:tblHeader/>
        </w:trPr>
        <w:tc>
          <w:tcPr>
            <w:tcW w:w="936" w:type="dxa"/>
          </w:tcPr>
          <w:p w14:paraId="42022C26"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highlight w:val="white"/>
                <w:lang w:val="en-GB"/>
              </w:rPr>
              <w:t xml:space="preserve">Taske </w:t>
            </w:r>
            <w:r w:rsidRPr="00820F7A">
              <w:rPr>
                <w:i/>
                <w:iCs/>
                <w:color w:val="000000"/>
                <w:sz w:val="20"/>
                <w:szCs w:val="20"/>
                <w:highlight w:val="white"/>
                <w:lang w:val="en-GB"/>
              </w:rPr>
              <w:t xml:space="preserve">et al. </w:t>
            </w:r>
            <w:r w:rsidRPr="00820F7A">
              <w:rPr>
                <w:color w:val="000000"/>
                <w:sz w:val="20"/>
                <w:szCs w:val="20"/>
                <w:highlight w:val="white"/>
                <w:lang w:val="en-GB"/>
              </w:rPr>
              <w:t>(2023)</w:t>
            </w:r>
          </w:p>
        </w:tc>
        <w:tc>
          <w:tcPr>
            <w:tcW w:w="1594" w:type="dxa"/>
          </w:tcPr>
          <w:p w14:paraId="68648698"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To analyse whether the attitudes and behaviours of</w:t>
            </w:r>
          </w:p>
          <w:p w14:paraId="738C586C"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Clinicians and managers are aligned with a Just Culture.</w:t>
            </w:r>
          </w:p>
        </w:tc>
        <w:tc>
          <w:tcPr>
            <w:tcW w:w="1350" w:type="dxa"/>
          </w:tcPr>
          <w:p w14:paraId="6A2913F4"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15 doctors, 5 MS and 2 managers</w:t>
            </w:r>
          </w:p>
        </w:tc>
        <w:tc>
          <w:tcPr>
            <w:tcW w:w="1350" w:type="dxa"/>
          </w:tcPr>
          <w:p w14:paraId="44EF670F"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Qualitative study used interviews</w:t>
            </w:r>
          </w:p>
          <w:p w14:paraId="2F51881C"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and observation</w:t>
            </w:r>
          </w:p>
        </w:tc>
        <w:tc>
          <w:tcPr>
            <w:tcW w:w="2070" w:type="dxa"/>
          </w:tcPr>
          <w:p w14:paraId="65DF75F5"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Cohort’s views were</w:t>
            </w:r>
          </w:p>
          <w:p w14:paraId="48BD2566"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strongly expressed by the Williams and Hamilton reviews</w:t>
            </w:r>
          </w:p>
        </w:tc>
        <w:tc>
          <w:tcPr>
            <w:tcW w:w="1530" w:type="dxa"/>
          </w:tcPr>
          <w:p w14:paraId="1B509B64"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Number of interviews and meetings observed was</w:t>
            </w:r>
          </w:p>
          <w:p w14:paraId="7E65FCED"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limited by project duration and data collection</w:t>
            </w:r>
          </w:p>
        </w:tc>
        <w:tc>
          <w:tcPr>
            <w:tcW w:w="1710" w:type="dxa"/>
          </w:tcPr>
          <w:p w14:paraId="29A519BE"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There is evidence of a fair incident</w:t>
            </w:r>
          </w:p>
          <w:p w14:paraId="3DD95B6D"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Management process within the Trust.</w:t>
            </w:r>
          </w:p>
        </w:tc>
        <w:tc>
          <w:tcPr>
            <w:tcW w:w="1530" w:type="dxa"/>
          </w:tcPr>
          <w:p w14:paraId="5695306D"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This paper examines the significance</w:t>
            </w:r>
          </w:p>
          <w:p w14:paraId="346F988B"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of these findings and provides recommendations</w:t>
            </w:r>
          </w:p>
          <w:p w14:paraId="383BE942"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which may have application within other healthcare</w:t>
            </w:r>
          </w:p>
          <w:p w14:paraId="6D705DDE"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Organisations.</w:t>
            </w:r>
          </w:p>
        </w:tc>
        <w:tc>
          <w:tcPr>
            <w:tcW w:w="1170" w:type="dxa"/>
          </w:tcPr>
          <w:p w14:paraId="0ACE0623"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Objective 3</w:t>
            </w:r>
          </w:p>
        </w:tc>
        <w:tc>
          <w:tcPr>
            <w:tcW w:w="900" w:type="dxa"/>
          </w:tcPr>
          <w:p w14:paraId="1CCE2331"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Theme 3</w:t>
            </w:r>
          </w:p>
        </w:tc>
      </w:tr>
      <w:tr w:rsidR="00826870" w:rsidRPr="00820F7A" w14:paraId="64AE6061" w14:textId="77777777">
        <w:trPr>
          <w:cantSplit/>
          <w:tblHeader/>
        </w:trPr>
        <w:tc>
          <w:tcPr>
            <w:tcW w:w="936" w:type="dxa"/>
          </w:tcPr>
          <w:p w14:paraId="55FF8BF9"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highlight w:val="white"/>
                <w:lang w:val="en-GB"/>
              </w:rPr>
              <w:t xml:space="preserve">Granel-Giménez </w:t>
            </w:r>
            <w:r w:rsidRPr="00820F7A">
              <w:rPr>
                <w:i/>
                <w:iCs/>
                <w:color w:val="000000"/>
                <w:sz w:val="20"/>
                <w:szCs w:val="20"/>
                <w:highlight w:val="white"/>
                <w:lang w:val="en-GB"/>
              </w:rPr>
              <w:t xml:space="preserve">et al. </w:t>
            </w:r>
            <w:r w:rsidRPr="00820F7A">
              <w:rPr>
                <w:color w:val="000000"/>
                <w:sz w:val="20"/>
                <w:szCs w:val="20"/>
                <w:highlight w:val="white"/>
                <w:lang w:val="en-GB"/>
              </w:rPr>
              <w:t>(2022)</w:t>
            </w:r>
          </w:p>
        </w:tc>
        <w:tc>
          <w:tcPr>
            <w:tcW w:w="1594" w:type="dxa"/>
          </w:tcPr>
          <w:p w14:paraId="47A9ACAB"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To measure the safety culture perceived by nurses working for public hospitals in four countries.</w:t>
            </w:r>
          </w:p>
        </w:tc>
        <w:tc>
          <w:tcPr>
            <w:tcW w:w="1350" w:type="dxa"/>
          </w:tcPr>
          <w:p w14:paraId="5351F476"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Professional nurses working in Croatia, Hungry, Spain, and Sweden.</w:t>
            </w:r>
          </w:p>
        </w:tc>
        <w:tc>
          <w:tcPr>
            <w:tcW w:w="1350" w:type="dxa"/>
          </w:tcPr>
          <w:p w14:paraId="0A1C32A1"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Qualitative study </w:t>
            </w:r>
          </w:p>
        </w:tc>
        <w:tc>
          <w:tcPr>
            <w:tcW w:w="2070" w:type="dxa"/>
          </w:tcPr>
          <w:p w14:paraId="76CF0335"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Leaders seek to strengthen system resilience to medical errors</w:t>
            </w:r>
          </w:p>
        </w:tc>
        <w:tc>
          <w:tcPr>
            <w:tcW w:w="1530" w:type="dxa"/>
          </w:tcPr>
          <w:p w14:paraId="7EBAF559"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Focus on nurses, around 40% to 60% of the workforce</w:t>
            </w:r>
          </w:p>
        </w:tc>
        <w:tc>
          <w:tcPr>
            <w:tcW w:w="1710" w:type="dxa"/>
          </w:tcPr>
          <w:p w14:paraId="65634327"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Safety culture for most dimensions was ‘adequate’ in Sweden and ‘adequate’ to ‘poor</w:t>
            </w:r>
          </w:p>
        </w:tc>
        <w:tc>
          <w:tcPr>
            <w:tcW w:w="1530" w:type="dxa"/>
          </w:tcPr>
          <w:p w14:paraId="2C1417B2"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Dimension level perceptions were at times incongruent across countries.</w:t>
            </w:r>
          </w:p>
        </w:tc>
        <w:tc>
          <w:tcPr>
            <w:tcW w:w="1170" w:type="dxa"/>
          </w:tcPr>
          <w:p w14:paraId="19DDCA0E"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Objective 3</w:t>
            </w:r>
          </w:p>
        </w:tc>
        <w:tc>
          <w:tcPr>
            <w:tcW w:w="900" w:type="dxa"/>
          </w:tcPr>
          <w:p w14:paraId="6C9D2C03"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Theme 3</w:t>
            </w:r>
          </w:p>
        </w:tc>
      </w:tr>
      <w:tr w:rsidR="00826870" w:rsidRPr="00820F7A" w14:paraId="41210058" w14:textId="77777777">
        <w:trPr>
          <w:cantSplit/>
          <w:tblHeader/>
        </w:trPr>
        <w:tc>
          <w:tcPr>
            <w:tcW w:w="936" w:type="dxa"/>
          </w:tcPr>
          <w:p w14:paraId="10B45BA8"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highlight w:val="white"/>
                <w:lang w:val="en-GB"/>
              </w:rPr>
              <w:t xml:space="preserve">Mahmoud </w:t>
            </w:r>
            <w:r w:rsidRPr="00820F7A">
              <w:rPr>
                <w:i/>
                <w:iCs/>
                <w:color w:val="000000"/>
                <w:sz w:val="20"/>
                <w:szCs w:val="20"/>
                <w:highlight w:val="white"/>
                <w:lang w:val="en-GB"/>
              </w:rPr>
              <w:t xml:space="preserve">et al. </w:t>
            </w:r>
            <w:r w:rsidRPr="00820F7A">
              <w:rPr>
                <w:color w:val="000000"/>
                <w:sz w:val="20"/>
                <w:szCs w:val="20"/>
                <w:highlight w:val="white"/>
                <w:lang w:val="en-GB"/>
              </w:rPr>
              <w:t>(2023)</w:t>
            </w:r>
          </w:p>
        </w:tc>
        <w:tc>
          <w:tcPr>
            <w:tcW w:w="1594" w:type="dxa"/>
          </w:tcPr>
          <w:p w14:paraId="722CFD84"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To summarise the barriers and facilitators</w:t>
            </w:r>
          </w:p>
          <w:p w14:paraId="4306A7B7"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perceived by hospital staff and physicians</w:t>
            </w:r>
          </w:p>
        </w:tc>
        <w:tc>
          <w:tcPr>
            <w:tcW w:w="1350" w:type="dxa"/>
          </w:tcPr>
          <w:p w14:paraId="715CED92"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22 studies with 781 participants</w:t>
            </w:r>
          </w:p>
        </w:tc>
        <w:tc>
          <w:tcPr>
            <w:tcW w:w="1350" w:type="dxa"/>
          </w:tcPr>
          <w:p w14:paraId="1512EEEE"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Qualitative study </w:t>
            </w:r>
          </w:p>
        </w:tc>
        <w:tc>
          <w:tcPr>
            <w:tcW w:w="2070" w:type="dxa"/>
          </w:tcPr>
          <w:p w14:paraId="1264E1BA"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Our study is unique as it included a variety of safety incidents including medication-related and device-related</w:t>
            </w:r>
          </w:p>
          <w:p w14:paraId="43345810"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Incidents.</w:t>
            </w:r>
          </w:p>
        </w:tc>
        <w:tc>
          <w:tcPr>
            <w:tcW w:w="1530" w:type="dxa"/>
          </w:tcPr>
          <w:p w14:paraId="4A234031"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Participants non-representative</w:t>
            </w:r>
          </w:p>
          <w:p w14:paraId="45628499"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of the healthcare worker population,</w:t>
            </w:r>
          </w:p>
        </w:tc>
        <w:tc>
          <w:tcPr>
            <w:tcW w:w="1710" w:type="dxa"/>
          </w:tcPr>
          <w:p w14:paraId="6F85B187"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Important barriers and facilitators</w:t>
            </w:r>
          </w:p>
          <w:p w14:paraId="76F880F9"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across the analysis</w:t>
            </w:r>
          </w:p>
        </w:tc>
        <w:tc>
          <w:tcPr>
            <w:tcW w:w="1530" w:type="dxa"/>
          </w:tcPr>
          <w:p w14:paraId="3678D741"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Multiple barriers and facilitators to uptake of</w:t>
            </w:r>
          </w:p>
          <w:p w14:paraId="54E6A9C2"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PSLS exist.</w:t>
            </w:r>
          </w:p>
        </w:tc>
        <w:tc>
          <w:tcPr>
            <w:tcW w:w="1170" w:type="dxa"/>
          </w:tcPr>
          <w:p w14:paraId="300B6CD1"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Objective 2</w:t>
            </w:r>
          </w:p>
        </w:tc>
        <w:tc>
          <w:tcPr>
            <w:tcW w:w="900" w:type="dxa"/>
          </w:tcPr>
          <w:p w14:paraId="415A52A3"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Theme 2</w:t>
            </w:r>
          </w:p>
        </w:tc>
      </w:tr>
      <w:tr w:rsidR="00826870" w:rsidRPr="00820F7A" w14:paraId="07BB2F85" w14:textId="77777777">
        <w:trPr>
          <w:cantSplit/>
          <w:tblHeader/>
        </w:trPr>
        <w:tc>
          <w:tcPr>
            <w:tcW w:w="936" w:type="dxa"/>
          </w:tcPr>
          <w:p w14:paraId="2A171499"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highlight w:val="white"/>
                <w:lang w:val="en-GB"/>
              </w:rPr>
              <w:t xml:space="preserve">Alabdaly </w:t>
            </w:r>
            <w:r w:rsidRPr="00820F7A">
              <w:rPr>
                <w:i/>
                <w:iCs/>
                <w:color w:val="000000"/>
                <w:sz w:val="20"/>
                <w:szCs w:val="20"/>
                <w:highlight w:val="white"/>
                <w:lang w:val="en-GB"/>
              </w:rPr>
              <w:t xml:space="preserve">et al. </w:t>
            </w:r>
            <w:r w:rsidRPr="00820F7A">
              <w:rPr>
                <w:color w:val="000000"/>
                <w:sz w:val="20"/>
                <w:szCs w:val="20"/>
                <w:highlight w:val="white"/>
                <w:lang w:val="en-GB"/>
              </w:rPr>
              <w:t>(2024)</w:t>
            </w:r>
          </w:p>
        </w:tc>
        <w:tc>
          <w:tcPr>
            <w:tcW w:w="1594" w:type="dxa"/>
          </w:tcPr>
          <w:p w14:paraId="527E093F"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To identify how these concepts have</w:t>
            </w:r>
          </w:p>
          <w:p w14:paraId="4835A3A8"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been defined or described in the literature</w:t>
            </w:r>
          </w:p>
        </w:tc>
        <w:tc>
          <w:tcPr>
            <w:tcW w:w="1350" w:type="dxa"/>
          </w:tcPr>
          <w:p w14:paraId="4CD441D7"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4512 studies</w:t>
            </w:r>
          </w:p>
        </w:tc>
        <w:tc>
          <w:tcPr>
            <w:tcW w:w="1350" w:type="dxa"/>
          </w:tcPr>
          <w:p w14:paraId="05EEBED5"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Quantitative study </w:t>
            </w:r>
          </w:p>
        </w:tc>
        <w:tc>
          <w:tcPr>
            <w:tcW w:w="2070" w:type="dxa"/>
          </w:tcPr>
          <w:p w14:paraId="331BB02C"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Importance of promoting and sustaining a</w:t>
            </w:r>
          </w:p>
          <w:p w14:paraId="484243B4"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robust safety culture is widely recognised</w:t>
            </w:r>
          </w:p>
        </w:tc>
        <w:tc>
          <w:tcPr>
            <w:tcW w:w="1530" w:type="dxa"/>
          </w:tcPr>
          <w:p w14:paraId="312C2150"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Challenging to determine the validity of the reported findings due to the lack of quality assessment.</w:t>
            </w:r>
          </w:p>
        </w:tc>
        <w:tc>
          <w:tcPr>
            <w:tcW w:w="1710" w:type="dxa"/>
          </w:tcPr>
          <w:p w14:paraId="0506DA80"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4512 studies were initially identified; 15 studies met the inclusion criteria.</w:t>
            </w:r>
          </w:p>
        </w:tc>
        <w:tc>
          <w:tcPr>
            <w:tcW w:w="1530" w:type="dxa"/>
          </w:tcPr>
          <w:p w14:paraId="72F90B35"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The findings indicate that the patient can recognise safety-related issues that the hospital team may</w:t>
            </w:r>
          </w:p>
          <w:p w14:paraId="572FDE9F"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miss.</w:t>
            </w:r>
          </w:p>
        </w:tc>
        <w:tc>
          <w:tcPr>
            <w:tcW w:w="1170" w:type="dxa"/>
          </w:tcPr>
          <w:p w14:paraId="627C6907"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Objective 2</w:t>
            </w:r>
          </w:p>
        </w:tc>
        <w:tc>
          <w:tcPr>
            <w:tcW w:w="900" w:type="dxa"/>
          </w:tcPr>
          <w:p w14:paraId="59D627A1"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Theme 2</w:t>
            </w:r>
          </w:p>
        </w:tc>
      </w:tr>
      <w:tr w:rsidR="00826870" w:rsidRPr="00820F7A" w14:paraId="5C42241E" w14:textId="77777777">
        <w:trPr>
          <w:cantSplit/>
          <w:tblHeader/>
        </w:trPr>
        <w:tc>
          <w:tcPr>
            <w:tcW w:w="936" w:type="dxa"/>
          </w:tcPr>
          <w:p w14:paraId="331AC79A"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highlight w:val="white"/>
                <w:lang w:val="en-GB"/>
              </w:rPr>
              <w:t xml:space="preserve">Tenza </w:t>
            </w:r>
            <w:r w:rsidRPr="00820F7A">
              <w:rPr>
                <w:i/>
                <w:iCs/>
                <w:color w:val="000000"/>
                <w:sz w:val="20"/>
                <w:szCs w:val="20"/>
                <w:highlight w:val="white"/>
                <w:lang w:val="en-GB"/>
              </w:rPr>
              <w:t xml:space="preserve">et al. </w:t>
            </w:r>
            <w:r w:rsidRPr="00820F7A">
              <w:rPr>
                <w:color w:val="000000"/>
                <w:sz w:val="20"/>
                <w:szCs w:val="20"/>
                <w:highlight w:val="white"/>
                <w:lang w:val="en-GB"/>
              </w:rPr>
              <w:t>(2022)</w:t>
            </w:r>
          </w:p>
        </w:tc>
        <w:tc>
          <w:tcPr>
            <w:tcW w:w="1594" w:type="dxa"/>
          </w:tcPr>
          <w:p w14:paraId="256820F6"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To patient safety culture dimensions in the selected hospitals.</w:t>
            </w:r>
          </w:p>
        </w:tc>
        <w:tc>
          <w:tcPr>
            <w:tcW w:w="1350" w:type="dxa"/>
          </w:tcPr>
          <w:p w14:paraId="26C531D2"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Twelve</w:t>
            </w:r>
          </w:p>
          <w:p w14:paraId="7614FE75"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focus group discussions</w:t>
            </w:r>
          </w:p>
        </w:tc>
        <w:tc>
          <w:tcPr>
            <w:tcW w:w="1350" w:type="dxa"/>
          </w:tcPr>
          <w:p w14:paraId="1E72BF0C"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Qualitative study </w:t>
            </w:r>
          </w:p>
        </w:tc>
        <w:tc>
          <w:tcPr>
            <w:tcW w:w="2070" w:type="dxa"/>
          </w:tcPr>
          <w:p w14:paraId="3318029B"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Limited by cross-sectional study, meaning</w:t>
            </w:r>
          </w:p>
          <w:p w14:paraId="3B28C695"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The findings reflect the views of participants.</w:t>
            </w:r>
          </w:p>
        </w:tc>
        <w:tc>
          <w:tcPr>
            <w:tcW w:w="1530" w:type="dxa"/>
          </w:tcPr>
          <w:p w14:paraId="2657068A"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Patient</w:t>
            </w:r>
          </w:p>
          <w:p w14:paraId="73A2AFC0"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safety culture is often investigated using quantitative</w:t>
            </w:r>
          </w:p>
          <w:p w14:paraId="433D4DDD"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approaches,</w:t>
            </w:r>
          </w:p>
        </w:tc>
        <w:tc>
          <w:tcPr>
            <w:tcW w:w="1710" w:type="dxa"/>
          </w:tcPr>
          <w:p w14:paraId="21E0ED88"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Staff shortage contributed to poor</w:t>
            </w:r>
          </w:p>
          <w:p w14:paraId="4D053081"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Quality of safety practices including poor handover which was also influenced by lateness to duty.</w:t>
            </w:r>
          </w:p>
        </w:tc>
        <w:tc>
          <w:tcPr>
            <w:tcW w:w="1530" w:type="dxa"/>
          </w:tcPr>
          <w:p w14:paraId="5B22A43F"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Prompt and appropriate responses by managers to medical errors require improvements</w:t>
            </w:r>
          </w:p>
        </w:tc>
        <w:tc>
          <w:tcPr>
            <w:tcW w:w="1170" w:type="dxa"/>
          </w:tcPr>
          <w:p w14:paraId="5B03E77E"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Objective 1</w:t>
            </w:r>
          </w:p>
        </w:tc>
        <w:tc>
          <w:tcPr>
            <w:tcW w:w="900" w:type="dxa"/>
          </w:tcPr>
          <w:p w14:paraId="3FD4A81D" w14:textId="77777777" w:rsidR="00826870" w:rsidRPr="00820F7A" w:rsidRDefault="00B21388">
            <w:pPr>
              <w:pStyle w:val="Normal1"/>
              <w:widowControl w:val="0"/>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Theme 1</w:t>
            </w:r>
          </w:p>
        </w:tc>
      </w:tr>
    </w:tbl>
    <w:p w14:paraId="70708CF4" w14:textId="77777777" w:rsidR="00826870" w:rsidRPr="00820F7A" w:rsidRDefault="00826870">
      <w:pPr>
        <w:pStyle w:val="Heading5"/>
        <w:rPr>
          <w:lang w:val="en-GB"/>
        </w:rPr>
        <w:sectPr w:rsidR="00826870" w:rsidRPr="00820F7A">
          <w:pgSz w:w="15840" w:h="12240" w:orient="landscape"/>
          <w:pgMar w:top="1440" w:right="1440" w:bottom="1440" w:left="1440" w:header="720" w:footer="720" w:gutter="0"/>
          <w:cols w:space="720"/>
        </w:sectPr>
      </w:pPr>
      <w:bookmarkStart w:id="75" w:name="_heading=h.fw1i1vbew32v" w:colFirst="0" w:colLast="0"/>
      <w:bookmarkEnd w:id="75"/>
    </w:p>
    <w:p w14:paraId="28DC68B9" w14:textId="77777777" w:rsidR="00826870" w:rsidRPr="00820F7A" w:rsidRDefault="00B21388">
      <w:pPr>
        <w:pStyle w:val="Heading5"/>
        <w:rPr>
          <w:lang w:val="en-GB"/>
        </w:rPr>
      </w:pPr>
      <w:r w:rsidRPr="00820F7A">
        <w:rPr>
          <w:lang w:val="en-GB"/>
        </w:rPr>
        <w:t>Table 4.1: Data extraction</w:t>
      </w:r>
    </w:p>
    <w:p w14:paraId="2AAA5341" w14:textId="77777777" w:rsidR="00826870" w:rsidRPr="00820F7A" w:rsidRDefault="00B21388">
      <w:pPr>
        <w:pStyle w:val="Normal1"/>
        <w:pBdr>
          <w:top w:val="nil"/>
          <w:left w:val="nil"/>
          <w:bottom w:val="nil"/>
          <w:right w:val="nil"/>
          <w:between w:val="nil"/>
        </w:pBdr>
        <w:jc w:val="center"/>
        <w:rPr>
          <w:color w:val="000000"/>
          <w:lang w:val="en-GB"/>
        </w:rPr>
      </w:pPr>
      <w:r w:rsidRPr="00820F7A">
        <w:rPr>
          <w:color w:val="000000"/>
          <w:lang w:val="en-GB"/>
        </w:rPr>
        <w:t>(Source: Created by the author)</w:t>
      </w:r>
    </w:p>
    <w:p w14:paraId="6348BA7B" w14:textId="77777777" w:rsidR="00826870" w:rsidRPr="00820F7A" w:rsidRDefault="00B21388">
      <w:pPr>
        <w:pStyle w:val="Heading2"/>
        <w:rPr>
          <w:lang w:val="en-GB"/>
        </w:rPr>
      </w:pPr>
      <w:bookmarkStart w:id="76" w:name="_Toc220759513"/>
      <w:r w:rsidRPr="00820F7A">
        <w:rPr>
          <w:lang w:val="en-GB"/>
        </w:rPr>
        <w:t>4.4 Data extraction/synthesis</w:t>
      </w:r>
      <w:bookmarkEnd w:id="76"/>
    </w:p>
    <w:p w14:paraId="7826E0AA" w14:textId="77777777" w:rsidR="00826870" w:rsidRPr="00820F7A" w:rsidRDefault="00B21388">
      <w:pPr>
        <w:pStyle w:val="Heading3"/>
        <w:rPr>
          <w:lang w:val="en-GB"/>
        </w:rPr>
      </w:pPr>
      <w:bookmarkStart w:id="77" w:name="_Toc220759514"/>
      <w:r w:rsidRPr="00820F7A">
        <w:rPr>
          <w:lang w:val="en-GB"/>
        </w:rPr>
        <w:t>4.4.1 Theme 1- Regulatory compliance and governance is crucial for Clinical leadership to drive safety culture in healthcare sector of UK</w:t>
      </w:r>
      <w:bookmarkEnd w:id="77"/>
    </w:p>
    <w:p w14:paraId="0685CDC0"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Government framework and guidelines in the healthcare sector is crucial for guiding the clinical leadership practices and improving safety culture in the healthcare setting. Yeowell</w:t>
      </w:r>
      <w:r w:rsidRPr="00820F7A">
        <w:rPr>
          <w:i/>
          <w:iCs/>
          <w:color w:val="000000"/>
          <w:lang w:val="en-GB"/>
        </w:rPr>
        <w:t>et al.</w:t>
      </w:r>
      <w:r w:rsidRPr="00820F7A">
        <w:rPr>
          <w:color w:val="000000"/>
          <w:lang w:val="en-GB"/>
        </w:rPr>
        <w:t xml:space="preserve"> (2024) have outlined that 77% of respondents positively agreed with regulatory framework and compliance as an effective approach for enhancing healthcare environment and patients’ safety. On the other hand, Wickramasekera </w:t>
      </w:r>
      <w:r w:rsidRPr="00820F7A">
        <w:rPr>
          <w:i/>
          <w:iCs/>
          <w:color w:val="000000"/>
          <w:lang w:val="en-GB"/>
        </w:rPr>
        <w:t>et al.</w:t>
      </w:r>
      <w:r w:rsidRPr="00820F7A">
        <w:rPr>
          <w:color w:val="000000"/>
          <w:lang w:val="en-GB"/>
        </w:rPr>
        <w:t xml:space="preserve"> (2024) have highlighted that patients hold leadership accountable for ensuring safety and maintaining a secure environment for delivering high quality care. This reflected that cynical competency is beneficial for healthcare leaders to evaluate the healthcare emergencies and identifying positional incidents, addressing them and reducing risks of negligence. Moreover, Scheffer (2025) has highlighted that establishing a leadership development framework within the UK healthcare sector is efficient for guiding the leadership behaviour and enhancing efficiency. </w:t>
      </w:r>
      <w:r w:rsidRPr="00820F7A">
        <w:rPr>
          <w:color w:val="000000"/>
          <w:highlight w:val="white"/>
          <w:lang w:val="en-GB"/>
        </w:rPr>
        <w:t xml:space="preserve">Tenza </w:t>
      </w:r>
      <w:r w:rsidRPr="00820F7A">
        <w:rPr>
          <w:i/>
          <w:iCs/>
          <w:color w:val="000000"/>
          <w:highlight w:val="white"/>
          <w:lang w:val="en-GB"/>
        </w:rPr>
        <w:t xml:space="preserve">et al. </w:t>
      </w:r>
      <w:r w:rsidRPr="00820F7A">
        <w:rPr>
          <w:color w:val="000000"/>
          <w:highlight w:val="white"/>
          <w:lang w:val="en-GB"/>
        </w:rPr>
        <w:t>(2022)</w:t>
      </w:r>
      <w:r w:rsidRPr="00820F7A">
        <w:rPr>
          <w:color w:val="000000"/>
          <w:lang w:val="en-GB"/>
        </w:rPr>
        <w:t xml:space="preserve"> states that the characteristics of the leadership development are managed dimensions of patient safety culture as it is adapted from the Agency for Healthcare Research and Quality’s ten patient safety culture composite measures. </w:t>
      </w:r>
    </w:p>
    <w:p w14:paraId="5632F91E" w14:textId="77777777" w:rsidR="00826870" w:rsidRPr="00820F7A" w:rsidRDefault="00B21388">
      <w:pPr>
        <w:pStyle w:val="Heading3"/>
        <w:rPr>
          <w:lang w:val="en-GB"/>
        </w:rPr>
      </w:pPr>
      <w:bookmarkStart w:id="78" w:name="_Toc220759515"/>
      <w:r w:rsidRPr="00820F7A">
        <w:rPr>
          <w:lang w:val="en-GB"/>
        </w:rPr>
        <w:t>4.4.2 Theme 2- Transformational leadership in clinical setting assist in driving safety culture and positive perception of the healthcare workers in UK</w:t>
      </w:r>
      <w:bookmarkEnd w:id="78"/>
    </w:p>
    <w:p w14:paraId="7C8BE0D7"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Different leadership styles including transformational leadership within the clinical setting is effective as it enables in developing a shared vision of establishing safety culture within UK healthcare. Haoyan</w:t>
      </w:r>
      <w:r w:rsidRPr="00820F7A">
        <w:rPr>
          <w:i/>
          <w:iCs/>
          <w:color w:val="000000"/>
          <w:lang w:val="en-GB"/>
        </w:rPr>
        <w:t xml:space="preserve">et al. </w:t>
      </w:r>
      <w:r w:rsidRPr="00820F7A">
        <w:rPr>
          <w:color w:val="000000"/>
          <w:lang w:val="en-GB"/>
        </w:rPr>
        <w:t xml:space="preserve">(2023) have outlined that Transformational leadership style can be effective in improving nursing perception of organisational commitment towards healthcare safety and patients’ safety. </w:t>
      </w:r>
      <w:r w:rsidRPr="00820F7A">
        <w:rPr>
          <w:color w:val="000000"/>
          <w:highlight w:val="white"/>
          <w:lang w:val="en-GB"/>
        </w:rPr>
        <w:t xml:space="preserve">Mahmoud </w:t>
      </w:r>
      <w:r w:rsidRPr="00820F7A">
        <w:rPr>
          <w:i/>
          <w:iCs/>
          <w:color w:val="000000"/>
          <w:highlight w:val="white"/>
          <w:lang w:val="en-GB"/>
        </w:rPr>
        <w:t xml:space="preserve">et al. </w:t>
      </w:r>
      <w:r w:rsidRPr="00820F7A">
        <w:rPr>
          <w:color w:val="000000"/>
          <w:highlight w:val="white"/>
          <w:lang w:val="en-GB"/>
        </w:rPr>
        <w:t xml:space="preserve">(2023) focuses on the implementation and continuous improvement of patient safety learning systems that is a principal strategy for mitigating preventable harm to patients. </w:t>
      </w:r>
      <w:r w:rsidRPr="00820F7A">
        <w:rPr>
          <w:color w:val="000000"/>
          <w:lang w:val="en-GB"/>
        </w:rPr>
        <w:t xml:space="preserve">In contrast, Backman </w:t>
      </w:r>
      <w:r w:rsidRPr="00820F7A">
        <w:rPr>
          <w:i/>
          <w:iCs/>
          <w:color w:val="000000"/>
          <w:lang w:val="en-GB"/>
        </w:rPr>
        <w:t xml:space="preserve">et al. </w:t>
      </w:r>
      <w:r w:rsidRPr="00820F7A">
        <w:rPr>
          <w:color w:val="000000"/>
          <w:lang w:val="en-GB"/>
        </w:rPr>
        <w:t xml:space="preserve">(2025) analysed that leadership frameworks such as Clinical Leadership Qualities Framework are integrated in the UK healthcare for integrating person-centred leadership style to improve safety compliance. The adherence and compliance of the leadership framework enable clinical leadership to integrate person centricity competency within the leadership practice to strengthen safety compliance. On the other hand, Alkan </w:t>
      </w:r>
      <w:r w:rsidRPr="00820F7A">
        <w:rPr>
          <w:i/>
          <w:iCs/>
          <w:color w:val="000000"/>
          <w:lang w:val="en-GB"/>
        </w:rPr>
        <w:t>et al.</w:t>
      </w:r>
      <w:r w:rsidRPr="00820F7A">
        <w:rPr>
          <w:color w:val="000000"/>
          <w:lang w:val="en-GB"/>
        </w:rPr>
        <w:t xml:space="preserve"> (2024) have emphasised on the significance of clinical leadership to build safety led s workforce through providing safety training and development programs during recruitment. </w:t>
      </w:r>
      <w:r w:rsidRPr="00820F7A">
        <w:rPr>
          <w:color w:val="000000"/>
          <w:highlight w:val="white"/>
          <w:lang w:val="en-GB"/>
        </w:rPr>
        <w:t xml:space="preserve">Alabdaly </w:t>
      </w:r>
      <w:r w:rsidRPr="00820F7A">
        <w:rPr>
          <w:i/>
          <w:iCs/>
          <w:color w:val="000000"/>
          <w:highlight w:val="white"/>
          <w:lang w:val="en-GB"/>
        </w:rPr>
        <w:t xml:space="preserve">et al. </w:t>
      </w:r>
      <w:r w:rsidRPr="00820F7A">
        <w:rPr>
          <w:color w:val="000000"/>
          <w:highlight w:val="white"/>
          <w:lang w:val="en-GB"/>
        </w:rPr>
        <w:t xml:space="preserve">(2024) tends to manage the patient safety culture and the patient experiences that are both commonly used to evaluate the quality of healthcare services. </w:t>
      </w:r>
      <w:r w:rsidRPr="00820F7A">
        <w:rPr>
          <w:color w:val="000000"/>
          <w:lang w:val="en-GB"/>
        </w:rPr>
        <w:t xml:space="preserve">Thus, providing clinical competency and safety training to leadership during the recruitment stage is efficient for building a culture of patient safety and shared vision. </w:t>
      </w:r>
    </w:p>
    <w:p w14:paraId="1D3D9C5B" w14:textId="77777777" w:rsidR="00826870" w:rsidRPr="00820F7A" w:rsidRDefault="00B21388">
      <w:pPr>
        <w:pStyle w:val="Heading3"/>
        <w:rPr>
          <w:lang w:val="en-GB"/>
        </w:rPr>
      </w:pPr>
      <w:bookmarkStart w:id="79" w:name="_Toc220759516"/>
      <w:r w:rsidRPr="00820F7A">
        <w:rPr>
          <w:lang w:val="en-GB"/>
        </w:rPr>
        <w:t>4.4.3 Theme 3- Clinical negligence as a key factor of causing healthcare safety issues are caused by poor workforce behaviour, lowered tolerance of risk and higher expectation from clinical leadership</w:t>
      </w:r>
      <w:bookmarkEnd w:id="79"/>
    </w:p>
    <w:p w14:paraId="5FA41976"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One of the major issues experienced in the UK healthcare sector is the increasing risks of clinical negligence that hamper care quality, delivery and patients’ health outcomes. Carter </w:t>
      </w:r>
      <w:r w:rsidRPr="00820F7A">
        <w:rPr>
          <w:i/>
          <w:iCs/>
          <w:color w:val="000000"/>
          <w:lang w:val="en-GB"/>
        </w:rPr>
        <w:t xml:space="preserve">et al. </w:t>
      </w:r>
      <w:r w:rsidRPr="00820F7A">
        <w:rPr>
          <w:color w:val="000000"/>
          <w:lang w:val="en-GB"/>
        </w:rPr>
        <w:t xml:space="preserve">(2022) one of the major issues associated with clinical negligence is the poor usage of evidence-based practices, hampering safety compliance. </w:t>
      </w:r>
      <w:r w:rsidRPr="00820F7A">
        <w:rPr>
          <w:color w:val="000000"/>
          <w:highlight w:val="white"/>
          <w:lang w:val="en-GB"/>
        </w:rPr>
        <w:t xml:space="preserve">As opined by Taske </w:t>
      </w:r>
      <w:r w:rsidRPr="00820F7A">
        <w:rPr>
          <w:i/>
          <w:iCs/>
          <w:color w:val="000000"/>
          <w:highlight w:val="white"/>
          <w:lang w:val="en-GB"/>
        </w:rPr>
        <w:t xml:space="preserve">et al. </w:t>
      </w:r>
      <w:r w:rsidRPr="00820F7A">
        <w:rPr>
          <w:color w:val="000000"/>
          <w:highlight w:val="white"/>
          <w:lang w:val="en-GB"/>
        </w:rPr>
        <w:t xml:space="preserve">(2023), the safety culture has been essential for hospitals across the world. </w:t>
      </w:r>
      <w:r w:rsidRPr="00820F7A">
        <w:rPr>
          <w:color w:val="000000"/>
          <w:lang w:val="en-GB"/>
        </w:rPr>
        <w:t>This outlines that clinical leadership is accountable to ensure positive workforce behaviour towards maintaining enhanced patient safety. On the contrary, Rowen</w:t>
      </w:r>
      <w:r w:rsidRPr="00820F7A">
        <w:rPr>
          <w:i/>
          <w:iCs/>
          <w:color w:val="000000"/>
          <w:lang w:val="en-GB"/>
        </w:rPr>
        <w:t xml:space="preserve"> et al.</w:t>
      </w:r>
      <w:r w:rsidRPr="00820F7A">
        <w:rPr>
          <w:color w:val="000000"/>
          <w:lang w:val="en-GB"/>
        </w:rPr>
        <w:t xml:space="preserve"> (2022) have outlined clinical negligence increases the risks of legal violation and may lead to patient safety incident claims in the UK healthcare organisations, impacting organisational performance. This reflects that clinical leadership is significant for strengthening individual accountability and overall safety culture of the UK hospitals through outlining the emphasis on legal and regulatory framework. </w:t>
      </w:r>
      <w:r w:rsidRPr="00820F7A">
        <w:rPr>
          <w:color w:val="000000"/>
          <w:highlight w:val="white"/>
          <w:lang w:val="en-GB"/>
        </w:rPr>
        <w:t xml:space="preserve">As mentioned by Granel-Giménez </w:t>
      </w:r>
      <w:r w:rsidRPr="00820F7A">
        <w:rPr>
          <w:i/>
          <w:iCs/>
          <w:color w:val="000000"/>
          <w:highlight w:val="white"/>
          <w:lang w:val="en-GB"/>
        </w:rPr>
        <w:t xml:space="preserve">et al. </w:t>
      </w:r>
      <w:r w:rsidRPr="00820F7A">
        <w:rPr>
          <w:color w:val="000000"/>
          <w:highlight w:val="white"/>
          <w:lang w:val="en-GB"/>
        </w:rPr>
        <w:t xml:space="preserve">(2022), the Just Culture focuses on developing patents faster to examine the organizational and individual factors that contribute to adverse events. </w:t>
      </w:r>
      <w:r w:rsidRPr="00820F7A">
        <w:rPr>
          <w:color w:val="000000"/>
          <w:lang w:val="en-GB"/>
        </w:rPr>
        <w:t xml:space="preserve">Thus, the clinical leadership is significant for outlining the key roles and responsibilities of the workforce in the healthcare sector of the UK to maintain safety culture and environment. </w:t>
      </w:r>
    </w:p>
    <w:p w14:paraId="3571ABDE" w14:textId="77777777" w:rsidR="00826870" w:rsidRPr="00820F7A" w:rsidRDefault="00B21388">
      <w:pPr>
        <w:pStyle w:val="Heading3"/>
        <w:rPr>
          <w:lang w:val="en-GB"/>
        </w:rPr>
      </w:pPr>
      <w:bookmarkStart w:id="80" w:name="_Toc220759517"/>
      <w:r w:rsidRPr="00820F7A">
        <w:rPr>
          <w:lang w:val="en-GB"/>
        </w:rPr>
        <w:t>4.4.4 Theme 4- Adopting defensive leadership, leadership training and development are crucial of improving clinical leadership competency and improve safety culture of the UK Hospitals</w:t>
      </w:r>
      <w:bookmarkEnd w:id="80"/>
    </w:p>
    <w:p w14:paraId="64DB41FB"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Clinical leadership can adopt strategic approaches for strengthening individual and organisational accountability in the UK hospitals to maintain overall patient safety culture. Lorenc </w:t>
      </w:r>
      <w:r w:rsidRPr="00820F7A">
        <w:rPr>
          <w:i/>
          <w:iCs/>
          <w:color w:val="000000"/>
          <w:lang w:val="en-GB"/>
        </w:rPr>
        <w:t xml:space="preserve">et al. </w:t>
      </w:r>
      <w:r w:rsidRPr="00820F7A">
        <w:rPr>
          <w:color w:val="000000"/>
          <w:lang w:val="en-GB"/>
        </w:rPr>
        <w:t xml:space="preserve">(2024) have analysed that clinical leadership in the UK healthcare sector can be strengthened and enhanced through adopting Defensive practice, focusing on diffuse sense of risk for reducing risks occurrence. On the other hand, Jones et al. (2024) have outlined that providing clinical training is effective as it focuses on building clinical leadership competencies including integrity, open communication, collaborative decision making. The clinical leadership competencies enable the leadership to focus on fostering a collaborative and engaging workplace environment, maintaining transparency and improving individual performance. Phillipson </w:t>
      </w:r>
      <w:r w:rsidRPr="00820F7A">
        <w:rPr>
          <w:i/>
          <w:iCs/>
          <w:color w:val="000000"/>
          <w:lang w:val="en-GB"/>
        </w:rPr>
        <w:t>et al.</w:t>
      </w:r>
      <w:r w:rsidRPr="00820F7A">
        <w:rPr>
          <w:color w:val="000000"/>
          <w:lang w:val="en-GB"/>
        </w:rPr>
        <w:t xml:space="preserve"> (2025) have also discussed that maintaining a flexible environment of continuous improvement is associated with strengthening clinical outcome and patient safety culture. On the other hand, Antonopoulou</w:t>
      </w:r>
      <w:r w:rsidRPr="00820F7A">
        <w:rPr>
          <w:i/>
          <w:iCs/>
          <w:color w:val="000000"/>
          <w:lang w:val="en-GB"/>
        </w:rPr>
        <w:t xml:space="preserve"> et al.</w:t>
      </w:r>
      <w:r w:rsidRPr="00820F7A">
        <w:rPr>
          <w:color w:val="000000"/>
          <w:lang w:val="en-GB"/>
        </w:rPr>
        <w:t xml:space="preserve"> (2024) emphasised on expanding and improving professional expertise of clinical leadership based on knowledge, skills, and positive environmental surroundings. Thus, focusing on improving the working environment through integrating regulatory framework and improving clinical leadership competencies are significant for improving and addressing the issues of clinical negligence. </w:t>
      </w:r>
    </w:p>
    <w:p w14:paraId="4A7F2E52" w14:textId="77777777" w:rsidR="00826870" w:rsidRPr="00820F7A" w:rsidRDefault="00B21388">
      <w:pPr>
        <w:pStyle w:val="Heading3"/>
        <w:jc w:val="left"/>
        <w:rPr>
          <w:lang w:val="en-GB"/>
        </w:rPr>
      </w:pPr>
      <w:bookmarkStart w:id="81" w:name="_Toc220759518"/>
      <w:r w:rsidRPr="00820F7A">
        <w:rPr>
          <w:lang w:val="en-GB"/>
        </w:rPr>
        <w:t>4.4.5 Discuss the themes</w:t>
      </w:r>
      <w:bookmarkEnd w:id="81"/>
      <w:r w:rsidRPr="00820F7A">
        <w:rPr>
          <w:lang w:val="en-GB"/>
        </w:rPr>
        <w:t xml:space="preserve"> </w:t>
      </w:r>
    </w:p>
    <w:tbl>
      <w:tblPr>
        <w:tblStyle w:val="afff6"/>
        <w:tblW w:w="9960" w:type="dxa"/>
        <w:tblInd w:w="-57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415"/>
        <w:gridCol w:w="1650"/>
        <w:gridCol w:w="1635"/>
        <w:gridCol w:w="2025"/>
        <w:gridCol w:w="2235"/>
      </w:tblGrid>
      <w:tr w:rsidR="00826870" w:rsidRPr="00820F7A" w14:paraId="2312530C" w14:textId="77777777">
        <w:trPr>
          <w:cantSplit/>
          <w:tblHeader/>
        </w:trPr>
        <w:tc>
          <w:tcPr>
            <w:tcW w:w="2415" w:type="dxa"/>
          </w:tcPr>
          <w:p w14:paraId="0C20EE76"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Outcomes </w:t>
            </w:r>
          </w:p>
        </w:tc>
        <w:tc>
          <w:tcPr>
            <w:tcW w:w="1650" w:type="dxa"/>
          </w:tcPr>
          <w:p w14:paraId="6668E335"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Page</w:t>
            </w:r>
          </w:p>
        </w:tc>
        <w:tc>
          <w:tcPr>
            <w:tcW w:w="1635" w:type="dxa"/>
          </w:tcPr>
          <w:p w14:paraId="60E146E3"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Line</w:t>
            </w:r>
          </w:p>
        </w:tc>
        <w:tc>
          <w:tcPr>
            <w:tcW w:w="2025" w:type="dxa"/>
          </w:tcPr>
          <w:p w14:paraId="3D695C1D"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Data extracted</w:t>
            </w:r>
          </w:p>
        </w:tc>
        <w:tc>
          <w:tcPr>
            <w:tcW w:w="2235" w:type="dxa"/>
          </w:tcPr>
          <w:p w14:paraId="0DFFA2B9"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Subthemes</w:t>
            </w:r>
          </w:p>
        </w:tc>
      </w:tr>
      <w:tr w:rsidR="00826870" w:rsidRPr="00820F7A" w14:paraId="7354F8E5" w14:textId="77777777">
        <w:trPr>
          <w:cantSplit/>
          <w:tblHeader/>
        </w:trPr>
        <w:tc>
          <w:tcPr>
            <w:tcW w:w="2415" w:type="dxa"/>
          </w:tcPr>
          <w:p w14:paraId="1108C3E9" w14:textId="77777777" w:rsidR="00826870" w:rsidRPr="00820F7A" w:rsidRDefault="00B21388">
            <w:pPr>
              <w:pStyle w:val="Normal1"/>
              <w:pBdr>
                <w:top w:val="nil"/>
                <w:left w:val="nil"/>
                <w:bottom w:val="nil"/>
                <w:right w:val="nil"/>
                <w:between w:val="nil"/>
              </w:pBdr>
              <w:rPr>
                <w:color w:val="000000"/>
                <w:lang w:val="en-GB"/>
              </w:rPr>
            </w:pPr>
            <w:r w:rsidRPr="00820F7A">
              <w:rPr>
                <w:b/>
                <w:bCs/>
                <w:color w:val="000000"/>
                <w:lang w:val="en-GB"/>
              </w:rPr>
              <w:t>Theme 1:</w:t>
            </w:r>
            <w:r w:rsidRPr="00820F7A">
              <w:rPr>
                <w:color w:val="000000"/>
                <w:lang w:val="en-GB"/>
              </w:rPr>
              <w:t xml:space="preserve"> Regulatory compliance and governance is crucial for Clinical leadership to drive safety culture in healthcare sector of UK</w:t>
            </w:r>
          </w:p>
        </w:tc>
        <w:tc>
          <w:tcPr>
            <w:tcW w:w="1650" w:type="dxa"/>
          </w:tcPr>
          <w:p w14:paraId="18507F3D"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3-12</w:t>
            </w:r>
          </w:p>
        </w:tc>
        <w:tc>
          <w:tcPr>
            <w:tcW w:w="1635" w:type="dxa"/>
          </w:tcPr>
          <w:p w14:paraId="632E0679"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77% of respondents positively agreed with the regulatory framework.</w:t>
            </w:r>
          </w:p>
        </w:tc>
        <w:tc>
          <w:tcPr>
            <w:tcW w:w="2025" w:type="dxa"/>
          </w:tcPr>
          <w:p w14:paraId="77BB3C73"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Cynical competency is beneficial for healthcare leaders to evaluate the healthcare emergencies and identifying positional incidents</w:t>
            </w:r>
          </w:p>
        </w:tc>
        <w:tc>
          <w:tcPr>
            <w:tcW w:w="2235" w:type="dxa"/>
          </w:tcPr>
          <w:p w14:paraId="650B0894"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Positional incidents, addressing them and reducing risks of negligence</w:t>
            </w:r>
          </w:p>
        </w:tc>
      </w:tr>
      <w:tr w:rsidR="00826870" w:rsidRPr="00820F7A" w14:paraId="1CA22047" w14:textId="77777777">
        <w:trPr>
          <w:cantSplit/>
          <w:tblHeader/>
        </w:trPr>
        <w:tc>
          <w:tcPr>
            <w:tcW w:w="2415" w:type="dxa"/>
          </w:tcPr>
          <w:p w14:paraId="1DDD4EF2" w14:textId="77777777" w:rsidR="00826870" w:rsidRPr="00820F7A" w:rsidRDefault="00B21388">
            <w:pPr>
              <w:pStyle w:val="Normal1"/>
              <w:pBdr>
                <w:top w:val="nil"/>
                <w:left w:val="nil"/>
                <w:bottom w:val="nil"/>
                <w:right w:val="nil"/>
                <w:between w:val="nil"/>
              </w:pBdr>
              <w:rPr>
                <w:color w:val="000000"/>
                <w:lang w:val="en-GB"/>
              </w:rPr>
            </w:pPr>
            <w:r w:rsidRPr="00820F7A">
              <w:rPr>
                <w:b/>
                <w:bCs/>
                <w:color w:val="000000"/>
                <w:lang w:val="en-GB"/>
              </w:rPr>
              <w:t xml:space="preserve">Theme 2: </w:t>
            </w:r>
            <w:r w:rsidRPr="00820F7A">
              <w:rPr>
                <w:color w:val="000000"/>
                <w:lang w:val="en-GB"/>
              </w:rPr>
              <w:t>Transformational leadership in clinical setting assist in driving safety culture and positive perception of the healthcare workers in UK</w:t>
            </w:r>
          </w:p>
        </w:tc>
        <w:tc>
          <w:tcPr>
            <w:tcW w:w="1650" w:type="dxa"/>
          </w:tcPr>
          <w:p w14:paraId="4E2A672A"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2-16</w:t>
            </w:r>
          </w:p>
        </w:tc>
        <w:tc>
          <w:tcPr>
            <w:tcW w:w="1635" w:type="dxa"/>
          </w:tcPr>
          <w:p w14:paraId="4BC49A83"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Clinical Leadership Qualities Framework are integrated in the UK healthcare for integrating person-centred leadership style.</w:t>
            </w:r>
          </w:p>
        </w:tc>
        <w:tc>
          <w:tcPr>
            <w:tcW w:w="2025" w:type="dxa"/>
          </w:tcPr>
          <w:p w14:paraId="50686EC7"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Transformational leadership style can be effective in improving nursing perception of organisational commitment towards healthcare safety and patients’ safety</w:t>
            </w:r>
          </w:p>
        </w:tc>
        <w:tc>
          <w:tcPr>
            <w:tcW w:w="2235" w:type="dxa"/>
          </w:tcPr>
          <w:p w14:paraId="516EA44E"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Integrating person-centred leadership style to improve safety compliance</w:t>
            </w:r>
          </w:p>
        </w:tc>
      </w:tr>
      <w:tr w:rsidR="00826870" w:rsidRPr="00820F7A" w14:paraId="2FD28EF7" w14:textId="77777777">
        <w:trPr>
          <w:cantSplit/>
          <w:tblHeader/>
        </w:trPr>
        <w:tc>
          <w:tcPr>
            <w:tcW w:w="2415" w:type="dxa"/>
          </w:tcPr>
          <w:p w14:paraId="12BCF267" w14:textId="77777777" w:rsidR="00826870" w:rsidRPr="00820F7A" w:rsidRDefault="00B21388">
            <w:pPr>
              <w:pStyle w:val="Normal1"/>
              <w:pBdr>
                <w:top w:val="nil"/>
                <w:left w:val="nil"/>
                <w:bottom w:val="nil"/>
                <w:right w:val="nil"/>
                <w:between w:val="nil"/>
              </w:pBdr>
              <w:rPr>
                <w:color w:val="000000"/>
                <w:lang w:val="en-GB"/>
              </w:rPr>
            </w:pPr>
            <w:r w:rsidRPr="00820F7A">
              <w:rPr>
                <w:b/>
                <w:bCs/>
                <w:color w:val="000000"/>
                <w:lang w:val="en-GB"/>
              </w:rPr>
              <w:t>Theme 3:</w:t>
            </w:r>
            <w:r w:rsidRPr="00820F7A">
              <w:rPr>
                <w:color w:val="000000"/>
                <w:lang w:val="en-GB"/>
              </w:rPr>
              <w:t xml:space="preserve"> Clinical negligence as a key factors of causing healthcare safety issues are caused by poor workforce behavior, lowered tolerance of risk and higher expectation from clinical leadership </w:t>
            </w:r>
          </w:p>
        </w:tc>
        <w:tc>
          <w:tcPr>
            <w:tcW w:w="1650" w:type="dxa"/>
          </w:tcPr>
          <w:p w14:paraId="75AC0C24"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4-15</w:t>
            </w:r>
          </w:p>
        </w:tc>
        <w:tc>
          <w:tcPr>
            <w:tcW w:w="1635" w:type="dxa"/>
          </w:tcPr>
          <w:p w14:paraId="645AC028"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Clinical negligence increases the risks of legal violation and may lead to patient safety incident claims in the UK healthcare organisations.</w:t>
            </w:r>
          </w:p>
        </w:tc>
        <w:tc>
          <w:tcPr>
            <w:tcW w:w="2025" w:type="dxa"/>
          </w:tcPr>
          <w:p w14:paraId="088A9AC6"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May lead to patient safety incident claims in the UK healthcare organisations, impacting organisational performance</w:t>
            </w:r>
          </w:p>
        </w:tc>
        <w:tc>
          <w:tcPr>
            <w:tcW w:w="2235" w:type="dxa"/>
          </w:tcPr>
          <w:p w14:paraId="4860420C"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Evidence-based practices, hampering safety compliance</w:t>
            </w:r>
          </w:p>
        </w:tc>
      </w:tr>
      <w:tr w:rsidR="00826870" w:rsidRPr="00820F7A" w14:paraId="436879B3" w14:textId="77777777">
        <w:trPr>
          <w:cantSplit/>
          <w:tblHeader/>
        </w:trPr>
        <w:tc>
          <w:tcPr>
            <w:tcW w:w="2415" w:type="dxa"/>
          </w:tcPr>
          <w:p w14:paraId="3BC373F2" w14:textId="77777777" w:rsidR="00826870" w:rsidRPr="00820F7A" w:rsidRDefault="00B21388">
            <w:pPr>
              <w:pStyle w:val="Normal1"/>
              <w:pBdr>
                <w:top w:val="nil"/>
                <w:left w:val="nil"/>
                <w:bottom w:val="nil"/>
                <w:right w:val="nil"/>
                <w:between w:val="nil"/>
              </w:pBdr>
              <w:rPr>
                <w:color w:val="000000"/>
                <w:lang w:val="en-GB"/>
              </w:rPr>
            </w:pPr>
            <w:r w:rsidRPr="00820F7A">
              <w:rPr>
                <w:b/>
                <w:bCs/>
                <w:color w:val="000000"/>
                <w:lang w:val="en-GB"/>
              </w:rPr>
              <w:t xml:space="preserve">Theme 4: </w:t>
            </w:r>
            <w:r w:rsidRPr="00820F7A">
              <w:rPr>
                <w:color w:val="000000"/>
                <w:lang w:val="en-GB"/>
              </w:rPr>
              <w:t>Adopting defensive leadership, leadership training and development are crucial fo improving clinical leadership competency and improve safety culture of the UK Hospitals</w:t>
            </w:r>
          </w:p>
        </w:tc>
        <w:tc>
          <w:tcPr>
            <w:tcW w:w="1650" w:type="dxa"/>
          </w:tcPr>
          <w:p w14:paraId="5443D910"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2-19</w:t>
            </w:r>
          </w:p>
        </w:tc>
        <w:tc>
          <w:tcPr>
            <w:tcW w:w="1635" w:type="dxa"/>
          </w:tcPr>
          <w:p w14:paraId="49EB25F6"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The clinical leadership competencies enable the leadership to focus on fostering a collaborative and engaging workplace environment.</w:t>
            </w:r>
          </w:p>
        </w:tc>
        <w:tc>
          <w:tcPr>
            <w:tcW w:w="2025" w:type="dxa"/>
          </w:tcPr>
          <w:p w14:paraId="5D1C1E77"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Enhanced through adopting Defensive practice, focusing on a diffuse sense of risk for reducing risks occurrence.</w:t>
            </w:r>
          </w:p>
        </w:tc>
        <w:tc>
          <w:tcPr>
            <w:tcW w:w="2235" w:type="dxa"/>
          </w:tcPr>
          <w:p w14:paraId="1AC99BBE"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Integrity, open communication, collaborative decision making</w:t>
            </w:r>
          </w:p>
        </w:tc>
      </w:tr>
    </w:tbl>
    <w:p w14:paraId="1A11B247" w14:textId="77777777" w:rsidR="00826870" w:rsidRPr="00820F7A" w:rsidRDefault="00826870">
      <w:pPr>
        <w:pStyle w:val="Normal1"/>
        <w:pBdr>
          <w:top w:val="nil"/>
          <w:left w:val="nil"/>
          <w:bottom w:val="nil"/>
          <w:right w:val="nil"/>
          <w:between w:val="nil"/>
        </w:pBdr>
        <w:jc w:val="left"/>
        <w:rPr>
          <w:b/>
          <w:bCs/>
          <w:color w:val="000000"/>
          <w:lang w:val="en-GB"/>
        </w:rPr>
      </w:pPr>
    </w:p>
    <w:p w14:paraId="33F11700" w14:textId="77777777" w:rsidR="00826870" w:rsidRPr="00820F7A" w:rsidRDefault="00B21388">
      <w:pPr>
        <w:pStyle w:val="Heading2"/>
        <w:rPr>
          <w:lang w:val="en-GB"/>
        </w:rPr>
      </w:pPr>
      <w:bookmarkStart w:id="82" w:name="_Toc220759519"/>
      <w:r w:rsidRPr="00820F7A">
        <w:rPr>
          <w:lang w:val="en-GB"/>
        </w:rPr>
        <w:t>4.5 Summary of your main findings</w:t>
      </w:r>
      <w:bookmarkEnd w:id="82"/>
    </w:p>
    <w:p w14:paraId="430C203C"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The key findings of the study outline that establishing a comprehensive regulatory and governance framework is significant for building a strong workplace culture that focuses on patient safety. Yeowell et al. (2024) discussed that risks of litigation and negligence claims of patients towards the UK hospitals and leadership necessitated the significance of complying with a regulatory framework for ensuring safety. The findings also revealed that leadership styles and approaches are also efficient for driving a shared vision among workforce in the UK hospitals by developing a sense of patient centricity and patient safety. Haoyan</w:t>
      </w:r>
      <w:r w:rsidRPr="00820F7A">
        <w:rPr>
          <w:i/>
          <w:iCs/>
          <w:color w:val="000000"/>
          <w:lang w:val="en-GB"/>
        </w:rPr>
        <w:t xml:space="preserve">et al. </w:t>
      </w:r>
      <w:r w:rsidRPr="00820F7A">
        <w:rPr>
          <w:color w:val="000000"/>
          <w:lang w:val="en-GB"/>
        </w:rPr>
        <w:t xml:space="preserve">(2023) have outlined that transformational leadership in the UK healthcare sector is considered a new efficient framework for developing a collaborative workplace environment and improving efficiency. The findings also outlined the significance of integrating training and development based on patient safety that is crucial to enable new leaders in understanding and developing clinical skills and competencies. The key skills and competencies required for clinical leadership in the UK healthcare sector includes integrity, open communication, collaborative decision making. </w:t>
      </w:r>
    </w:p>
    <w:p w14:paraId="433D7158" w14:textId="77777777" w:rsidR="00826870" w:rsidRPr="00820F7A" w:rsidRDefault="00B21388">
      <w:pPr>
        <w:pStyle w:val="Heading2"/>
        <w:rPr>
          <w:lang w:val="en-GB"/>
        </w:rPr>
      </w:pPr>
      <w:bookmarkStart w:id="83" w:name="_Toc220759520"/>
      <w:r w:rsidRPr="00820F7A">
        <w:rPr>
          <w:lang w:val="en-GB"/>
        </w:rPr>
        <w:t>4.6 Conclusion</w:t>
      </w:r>
      <w:bookmarkEnd w:id="83"/>
    </w:p>
    <w:p w14:paraId="273204C0"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It can be concluded that clinical leadership and competency is crucial in the UK healthcare sector for enhancing workplace environment, individual accountability and patient experience for enhanced safety culture. The chapter has discussed the data extraction and data synthesis of the articles that has been obtained from secondary sources including google scholar, PubMed and ProQuest for gathering secondary quality and quantitative information. </w:t>
      </w:r>
    </w:p>
    <w:p w14:paraId="44ED140A" w14:textId="77777777" w:rsidR="00826870" w:rsidRPr="00820F7A" w:rsidRDefault="00B21388">
      <w:pPr>
        <w:pStyle w:val="Heading1"/>
        <w:rPr>
          <w:lang w:val="en-GB"/>
        </w:rPr>
      </w:pPr>
      <w:bookmarkStart w:id="84" w:name="_Toc220759521"/>
      <w:r w:rsidRPr="00820F7A">
        <w:rPr>
          <w:lang w:val="en-GB"/>
        </w:rPr>
        <w:t>Chapter 5- Discussion and conclusion</w:t>
      </w:r>
      <w:bookmarkEnd w:id="84"/>
    </w:p>
    <w:p w14:paraId="562698C0" w14:textId="77777777" w:rsidR="00826870" w:rsidRPr="00820F7A" w:rsidRDefault="00B21388">
      <w:pPr>
        <w:pStyle w:val="Heading2"/>
        <w:rPr>
          <w:lang w:val="en-GB"/>
        </w:rPr>
      </w:pPr>
      <w:bookmarkStart w:id="85" w:name="_Toc220759522"/>
      <w:r w:rsidRPr="00820F7A">
        <w:rPr>
          <w:lang w:val="en-GB"/>
        </w:rPr>
        <w:t>5.1 Introduction</w:t>
      </w:r>
      <w:bookmarkEnd w:id="85"/>
    </w:p>
    <w:p w14:paraId="21BEE4C7"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The chapter discusses as well as interprets the findings of the systematic literature received within the relation to the research aiming of evaluating the role of clinical leadership within managing patient safety culture within the UK hospitals. Moreover, drawing the 12 peer-reviewed articles, the discussion critically synthesises the leadership behaviours styles and the organisational practices within 4 thematic discussions. This influences the safety culture outcomes for example incident reporting, learning from the errors, staff engagement and other patient outcomes. Furthermore, rather than reiterating outcomes, the chapter is determined to situate the findings within the existing leadership and the patient safety theories that involve transformational Leadership Theory, just culture theory and Jean Watson's theory. These theories are determined to consider the specific contextual pressures of the NHS. The discussion also acknowledged the structural as well as systemic constraints that are faced by the clinical leaders for example workforce shortages, performance targets and also the regulatory scrutiny. Therefore, integrating memorial evidence with rhetorical perspectives as the chapter provides a nuanced understanding of leadership functions as both an enabler and a mediator of the patient safety culture. </w:t>
      </w:r>
    </w:p>
    <w:p w14:paraId="335B76C4" w14:textId="77777777" w:rsidR="00826870" w:rsidRPr="00820F7A" w:rsidRDefault="00B21388">
      <w:pPr>
        <w:pStyle w:val="Heading2"/>
        <w:rPr>
          <w:shd w:val="clear" w:color="auto" w:fill="999999"/>
          <w:lang w:val="en-GB"/>
        </w:rPr>
      </w:pPr>
      <w:bookmarkStart w:id="86" w:name="_Toc220759523"/>
      <w:r w:rsidRPr="00820F7A">
        <w:rPr>
          <w:lang w:val="en-GB"/>
        </w:rPr>
        <w:t>5. 2 Discussion: main body</w:t>
      </w:r>
      <w:bookmarkEnd w:id="86"/>
    </w:p>
    <w:p w14:paraId="56E81A30" w14:textId="77777777" w:rsidR="00826870" w:rsidRPr="00820F7A" w:rsidRDefault="00B21388">
      <w:pPr>
        <w:pStyle w:val="Heading2"/>
        <w:rPr>
          <w:lang w:val="en-GB"/>
        </w:rPr>
      </w:pPr>
      <w:bookmarkStart w:id="87" w:name="_Toc220759524"/>
      <w:r w:rsidRPr="00820F7A">
        <w:rPr>
          <w:lang w:val="en-GB"/>
        </w:rPr>
        <w:t>5.2.1 Systematic database search</w:t>
      </w:r>
      <w:bookmarkEnd w:id="87"/>
    </w:p>
    <w:p w14:paraId="21418D3D"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This research is conducted with a systematic literature review (SLR), where 12 articles are selected using inclusion and exclusion criteria to extract the best possible results from this study. The main purpose of this SR is to ensure maximum reliability, validity, precision and relevance of the data instead of utilising raw sources due to time limitations. This SR is applied through a PICO framework to ensure transparency in selecting sources and effectively developing theoretical knowledge with a critical analysis. </w:t>
      </w:r>
    </w:p>
    <w:p w14:paraId="6AD422EB" w14:textId="77777777" w:rsidR="00826870" w:rsidRPr="00820F7A" w:rsidRDefault="00B21388">
      <w:pPr>
        <w:pStyle w:val="Heading2"/>
        <w:rPr>
          <w:lang w:val="en-GB"/>
        </w:rPr>
        <w:sectPr w:rsidR="00826870" w:rsidRPr="00820F7A">
          <w:pgSz w:w="12240" w:h="15840"/>
          <w:pgMar w:top="1440" w:right="1440" w:bottom="1440" w:left="1440" w:header="720" w:footer="720" w:gutter="0"/>
          <w:cols w:space="720"/>
        </w:sectPr>
      </w:pPr>
      <w:bookmarkStart w:id="88" w:name="_Toc220759525"/>
      <w:r w:rsidRPr="00820F7A">
        <w:rPr>
          <w:lang w:val="en-GB"/>
        </w:rPr>
        <w:t>5.2.2 Data characteristics</w:t>
      </w:r>
      <w:bookmarkEnd w:id="88"/>
    </w:p>
    <w:p w14:paraId="674C6F54" w14:textId="77777777" w:rsidR="00826870" w:rsidRPr="00820F7A" w:rsidRDefault="00826870">
      <w:pPr>
        <w:pStyle w:val="Normal1"/>
        <w:widowControl w:val="0"/>
        <w:pBdr>
          <w:top w:val="nil"/>
          <w:left w:val="nil"/>
          <w:bottom w:val="nil"/>
          <w:right w:val="nil"/>
          <w:between w:val="nil"/>
        </w:pBdr>
        <w:spacing w:line="276" w:lineRule="auto"/>
        <w:jc w:val="left"/>
        <w:rPr>
          <w:color w:val="000000"/>
          <w:lang w:val="en-GB"/>
        </w:rPr>
      </w:pPr>
    </w:p>
    <w:tbl>
      <w:tblPr>
        <w:tblStyle w:val="afff7"/>
        <w:tblW w:w="14180" w:type="dxa"/>
        <w:tblInd w:w="-5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753"/>
        <w:gridCol w:w="1097"/>
        <w:gridCol w:w="900"/>
        <w:gridCol w:w="900"/>
        <w:gridCol w:w="1350"/>
        <w:gridCol w:w="1260"/>
        <w:gridCol w:w="1440"/>
        <w:gridCol w:w="1440"/>
        <w:gridCol w:w="1350"/>
        <w:gridCol w:w="1440"/>
        <w:gridCol w:w="1350"/>
        <w:gridCol w:w="900"/>
      </w:tblGrid>
      <w:tr w:rsidR="00826870" w:rsidRPr="00820F7A" w14:paraId="02A75D19" w14:textId="77777777">
        <w:trPr>
          <w:cantSplit/>
          <w:tblHeader/>
        </w:trPr>
        <w:tc>
          <w:tcPr>
            <w:tcW w:w="753" w:type="dxa"/>
            <w:tcMar>
              <w:top w:w="100" w:type="dxa"/>
              <w:left w:w="100" w:type="dxa"/>
              <w:bottom w:w="100" w:type="dxa"/>
              <w:right w:w="100" w:type="dxa"/>
            </w:tcMar>
          </w:tcPr>
          <w:p w14:paraId="7A57E153" w14:textId="77777777" w:rsidR="00826870" w:rsidRPr="00820F7A" w:rsidRDefault="00B21388">
            <w:pPr>
              <w:pStyle w:val="Normal1"/>
              <w:widowControl w:val="0"/>
              <w:pBdr>
                <w:top w:val="nil"/>
                <w:left w:val="nil"/>
                <w:bottom w:val="nil"/>
                <w:right w:val="nil"/>
                <w:between w:val="nil"/>
              </w:pBdr>
              <w:jc w:val="left"/>
              <w:rPr>
                <w:b/>
                <w:bCs/>
                <w:i/>
                <w:iCs/>
                <w:color w:val="000000"/>
                <w:sz w:val="20"/>
                <w:szCs w:val="20"/>
                <w:lang w:val="en-GB"/>
              </w:rPr>
            </w:pPr>
            <w:r w:rsidRPr="00820F7A">
              <w:rPr>
                <w:b/>
                <w:bCs/>
                <w:i/>
                <w:iCs/>
                <w:color w:val="000000"/>
                <w:sz w:val="20"/>
                <w:szCs w:val="20"/>
                <w:lang w:val="en-GB"/>
              </w:rPr>
              <w:t>Author’s name</w:t>
            </w:r>
          </w:p>
        </w:tc>
        <w:tc>
          <w:tcPr>
            <w:tcW w:w="1097" w:type="dxa"/>
            <w:tcMar>
              <w:top w:w="100" w:type="dxa"/>
              <w:left w:w="100" w:type="dxa"/>
              <w:bottom w:w="100" w:type="dxa"/>
              <w:right w:w="100" w:type="dxa"/>
            </w:tcMar>
          </w:tcPr>
          <w:p w14:paraId="186C1801" w14:textId="77777777" w:rsidR="00826870" w:rsidRPr="00820F7A" w:rsidRDefault="00B21388">
            <w:pPr>
              <w:pStyle w:val="Normal1"/>
              <w:widowControl w:val="0"/>
              <w:pBdr>
                <w:top w:val="nil"/>
                <w:left w:val="nil"/>
                <w:bottom w:val="nil"/>
                <w:right w:val="nil"/>
                <w:between w:val="nil"/>
              </w:pBdr>
              <w:jc w:val="left"/>
              <w:rPr>
                <w:b/>
                <w:bCs/>
                <w:i/>
                <w:iCs/>
                <w:color w:val="000000"/>
                <w:sz w:val="20"/>
                <w:szCs w:val="20"/>
                <w:lang w:val="en-GB"/>
              </w:rPr>
            </w:pPr>
            <w:r w:rsidRPr="00820F7A">
              <w:rPr>
                <w:b/>
                <w:bCs/>
                <w:i/>
                <w:iCs/>
                <w:color w:val="000000"/>
                <w:sz w:val="20"/>
                <w:szCs w:val="20"/>
                <w:lang w:val="en-GB"/>
              </w:rPr>
              <w:t>Objective</w:t>
            </w:r>
          </w:p>
        </w:tc>
        <w:tc>
          <w:tcPr>
            <w:tcW w:w="900" w:type="dxa"/>
            <w:tcMar>
              <w:top w:w="100" w:type="dxa"/>
              <w:left w:w="100" w:type="dxa"/>
              <w:bottom w:w="100" w:type="dxa"/>
              <w:right w:w="100" w:type="dxa"/>
            </w:tcMar>
          </w:tcPr>
          <w:p w14:paraId="05E192BE" w14:textId="77777777" w:rsidR="00826870" w:rsidRPr="00820F7A" w:rsidRDefault="00B21388">
            <w:pPr>
              <w:pStyle w:val="Normal1"/>
              <w:widowControl w:val="0"/>
              <w:pBdr>
                <w:top w:val="nil"/>
                <w:left w:val="nil"/>
                <w:bottom w:val="nil"/>
                <w:right w:val="nil"/>
                <w:between w:val="nil"/>
              </w:pBdr>
              <w:jc w:val="left"/>
              <w:rPr>
                <w:b/>
                <w:bCs/>
                <w:i/>
                <w:iCs/>
                <w:color w:val="000000"/>
                <w:sz w:val="20"/>
                <w:szCs w:val="20"/>
                <w:lang w:val="en-GB"/>
              </w:rPr>
            </w:pPr>
            <w:r w:rsidRPr="00820F7A">
              <w:rPr>
                <w:b/>
                <w:bCs/>
                <w:i/>
                <w:iCs/>
                <w:color w:val="000000"/>
                <w:sz w:val="20"/>
                <w:szCs w:val="20"/>
                <w:lang w:val="en-GB"/>
              </w:rPr>
              <w:t>Settings</w:t>
            </w:r>
          </w:p>
        </w:tc>
        <w:tc>
          <w:tcPr>
            <w:tcW w:w="900" w:type="dxa"/>
            <w:tcMar>
              <w:top w:w="100" w:type="dxa"/>
              <w:left w:w="100" w:type="dxa"/>
              <w:bottom w:w="100" w:type="dxa"/>
              <w:right w:w="100" w:type="dxa"/>
            </w:tcMar>
          </w:tcPr>
          <w:p w14:paraId="39C7353A" w14:textId="77777777" w:rsidR="00826870" w:rsidRPr="00820F7A" w:rsidRDefault="00B21388">
            <w:pPr>
              <w:pStyle w:val="Normal1"/>
              <w:widowControl w:val="0"/>
              <w:pBdr>
                <w:top w:val="nil"/>
                <w:left w:val="nil"/>
                <w:bottom w:val="nil"/>
                <w:right w:val="nil"/>
                <w:between w:val="nil"/>
              </w:pBdr>
              <w:jc w:val="left"/>
              <w:rPr>
                <w:b/>
                <w:bCs/>
                <w:i/>
                <w:iCs/>
                <w:color w:val="000000"/>
                <w:sz w:val="20"/>
                <w:szCs w:val="20"/>
                <w:lang w:val="en-GB"/>
              </w:rPr>
            </w:pPr>
            <w:r w:rsidRPr="00820F7A">
              <w:rPr>
                <w:b/>
                <w:bCs/>
                <w:i/>
                <w:iCs/>
                <w:color w:val="000000"/>
                <w:sz w:val="20"/>
                <w:szCs w:val="20"/>
                <w:lang w:val="en-GB"/>
              </w:rPr>
              <w:t>Methodology</w:t>
            </w:r>
          </w:p>
        </w:tc>
        <w:tc>
          <w:tcPr>
            <w:tcW w:w="1350" w:type="dxa"/>
            <w:tcMar>
              <w:top w:w="100" w:type="dxa"/>
              <w:left w:w="100" w:type="dxa"/>
              <w:bottom w:w="100" w:type="dxa"/>
              <w:right w:w="100" w:type="dxa"/>
            </w:tcMar>
          </w:tcPr>
          <w:p w14:paraId="2A51C05F" w14:textId="77777777" w:rsidR="00826870" w:rsidRPr="00820F7A" w:rsidRDefault="00B21388">
            <w:pPr>
              <w:pStyle w:val="Normal1"/>
              <w:widowControl w:val="0"/>
              <w:pBdr>
                <w:top w:val="nil"/>
                <w:left w:val="nil"/>
                <w:bottom w:val="nil"/>
                <w:right w:val="nil"/>
                <w:between w:val="nil"/>
              </w:pBdr>
              <w:jc w:val="left"/>
              <w:rPr>
                <w:b/>
                <w:bCs/>
                <w:i/>
                <w:iCs/>
                <w:color w:val="000000"/>
                <w:sz w:val="20"/>
                <w:szCs w:val="20"/>
                <w:lang w:val="en-GB"/>
              </w:rPr>
            </w:pPr>
            <w:r w:rsidRPr="00820F7A">
              <w:rPr>
                <w:b/>
                <w:bCs/>
                <w:i/>
                <w:iCs/>
                <w:color w:val="000000"/>
                <w:sz w:val="20"/>
                <w:szCs w:val="20"/>
                <w:lang w:val="en-GB"/>
              </w:rPr>
              <w:t>Strengths (Validity, reliability)</w:t>
            </w:r>
          </w:p>
        </w:tc>
        <w:tc>
          <w:tcPr>
            <w:tcW w:w="1260" w:type="dxa"/>
            <w:tcMar>
              <w:top w:w="100" w:type="dxa"/>
              <w:left w:w="100" w:type="dxa"/>
              <w:bottom w:w="100" w:type="dxa"/>
              <w:right w:w="100" w:type="dxa"/>
            </w:tcMar>
          </w:tcPr>
          <w:p w14:paraId="1D4DCF3C" w14:textId="77777777" w:rsidR="00826870" w:rsidRPr="00820F7A" w:rsidRDefault="00B21388">
            <w:pPr>
              <w:pStyle w:val="Normal1"/>
              <w:widowControl w:val="0"/>
              <w:pBdr>
                <w:top w:val="nil"/>
                <w:left w:val="nil"/>
                <w:bottom w:val="nil"/>
                <w:right w:val="nil"/>
                <w:between w:val="nil"/>
              </w:pBdr>
              <w:jc w:val="left"/>
              <w:rPr>
                <w:b/>
                <w:bCs/>
                <w:i/>
                <w:iCs/>
                <w:color w:val="000000"/>
                <w:sz w:val="20"/>
                <w:szCs w:val="20"/>
                <w:lang w:val="en-GB"/>
              </w:rPr>
            </w:pPr>
            <w:r w:rsidRPr="00820F7A">
              <w:rPr>
                <w:b/>
                <w:bCs/>
                <w:i/>
                <w:iCs/>
                <w:color w:val="000000"/>
                <w:sz w:val="20"/>
                <w:szCs w:val="20"/>
                <w:lang w:val="en-GB"/>
              </w:rPr>
              <w:t>Results</w:t>
            </w:r>
          </w:p>
        </w:tc>
        <w:tc>
          <w:tcPr>
            <w:tcW w:w="1440" w:type="dxa"/>
            <w:tcMar>
              <w:top w:w="100" w:type="dxa"/>
              <w:left w:w="100" w:type="dxa"/>
              <w:bottom w:w="100" w:type="dxa"/>
              <w:right w:w="100" w:type="dxa"/>
            </w:tcMar>
          </w:tcPr>
          <w:p w14:paraId="4D13F8A7" w14:textId="77777777" w:rsidR="00826870" w:rsidRPr="00820F7A" w:rsidRDefault="00B21388">
            <w:pPr>
              <w:pStyle w:val="Normal1"/>
              <w:widowControl w:val="0"/>
              <w:pBdr>
                <w:top w:val="nil"/>
                <w:left w:val="nil"/>
                <w:bottom w:val="nil"/>
                <w:right w:val="nil"/>
                <w:between w:val="nil"/>
              </w:pBdr>
              <w:jc w:val="left"/>
              <w:rPr>
                <w:b/>
                <w:bCs/>
                <w:i/>
                <w:iCs/>
                <w:color w:val="000000"/>
                <w:sz w:val="20"/>
                <w:szCs w:val="20"/>
                <w:lang w:val="en-GB"/>
              </w:rPr>
            </w:pPr>
            <w:r w:rsidRPr="00820F7A">
              <w:rPr>
                <w:b/>
                <w:bCs/>
                <w:i/>
                <w:iCs/>
                <w:color w:val="000000"/>
                <w:sz w:val="20"/>
                <w:szCs w:val="20"/>
                <w:lang w:val="en-GB"/>
              </w:rPr>
              <w:t xml:space="preserve">Conclusion </w:t>
            </w:r>
          </w:p>
        </w:tc>
        <w:tc>
          <w:tcPr>
            <w:tcW w:w="1440" w:type="dxa"/>
            <w:tcMar>
              <w:top w:w="100" w:type="dxa"/>
              <w:left w:w="100" w:type="dxa"/>
              <w:bottom w:w="100" w:type="dxa"/>
              <w:right w:w="100" w:type="dxa"/>
            </w:tcMar>
          </w:tcPr>
          <w:p w14:paraId="1236FFEE" w14:textId="77777777" w:rsidR="00826870" w:rsidRPr="00820F7A" w:rsidRDefault="00B21388">
            <w:pPr>
              <w:pStyle w:val="Normal1"/>
              <w:widowControl w:val="0"/>
              <w:pBdr>
                <w:top w:val="nil"/>
                <w:left w:val="nil"/>
                <w:bottom w:val="nil"/>
                <w:right w:val="nil"/>
                <w:between w:val="nil"/>
              </w:pBdr>
              <w:jc w:val="left"/>
              <w:rPr>
                <w:b/>
                <w:bCs/>
                <w:i/>
                <w:iCs/>
                <w:color w:val="000000"/>
                <w:sz w:val="20"/>
                <w:szCs w:val="20"/>
                <w:lang w:val="en-GB"/>
              </w:rPr>
            </w:pPr>
            <w:r w:rsidRPr="00820F7A">
              <w:rPr>
                <w:b/>
                <w:bCs/>
                <w:i/>
                <w:iCs/>
                <w:color w:val="000000"/>
                <w:sz w:val="20"/>
                <w:szCs w:val="20"/>
                <w:lang w:val="en-GB"/>
              </w:rPr>
              <w:t>Data-extraction criteria (derived from study objective-1)</w:t>
            </w:r>
          </w:p>
        </w:tc>
        <w:tc>
          <w:tcPr>
            <w:tcW w:w="1350" w:type="dxa"/>
            <w:tcMar>
              <w:top w:w="100" w:type="dxa"/>
              <w:left w:w="100" w:type="dxa"/>
              <w:bottom w:w="100" w:type="dxa"/>
              <w:right w:w="100" w:type="dxa"/>
            </w:tcMar>
          </w:tcPr>
          <w:p w14:paraId="6304F818" w14:textId="77777777" w:rsidR="00826870" w:rsidRPr="00820F7A" w:rsidRDefault="00B21388">
            <w:pPr>
              <w:pStyle w:val="Normal1"/>
              <w:widowControl w:val="0"/>
              <w:pBdr>
                <w:top w:val="nil"/>
                <w:left w:val="nil"/>
                <w:bottom w:val="nil"/>
                <w:right w:val="nil"/>
                <w:between w:val="nil"/>
              </w:pBdr>
              <w:jc w:val="left"/>
              <w:rPr>
                <w:b/>
                <w:bCs/>
                <w:i/>
                <w:iCs/>
                <w:color w:val="000000"/>
                <w:sz w:val="20"/>
                <w:szCs w:val="20"/>
                <w:lang w:val="en-GB"/>
              </w:rPr>
            </w:pPr>
            <w:r w:rsidRPr="00820F7A">
              <w:rPr>
                <w:b/>
                <w:bCs/>
                <w:i/>
                <w:iCs/>
                <w:color w:val="000000"/>
                <w:sz w:val="20"/>
                <w:szCs w:val="20"/>
                <w:lang w:val="en-GB"/>
              </w:rPr>
              <w:t>Data-extraction criteria (derived from study objective-2)</w:t>
            </w:r>
          </w:p>
        </w:tc>
        <w:tc>
          <w:tcPr>
            <w:tcW w:w="1440" w:type="dxa"/>
            <w:tcMar>
              <w:top w:w="100" w:type="dxa"/>
              <w:left w:w="100" w:type="dxa"/>
              <w:bottom w:w="100" w:type="dxa"/>
              <w:right w:w="100" w:type="dxa"/>
            </w:tcMar>
          </w:tcPr>
          <w:p w14:paraId="50AE981E" w14:textId="77777777" w:rsidR="00826870" w:rsidRPr="00820F7A" w:rsidRDefault="00B21388">
            <w:pPr>
              <w:pStyle w:val="Normal1"/>
              <w:widowControl w:val="0"/>
              <w:pBdr>
                <w:top w:val="nil"/>
                <w:left w:val="nil"/>
                <w:bottom w:val="nil"/>
                <w:right w:val="nil"/>
                <w:between w:val="nil"/>
              </w:pBdr>
              <w:jc w:val="left"/>
              <w:rPr>
                <w:b/>
                <w:bCs/>
                <w:i/>
                <w:iCs/>
                <w:color w:val="000000"/>
                <w:sz w:val="20"/>
                <w:szCs w:val="20"/>
                <w:lang w:val="en-GB"/>
              </w:rPr>
            </w:pPr>
            <w:r w:rsidRPr="00820F7A">
              <w:rPr>
                <w:b/>
                <w:bCs/>
                <w:i/>
                <w:iCs/>
                <w:color w:val="000000"/>
                <w:sz w:val="20"/>
                <w:szCs w:val="20"/>
                <w:lang w:val="en-GB"/>
              </w:rPr>
              <w:t>Data-extraction criteria (derived from study objective-3)</w:t>
            </w:r>
          </w:p>
        </w:tc>
        <w:tc>
          <w:tcPr>
            <w:tcW w:w="1350" w:type="dxa"/>
            <w:tcMar>
              <w:top w:w="100" w:type="dxa"/>
              <w:left w:w="100" w:type="dxa"/>
              <w:bottom w:w="100" w:type="dxa"/>
              <w:right w:w="100" w:type="dxa"/>
            </w:tcMar>
          </w:tcPr>
          <w:p w14:paraId="550EAA36" w14:textId="77777777" w:rsidR="00826870" w:rsidRPr="00820F7A" w:rsidRDefault="00B21388">
            <w:pPr>
              <w:pStyle w:val="Normal1"/>
              <w:widowControl w:val="0"/>
              <w:pBdr>
                <w:top w:val="nil"/>
                <w:left w:val="nil"/>
                <w:bottom w:val="nil"/>
                <w:right w:val="nil"/>
                <w:between w:val="nil"/>
              </w:pBdr>
              <w:jc w:val="left"/>
              <w:rPr>
                <w:b/>
                <w:bCs/>
                <w:i/>
                <w:iCs/>
                <w:color w:val="000000"/>
                <w:sz w:val="20"/>
                <w:szCs w:val="20"/>
                <w:lang w:val="en-GB"/>
              </w:rPr>
            </w:pPr>
            <w:r w:rsidRPr="00820F7A">
              <w:rPr>
                <w:b/>
                <w:bCs/>
                <w:i/>
                <w:iCs/>
                <w:color w:val="000000"/>
                <w:sz w:val="20"/>
                <w:szCs w:val="20"/>
                <w:lang w:val="en-GB"/>
              </w:rPr>
              <w:t>Data-extraction criteria (derived from study objective-4)</w:t>
            </w:r>
          </w:p>
        </w:tc>
        <w:tc>
          <w:tcPr>
            <w:tcW w:w="900" w:type="dxa"/>
            <w:tcMar>
              <w:top w:w="100" w:type="dxa"/>
              <w:left w:w="100" w:type="dxa"/>
              <w:bottom w:w="100" w:type="dxa"/>
              <w:right w:w="100" w:type="dxa"/>
            </w:tcMar>
          </w:tcPr>
          <w:p w14:paraId="2EA4C85D" w14:textId="77777777" w:rsidR="00826870" w:rsidRPr="00820F7A" w:rsidRDefault="00B21388">
            <w:pPr>
              <w:pStyle w:val="Normal1"/>
              <w:widowControl w:val="0"/>
              <w:pBdr>
                <w:top w:val="nil"/>
                <w:left w:val="nil"/>
                <w:bottom w:val="nil"/>
                <w:right w:val="nil"/>
                <w:between w:val="nil"/>
              </w:pBdr>
              <w:jc w:val="left"/>
              <w:rPr>
                <w:b/>
                <w:bCs/>
                <w:i/>
                <w:iCs/>
                <w:color w:val="000000"/>
                <w:sz w:val="20"/>
                <w:szCs w:val="20"/>
                <w:lang w:val="en-GB"/>
              </w:rPr>
            </w:pPr>
            <w:r w:rsidRPr="00820F7A">
              <w:rPr>
                <w:b/>
                <w:bCs/>
                <w:i/>
                <w:iCs/>
                <w:color w:val="000000"/>
                <w:sz w:val="20"/>
                <w:szCs w:val="20"/>
                <w:lang w:val="en-GB"/>
              </w:rPr>
              <w:t>Themes</w:t>
            </w:r>
          </w:p>
        </w:tc>
      </w:tr>
      <w:tr w:rsidR="00826870" w:rsidRPr="00820F7A" w14:paraId="0F86633C" w14:textId="77777777">
        <w:trPr>
          <w:cantSplit/>
          <w:tblHeader/>
        </w:trPr>
        <w:tc>
          <w:tcPr>
            <w:tcW w:w="753" w:type="dxa"/>
            <w:tcMar>
              <w:top w:w="100" w:type="dxa"/>
              <w:left w:w="100" w:type="dxa"/>
              <w:bottom w:w="100" w:type="dxa"/>
              <w:right w:w="100" w:type="dxa"/>
            </w:tcMar>
          </w:tcPr>
          <w:p w14:paraId="69AB3C3B"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Yeowell</w:t>
            </w:r>
            <w:r w:rsidRPr="00820F7A">
              <w:rPr>
                <w:i/>
                <w:iCs/>
                <w:color w:val="000000"/>
                <w:sz w:val="20"/>
                <w:szCs w:val="20"/>
                <w:lang w:val="en-GB"/>
              </w:rPr>
              <w:t xml:space="preserve"> et al.</w:t>
            </w:r>
            <w:r w:rsidRPr="00820F7A">
              <w:rPr>
                <w:color w:val="000000"/>
                <w:sz w:val="20"/>
                <w:szCs w:val="20"/>
                <w:lang w:val="en-GB"/>
              </w:rPr>
              <w:t xml:space="preserve"> (2024)</w:t>
            </w:r>
          </w:p>
        </w:tc>
        <w:tc>
          <w:tcPr>
            <w:tcW w:w="1097" w:type="dxa"/>
            <w:tcMar>
              <w:top w:w="100" w:type="dxa"/>
              <w:left w:w="100" w:type="dxa"/>
              <w:bottom w:w="100" w:type="dxa"/>
              <w:right w:w="100" w:type="dxa"/>
            </w:tcMar>
          </w:tcPr>
          <w:p w14:paraId="69328D75"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To investigate the extent and impact of litigation on the UK physiotherapy.</w:t>
            </w:r>
          </w:p>
        </w:tc>
        <w:tc>
          <w:tcPr>
            <w:tcW w:w="900" w:type="dxa"/>
            <w:tcMar>
              <w:top w:w="100" w:type="dxa"/>
              <w:left w:w="100" w:type="dxa"/>
              <w:bottom w:w="100" w:type="dxa"/>
              <w:right w:w="100" w:type="dxa"/>
            </w:tcMar>
          </w:tcPr>
          <w:p w14:paraId="5369B32B"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688 UK’s qualified doctors</w:t>
            </w:r>
          </w:p>
        </w:tc>
        <w:tc>
          <w:tcPr>
            <w:tcW w:w="900" w:type="dxa"/>
            <w:tcMar>
              <w:top w:w="100" w:type="dxa"/>
              <w:left w:w="100" w:type="dxa"/>
              <w:bottom w:w="100" w:type="dxa"/>
              <w:right w:w="100" w:type="dxa"/>
            </w:tcMar>
          </w:tcPr>
          <w:p w14:paraId="190B6785"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Cross-sectional questionnaire survey</w:t>
            </w:r>
          </w:p>
        </w:tc>
        <w:tc>
          <w:tcPr>
            <w:tcW w:w="1350" w:type="dxa"/>
            <w:tcMar>
              <w:top w:w="100" w:type="dxa"/>
              <w:left w:w="100" w:type="dxa"/>
              <w:bottom w:w="100" w:type="dxa"/>
              <w:right w:w="100" w:type="dxa"/>
            </w:tcMar>
          </w:tcPr>
          <w:p w14:paraId="658F0632"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National survey, first-hand data</w:t>
            </w:r>
          </w:p>
        </w:tc>
        <w:tc>
          <w:tcPr>
            <w:tcW w:w="1260" w:type="dxa"/>
            <w:tcMar>
              <w:top w:w="100" w:type="dxa"/>
              <w:left w:w="100" w:type="dxa"/>
              <w:bottom w:w="100" w:type="dxa"/>
              <w:right w:w="100" w:type="dxa"/>
            </w:tcMar>
          </w:tcPr>
          <w:p w14:paraId="3AEDA4CD"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Litigation impacts mental and physical well-being</w:t>
            </w:r>
          </w:p>
        </w:tc>
        <w:tc>
          <w:tcPr>
            <w:tcW w:w="1440" w:type="dxa"/>
            <w:tcMar>
              <w:top w:w="100" w:type="dxa"/>
              <w:left w:w="100" w:type="dxa"/>
              <w:bottom w:w="100" w:type="dxa"/>
              <w:right w:w="100" w:type="dxa"/>
            </w:tcMar>
          </w:tcPr>
          <w:p w14:paraId="49D810E2"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Training regarding clinical negligence must be provided</w:t>
            </w:r>
          </w:p>
        </w:tc>
        <w:tc>
          <w:tcPr>
            <w:tcW w:w="1440" w:type="dxa"/>
            <w:tcMar>
              <w:top w:w="100" w:type="dxa"/>
              <w:left w:w="100" w:type="dxa"/>
              <w:bottom w:w="100" w:type="dxa"/>
              <w:right w:w="100" w:type="dxa"/>
            </w:tcMar>
          </w:tcPr>
          <w:p w14:paraId="010C81BA"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Highlighted the importance of Patient Safety Incident Response Framework</w:t>
            </w:r>
          </w:p>
        </w:tc>
        <w:tc>
          <w:tcPr>
            <w:tcW w:w="1350" w:type="dxa"/>
            <w:tcMar>
              <w:top w:w="100" w:type="dxa"/>
              <w:left w:w="100" w:type="dxa"/>
              <w:bottom w:w="100" w:type="dxa"/>
              <w:right w:w="100" w:type="dxa"/>
            </w:tcMar>
          </w:tcPr>
          <w:p w14:paraId="57D964F5"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Explores staff perception</w:t>
            </w:r>
          </w:p>
        </w:tc>
        <w:tc>
          <w:tcPr>
            <w:tcW w:w="1440" w:type="dxa"/>
            <w:tcMar>
              <w:top w:w="100" w:type="dxa"/>
              <w:left w:w="100" w:type="dxa"/>
              <w:bottom w:w="100" w:type="dxa"/>
              <w:right w:w="100" w:type="dxa"/>
            </w:tcMar>
          </w:tcPr>
          <w:p w14:paraId="4A02E12C"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Highlights barriers- lack of training</w:t>
            </w:r>
          </w:p>
        </w:tc>
        <w:tc>
          <w:tcPr>
            <w:tcW w:w="1350" w:type="dxa"/>
            <w:tcMar>
              <w:top w:w="100" w:type="dxa"/>
              <w:left w:w="100" w:type="dxa"/>
              <w:bottom w:w="100" w:type="dxa"/>
              <w:right w:w="100" w:type="dxa"/>
            </w:tcMar>
          </w:tcPr>
          <w:p w14:paraId="6B8535F0"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 xml:space="preserve">Implementing support framework </w:t>
            </w:r>
          </w:p>
        </w:tc>
        <w:tc>
          <w:tcPr>
            <w:tcW w:w="900" w:type="dxa"/>
            <w:tcMar>
              <w:top w:w="100" w:type="dxa"/>
              <w:left w:w="100" w:type="dxa"/>
              <w:bottom w:w="100" w:type="dxa"/>
              <w:right w:w="100" w:type="dxa"/>
            </w:tcMar>
          </w:tcPr>
          <w:p w14:paraId="70733A09"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Theme 1</w:t>
            </w:r>
          </w:p>
        </w:tc>
      </w:tr>
      <w:tr w:rsidR="00826870" w:rsidRPr="00820F7A" w14:paraId="01347571" w14:textId="77777777">
        <w:trPr>
          <w:cantSplit/>
          <w:tblHeader/>
        </w:trPr>
        <w:tc>
          <w:tcPr>
            <w:tcW w:w="753" w:type="dxa"/>
            <w:tcMar>
              <w:top w:w="100" w:type="dxa"/>
              <w:left w:w="100" w:type="dxa"/>
              <w:bottom w:w="100" w:type="dxa"/>
              <w:right w:w="100" w:type="dxa"/>
            </w:tcMar>
          </w:tcPr>
          <w:p w14:paraId="3199A0EE"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 xml:space="preserve">Wickramasekera </w:t>
            </w:r>
            <w:r w:rsidRPr="00820F7A">
              <w:rPr>
                <w:i/>
                <w:iCs/>
                <w:color w:val="000000"/>
                <w:sz w:val="20"/>
                <w:szCs w:val="20"/>
                <w:lang w:val="en-GB"/>
              </w:rPr>
              <w:t xml:space="preserve">et al. </w:t>
            </w:r>
            <w:r w:rsidRPr="00820F7A">
              <w:rPr>
                <w:color w:val="000000"/>
                <w:sz w:val="20"/>
                <w:szCs w:val="20"/>
                <w:lang w:val="en-GB"/>
              </w:rPr>
              <w:t>(2024)</w:t>
            </w:r>
          </w:p>
        </w:tc>
        <w:tc>
          <w:tcPr>
            <w:tcW w:w="1097" w:type="dxa"/>
            <w:tcMar>
              <w:top w:w="100" w:type="dxa"/>
              <w:left w:w="100" w:type="dxa"/>
              <w:bottom w:w="100" w:type="dxa"/>
              <w:right w:w="100" w:type="dxa"/>
            </w:tcMar>
          </w:tcPr>
          <w:p w14:paraId="6DBFA3C6"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To assess patient safety incidents (PSI).</w:t>
            </w:r>
          </w:p>
        </w:tc>
        <w:tc>
          <w:tcPr>
            <w:tcW w:w="900" w:type="dxa"/>
            <w:tcMar>
              <w:top w:w="100" w:type="dxa"/>
              <w:left w:w="100" w:type="dxa"/>
              <w:bottom w:w="100" w:type="dxa"/>
              <w:right w:w="100" w:type="dxa"/>
            </w:tcMar>
          </w:tcPr>
          <w:p w14:paraId="6BFAD08C"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1029 UK residents aged above 18 years</w:t>
            </w:r>
          </w:p>
        </w:tc>
        <w:tc>
          <w:tcPr>
            <w:tcW w:w="900" w:type="dxa"/>
            <w:tcMar>
              <w:top w:w="100" w:type="dxa"/>
              <w:left w:w="100" w:type="dxa"/>
              <w:bottom w:w="100" w:type="dxa"/>
              <w:right w:w="100" w:type="dxa"/>
            </w:tcMar>
          </w:tcPr>
          <w:p w14:paraId="101F812D"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Survey using the DCE</w:t>
            </w:r>
          </w:p>
        </w:tc>
        <w:tc>
          <w:tcPr>
            <w:tcW w:w="1350" w:type="dxa"/>
            <w:tcMar>
              <w:top w:w="100" w:type="dxa"/>
              <w:left w:w="100" w:type="dxa"/>
              <w:bottom w:w="100" w:type="dxa"/>
              <w:right w:w="100" w:type="dxa"/>
            </w:tcMar>
          </w:tcPr>
          <w:p w14:paraId="23AB47A2"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Large sample size for rigorous study</w:t>
            </w:r>
          </w:p>
        </w:tc>
        <w:tc>
          <w:tcPr>
            <w:tcW w:w="1260" w:type="dxa"/>
            <w:tcMar>
              <w:top w:w="100" w:type="dxa"/>
              <w:left w:w="100" w:type="dxa"/>
              <w:bottom w:w="100" w:type="dxa"/>
              <w:right w:w="100" w:type="dxa"/>
            </w:tcMar>
          </w:tcPr>
          <w:p w14:paraId="7CE7D2BC"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 xml:space="preserve">Apology, transparency and fair compensation as drivers of negligence claims </w:t>
            </w:r>
          </w:p>
        </w:tc>
        <w:tc>
          <w:tcPr>
            <w:tcW w:w="1440" w:type="dxa"/>
            <w:tcMar>
              <w:top w:w="100" w:type="dxa"/>
              <w:left w:w="100" w:type="dxa"/>
              <w:bottom w:w="100" w:type="dxa"/>
              <w:right w:w="100" w:type="dxa"/>
            </w:tcMar>
          </w:tcPr>
          <w:p w14:paraId="648C8209"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Identified features of effective leaders</w:t>
            </w:r>
          </w:p>
        </w:tc>
        <w:tc>
          <w:tcPr>
            <w:tcW w:w="1440" w:type="dxa"/>
            <w:tcMar>
              <w:top w:w="100" w:type="dxa"/>
              <w:left w:w="100" w:type="dxa"/>
              <w:bottom w:w="100" w:type="dxa"/>
              <w:right w:w="100" w:type="dxa"/>
            </w:tcMar>
          </w:tcPr>
          <w:p w14:paraId="7D658A54"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Explored expected organizationalbehaviors</w:t>
            </w:r>
          </w:p>
        </w:tc>
        <w:tc>
          <w:tcPr>
            <w:tcW w:w="1350" w:type="dxa"/>
            <w:tcMar>
              <w:top w:w="100" w:type="dxa"/>
              <w:left w:w="100" w:type="dxa"/>
              <w:bottom w:w="100" w:type="dxa"/>
              <w:right w:w="100" w:type="dxa"/>
            </w:tcMar>
          </w:tcPr>
          <w:p w14:paraId="3B78AA68"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Explores staff perception</w:t>
            </w:r>
          </w:p>
        </w:tc>
        <w:tc>
          <w:tcPr>
            <w:tcW w:w="1440" w:type="dxa"/>
            <w:tcMar>
              <w:top w:w="100" w:type="dxa"/>
              <w:left w:w="100" w:type="dxa"/>
              <w:bottom w:w="100" w:type="dxa"/>
              <w:right w:w="100" w:type="dxa"/>
            </w:tcMar>
          </w:tcPr>
          <w:p w14:paraId="1F2E3538"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 xml:space="preserve">Delay in treating patients and missed diagnosis </w:t>
            </w:r>
          </w:p>
        </w:tc>
        <w:tc>
          <w:tcPr>
            <w:tcW w:w="1350" w:type="dxa"/>
            <w:tcMar>
              <w:top w:w="100" w:type="dxa"/>
              <w:left w:w="100" w:type="dxa"/>
              <w:bottom w:w="100" w:type="dxa"/>
              <w:right w:w="100" w:type="dxa"/>
            </w:tcMar>
          </w:tcPr>
          <w:p w14:paraId="4ABC6C3A"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Administrative support for integrating apology and openness in healthcare</w:t>
            </w:r>
          </w:p>
        </w:tc>
        <w:tc>
          <w:tcPr>
            <w:tcW w:w="900" w:type="dxa"/>
            <w:tcMar>
              <w:top w:w="100" w:type="dxa"/>
              <w:left w:w="100" w:type="dxa"/>
              <w:bottom w:w="100" w:type="dxa"/>
              <w:right w:w="100" w:type="dxa"/>
            </w:tcMar>
          </w:tcPr>
          <w:p w14:paraId="3990C077"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Theme 1</w:t>
            </w:r>
          </w:p>
        </w:tc>
      </w:tr>
      <w:tr w:rsidR="00826870" w:rsidRPr="00820F7A" w14:paraId="33A2F9D1" w14:textId="77777777">
        <w:trPr>
          <w:cantSplit/>
          <w:tblHeader/>
        </w:trPr>
        <w:tc>
          <w:tcPr>
            <w:tcW w:w="753" w:type="dxa"/>
            <w:tcMar>
              <w:top w:w="100" w:type="dxa"/>
              <w:left w:w="100" w:type="dxa"/>
              <w:bottom w:w="100" w:type="dxa"/>
              <w:right w:w="100" w:type="dxa"/>
            </w:tcMar>
          </w:tcPr>
          <w:p w14:paraId="548A2C38"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Scheffer, (2025)</w:t>
            </w:r>
          </w:p>
        </w:tc>
        <w:tc>
          <w:tcPr>
            <w:tcW w:w="1097" w:type="dxa"/>
            <w:tcMar>
              <w:top w:w="100" w:type="dxa"/>
              <w:left w:w="100" w:type="dxa"/>
              <w:bottom w:w="100" w:type="dxa"/>
              <w:right w:w="100" w:type="dxa"/>
            </w:tcMar>
          </w:tcPr>
          <w:p w14:paraId="53CF34B7"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To evaluate healthcare leaders’ leadership experiences</w:t>
            </w:r>
          </w:p>
        </w:tc>
        <w:tc>
          <w:tcPr>
            <w:tcW w:w="900" w:type="dxa"/>
            <w:tcMar>
              <w:top w:w="100" w:type="dxa"/>
              <w:left w:w="100" w:type="dxa"/>
              <w:bottom w:w="100" w:type="dxa"/>
              <w:right w:w="100" w:type="dxa"/>
            </w:tcMar>
          </w:tcPr>
          <w:p w14:paraId="4F2623A6"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235 for survey and 12 for interview.</w:t>
            </w:r>
          </w:p>
        </w:tc>
        <w:tc>
          <w:tcPr>
            <w:tcW w:w="900" w:type="dxa"/>
            <w:tcMar>
              <w:top w:w="100" w:type="dxa"/>
              <w:left w:w="100" w:type="dxa"/>
              <w:bottom w:w="100" w:type="dxa"/>
              <w:right w:w="100" w:type="dxa"/>
            </w:tcMar>
          </w:tcPr>
          <w:p w14:paraId="053288FA"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 xml:space="preserve">Survey and Interview </w:t>
            </w:r>
          </w:p>
        </w:tc>
        <w:tc>
          <w:tcPr>
            <w:tcW w:w="1350" w:type="dxa"/>
            <w:tcMar>
              <w:top w:w="100" w:type="dxa"/>
              <w:left w:w="100" w:type="dxa"/>
              <w:bottom w:w="100" w:type="dxa"/>
              <w:right w:w="100" w:type="dxa"/>
            </w:tcMar>
          </w:tcPr>
          <w:p w14:paraId="7EBD80FC"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 xml:space="preserve">First-hand data from NHS staff </w:t>
            </w:r>
          </w:p>
        </w:tc>
        <w:tc>
          <w:tcPr>
            <w:tcW w:w="1260" w:type="dxa"/>
            <w:tcMar>
              <w:top w:w="100" w:type="dxa"/>
              <w:left w:w="100" w:type="dxa"/>
              <w:bottom w:w="100" w:type="dxa"/>
              <w:right w:w="100" w:type="dxa"/>
            </w:tcMar>
          </w:tcPr>
          <w:p w14:paraId="470A3D28"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Insufficient training</w:t>
            </w:r>
          </w:p>
        </w:tc>
        <w:tc>
          <w:tcPr>
            <w:tcW w:w="1440" w:type="dxa"/>
            <w:tcMar>
              <w:top w:w="100" w:type="dxa"/>
              <w:left w:w="100" w:type="dxa"/>
              <w:bottom w:w="100" w:type="dxa"/>
              <w:right w:w="100" w:type="dxa"/>
            </w:tcMar>
          </w:tcPr>
          <w:p w14:paraId="6ED8F9E0"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 xml:space="preserve">Identified training needed for developing leaders </w:t>
            </w:r>
          </w:p>
        </w:tc>
        <w:tc>
          <w:tcPr>
            <w:tcW w:w="1440" w:type="dxa"/>
            <w:tcMar>
              <w:top w:w="100" w:type="dxa"/>
              <w:left w:w="100" w:type="dxa"/>
              <w:bottom w:w="100" w:type="dxa"/>
              <w:right w:w="100" w:type="dxa"/>
            </w:tcMar>
          </w:tcPr>
          <w:p w14:paraId="14F6F81E"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NA</w:t>
            </w:r>
          </w:p>
        </w:tc>
        <w:tc>
          <w:tcPr>
            <w:tcW w:w="1350" w:type="dxa"/>
            <w:tcMar>
              <w:top w:w="100" w:type="dxa"/>
              <w:left w:w="100" w:type="dxa"/>
              <w:bottom w:w="100" w:type="dxa"/>
              <w:right w:w="100" w:type="dxa"/>
            </w:tcMar>
          </w:tcPr>
          <w:p w14:paraId="6199668C"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Explained how leadership behavior shapes staff’s perceptions.</w:t>
            </w:r>
          </w:p>
        </w:tc>
        <w:tc>
          <w:tcPr>
            <w:tcW w:w="1440" w:type="dxa"/>
            <w:tcMar>
              <w:top w:w="100" w:type="dxa"/>
              <w:left w:w="100" w:type="dxa"/>
              <w:bottom w:w="100" w:type="dxa"/>
              <w:right w:w="100" w:type="dxa"/>
            </w:tcMar>
          </w:tcPr>
          <w:p w14:paraId="54FFE5EB"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Lack of training mentioned</w:t>
            </w:r>
          </w:p>
        </w:tc>
        <w:tc>
          <w:tcPr>
            <w:tcW w:w="1350" w:type="dxa"/>
            <w:tcMar>
              <w:top w:w="100" w:type="dxa"/>
              <w:left w:w="100" w:type="dxa"/>
              <w:bottom w:w="100" w:type="dxa"/>
              <w:right w:w="100" w:type="dxa"/>
            </w:tcMar>
          </w:tcPr>
          <w:p w14:paraId="78245923"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Structures framework to support leadership development</w:t>
            </w:r>
          </w:p>
        </w:tc>
        <w:tc>
          <w:tcPr>
            <w:tcW w:w="900" w:type="dxa"/>
            <w:tcMar>
              <w:top w:w="100" w:type="dxa"/>
              <w:left w:w="100" w:type="dxa"/>
              <w:bottom w:w="100" w:type="dxa"/>
              <w:right w:w="100" w:type="dxa"/>
            </w:tcMar>
          </w:tcPr>
          <w:p w14:paraId="257C7BB8"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Theme 1</w:t>
            </w:r>
          </w:p>
        </w:tc>
      </w:tr>
      <w:tr w:rsidR="00826870" w:rsidRPr="00820F7A" w14:paraId="4074514E" w14:textId="77777777">
        <w:trPr>
          <w:cantSplit/>
          <w:tblHeader/>
        </w:trPr>
        <w:tc>
          <w:tcPr>
            <w:tcW w:w="753" w:type="dxa"/>
            <w:tcMar>
              <w:top w:w="100" w:type="dxa"/>
              <w:left w:w="100" w:type="dxa"/>
              <w:bottom w:w="100" w:type="dxa"/>
              <w:right w:w="100" w:type="dxa"/>
            </w:tcMar>
          </w:tcPr>
          <w:p w14:paraId="0E5694B4"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 xml:space="preserve">Haoyan </w:t>
            </w:r>
            <w:r w:rsidRPr="00820F7A">
              <w:rPr>
                <w:i/>
                <w:iCs/>
                <w:color w:val="000000"/>
                <w:sz w:val="20"/>
                <w:szCs w:val="20"/>
                <w:lang w:val="en-GB"/>
              </w:rPr>
              <w:t xml:space="preserve">et al. </w:t>
            </w:r>
            <w:r w:rsidRPr="00820F7A">
              <w:rPr>
                <w:color w:val="000000"/>
                <w:sz w:val="20"/>
                <w:szCs w:val="20"/>
                <w:lang w:val="en-GB"/>
              </w:rPr>
              <w:t>(2023)</w:t>
            </w:r>
          </w:p>
        </w:tc>
        <w:tc>
          <w:tcPr>
            <w:tcW w:w="1097" w:type="dxa"/>
            <w:tcMar>
              <w:top w:w="100" w:type="dxa"/>
              <w:left w:w="100" w:type="dxa"/>
              <w:bottom w:w="100" w:type="dxa"/>
              <w:right w:w="100" w:type="dxa"/>
            </w:tcMar>
          </w:tcPr>
          <w:p w14:paraId="2A9385B3"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To explore the association between nurses' perceptions of transformational leadership style.</w:t>
            </w:r>
          </w:p>
        </w:tc>
        <w:tc>
          <w:tcPr>
            <w:tcW w:w="900" w:type="dxa"/>
            <w:tcMar>
              <w:top w:w="100" w:type="dxa"/>
              <w:left w:w="100" w:type="dxa"/>
              <w:bottom w:w="100" w:type="dxa"/>
              <w:right w:w="100" w:type="dxa"/>
            </w:tcMar>
          </w:tcPr>
          <w:p w14:paraId="787CE25D"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2885 participants, six studies</w:t>
            </w:r>
          </w:p>
        </w:tc>
        <w:tc>
          <w:tcPr>
            <w:tcW w:w="900" w:type="dxa"/>
            <w:tcMar>
              <w:top w:w="100" w:type="dxa"/>
              <w:left w:w="100" w:type="dxa"/>
              <w:bottom w:w="100" w:type="dxa"/>
              <w:right w:w="100" w:type="dxa"/>
            </w:tcMar>
          </w:tcPr>
          <w:p w14:paraId="6A050EC8"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Narrative quantitative systematic review.</w:t>
            </w:r>
          </w:p>
        </w:tc>
        <w:tc>
          <w:tcPr>
            <w:tcW w:w="1350" w:type="dxa"/>
            <w:tcMar>
              <w:top w:w="100" w:type="dxa"/>
              <w:left w:w="100" w:type="dxa"/>
              <w:bottom w:w="100" w:type="dxa"/>
              <w:right w:w="100" w:type="dxa"/>
            </w:tcMar>
          </w:tcPr>
          <w:p w14:paraId="5F14F861"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 xml:space="preserve">Rigorous systematic review study </w:t>
            </w:r>
          </w:p>
        </w:tc>
        <w:tc>
          <w:tcPr>
            <w:tcW w:w="1260" w:type="dxa"/>
            <w:tcMar>
              <w:top w:w="100" w:type="dxa"/>
              <w:left w:w="100" w:type="dxa"/>
              <w:bottom w:w="100" w:type="dxa"/>
              <w:right w:w="100" w:type="dxa"/>
            </w:tcMar>
          </w:tcPr>
          <w:p w14:paraId="42898664"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 xml:space="preserve">Transformational leadership improves organisational outcomes. </w:t>
            </w:r>
          </w:p>
        </w:tc>
        <w:tc>
          <w:tcPr>
            <w:tcW w:w="1440" w:type="dxa"/>
            <w:tcMar>
              <w:top w:w="100" w:type="dxa"/>
              <w:left w:w="100" w:type="dxa"/>
              <w:bottom w:w="100" w:type="dxa"/>
              <w:right w:w="100" w:type="dxa"/>
            </w:tcMar>
          </w:tcPr>
          <w:p w14:paraId="30F58C69"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 xml:space="preserve">Transformational leadership is a driver of nurses’ organisational commitment. </w:t>
            </w:r>
          </w:p>
        </w:tc>
        <w:tc>
          <w:tcPr>
            <w:tcW w:w="1440" w:type="dxa"/>
            <w:tcMar>
              <w:top w:w="100" w:type="dxa"/>
              <w:left w:w="100" w:type="dxa"/>
              <w:bottom w:w="100" w:type="dxa"/>
              <w:right w:w="100" w:type="dxa"/>
            </w:tcMar>
          </w:tcPr>
          <w:p w14:paraId="57186911"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Identifies effective leadership characteristics</w:t>
            </w:r>
          </w:p>
        </w:tc>
        <w:tc>
          <w:tcPr>
            <w:tcW w:w="1350" w:type="dxa"/>
            <w:tcMar>
              <w:top w:w="100" w:type="dxa"/>
              <w:left w:w="100" w:type="dxa"/>
              <w:bottom w:w="100" w:type="dxa"/>
              <w:right w:w="100" w:type="dxa"/>
            </w:tcMar>
          </w:tcPr>
          <w:p w14:paraId="5E83919B"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Explained how leadership behaviour shapes staff’s perceptions.</w:t>
            </w:r>
          </w:p>
        </w:tc>
        <w:tc>
          <w:tcPr>
            <w:tcW w:w="1440" w:type="dxa"/>
            <w:tcMar>
              <w:top w:w="100" w:type="dxa"/>
              <w:left w:w="100" w:type="dxa"/>
              <w:bottom w:w="100" w:type="dxa"/>
              <w:right w:w="100" w:type="dxa"/>
            </w:tcMar>
          </w:tcPr>
          <w:p w14:paraId="7875DEBE"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 xml:space="preserve">Lack of training access </w:t>
            </w:r>
          </w:p>
        </w:tc>
        <w:tc>
          <w:tcPr>
            <w:tcW w:w="1350" w:type="dxa"/>
            <w:tcMar>
              <w:top w:w="100" w:type="dxa"/>
              <w:left w:w="100" w:type="dxa"/>
              <w:bottom w:w="100" w:type="dxa"/>
              <w:right w:w="100" w:type="dxa"/>
            </w:tcMar>
          </w:tcPr>
          <w:p w14:paraId="5CEF0D64"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 xml:space="preserve">Structured leadership training </w:t>
            </w:r>
          </w:p>
        </w:tc>
        <w:tc>
          <w:tcPr>
            <w:tcW w:w="900" w:type="dxa"/>
            <w:tcMar>
              <w:top w:w="100" w:type="dxa"/>
              <w:left w:w="100" w:type="dxa"/>
              <w:bottom w:w="100" w:type="dxa"/>
              <w:right w:w="100" w:type="dxa"/>
            </w:tcMar>
          </w:tcPr>
          <w:p w14:paraId="59E1A498"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Theme 2</w:t>
            </w:r>
          </w:p>
        </w:tc>
      </w:tr>
      <w:tr w:rsidR="00826870" w:rsidRPr="00820F7A" w14:paraId="369E570B" w14:textId="77777777">
        <w:trPr>
          <w:cantSplit/>
          <w:tblHeader/>
        </w:trPr>
        <w:tc>
          <w:tcPr>
            <w:tcW w:w="753" w:type="dxa"/>
            <w:tcMar>
              <w:top w:w="100" w:type="dxa"/>
              <w:left w:w="100" w:type="dxa"/>
              <w:bottom w:w="100" w:type="dxa"/>
              <w:right w:w="100" w:type="dxa"/>
            </w:tcMar>
          </w:tcPr>
          <w:p w14:paraId="4960015D"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 xml:space="preserve">Backman </w:t>
            </w:r>
            <w:r w:rsidRPr="00820F7A">
              <w:rPr>
                <w:i/>
                <w:iCs/>
                <w:color w:val="000000"/>
                <w:sz w:val="20"/>
                <w:szCs w:val="20"/>
                <w:lang w:val="en-GB"/>
              </w:rPr>
              <w:t xml:space="preserve">et al. </w:t>
            </w:r>
            <w:r w:rsidRPr="00820F7A">
              <w:rPr>
                <w:color w:val="000000"/>
                <w:sz w:val="20"/>
                <w:szCs w:val="20"/>
                <w:lang w:val="en-GB"/>
              </w:rPr>
              <w:t>(2025)</w:t>
            </w:r>
          </w:p>
        </w:tc>
        <w:tc>
          <w:tcPr>
            <w:tcW w:w="1097" w:type="dxa"/>
            <w:tcMar>
              <w:top w:w="100" w:type="dxa"/>
              <w:left w:w="100" w:type="dxa"/>
              <w:bottom w:w="100" w:type="dxa"/>
              <w:right w:w="100" w:type="dxa"/>
            </w:tcMar>
          </w:tcPr>
          <w:p w14:paraId="0321396F"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To cross-culturally adapt a framework for person-centred leadership in residential care for older people in Sweden</w:t>
            </w:r>
          </w:p>
        </w:tc>
        <w:tc>
          <w:tcPr>
            <w:tcW w:w="900" w:type="dxa"/>
            <w:tcMar>
              <w:top w:w="100" w:type="dxa"/>
              <w:left w:w="100" w:type="dxa"/>
              <w:bottom w:w="100" w:type="dxa"/>
              <w:right w:w="100" w:type="dxa"/>
            </w:tcMar>
          </w:tcPr>
          <w:p w14:paraId="2CA51956"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34 in residential care</w:t>
            </w:r>
          </w:p>
        </w:tc>
        <w:tc>
          <w:tcPr>
            <w:tcW w:w="900" w:type="dxa"/>
            <w:tcMar>
              <w:top w:w="100" w:type="dxa"/>
              <w:left w:w="100" w:type="dxa"/>
              <w:bottom w:w="100" w:type="dxa"/>
              <w:right w:w="100" w:type="dxa"/>
            </w:tcMar>
          </w:tcPr>
          <w:p w14:paraId="54C9D30F"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This study has an exploratory and descriptive design.</w:t>
            </w:r>
          </w:p>
        </w:tc>
        <w:tc>
          <w:tcPr>
            <w:tcW w:w="1350" w:type="dxa"/>
            <w:tcMar>
              <w:top w:w="100" w:type="dxa"/>
              <w:left w:w="100" w:type="dxa"/>
              <w:bottom w:w="100" w:type="dxa"/>
              <w:right w:w="100" w:type="dxa"/>
            </w:tcMar>
          </w:tcPr>
          <w:p w14:paraId="5DB2B69F"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Strengthen the way to lead person-centred care to confirm what works and what needs to be developed.</w:t>
            </w:r>
          </w:p>
        </w:tc>
        <w:tc>
          <w:tcPr>
            <w:tcW w:w="1260" w:type="dxa"/>
            <w:tcMar>
              <w:top w:w="100" w:type="dxa"/>
              <w:left w:w="100" w:type="dxa"/>
              <w:bottom w:w="100" w:type="dxa"/>
              <w:right w:w="100" w:type="dxa"/>
            </w:tcMar>
          </w:tcPr>
          <w:p w14:paraId="2C14D93D"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 xml:space="preserve"> The results of the validation procedure showed that the framework is relevant for leaders in Swedish residential care for older people.</w:t>
            </w:r>
          </w:p>
        </w:tc>
        <w:tc>
          <w:tcPr>
            <w:tcW w:w="1440" w:type="dxa"/>
            <w:tcMar>
              <w:top w:w="100" w:type="dxa"/>
              <w:left w:w="100" w:type="dxa"/>
              <w:bottom w:w="100" w:type="dxa"/>
              <w:right w:w="100" w:type="dxa"/>
            </w:tcMar>
          </w:tcPr>
          <w:p w14:paraId="36DECD15"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The cross-culturally adapted framework is useful and suitable for leaders in Swedish residential care for older people.</w:t>
            </w:r>
          </w:p>
        </w:tc>
        <w:tc>
          <w:tcPr>
            <w:tcW w:w="1440" w:type="dxa"/>
            <w:tcMar>
              <w:top w:w="100" w:type="dxa"/>
              <w:left w:w="100" w:type="dxa"/>
              <w:bottom w:w="100" w:type="dxa"/>
              <w:right w:w="100" w:type="dxa"/>
            </w:tcMar>
          </w:tcPr>
          <w:p w14:paraId="1C6E62E4"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 xml:space="preserve">Identified the person-centered leadership characteristics in clinical leadership. </w:t>
            </w:r>
          </w:p>
        </w:tc>
        <w:tc>
          <w:tcPr>
            <w:tcW w:w="1350" w:type="dxa"/>
            <w:tcMar>
              <w:top w:w="100" w:type="dxa"/>
              <w:left w:w="100" w:type="dxa"/>
              <w:bottom w:w="100" w:type="dxa"/>
              <w:right w:w="100" w:type="dxa"/>
            </w:tcMar>
          </w:tcPr>
          <w:p w14:paraId="51D48A83"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It explored the adaptation of cross-cultural in aged-care.</w:t>
            </w:r>
          </w:p>
        </w:tc>
        <w:tc>
          <w:tcPr>
            <w:tcW w:w="1440" w:type="dxa"/>
            <w:tcMar>
              <w:top w:w="100" w:type="dxa"/>
              <w:left w:w="100" w:type="dxa"/>
              <w:bottom w:w="100" w:type="dxa"/>
              <w:right w:w="100" w:type="dxa"/>
            </w:tcMar>
          </w:tcPr>
          <w:p w14:paraId="61D29A94"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 xml:space="preserve">It is evaluated to guide the leadership training and development initiatives in residential care. </w:t>
            </w:r>
          </w:p>
        </w:tc>
        <w:tc>
          <w:tcPr>
            <w:tcW w:w="1350" w:type="dxa"/>
            <w:tcMar>
              <w:top w:w="100" w:type="dxa"/>
              <w:left w:w="100" w:type="dxa"/>
              <w:bottom w:w="100" w:type="dxa"/>
              <w:right w:w="100" w:type="dxa"/>
            </w:tcMar>
          </w:tcPr>
          <w:p w14:paraId="67811B8C"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It assessed the use of STROBE checklist for the cross-sectional people</w:t>
            </w:r>
          </w:p>
        </w:tc>
        <w:tc>
          <w:tcPr>
            <w:tcW w:w="900" w:type="dxa"/>
            <w:tcMar>
              <w:top w:w="100" w:type="dxa"/>
              <w:left w:w="100" w:type="dxa"/>
              <w:bottom w:w="100" w:type="dxa"/>
              <w:right w:w="100" w:type="dxa"/>
            </w:tcMar>
          </w:tcPr>
          <w:p w14:paraId="5F0AA665"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Theme 2</w:t>
            </w:r>
          </w:p>
        </w:tc>
      </w:tr>
      <w:tr w:rsidR="00826870" w:rsidRPr="00820F7A" w14:paraId="4C281362" w14:textId="77777777">
        <w:trPr>
          <w:cantSplit/>
          <w:tblHeader/>
        </w:trPr>
        <w:tc>
          <w:tcPr>
            <w:tcW w:w="753" w:type="dxa"/>
            <w:tcMar>
              <w:top w:w="100" w:type="dxa"/>
              <w:left w:w="100" w:type="dxa"/>
              <w:bottom w:w="100" w:type="dxa"/>
              <w:right w:w="100" w:type="dxa"/>
            </w:tcMar>
          </w:tcPr>
          <w:p w14:paraId="737E1F7A"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 xml:space="preserve">Alkan </w:t>
            </w:r>
            <w:r w:rsidRPr="00820F7A">
              <w:rPr>
                <w:i/>
                <w:iCs/>
                <w:color w:val="000000"/>
                <w:sz w:val="20"/>
                <w:szCs w:val="20"/>
                <w:lang w:val="en-GB"/>
              </w:rPr>
              <w:t xml:space="preserve">et al. </w:t>
            </w:r>
            <w:r w:rsidRPr="00820F7A">
              <w:rPr>
                <w:color w:val="000000"/>
                <w:sz w:val="20"/>
                <w:szCs w:val="20"/>
                <w:lang w:val="en-GB"/>
              </w:rPr>
              <w:t>(2024)</w:t>
            </w:r>
          </w:p>
        </w:tc>
        <w:tc>
          <w:tcPr>
            <w:tcW w:w="1097" w:type="dxa"/>
            <w:tcMar>
              <w:top w:w="100" w:type="dxa"/>
              <w:left w:w="100" w:type="dxa"/>
              <w:bottom w:w="100" w:type="dxa"/>
              <w:right w:w="100" w:type="dxa"/>
            </w:tcMar>
          </w:tcPr>
          <w:p w14:paraId="488A8D65"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To examine the relationship between turnover intention and organisational practice environment.</w:t>
            </w:r>
          </w:p>
        </w:tc>
        <w:tc>
          <w:tcPr>
            <w:tcW w:w="900" w:type="dxa"/>
            <w:tcMar>
              <w:top w:w="100" w:type="dxa"/>
              <w:left w:w="100" w:type="dxa"/>
              <w:bottom w:w="100" w:type="dxa"/>
              <w:right w:w="100" w:type="dxa"/>
            </w:tcMar>
          </w:tcPr>
          <w:p w14:paraId="065F421F"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 xml:space="preserve">373 nurses and allied healthcare professionals </w:t>
            </w:r>
          </w:p>
        </w:tc>
        <w:tc>
          <w:tcPr>
            <w:tcW w:w="900" w:type="dxa"/>
            <w:tcMar>
              <w:top w:w="100" w:type="dxa"/>
              <w:left w:w="100" w:type="dxa"/>
              <w:bottom w:w="100" w:type="dxa"/>
              <w:right w:w="100" w:type="dxa"/>
            </w:tcMar>
          </w:tcPr>
          <w:p w14:paraId="0F785E5B"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Sequential explanatory mixed-methods design</w:t>
            </w:r>
          </w:p>
        </w:tc>
        <w:tc>
          <w:tcPr>
            <w:tcW w:w="1350" w:type="dxa"/>
            <w:tcMar>
              <w:top w:w="100" w:type="dxa"/>
              <w:left w:w="100" w:type="dxa"/>
              <w:bottom w:w="100" w:type="dxa"/>
              <w:right w:w="100" w:type="dxa"/>
            </w:tcMar>
          </w:tcPr>
          <w:p w14:paraId="17C87A4A"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Systematic review introduced data validity</w:t>
            </w:r>
          </w:p>
        </w:tc>
        <w:tc>
          <w:tcPr>
            <w:tcW w:w="1260" w:type="dxa"/>
            <w:tcMar>
              <w:top w:w="100" w:type="dxa"/>
              <w:left w:w="100" w:type="dxa"/>
              <w:bottom w:w="100" w:type="dxa"/>
              <w:right w:w="100" w:type="dxa"/>
            </w:tcMar>
          </w:tcPr>
          <w:p w14:paraId="01082953"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Staff and senior leaders to explain the survey results and any significant associations therein</w:t>
            </w:r>
          </w:p>
        </w:tc>
        <w:tc>
          <w:tcPr>
            <w:tcW w:w="1440" w:type="dxa"/>
            <w:tcMar>
              <w:top w:w="100" w:type="dxa"/>
              <w:left w:w="100" w:type="dxa"/>
              <w:bottom w:w="100" w:type="dxa"/>
              <w:right w:w="100" w:type="dxa"/>
            </w:tcMar>
          </w:tcPr>
          <w:p w14:paraId="312610B9"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Findings from our work will be disseminated through publications in peer-reviewed journals; presentations at stakeholders’ events, professional and academic conferences; and short reports for stakeholders, including participating ICSs.</w:t>
            </w:r>
          </w:p>
        </w:tc>
        <w:tc>
          <w:tcPr>
            <w:tcW w:w="1440" w:type="dxa"/>
            <w:tcMar>
              <w:top w:w="100" w:type="dxa"/>
              <w:left w:w="100" w:type="dxa"/>
              <w:bottom w:w="100" w:type="dxa"/>
              <w:right w:w="100" w:type="dxa"/>
            </w:tcMar>
          </w:tcPr>
          <w:p w14:paraId="1C5C4C32"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 xml:space="preserve">To identify the investigation of healthcare workforce </w:t>
            </w:r>
          </w:p>
        </w:tc>
        <w:tc>
          <w:tcPr>
            <w:tcW w:w="1350" w:type="dxa"/>
            <w:tcMar>
              <w:top w:w="100" w:type="dxa"/>
              <w:left w:w="100" w:type="dxa"/>
              <w:bottom w:w="100" w:type="dxa"/>
              <w:right w:w="100" w:type="dxa"/>
            </w:tcMar>
          </w:tcPr>
          <w:p w14:paraId="1BE3E7FB"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To explore the healthcare workforce recruitment</w:t>
            </w:r>
          </w:p>
        </w:tc>
        <w:tc>
          <w:tcPr>
            <w:tcW w:w="1440" w:type="dxa"/>
            <w:tcMar>
              <w:top w:w="100" w:type="dxa"/>
              <w:left w:w="100" w:type="dxa"/>
              <w:bottom w:w="100" w:type="dxa"/>
              <w:right w:w="100" w:type="dxa"/>
            </w:tcMar>
          </w:tcPr>
          <w:p w14:paraId="114740CC"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 xml:space="preserve">To evaluate the staff turnover indicating retention issues </w:t>
            </w:r>
          </w:p>
        </w:tc>
        <w:tc>
          <w:tcPr>
            <w:tcW w:w="1350" w:type="dxa"/>
            <w:tcMar>
              <w:top w:w="100" w:type="dxa"/>
              <w:left w:w="100" w:type="dxa"/>
              <w:bottom w:w="100" w:type="dxa"/>
              <w:right w:w="100" w:type="dxa"/>
            </w:tcMar>
          </w:tcPr>
          <w:p w14:paraId="758D7B34"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To use Braun and</w:t>
            </w:r>
          </w:p>
          <w:p w14:paraId="4FBC7F13"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Clarke’s recommendations</w:t>
            </w:r>
          </w:p>
        </w:tc>
        <w:tc>
          <w:tcPr>
            <w:tcW w:w="900" w:type="dxa"/>
            <w:tcMar>
              <w:top w:w="100" w:type="dxa"/>
              <w:left w:w="100" w:type="dxa"/>
              <w:bottom w:w="100" w:type="dxa"/>
              <w:right w:w="100" w:type="dxa"/>
            </w:tcMar>
          </w:tcPr>
          <w:p w14:paraId="0D63E3D5"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Theme 2</w:t>
            </w:r>
          </w:p>
        </w:tc>
      </w:tr>
      <w:tr w:rsidR="00826870" w:rsidRPr="00820F7A" w14:paraId="2E759627" w14:textId="77777777">
        <w:trPr>
          <w:cantSplit/>
          <w:tblHeader/>
        </w:trPr>
        <w:tc>
          <w:tcPr>
            <w:tcW w:w="753" w:type="dxa"/>
            <w:tcMar>
              <w:top w:w="100" w:type="dxa"/>
              <w:left w:w="100" w:type="dxa"/>
              <w:bottom w:w="100" w:type="dxa"/>
              <w:right w:w="100" w:type="dxa"/>
            </w:tcMar>
          </w:tcPr>
          <w:p w14:paraId="387C6880"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 xml:space="preserve">Rowen </w:t>
            </w:r>
            <w:r w:rsidRPr="00820F7A">
              <w:rPr>
                <w:i/>
                <w:iCs/>
                <w:color w:val="000000"/>
                <w:sz w:val="20"/>
                <w:szCs w:val="20"/>
                <w:lang w:val="en-GB"/>
              </w:rPr>
              <w:t xml:space="preserve">et al. </w:t>
            </w:r>
            <w:r w:rsidRPr="00820F7A">
              <w:rPr>
                <w:color w:val="000000"/>
                <w:sz w:val="20"/>
                <w:szCs w:val="20"/>
                <w:lang w:val="en-GB"/>
              </w:rPr>
              <w:t>(2022)</w:t>
            </w:r>
          </w:p>
        </w:tc>
        <w:tc>
          <w:tcPr>
            <w:tcW w:w="1097" w:type="dxa"/>
            <w:tcMar>
              <w:top w:w="100" w:type="dxa"/>
              <w:left w:w="100" w:type="dxa"/>
              <w:bottom w:w="100" w:type="dxa"/>
              <w:right w:w="100" w:type="dxa"/>
            </w:tcMar>
          </w:tcPr>
          <w:p w14:paraId="17C1BE6F"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To influence the choice to make clinical negligence claims against a national healthcare system.</w:t>
            </w:r>
          </w:p>
        </w:tc>
        <w:tc>
          <w:tcPr>
            <w:tcW w:w="900" w:type="dxa"/>
            <w:tcMar>
              <w:top w:w="100" w:type="dxa"/>
              <w:left w:w="100" w:type="dxa"/>
              <w:bottom w:w="100" w:type="dxa"/>
              <w:right w:w="100" w:type="dxa"/>
            </w:tcMar>
          </w:tcPr>
          <w:p w14:paraId="7EB36A2F"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Marginal effects and the probability of making a claim in a baseline case were estimated.</w:t>
            </w:r>
          </w:p>
        </w:tc>
        <w:tc>
          <w:tcPr>
            <w:tcW w:w="900" w:type="dxa"/>
            <w:tcMar>
              <w:top w:w="100" w:type="dxa"/>
              <w:left w:w="100" w:type="dxa"/>
              <w:bottom w:w="100" w:type="dxa"/>
              <w:right w:w="100" w:type="dxa"/>
            </w:tcMar>
          </w:tcPr>
          <w:p w14:paraId="43FD8050"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Large online survey was conducted using a discrete choice experiment</w:t>
            </w:r>
          </w:p>
        </w:tc>
        <w:tc>
          <w:tcPr>
            <w:tcW w:w="1350" w:type="dxa"/>
            <w:tcMar>
              <w:top w:w="100" w:type="dxa"/>
              <w:left w:w="100" w:type="dxa"/>
              <w:bottom w:w="100" w:type="dxa"/>
              <w:right w:w="100" w:type="dxa"/>
            </w:tcMar>
          </w:tcPr>
          <w:p w14:paraId="6F3064FC"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Study strengths are that a representative sample of the UK general population for age and gender was achieved</w:t>
            </w:r>
          </w:p>
        </w:tc>
        <w:tc>
          <w:tcPr>
            <w:tcW w:w="1260" w:type="dxa"/>
            <w:tcMar>
              <w:top w:w="100" w:type="dxa"/>
              <w:left w:w="100" w:type="dxa"/>
              <w:bottom w:w="100" w:type="dxa"/>
              <w:right w:w="100" w:type="dxa"/>
            </w:tcMar>
          </w:tcPr>
          <w:p w14:paraId="2E9F1547"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The results indicate that providing an appropriate apology and explanation</w:t>
            </w:r>
          </w:p>
        </w:tc>
        <w:tc>
          <w:tcPr>
            <w:tcW w:w="1440" w:type="dxa"/>
            <w:tcMar>
              <w:top w:w="100" w:type="dxa"/>
              <w:left w:w="100" w:type="dxa"/>
              <w:bottom w:w="100" w:type="dxa"/>
              <w:right w:w="100" w:type="dxa"/>
            </w:tcMar>
          </w:tcPr>
          <w:p w14:paraId="280016D7"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The results suggest the actions of the healthcare system after a PSI and characteristics of the claims process</w:t>
            </w:r>
          </w:p>
        </w:tc>
        <w:tc>
          <w:tcPr>
            <w:tcW w:w="1440" w:type="dxa"/>
            <w:tcMar>
              <w:top w:w="100" w:type="dxa"/>
              <w:left w:w="100" w:type="dxa"/>
              <w:bottom w:w="100" w:type="dxa"/>
              <w:right w:w="100" w:type="dxa"/>
            </w:tcMar>
          </w:tcPr>
          <w:p w14:paraId="26790BFA"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To manage discrete choice experience</w:t>
            </w:r>
          </w:p>
        </w:tc>
        <w:tc>
          <w:tcPr>
            <w:tcW w:w="1350" w:type="dxa"/>
            <w:tcMar>
              <w:top w:w="100" w:type="dxa"/>
              <w:left w:w="100" w:type="dxa"/>
              <w:bottom w:w="100" w:type="dxa"/>
              <w:right w:w="100" w:type="dxa"/>
            </w:tcMar>
          </w:tcPr>
          <w:p w14:paraId="0CCD2F72"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 xml:space="preserve">To explore the illicit general population preferences </w:t>
            </w:r>
          </w:p>
        </w:tc>
        <w:tc>
          <w:tcPr>
            <w:tcW w:w="1440" w:type="dxa"/>
            <w:tcMar>
              <w:top w:w="100" w:type="dxa"/>
              <w:left w:w="100" w:type="dxa"/>
              <w:bottom w:w="100" w:type="dxa"/>
              <w:right w:w="100" w:type="dxa"/>
            </w:tcMar>
          </w:tcPr>
          <w:p w14:paraId="36A1CFAD"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 xml:space="preserve">To influence the choice to make clinical negligence </w:t>
            </w:r>
          </w:p>
        </w:tc>
        <w:tc>
          <w:tcPr>
            <w:tcW w:w="1350" w:type="dxa"/>
            <w:tcMar>
              <w:top w:w="100" w:type="dxa"/>
              <w:left w:w="100" w:type="dxa"/>
              <w:bottom w:w="100" w:type="dxa"/>
              <w:right w:w="100" w:type="dxa"/>
            </w:tcMar>
          </w:tcPr>
          <w:p w14:paraId="78A90094"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 xml:space="preserve">To influence the choice to make clinical negligence </w:t>
            </w:r>
          </w:p>
        </w:tc>
        <w:tc>
          <w:tcPr>
            <w:tcW w:w="900" w:type="dxa"/>
            <w:tcMar>
              <w:top w:w="100" w:type="dxa"/>
              <w:left w:w="100" w:type="dxa"/>
              <w:bottom w:w="100" w:type="dxa"/>
              <w:right w:w="100" w:type="dxa"/>
            </w:tcMar>
          </w:tcPr>
          <w:p w14:paraId="06881AB7"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Theme 3</w:t>
            </w:r>
          </w:p>
        </w:tc>
      </w:tr>
      <w:tr w:rsidR="00826870" w:rsidRPr="00820F7A" w14:paraId="328FD043" w14:textId="77777777">
        <w:trPr>
          <w:cantSplit/>
          <w:tblHeader/>
        </w:trPr>
        <w:tc>
          <w:tcPr>
            <w:tcW w:w="753" w:type="dxa"/>
            <w:tcMar>
              <w:top w:w="100" w:type="dxa"/>
              <w:left w:w="100" w:type="dxa"/>
              <w:bottom w:w="100" w:type="dxa"/>
              <w:right w:w="100" w:type="dxa"/>
            </w:tcMar>
          </w:tcPr>
          <w:p w14:paraId="700E2E6E"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 xml:space="preserve">Carter </w:t>
            </w:r>
            <w:r w:rsidRPr="00820F7A">
              <w:rPr>
                <w:i/>
                <w:iCs/>
                <w:color w:val="000000"/>
                <w:sz w:val="20"/>
                <w:szCs w:val="20"/>
                <w:lang w:val="en-GB"/>
              </w:rPr>
              <w:t xml:space="preserve">et al. </w:t>
            </w:r>
            <w:r w:rsidRPr="00820F7A">
              <w:rPr>
                <w:color w:val="000000"/>
                <w:sz w:val="20"/>
                <w:szCs w:val="20"/>
                <w:lang w:val="en-GB"/>
              </w:rPr>
              <w:t>(2022)</w:t>
            </w:r>
          </w:p>
        </w:tc>
        <w:tc>
          <w:tcPr>
            <w:tcW w:w="1097" w:type="dxa"/>
            <w:tcMar>
              <w:top w:w="100" w:type="dxa"/>
              <w:left w:w="100" w:type="dxa"/>
              <w:bottom w:w="100" w:type="dxa"/>
              <w:right w:w="100" w:type="dxa"/>
            </w:tcMar>
          </w:tcPr>
          <w:p w14:paraId="6B18311D"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Irrespective of the availability of information, in pursuit of objective fact some data sources are at</w:t>
            </w:r>
          </w:p>
          <w:p w14:paraId="1A2108D1"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lesser risk of bias than others</w:t>
            </w:r>
          </w:p>
        </w:tc>
        <w:tc>
          <w:tcPr>
            <w:tcW w:w="900" w:type="dxa"/>
            <w:tcMar>
              <w:top w:w="100" w:type="dxa"/>
              <w:left w:w="100" w:type="dxa"/>
              <w:bottom w:w="100" w:type="dxa"/>
              <w:right w:w="100" w:type="dxa"/>
            </w:tcMar>
          </w:tcPr>
          <w:p w14:paraId="005C0755"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High-income settings is clinical negligence reform</w:t>
            </w:r>
          </w:p>
        </w:tc>
        <w:tc>
          <w:tcPr>
            <w:tcW w:w="900" w:type="dxa"/>
            <w:tcMar>
              <w:top w:w="100" w:type="dxa"/>
              <w:left w:w="100" w:type="dxa"/>
              <w:bottom w:w="100" w:type="dxa"/>
              <w:right w:w="100" w:type="dxa"/>
            </w:tcMar>
          </w:tcPr>
          <w:p w14:paraId="6591ED57"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15 claim cases from one NHS Trust</w:t>
            </w:r>
          </w:p>
        </w:tc>
        <w:tc>
          <w:tcPr>
            <w:tcW w:w="1350" w:type="dxa"/>
            <w:tcMar>
              <w:top w:w="100" w:type="dxa"/>
              <w:left w:w="100" w:type="dxa"/>
              <w:bottom w:w="100" w:type="dxa"/>
              <w:right w:w="100" w:type="dxa"/>
            </w:tcMar>
          </w:tcPr>
          <w:p w14:paraId="2A4B1BEB"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To establish the strength of the link between a</w:t>
            </w:r>
          </w:p>
          <w:p w14:paraId="1E7ACB28"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breach of care and claimant harm.</w:t>
            </w:r>
          </w:p>
        </w:tc>
        <w:tc>
          <w:tcPr>
            <w:tcW w:w="1260" w:type="dxa"/>
            <w:tcMar>
              <w:top w:w="100" w:type="dxa"/>
              <w:left w:w="100" w:type="dxa"/>
              <w:bottom w:w="100" w:type="dxa"/>
              <w:right w:w="100" w:type="dxa"/>
            </w:tcMar>
          </w:tcPr>
          <w:p w14:paraId="67D08DA1"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47 unique citations presented in four of the 15 cases, 29</w:t>
            </w:r>
          </w:p>
          <w:p w14:paraId="46D639FF"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were Level 5 evidence</w:t>
            </w:r>
          </w:p>
        </w:tc>
        <w:tc>
          <w:tcPr>
            <w:tcW w:w="1440" w:type="dxa"/>
            <w:tcMar>
              <w:top w:w="100" w:type="dxa"/>
              <w:left w:w="100" w:type="dxa"/>
              <w:bottom w:w="100" w:type="dxa"/>
              <w:right w:w="100" w:type="dxa"/>
            </w:tcMar>
          </w:tcPr>
          <w:p w14:paraId="237BC3AE"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Observational study shows that clinical negligence claims in the English NHS are exposed to</w:t>
            </w:r>
          </w:p>
          <w:p w14:paraId="5E0EAE18"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measurable uncertainty, some of which can be managed by stakeholders</w:t>
            </w:r>
          </w:p>
        </w:tc>
        <w:tc>
          <w:tcPr>
            <w:tcW w:w="1440" w:type="dxa"/>
            <w:tcMar>
              <w:top w:w="100" w:type="dxa"/>
              <w:left w:w="100" w:type="dxa"/>
              <w:bottom w:w="100" w:type="dxa"/>
              <w:right w:w="100" w:type="dxa"/>
            </w:tcMar>
          </w:tcPr>
          <w:p w14:paraId="7439BE49"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 xml:space="preserve">To identify cost of clinical negligence continues to rise </w:t>
            </w:r>
          </w:p>
        </w:tc>
        <w:tc>
          <w:tcPr>
            <w:tcW w:w="1350" w:type="dxa"/>
            <w:tcMar>
              <w:top w:w="100" w:type="dxa"/>
              <w:left w:w="100" w:type="dxa"/>
              <w:bottom w:w="100" w:type="dxa"/>
              <w:right w:w="100" w:type="dxa"/>
            </w:tcMar>
          </w:tcPr>
          <w:p w14:paraId="6645E21D"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 xml:space="preserve">To explore uncertainty in the estimation of quanta of damages </w:t>
            </w:r>
          </w:p>
        </w:tc>
        <w:tc>
          <w:tcPr>
            <w:tcW w:w="1440" w:type="dxa"/>
            <w:tcMar>
              <w:top w:w="100" w:type="dxa"/>
              <w:left w:w="100" w:type="dxa"/>
              <w:bottom w:w="100" w:type="dxa"/>
              <w:right w:w="100" w:type="dxa"/>
            </w:tcMar>
          </w:tcPr>
          <w:p w14:paraId="22006C72"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 xml:space="preserve">To manage 15 claim cases from one NHS Trust </w:t>
            </w:r>
          </w:p>
        </w:tc>
        <w:tc>
          <w:tcPr>
            <w:tcW w:w="1350" w:type="dxa"/>
            <w:tcMar>
              <w:top w:w="100" w:type="dxa"/>
              <w:left w:w="100" w:type="dxa"/>
              <w:bottom w:w="100" w:type="dxa"/>
              <w:right w:w="100" w:type="dxa"/>
            </w:tcMar>
          </w:tcPr>
          <w:p w14:paraId="054D1933"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 xml:space="preserve">To recommend the level of uncertainty involved within deriving quanta </w:t>
            </w:r>
          </w:p>
        </w:tc>
        <w:tc>
          <w:tcPr>
            <w:tcW w:w="900" w:type="dxa"/>
            <w:tcMar>
              <w:top w:w="100" w:type="dxa"/>
              <w:left w:w="100" w:type="dxa"/>
              <w:bottom w:w="100" w:type="dxa"/>
              <w:right w:w="100" w:type="dxa"/>
            </w:tcMar>
          </w:tcPr>
          <w:p w14:paraId="79CC6D73"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Theme 3</w:t>
            </w:r>
          </w:p>
        </w:tc>
      </w:tr>
      <w:tr w:rsidR="00826870" w:rsidRPr="00820F7A" w14:paraId="72BDEBA2" w14:textId="77777777">
        <w:trPr>
          <w:cantSplit/>
          <w:tblHeader/>
        </w:trPr>
        <w:tc>
          <w:tcPr>
            <w:tcW w:w="753" w:type="dxa"/>
            <w:tcMar>
              <w:top w:w="100" w:type="dxa"/>
              <w:left w:w="100" w:type="dxa"/>
              <w:bottom w:w="100" w:type="dxa"/>
              <w:right w:w="100" w:type="dxa"/>
            </w:tcMar>
          </w:tcPr>
          <w:p w14:paraId="52355B01"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 xml:space="preserve">Lorenc </w:t>
            </w:r>
            <w:r w:rsidRPr="00820F7A">
              <w:rPr>
                <w:i/>
                <w:iCs/>
                <w:color w:val="000000"/>
                <w:sz w:val="20"/>
                <w:szCs w:val="20"/>
                <w:lang w:val="en-GB"/>
              </w:rPr>
              <w:t xml:space="preserve">et al. </w:t>
            </w:r>
            <w:r w:rsidRPr="00820F7A">
              <w:rPr>
                <w:color w:val="000000"/>
                <w:sz w:val="20"/>
                <w:szCs w:val="20"/>
                <w:lang w:val="en-GB"/>
              </w:rPr>
              <w:t>(2024)</w:t>
            </w:r>
          </w:p>
        </w:tc>
        <w:tc>
          <w:tcPr>
            <w:tcW w:w="1097" w:type="dxa"/>
            <w:tcMar>
              <w:top w:w="100" w:type="dxa"/>
              <w:left w:w="100" w:type="dxa"/>
              <w:bottom w:w="100" w:type="dxa"/>
              <w:right w:w="100" w:type="dxa"/>
            </w:tcMar>
          </w:tcPr>
          <w:p w14:paraId="63F105D6"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To synthesise qualitative evidence on clinicians’</w:t>
            </w:r>
          </w:p>
          <w:p w14:paraId="3079BFBB"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Views and experiences of defensive practice.</w:t>
            </w:r>
          </w:p>
        </w:tc>
        <w:tc>
          <w:tcPr>
            <w:tcW w:w="900" w:type="dxa"/>
            <w:tcMar>
              <w:top w:w="100" w:type="dxa"/>
              <w:left w:w="100" w:type="dxa"/>
              <w:bottom w:w="100" w:type="dxa"/>
              <w:right w:w="100" w:type="dxa"/>
            </w:tcMar>
          </w:tcPr>
          <w:p w14:paraId="49BD2C5E"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The market for malpractice insurance in the USA, where many clinicians purchase cover as</w:t>
            </w:r>
          </w:p>
          <w:p w14:paraId="795BFE44"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individuals, is quite different to that in other settings such</w:t>
            </w:r>
          </w:p>
          <w:p w14:paraId="59367B06"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as the UK where this is less common</w:t>
            </w:r>
          </w:p>
        </w:tc>
        <w:tc>
          <w:tcPr>
            <w:tcW w:w="900" w:type="dxa"/>
            <w:tcMar>
              <w:top w:w="100" w:type="dxa"/>
              <w:left w:w="100" w:type="dxa"/>
              <w:bottom w:w="100" w:type="dxa"/>
              <w:right w:w="100" w:type="dxa"/>
            </w:tcMar>
          </w:tcPr>
          <w:p w14:paraId="1A1A8CFE"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CRD</w:t>
            </w:r>
          </w:p>
          <w:p w14:paraId="079FB0C3"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Methods Manual21 and reported in accordance with</w:t>
            </w:r>
          </w:p>
          <w:p w14:paraId="144CDD11"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PRISMA guidelines</w:t>
            </w:r>
          </w:p>
        </w:tc>
        <w:tc>
          <w:tcPr>
            <w:tcW w:w="1350" w:type="dxa"/>
            <w:tcMar>
              <w:top w:w="100" w:type="dxa"/>
              <w:left w:w="100" w:type="dxa"/>
              <w:bottom w:w="100" w:type="dxa"/>
              <w:right w:w="100" w:type="dxa"/>
            </w:tcMar>
          </w:tcPr>
          <w:p w14:paraId="63C99FCD"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This is a comprehensive systematic review of the</w:t>
            </w:r>
          </w:p>
          <w:p w14:paraId="49047861"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Qualitative evidence from clinicians on defensive practice.</w:t>
            </w:r>
          </w:p>
        </w:tc>
        <w:tc>
          <w:tcPr>
            <w:tcW w:w="1260" w:type="dxa"/>
            <w:tcMar>
              <w:top w:w="100" w:type="dxa"/>
              <w:left w:w="100" w:type="dxa"/>
              <w:bottom w:w="100" w:type="dxa"/>
              <w:right w:w="100" w:type="dxa"/>
            </w:tcMar>
          </w:tcPr>
          <w:p w14:paraId="4B8AF336"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17 studies were included</w:t>
            </w:r>
          </w:p>
        </w:tc>
        <w:tc>
          <w:tcPr>
            <w:tcW w:w="1440" w:type="dxa"/>
            <w:tcMar>
              <w:top w:w="100" w:type="dxa"/>
              <w:left w:w="100" w:type="dxa"/>
              <w:bottom w:w="100" w:type="dxa"/>
              <w:right w:w="100" w:type="dxa"/>
            </w:tcMar>
          </w:tcPr>
          <w:p w14:paraId="2CA12D85"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The idea of defensive practice, as enacted,</w:t>
            </w:r>
          </w:p>
          <w:p w14:paraId="3E5C050F"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is more complex than some theoretical accounts</w:t>
            </w:r>
          </w:p>
        </w:tc>
        <w:tc>
          <w:tcPr>
            <w:tcW w:w="1440" w:type="dxa"/>
            <w:tcMar>
              <w:top w:w="100" w:type="dxa"/>
              <w:left w:w="100" w:type="dxa"/>
              <w:bottom w:w="100" w:type="dxa"/>
              <w:right w:w="100" w:type="dxa"/>
            </w:tcMar>
          </w:tcPr>
          <w:p w14:paraId="6B3ADDB3"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 xml:space="preserve">To manage systematic review of qualitative data </w:t>
            </w:r>
          </w:p>
        </w:tc>
        <w:tc>
          <w:tcPr>
            <w:tcW w:w="1350" w:type="dxa"/>
            <w:tcMar>
              <w:top w:w="100" w:type="dxa"/>
              <w:left w:w="100" w:type="dxa"/>
              <w:bottom w:w="100" w:type="dxa"/>
              <w:right w:w="100" w:type="dxa"/>
            </w:tcMar>
          </w:tcPr>
          <w:p w14:paraId="4C580048"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 xml:space="preserve">To explore evidence on clinicians’ views </w:t>
            </w:r>
          </w:p>
        </w:tc>
        <w:tc>
          <w:tcPr>
            <w:tcW w:w="1440" w:type="dxa"/>
            <w:tcMar>
              <w:top w:w="100" w:type="dxa"/>
              <w:left w:w="100" w:type="dxa"/>
              <w:bottom w:w="100" w:type="dxa"/>
              <w:right w:w="100" w:type="dxa"/>
            </w:tcMar>
          </w:tcPr>
          <w:p w14:paraId="670FA57E"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 xml:space="preserve">To experiences of defensive practice </w:t>
            </w:r>
          </w:p>
        </w:tc>
        <w:tc>
          <w:tcPr>
            <w:tcW w:w="1350" w:type="dxa"/>
            <w:tcMar>
              <w:top w:w="100" w:type="dxa"/>
              <w:left w:w="100" w:type="dxa"/>
              <w:bottom w:w="100" w:type="dxa"/>
              <w:right w:w="100" w:type="dxa"/>
            </w:tcMar>
          </w:tcPr>
          <w:p w14:paraId="5E4CBCB8"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 xml:space="preserve">To recommend defensive practices is seen to be harmful </w:t>
            </w:r>
          </w:p>
        </w:tc>
        <w:tc>
          <w:tcPr>
            <w:tcW w:w="900" w:type="dxa"/>
            <w:tcMar>
              <w:top w:w="100" w:type="dxa"/>
              <w:left w:w="100" w:type="dxa"/>
              <w:bottom w:w="100" w:type="dxa"/>
              <w:right w:w="100" w:type="dxa"/>
            </w:tcMar>
          </w:tcPr>
          <w:p w14:paraId="40F0D8E7"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Theme 4</w:t>
            </w:r>
          </w:p>
        </w:tc>
      </w:tr>
      <w:tr w:rsidR="00826870" w:rsidRPr="00820F7A" w14:paraId="338162E7" w14:textId="77777777">
        <w:trPr>
          <w:cantSplit/>
          <w:tblHeader/>
        </w:trPr>
        <w:tc>
          <w:tcPr>
            <w:tcW w:w="753" w:type="dxa"/>
            <w:tcMar>
              <w:top w:w="100" w:type="dxa"/>
              <w:left w:w="100" w:type="dxa"/>
              <w:bottom w:w="100" w:type="dxa"/>
              <w:right w:w="100" w:type="dxa"/>
            </w:tcMar>
          </w:tcPr>
          <w:p w14:paraId="7B059E42"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 xml:space="preserve">Jones </w:t>
            </w:r>
            <w:r w:rsidRPr="00820F7A">
              <w:rPr>
                <w:i/>
                <w:iCs/>
                <w:color w:val="000000"/>
                <w:sz w:val="20"/>
                <w:szCs w:val="20"/>
                <w:lang w:val="en-GB"/>
              </w:rPr>
              <w:t xml:space="preserve">et al. </w:t>
            </w:r>
            <w:r w:rsidRPr="00820F7A">
              <w:rPr>
                <w:color w:val="000000"/>
                <w:sz w:val="20"/>
                <w:szCs w:val="20"/>
                <w:lang w:val="en-GB"/>
              </w:rPr>
              <w:t>(2024)</w:t>
            </w:r>
          </w:p>
        </w:tc>
        <w:tc>
          <w:tcPr>
            <w:tcW w:w="1097" w:type="dxa"/>
            <w:tcMar>
              <w:top w:w="100" w:type="dxa"/>
              <w:left w:w="100" w:type="dxa"/>
              <w:bottom w:w="100" w:type="dxa"/>
              <w:right w:w="100" w:type="dxa"/>
            </w:tcMar>
          </w:tcPr>
          <w:p w14:paraId="21954649"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Clinical involvement in organisational leadership has been positively</w:t>
            </w:r>
          </w:p>
        </w:tc>
        <w:tc>
          <w:tcPr>
            <w:tcW w:w="900" w:type="dxa"/>
            <w:tcMar>
              <w:top w:w="100" w:type="dxa"/>
              <w:left w:w="100" w:type="dxa"/>
              <w:bottom w:w="100" w:type="dxa"/>
              <w:right w:w="100" w:type="dxa"/>
            </w:tcMar>
          </w:tcPr>
          <w:p w14:paraId="76B61F2E"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Clinical leadership and management has also risen markedly</w:t>
            </w:r>
          </w:p>
        </w:tc>
        <w:tc>
          <w:tcPr>
            <w:tcW w:w="900" w:type="dxa"/>
            <w:tcMar>
              <w:top w:w="100" w:type="dxa"/>
              <w:left w:w="100" w:type="dxa"/>
              <w:bottom w:w="100" w:type="dxa"/>
              <w:right w:w="100" w:type="dxa"/>
            </w:tcMar>
          </w:tcPr>
          <w:p w14:paraId="43D71E8C"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Strong relationship between an increase in the number of managers with a clinical degree</w:t>
            </w:r>
          </w:p>
        </w:tc>
        <w:tc>
          <w:tcPr>
            <w:tcW w:w="1350" w:type="dxa"/>
            <w:tcMar>
              <w:top w:w="100" w:type="dxa"/>
              <w:left w:w="100" w:type="dxa"/>
              <w:bottom w:w="100" w:type="dxa"/>
              <w:right w:w="100" w:type="dxa"/>
            </w:tcMar>
          </w:tcPr>
          <w:p w14:paraId="2EBBBDFF"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The discipline has been strengthened by influential clinician leaders</w:t>
            </w:r>
          </w:p>
        </w:tc>
        <w:tc>
          <w:tcPr>
            <w:tcW w:w="1260" w:type="dxa"/>
            <w:tcMar>
              <w:top w:w="100" w:type="dxa"/>
              <w:left w:w="100" w:type="dxa"/>
              <w:bottom w:w="100" w:type="dxa"/>
              <w:right w:w="100" w:type="dxa"/>
            </w:tcMar>
          </w:tcPr>
          <w:p w14:paraId="7374B102"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Spreading clinical leadership and management with steps to create positive organisational cultures in which clinician leaders</w:t>
            </w:r>
          </w:p>
        </w:tc>
        <w:tc>
          <w:tcPr>
            <w:tcW w:w="1440" w:type="dxa"/>
            <w:tcMar>
              <w:top w:w="100" w:type="dxa"/>
              <w:left w:w="100" w:type="dxa"/>
              <w:bottom w:w="100" w:type="dxa"/>
              <w:right w:w="100" w:type="dxa"/>
            </w:tcMar>
          </w:tcPr>
          <w:p w14:paraId="5EB77D9B"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These measures can be delivered through a change in strategic attitudes and culture and are not resource dependent.</w:t>
            </w:r>
          </w:p>
        </w:tc>
        <w:tc>
          <w:tcPr>
            <w:tcW w:w="1440" w:type="dxa"/>
            <w:tcMar>
              <w:top w:w="100" w:type="dxa"/>
              <w:left w:w="100" w:type="dxa"/>
              <w:bottom w:w="100" w:type="dxa"/>
              <w:right w:w="100" w:type="dxa"/>
            </w:tcMar>
          </w:tcPr>
          <w:p w14:paraId="405A8218"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 xml:space="preserve">To underline association </w:t>
            </w:r>
          </w:p>
        </w:tc>
        <w:tc>
          <w:tcPr>
            <w:tcW w:w="1350" w:type="dxa"/>
            <w:tcMar>
              <w:top w:w="100" w:type="dxa"/>
              <w:left w:w="100" w:type="dxa"/>
              <w:bottom w:w="100" w:type="dxa"/>
              <w:right w:w="100" w:type="dxa"/>
            </w:tcMar>
          </w:tcPr>
          <w:p w14:paraId="6B3DA3F0"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To manage community of organisational leaders with medical</w:t>
            </w:r>
          </w:p>
        </w:tc>
        <w:tc>
          <w:tcPr>
            <w:tcW w:w="1440" w:type="dxa"/>
            <w:tcMar>
              <w:top w:w="100" w:type="dxa"/>
              <w:left w:w="100" w:type="dxa"/>
              <w:bottom w:w="100" w:type="dxa"/>
              <w:right w:w="100" w:type="dxa"/>
            </w:tcMar>
          </w:tcPr>
          <w:p w14:paraId="36C72A7F"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 xml:space="preserve">To ensure clinical degree and improvements </w:t>
            </w:r>
          </w:p>
        </w:tc>
        <w:tc>
          <w:tcPr>
            <w:tcW w:w="1350" w:type="dxa"/>
            <w:tcMar>
              <w:top w:w="100" w:type="dxa"/>
              <w:left w:w="100" w:type="dxa"/>
              <w:bottom w:w="100" w:type="dxa"/>
              <w:right w:w="100" w:type="dxa"/>
            </w:tcMar>
          </w:tcPr>
          <w:p w14:paraId="11B60ACE"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 xml:space="preserve">To recommend the positive contribution to information technology adoption </w:t>
            </w:r>
          </w:p>
        </w:tc>
        <w:tc>
          <w:tcPr>
            <w:tcW w:w="900" w:type="dxa"/>
            <w:tcMar>
              <w:top w:w="100" w:type="dxa"/>
              <w:left w:w="100" w:type="dxa"/>
              <w:bottom w:w="100" w:type="dxa"/>
              <w:right w:w="100" w:type="dxa"/>
            </w:tcMar>
          </w:tcPr>
          <w:p w14:paraId="0FC92AF3"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Theme 4</w:t>
            </w:r>
          </w:p>
        </w:tc>
      </w:tr>
      <w:tr w:rsidR="00826870" w:rsidRPr="00820F7A" w14:paraId="73D4A4DA" w14:textId="77777777">
        <w:trPr>
          <w:cantSplit/>
          <w:tblHeader/>
        </w:trPr>
        <w:tc>
          <w:tcPr>
            <w:tcW w:w="753" w:type="dxa"/>
            <w:tcMar>
              <w:top w:w="100" w:type="dxa"/>
              <w:left w:w="100" w:type="dxa"/>
              <w:bottom w:w="100" w:type="dxa"/>
              <w:right w:w="100" w:type="dxa"/>
            </w:tcMar>
          </w:tcPr>
          <w:p w14:paraId="05BBFB5B"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 xml:space="preserve">Philipson </w:t>
            </w:r>
            <w:r w:rsidRPr="00820F7A">
              <w:rPr>
                <w:i/>
                <w:iCs/>
                <w:color w:val="000000"/>
                <w:sz w:val="20"/>
                <w:szCs w:val="20"/>
                <w:lang w:val="en-GB"/>
              </w:rPr>
              <w:t xml:space="preserve">et al. </w:t>
            </w:r>
            <w:r w:rsidRPr="00820F7A">
              <w:rPr>
                <w:color w:val="000000"/>
                <w:sz w:val="20"/>
                <w:szCs w:val="20"/>
                <w:lang w:val="en-GB"/>
              </w:rPr>
              <w:t>(2025)</w:t>
            </w:r>
          </w:p>
        </w:tc>
        <w:tc>
          <w:tcPr>
            <w:tcW w:w="1097" w:type="dxa"/>
            <w:tcMar>
              <w:top w:w="100" w:type="dxa"/>
              <w:left w:w="100" w:type="dxa"/>
              <w:bottom w:w="100" w:type="dxa"/>
              <w:right w:w="100" w:type="dxa"/>
            </w:tcMar>
          </w:tcPr>
          <w:p w14:paraId="17A697D2"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Programme goals, and embedding them in evaluation frameworks, can promote accountability among faculty and participants, encouraging alignment with system-level objectives.</w:t>
            </w:r>
          </w:p>
        </w:tc>
        <w:tc>
          <w:tcPr>
            <w:tcW w:w="900" w:type="dxa"/>
            <w:tcMar>
              <w:top w:w="100" w:type="dxa"/>
              <w:left w:w="100" w:type="dxa"/>
              <w:bottom w:w="100" w:type="dxa"/>
              <w:right w:w="100" w:type="dxa"/>
            </w:tcMar>
          </w:tcPr>
          <w:p w14:paraId="6D1B0AE2"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Mixed-methods</w:t>
            </w:r>
          </w:p>
          <w:p w14:paraId="417D77C3"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approaches, coaching or mentoring, longitudinal designs,</w:t>
            </w:r>
          </w:p>
          <w:p w14:paraId="056850D4"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goal-setting,</w:t>
            </w:r>
          </w:p>
        </w:tc>
        <w:tc>
          <w:tcPr>
            <w:tcW w:w="900" w:type="dxa"/>
            <w:tcMar>
              <w:top w:w="100" w:type="dxa"/>
              <w:left w:w="100" w:type="dxa"/>
              <w:bottom w:w="100" w:type="dxa"/>
              <w:right w:w="100" w:type="dxa"/>
            </w:tcMar>
          </w:tcPr>
          <w:p w14:paraId="0DF19874"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Review follows the Joanna Briggs Institute</w:t>
            </w:r>
          </w:p>
          <w:p w14:paraId="08725FE7"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methodology for umbrella reviews</w:t>
            </w:r>
          </w:p>
        </w:tc>
        <w:tc>
          <w:tcPr>
            <w:tcW w:w="1350" w:type="dxa"/>
            <w:tcMar>
              <w:top w:w="100" w:type="dxa"/>
              <w:left w:w="100" w:type="dxa"/>
              <w:bottom w:w="100" w:type="dxa"/>
              <w:right w:w="100" w:type="dxa"/>
            </w:tcMar>
          </w:tcPr>
          <w:p w14:paraId="26D5D884"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Wide range of review types, including both</w:t>
            </w:r>
          </w:p>
          <w:p w14:paraId="74E0113F"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quantitative and qualitative studies, and provides a broad and</w:t>
            </w:r>
          </w:p>
          <w:p w14:paraId="5302A129"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well-rounded perspective on leadership development interventions</w:t>
            </w:r>
          </w:p>
        </w:tc>
        <w:tc>
          <w:tcPr>
            <w:tcW w:w="1260" w:type="dxa"/>
            <w:tcMar>
              <w:top w:w="100" w:type="dxa"/>
              <w:left w:w="100" w:type="dxa"/>
              <w:bottom w:w="100" w:type="dxa"/>
              <w:right w:w="100" w:type="dxa"/>
            </w:tcMar>
          </w:tcPr>
          <w:p w14:paraId="26ED84BA"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Search results into Covidence</w:t>
            </w:r>
          </w:p>
        </w:tc>
        <w:tc>
          <w:tcPr>
            <w:tcW w:w="1440" w:type="dxa"/>
            <w:tcMar>
              <w:top w:w="100" w:type="dxa"/>
              <w:left w:w="100" w:type="dxa"/>
              <w:bottom w:w="100" w:type="dxa"/>
              <w:right w:w="100" w:type="dxa"/>
            </w:tcMar>
          </w:tcPr>
          <w:p w14:paraId="01099D74"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Variability in study quality may affect the strength of the</w:t>
            </w:r>
          </w:p>
          <w:p w14:paraId="68EA225C"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Conclusions drawn from this review.</w:t>
            </w:r>
          </w:p>
        </w:tc>
        <w:tc>
          <w:tcPr>
            <w:tcW w:w="1440" w:type="dxa"/>
            <w:tcMar>
              <w:top w:w="100" w:type="dxa"/>
              <w:left w:w="100" w:type="dxa"/>
              <w:bottom w:w="100" w:type="dxa"/>
              <w:right w:w="100" w:type="dxa"/>
            </w:tcMar>
          </w:tcPr>
          <w:p w14:paraId="79351E9A"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 xml:space="preserve">To leadership training in healthcare fostering patient safety </w:t>
            </w:r>
          </w:p>
        </w:tc>
        <w:tc>
          <w:tcPr>
            <w:tcW w:w="1350" w:type="dxa"/>
            <w:tcMar>
              <w:top w:w="100" w:type="dxa"/>
              <w:left w:w="100" w:type="dxa"/>
              <w:bottom w:w="100" w:type="dxa"/>
              <w:right w:w="100" w:type="dxa"/>
            </w:tcMar>
          </w:tcPr>
          <w:p w14:paraId="05E3F6EE"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To explore leadership remains a lack of consensus</w:t>
            </w:r>
          </w:p>
        </w:tc>
        <w:tc>
          <w:tcPr>
            <w:tcW w:w="1440" w:type="dxa"/>
            <w:tcMar>
              <w:top w:w="100" w:type="dxa"/>
              <w:left w:w="100" w:type="dxa"/>
              <w:bottom w:w="100" w:type="dxa"/>
              <w:right w:w="100" w:type="dxa"/>
            </w:tcMar>
          </w:tcPr>
          <w:p w14:paraId="1584BB0A"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 xml:space="preserve">To sought to aggregate and synthesise the literature </w:t>
            </w:r>
          </w:p>
        </w:tc>
        <w:tc>
          <w:tcPr>
            <w:tcW w:w="1350" w:type="dxa"/>
            <w:tcMar>
              <w:top w:w="100" w:type="dxa"/>
              <w:left w:w="100" w:type="dxa"/>
              <w:bottom w:w="100" w:type="dxa"/>
              <w:right w:w="100" w:type="dxa"/>
            </w:tcMar>
          </w:tcPr>
          <w:p w14:paraId="2008396A"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 xml:space="preserve">To recommend systematic umbrella review on leadership development </w:t>
            </w:r>
          </w:p>
        </w:tc>
        <w:tc>
          <w:tcPr>
            <w:tcW w:w="900" w:type="dxa"/>
            <w:tcMar>
              <w:top w:w="100" w:type="dxa"/>
              <w:left w:w="100" w:type="dxa"/>
              <w:bottom w:w="100" w:type="dxa"/>
              <w:right w:w="100" w:type="dxa"/>
            </w:tcMar>
          </w:tcPr>
          <w:p w14:paraId="768F559F"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Theme 4</w:t>
            </w:r>
          </w:p>
        </w:tc>
      </w:tr>
      <w:tr w:rsidR="00826870" w:rsidRPr="00820F7A" w14:paraId="603E9485" w14:textId="77777777">
        <w:trPr>
          <w:cantSplit/>
          <w:tblHeader/>
        </w:trPr>
        <w:tc>
          <w:tcPr>
            <w:tcW w:w="753" w:type="dxa"/>
            <w:tcMar>
              <w:top w:w="100" w:type="dxa"/>
              <w:left w:w="100" w:type="dxa"/>
              <w:bottom w:w="100" w:type="dxa"/>
              <w:right w:w="100" w:type="dxa"/>
            </w:tcMar>
          </w:tcPr>
          <w:p w14:paraId="3FC53535"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 xml:space="preserve">Antonopoulou </w:t>
            </w:r>
            <w:r w:rsidRPr="00820F7A">
              <w:rPr>
                <w:i/>
                <w:iCs/>
                <w:color w:val="000000"/>
                <w:sz w:val="20"/>
                <w:szCs w:val="20"/>
                <w:lang w:val="en-GB"/>
              </w:rPr>
              <w:t xml:space="preserve">et al. </w:t>
            </w:r>
            <w:r w:rsidRPr="00820F7A">
              <w:rPr>
                <w:color w:val="000000"/>
                <w:sz w:val="20"/>
                <w:szCs w:val="20"/>
                <w:lang w:val="en-GB"/>
              </w:rPr>
              <w:t>(2024)</w:t>
            </w:r>
          </w:p>
        </w:tc>
        <w:tc>
          <w:tcPr>
            <w:tcW w:w="1097" w:type="dxa"/>
            <w:tcMar>
              <w:top w:w="100" w:type="dxa"/>
              <w:left w:w="100" w:type="dxa"/>
              <w:bottom w:w="100" w:type="dxa"/>
              <w:right w:w="100" w:type="dxa"/>
            </w:tcMar>
          </w:tcPr>
          <w:p w14:paraId="0B970F65"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Actors and their behaviours that are relevant to initial responses to complaints within secondary and tertiary care</w:t>
            </w:r>
          </w:p>
        </w:tc>
        <w:tc>
          <w:tcPr>
            <w:tcW w:w="900" w:type="dxa"/>
            <w:tcMar>
              <w:top w:w="100" w:type="dxa"/>
              <w:left w:w="100" w:type="dxa"/>
              <w:bottom w:w="100" w:type="dxa"/>
              <w:right w:w="100" w:type="dxa"/>
            </w:tcMar>
          </w:tcPr>
          <w:p w14:paraId="3D3640B3"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Improve the design of policies, programmes and services aimed at achieving better health outcomes for all</w:t>
            </w:r>
          </w:p>
        </w:tc>
        <w:tc>
          <w:tcPr>
            <w:tcW w:w="900" w:type="dxa"/>
            <w:tcMar>
              <w:top w:w="100" w:type="dxa"/>
              <w:left w:w="100" w:type="dxa"/>
              <w:bottom w:w="100" w:type="dxa"/>
              <w:right w:w="100" w:type="dxa"/>
            </w:tcMar>
          </w:tcPr>
          <w:p w14:paraId="655CF6E8"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 xml:space="preserve">A systematic literature review of UK published and unpublished </w:t>
            </w:r>
          </w:p>
        </w:tc>
        <w:tc>
          <w:tcPr>
            <w:tcW w:w="1350" w:type="dxa"/>
            <w:tcMar>
              <w:top w:w="100" w:type="dxa"/>
              <w:left w:w="100" w:type="dxa"/>
              <w:bottom w:w="100" w:type="dxa"/>
              <w:right w:w="100" w:type="dxa"/>
            </w:tcMar>
          </w:tcPr>
          <w:p w14:paraId="3A7900FE"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 xml:space="preserve"> A strength of using the TDF is that it can be mapped onto comprehensive frameworks representing influences</w:t>
            </w:r>
          </w:p>
        </w:tc>
        <w:tc>
          <w:tcPr>
            <w:tcW w:w="1260" w:type="dxa"/>
            <w:tcMar>
              <w:top w:w="100" w:type="dxa"/>
              <w:left w:w="100" w:type="dxa"/>
              <w:bottom w:w="100" w:type="dxa"/>
              <w:right w:w="100" w:type="dxa"/>
            </w:tcMar>
          </w:tcPr>
          <w:p w14:paraId="4F27DA87"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 xml:space="preserve">Results from questionnaire and survey studies, case studies reported in commentaries and descriptions, and summaries of results from reports. </w:t>
            </w:r>
          </w:p>
        </w:tc>
        <w:tc>
          <w:tcPr>
            <w:tcW w:w="1440" w:type="dxa"/>
            <w:tcMar>
              <w:top w:w="100" w:type="dxa"/>
              <w:left w:w="100" w:type="dxa"/>
              <w:bottom w:w="100" w:type="dxa"/>
              <w:right w:w="100" w:type="dxa"/>
            </w:tcMar>
          </w:tcPr>
          <w:p w14:paraId="46F7471B"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Through the application of behavioural science, we identified a wide range of individual, social/organizational and environmental influences on complaints handling.</w:t>
            </w:r>
          </w:p>
        </w:tc>
        <w:tc>
          <w:tcPr>
            <w:tcW w:w="1440" w:type="dxa"/>
            <w:tcMar>
              <w:top w:w="100" w:type="dxa"/>
              <w:left w:w="100" w:type="dxa"/>
              <w:bottom w:w="100" w:type="dxa"/>
              <w:right w:w="100" w:type="dxa"/>
            </w:tcMar>
          </w:tcPr>
          <w:p w14:paraId="176FBD63"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To understand healthcare professionals'</w:t>
            </w:r>
          </w:p>
        </w:tc>
        <w:tc>
          <w:tcPr>
            <w:tcW w:w="1350" w:type="dxa"/>
            <w:tcMar>
              <w:top w:w="100" w:type="dxa"/>
              <w:left w:w="100" w:type="dxa"/>
              <w:bottom w:w="100" w:type="dxa"/>
              <w:right w:w="100" w:type="dxa"/>
            </w:tcMar>
          </w:tcPr>
          <w:p w14:paraId="34C14BFE"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 xml:space="preserve">To explore the patient complaints in secondary and tertiary care </w:t>
            </w:r>
          </w:p>
        </w:tc>
        <w:tc>
          <w:tcPr>
            <w:tcW w:w="1440" w:type="dxa"/>
            <w:tcMar>
              <w:top w:w="100" w:type="dxa"/>
              <w:left w:w="100" w:type="dxa"/>
              <w:bottom w:w="100" w:type="dxa"/>
              <w:right w:w="100" w:type="dxa"/>
            </w:tcMar>
          </w:tcPr>
          <w:p w14:paraId="768D1E9F"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 xml:space="preserve">To evaluate the systematic review and behavioural analysis </w:t>
            </w:r>
          </w:p>
        </w:tc>
        <w:tc>
          <w:tcPr>
            <w:tcW w:w="1350" w:type="dxa"/>
            <w:tcMar>
              <w:top w:w="100" w:type="dxa"/>
              <w:left w:w="100" w:type="dxa"/>
              <w:bottom w:w="100" w:type="dxa"/>
              <w:right w:w="100" w:type="dxa"/>
            </w:tcMar>
          </w:tcPr>
          <w:p w14:paraId="1EDCA151"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 xml:space="preserve">To assess strategies related to theoretical domains framework </w:t>
            </w:r>
          </w:p>
        </w:tc>
        <w:tc>
          <w:tcPr>
            <w:tcW w:w="900" w:type="dxa"/>
            <w:tcMar>
              <w:top w:w="100" w:type="dxa"/>
              <w:left w:w="100" w:type="dxa"/>
              <w:bottom w:w="100" w:type="dxa"/>
              <w:right w:w="100" w:type="dxa"/>
            </w:tcMar>
          </w:tcPr>
          <w:p w14:paraId="1125551B"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Theme 3</w:t>
            </w:r>
          </w:p>
        </w:tc>
      </w:tr>
      <w:tr w:rsidR="00826870" w:rsidRPr="00820F7A" w14:paraId="09F99825" w14:textId="77777777">
        <w:trPr>
          <w:cantSplit/>
          <w:tblHeader/>
        </w:trPr>
        <w:tc>
          <w:tcPr>
            <w:tcW w:w="753" w:type="dxa"/>
            <w:tcMar>
              <w:top w:w="100" w:type="dxa"/>
              <w:left w:w="100" w:type="dxa"/>
              <w:bottom w:w="100" w:type="dxa"/>
              <w:right w:w="100" w:type="dxa"/>
            </w:tcMar>
          </w:tcPr>
          <w:p w14:paraId="5BD4967F" w14:textId="77777777" w:rsidR="00826870" w:rsidRPr="00820F7A" w:rsidRDefault="00B21388">
            <w:pPr>
              <w:pStyle w:val="Normal1"/>
              <w:widowControl w:val="0"/>
              <w:pBdr>
                <w:top w:val="nil"/>
                <w:left w:val="nil"/>
                <w:bottom w:val="nil"/>
                <w:right w:val="nil"/>
                <w:between w:val="nil"/>
              </w:pBdr>
              <w:rPr>
                <w:color w:val="000000"/>
                <w:sz w:val="20"/>
                <w:szCs w:val="20"/>
                <w:lang w:val="en-GB"/>
              </w:rPr>
            </w:pPr>
            <w:r w:rsidRPr="00820F7A">
              <w:rPr>
                <w:color w:val="000000"/>
                <w:sz w:val="20"/>
                <w:szCs w:val="20"/>
                <w:highlight w:val="white"/>
                <w:lang w:val="en-GB"/>
              </w:rPr>
              <w:t xml:space="preserve">Taske </w:t>
            </w:r>
            <w:r w:rsidRPr="00820F7A">
              <w:rPr>
                <w:i/>
                <w:iCs/>
                <w:color w:val="000000"/>
                <w:sz w:val="20"/>
                <w:szCs w:val="20"/>
                <w:highlight w:val="white"/>
                <w:lang w:val="en-GB"/>
              </w:rPr>
              <w:t xml:space="preserve">et al. </w:t>
            </w:r>
            <w:r w:rsidRPr="00820F7A">
              <w:rPr>
                <w:color w:val="000000"/>
                <w:sz w:val="20"/>
                <w:szCs w:val="20"/>
                <w:highlight w:val="white"/>
                <w:lang w:val="en-GB"/>
              </w:rPr>
              <w:t>(2023)</w:t>
            </w:r>
          </w:p>
        </w:tc>
        <w:tc>
          <w:tcPr>
            <w:tcW w:w="1097" w:type="dxa"/>
            <w:tcMar>
              <w:top w:w="100" w:type="dxa"/>
              <w:left w:w="100" w:type="dxa"/>
              <w:bottom w:w="100" w:type="dxa"/>
              <w:right w:w="100" w:type="dxa"/>
            </w:tcMar>
          </w:tcPr>
          <w:p w14:paraId="059E5A5C" w14:textId="77777777" w:rsidR="00826870" w:rsidRPr="00820F7A" w:rsidRDefault="00B21388">
            <w:pPr>
              <w:pStyle w:val="Normal1"/>
              <w:widowControl w:val="0"/>
              <w:pBdr>
                <w:top w:val="nil"/>
                <w:left w:val="nil"/>
                <w:bottom w:val="nil"/>
                <w:right w:val="nil"/>
                <w:between w:val="nil"/>
              </w:pBdr>
              <w:rPr>
                <w:color w:val="000000"/>
                <w:sz w:val="20"/>
                <w:szCs w:val="20"/>
                <w:lang w:val="en-GB"/>
              </w:rPr>
            </w:pPr>
            <w:r w:rsidRPr="00820F7A">
              <w:rPr>
                <w:color w:val="000000"/>
                <w:sz w:val="20"/>
                <w:szCs w:val="20"/>
                <w:lang w:val="en-GB"/>
              </w:rPr>
              <w:t>To analyse whether the attitudes and behaviours of</w:t>
            </w:r>
          </w:p>
          <w:p w14:paraId="26FD3532" w14:textId="77777777" w:rsidR="00826870" w:rsidRPr="00820F7A" w:rsidRDefault="00B21388">
            <w:pPr>
              <w:pStyle w:val="Normal1"/>
              <w:widowControl w:val="0"/>
              <w:pBdr>
                <w:top w:val="nil"/>
                <w:left w:val="nil"/>
                <w:bottom w:val="nil"/>
                <w:right w:val="nil"/>
                <w:between w:val="nil"/>
              </w:pBdr>
              <w:rPr>
                <w:color w:val="000000"/>
                <w:sz w:val="20"/>
                <w:szCs w:val="20"/>
                <w:lang w:val="en-GB"/>
              </w:rPr>
            </w:pPr>
            <w:r w:rsidRPr="00820F7A">
              <w:rPr>
                <w:color w:val="000000"/>
                <w:sz w:val="20"/>
                <w:szCs w:val="20"/>
                <w:lang w:val="en-GB"/>
              </w:rPr>
              <w:t>clinicians and managers are aligned with a Just Culture.</w:t>
            </w:r>
          </w:p>
        </w:tc>
        <w:tc>
          <w:tcPr>
            <w:tcW w:w="900" w:type="dxa"/>
            <w:tcMar>
              <w:top w:w="100" w:type="dxa"/>
              <w:left w:w="100" w:type="dxa"/>
              <w:bottom w:w="100" w:type="dxa"/>
              <w:right w:w="100" w:type="dxa"/>
            </w:tcMar>
          </w:tcPr>
          <w:p w14:paraId="5AEE745D"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UK</w:t>
            </w:r>
          </w:p>
        </w:tc>
        <w:tc>
          <w:tcPr>
            <w:tcW w:w="900" w:type="dxa"/>
            <w:tcMar>
              <w:top w:w="100" w:type="dxa"/>
              <w:left w:w="100" w:type="dxa"/>
              <w:bottom w:w="100" w:type="dxa"/>
              <w:right w:w="100" w:type="dxa"/>
            </w:tcMar>
          </w:tcPr>
          <w:p w14:paraId="08F2EC47" w14:textId="77777777" w:rsidR="00826870" w:rsidRPr="00820F7A" w:rsidRDefault="00B21388">
            <w:pPr>
              <w:pStyle w:val="Normal1"/>
              <w:widowControl w:val="0"/>
              <w:pBdr>
                <w:top w:val="nil"/>
                <w:left w:val="nil"/>
                <w:bottom w:val="nil"/>
                <w:right w:val="nil"/>
                <w:between w:val="nil"/>
              </w:pBdr>
              <w:rPr>
                <w:color w:val="000000"/>
                <w:sz w:val="20"/>
                <w:szCs w:val="20"/>
                <w:lang w:val="en-GB"/>
              </w:rPr>
            </w:pPr>
            <w:r w:rsidRPr="00820F7A">
              <w:rPr>
                <w:color w:val="000000"/>
                <w:sz w:val="20"/>
                <w:szCs w:val="20"/>
                <w:lang w:val="en-GB"/>
              </w:rPr>
              <w:t>Qualitative study used interviews</w:t>
            </w:r>
          </w:p>
          <w:p w14:paraId="6A5F271F" w14:textId="77777777" w:rsidR="00826870" w:rsidRPr="00820F7A" w:rsidRDefault="00B21388">
            <w:pPr>
              <w:pStyle w:val="Normal1"/>
              <w:widowControl w:val="0"/>
              <w:pBdr>
                <w:top w:val="nil"/>
                <w:left w:val="nil"/>
                <w:bottom w:val="nil"/>
                <w:right w:val="nil"/>
                <w:between w:val="nil"/>
              </w:pBdr>
              <w:rPr>
                <w:color w:val="000000"/>
                <w:sz w:val="20"/>
                <w:szCs w:val="20"/>
                <w:lang w:val="en-GB"/>
              </w:rPr>
            </w:pPr>
            <w:r w:rsidRPr="00820F7A">
              <w:rPr>
                <w:color w:val="000000"/>
                <w:sz w:val="20"/>
                <w:szCs w:val="20"/>
                <w:lang w:val="en-GB"/>
              </w:rPr>
              <w:t>and observation</w:t>
            </w:r>
          </w:p>
        </w:tc>
        <w:tc>
          <w:tcPr>
            <w:tcW w:w="1350" w:type="dxa"/>
            <w:tcMar>
              <w:top w:w="100" w:type="dxa"/>
              <w:left w:w="100" w:type="dxa"/>
              <w:bottom w:w="100" w:type="dxa"/>
              <w:right w:w="100" w:type="dxa"/>
            </w:tcMar>
          </w:tcPr>
          <w:p w14:paraId="5F6CCD77" w14:textId="77777777" w:rsidR="00826870" w:rsidRPr="00820F7A" w:rsidRDefault="00B21388">
            <w:pPr>
              <w:pStyle w:val="Normal1"/>
              <w:widowControl w:val="0"/>
              <w:pBdr>
                <w:top w:val="nil"/>
                <w:left w:val="nil"/>
                <w:bottom w:val="nil"/>
                <w:right w:val="nil"/>
                <w:between w:val="nil"/>
              </w:pBdr>
              <w:rPr>
                <w:color w:val="000000"/>
                <w:sz w:val="20"/>
                <w:szCs w:val="20"/>
                <w:lang w:val="en-GB"/>
              </w:rPr>
            </w:pPr>
            <w:r w:rsidRPr="00820F7A">
              <w:rPr>
                <w:color w:val="000000"/>
                <w:sz w:val="20"/>
                <w:szCs w:val="20"/>
                <w:lang w:val="en-GB"/>
              </w:rPr>
              <w:t>Cohort’s views were</w:t>
            </w:r>
          </w:p>
          <w:p w14:paraId="6C133C13" w14:textId="77777777" w:rsidR="00826870" w:rsidRPr="00820F7A" w:rsidRDefault="00B21388">
            <w:pPr>
              <w:pStyle w:val="Normal1"/>
              <w:widowControl w:val="0"/>
              <w:pBdr>
                <w:top w:val="nil"/>
                <w:left w:val="nil"/>
                <w:bottom w:val="nil"/>
                <w:right w:val="nil"/>
                <w:between w:val="nil"/>
              </w:pBdr>
              <w:rPr>
                <w:color w:val="000000"/>
                <w:sz w:val="20"/>
                <w:szCs w:val="20"/>
                <w:lang w:val="en-GB"/>
              </w:rPr>
            </w:pPr>
            <w:r w:rsidRPr="00820F7A">
              <w:rPr>
                <w:color w:val="000000"/>
                <w:sz w:val="20"/>
                <w:szCs w:val="20"/>
                <w:lang w:val="en-GB"/>
              </w:rPr>
              <w:t>strongly expressed by the Williams and Hamilton reviews</w:t>
            </w:r>
          </w:p>
        </w:tc>
        <w:tc>
          <w:tcPr>
            <w:tcW w:w="1260" w:type="dxa"/>
            <w:tcMar>
              <w:top w:w="100" w:type="dxa"/>
              <w:left w:w="100" w:type="dxa"/>
              <w:bottom w:w="100" w:type="dxa"/>
              <w:right w:w="100" w:type="dxa"/>
            </w:tcMar>
          </w:tcPr>
          <w:p w14:paraId="38F489AF" w14:textId="77777777" w:rsidR="00826870" w:rsidRPr="00820F7A" w:rsidRDefault="00B21388">
            <w:pPr>
              <w:pStyle w:val="Normal1"/>
              <w:widowControl w:val="0"/>
              <w:pBdr>
                <w:top w:val="nil"/>
                <w:left w:val="nil"/>
                <w:bottom w:val="nil"/>
                <w:right w:val="nil"/>
                <w:between w:val="nil"/>
              </w:pBdr>
              <w:rPr>
                <w:color w:val="000000"/>
                <w:sz w:val="20"/>
                <w:szCs w:val="20"/>
                <w:lang w:val="en-GB"/>
              </w:rPr>
            </w:pPr>
            <w:r w:rsidRPr="00820F7A">
              <w:rPr>
                <w:color w:val="000000"/>
                <w:sz w:val="20"/>
                <w:szCs w:val="20"/>
                <w:lang w:val="en-GB"/>
              </w:rPr>
              <w:t>There is evidence of a fair incident</w:t>
            </w:r>
          </w:p>
          <w:p w14:paraId="1852BDE4" w14:textId="77777777" w:rsidR="00826870" w:rsidRPr="00820F7A" w:rsidRDefault="00B21388">
            <w:pPr>
              <w:pStyle w:val="Normal1"/>
              <w:widowControl w:val="0"/>
              <w:pBdr>
                <w:top w:val="nil"/>
                <w:left w:val="nil"/>
                <w:bottom w:val="nil"/>
                <w:right w:val="nil"/>
                <w:between w:val="nil"/>
              </w:pBdr>
              <w:rPr>
                <w:color w:val="000000"/>
                <w:sz w:val="20"/>
                <w:szCs w:val="20"/>
                <w:lang w:val="en-GB"/>
              </w:rPr>
            </w:pPr>
            <w:r w:rsidRPr="00820F7A">
              <w:rPr>
                <w:color w:val="000000"/>
                <w:sz w:val="20"/>
                <w:szCs w:val="20"/>
                <w:lang w:val="en-GB"/>
              </w:rPr>
              <w:t>management process within the Trust.</w:t>
            </w:r>
          </w:p>
        </w:tc>
        <w:tc>
          <w:tcPr>
            <w:tcW w:w="1440" w:type="dxa"/>
            <w:tcMar>
              <w:top w:w="100" w:type="dxa"/>
              <w:left w:w="100" w:type="dxa"/>
              <w:bottom w:w="100" w:type="dxa"/>
              <w:right w:w="100" w:type="dxa"/>
            </w:tcMar>
          </w:tcPr>
          <w:p w14:paraId="394B99F6" w14:textId="77777777" w:rsidR="00826870" w:rsidRPr="00820F7A" w:rsidRDefault="00B21388">
            <w:pPr>
              <w:pStyle w:val="Normal1"/>
              <w:widowControl w:val="0"/>
              <w:pBdr>
                <w:top w:val="nil"/>
                <w:left w:val="nil"/>
                <w:bottom w:val="nil"/>
                <w:right w:val="nil"/>
                <w:between w:val="nil"/>
              </w:pBdr>
              <w:rPr>
                <w:color w:val="000000"/>
                <w:sz w:val="20"/>
                <w:szCs w:val="20"/>
                <w:lang w:val="en-GB"/>
              </w:rPr>
            </w:pPr>
            <w:r w:rsidRPr="00820F7A">
              <w:rPr>
                <w:color w:val="000000"/>
                <w:sz w:val="20"/>
                <w:szCs w:val="20"/>
                <w:lang w:val="en-GB"/>
              </w:rPr>
              <w:t>This paper examines the significance</w:t>
            </w:r>
          </w:p>
          <w:p w14:paraId="245E4CCF" w14:textId="77777777" w:rsidR="00826870" w:rsidRPr="00820F7A" w:rsidRDefault="00B21388">
            <w:pPr>
              <w:pStyle w:val="Normal1"/>
              <w:widowControl w:val="0"/>
              <w:pBdr>
                <w:top w:val="nil"/>
                <w:left w:val="nil"/>
                <w:bottom w:val="nil"/>
                <w:right w:val="nil"/>
                <w:between w:val="nil"/>
              </w:pBdr>
              <w:rPr>
                <w:color w:val="000000"/>
                <w:sz w:val="20"/>
                <w:szCs w:val="20"/>
                <w:lang w:val="en-GB"/>
              </w:rPr>
            </w:pPr>
            <w:r w:rsidRPr="00820F7A">
              <w:rPr>
                <w:color w:val="000000"/>
                <w:sz w:val="20"/>
                <w:szCs w:val="20"/>
                <w:lang w:val="en-GB"/>
              </w:rPr>
              <w:t>of these findings and provides recommendations</w:t>
            </w:r>
          </w:p>
          <w:p w14:paraId="50B55DE4" w14:textId="77777777" w:rsidR="00826870" w:rsidRPr="00820F7A" w:rsidRDefault="00B21388">
            <w:pPr>
              <w:pStyle w:val="Normal1"/>
              <w:widowControl w:val="0"/>
              <w:pBdr>
                <w:top w:val="nil"/>
                <w:left w:val="nil"/>
                <w:bottom w:val="nil"/>
                <w:right w:val="nil"/>
                <w:between w:val="nil"/>
              </w:pBdr>
              <w:rPr>
                <w:color w:val="000000"/>
                <w:sz w:val="20"/>
                <w:szCs w:val="20"/>
                <w:lang w:val="en-GB"/>
              </w:rPr>
            </w:pPr>
            <w:r w:rsidRPr="00820F7A">
              <w:rPr>
                <w:color w:val="000000"/>
                <w:sz w:val="20"/>
                <w:szCs w:val="20"/>
                <w:lang w:val="en-GB"/>
              </w:rPr>
              <w:t>which may have application within other healthcare</w:t>
            </w:r>
          </w:p>
          <w:p w14:paraId="58DFD29C" w14:textId="77777777" w:rsidR="00826870" w:rsidRPr="00820F7A" w:rsidRDefault="00B21388">
            <w:pPr>
              <w:pStyle w:val="Normal1"/>
              <w:widowControl w:val="0"/>
              <w:pBdr>
                <w:top w:val="nil"/>
                <w:left w:val="nil"/>
                <w:bottom w:val="nil"/>
                <w:right w:val="nil"/>
                <w:between w:val="nil"/>
              </w:pBdr>
              <w:rPr>
                <w:color w:val="000000"/>
                <w:sz w:val="20"/>
                <w:szCs w:val="20"/>
                <w:lang w:val="en-GB"/>
              </w:rPr>
            </w:pPr>
            <w:r w:rsidRPr="00820F7A">
              <w:rPr>
                <w:color w:val="000000"/>
                <w:sz w:val="20"/>
                <w:szCs w:val="20"/>
                <w:lang w:val="en-GB"/>
              </w:rPr>
              <w:t>organisations.</w:t>
            </w:r>
          </w:p>
        </w:tc>
        <w:tc>
          <w:tcPr>
            <w:tcW w:w="1440" w:type="dxa"/>
            <w:tcMar>
              <w:top w:w="100" w:type="dxa"/>
              <w:left w:w="100" w:type="dxa"/>
              <w:bottom w:w="100" w:type="dxa"/>
              <w:right w:w="100" w:type="dxa"/>
            </w:tcMar>
          </w:tcPr>
          <w:p w14:paraId="1D9FA243"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 xml:space="preserve">To manage environment collaboration those are crafted and created </w:t>
            </w:r>
          </w:p>
        </w:tc>
        <w:tc>
          <w:tcPr>
            <w:tcW w:w="1350" w:type="dxa"/>
            <w:tcMar>
              <w:top w:w="100" w:type="dxa"/>
              <w:left w:w="100" w:type="dxa"/>
              <w:bottom w:w="100" w:type="dxa"/>
              <w:right w:w="100" w:type="dxa"/>
            </w:tcMar>
          </w:tcPr>
          <w:p w14:paraId="102093EC"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To focus on continuous learning and improvement of safety risks</w:t>
            </w:r>
          </w:p>
        </w:tc>
        <w:tc>
          <w:tcPr>
            <w:tcW w:w="1440" w:type="dxa"/>
            <w:tcMar>
              <w:top w:w="100" w:type="dxa"/>
              <w:left w:w="100" w:type="dxa"/>
              <w:bottom w:w="100" w:type="dxa"/>
              <w:right w:w="100" w:type="dxa"/>
            </w:tcMar>
          </w:tcPr>
          <w:p w14:paraId="4CD78552"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 xml:space="preserve">To ensure brilliant and safe care </w:t>
            </w:r>
          </w:p>
        </w:tc>
        <w:tc>
          <w:tcPr>
            <w:tcW w:w="1350" w:type="dxa"/>
            <w:tcMar>
              <w:top w:w="100" w:type="dxa"/>
              <w:left w:w="100" w:type="dxa"/>
              <w:bottom w:w="100" w:type="dxa"/>
              <w:right w:w="100" w:type="dxa"/>
            </w:tcMar>
          </w:tcPr>
          <w:p w14:paraId="03228AA9"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 xml:space="preserve">To manage individual staff and service users </w:t>
            </w:r>
          </w:p>
        </w:tc>
        <w:tc>
          <w:tcPr>
            <w:tcW w:w="900" w:type="dxa"/>
            <w:tcMar>
              <w:top w:w="100" w:type="dxa"/>
              <w:left w:w="100" w:type="dxa"/>
              <w:bottom w:w="100" w:type="dxa"/>
              <w:right w:w="100" w:type="dxa"/>
            </w:tcMar>
          </w:tcPr>
          <w:p w14:paraId="5F2E3023" w14:textId="77777777" w:rsidR="00826870" w:rsidRPr="00820F7A" w:rsidRDefault="00B21388">
            <w:pPr>
              <w:pStyle w:val="Normal1"/>
              <w:widowControl w:val="0"/>
              <w:pBdr>
                <w:top w:val="nil"/>
                <w:left w:val="nil"/>
                <w:bottom w:val="nil"/>
                <w:right w:val="nil"/>
                <w:between w:val="nil"/>
              </w:pBdr>
              <w:rPr>
                <w:color w:val="000000"/>
                <w:sz w:val="20"/>
                <w:szCs w:val="20"/>
                <w:lang w:val="en-GB"/>
              </w:rPr>
            </w:pPr>
            <w:r w:rsidRPr="00820F7A">
              <w:rPr>
                <w:color w:val="000000"/>
                <w:sz w:val="20"/>
                <w:szCs w:val="20"/>
                <w:lang w:val="en-GB"/>
              </w:rPr>
              <w:t>Theme 3</w:t>
            </w:r>
          </w:p>
        </w:tc>
      </w:tr>
      <w:tr w:rsidR="00826870" w:rsidRPr="00820F7A" w14:paraId="00770559" w14:textId="77777777">
        <w:trPr>
          <w:cantSplit/>
          <w:tblHeader/>
        </w:trPr>
        <w:tc>
          <w:tcPr>
            <w:tcW w:w="753" w:type="dxa"/>
            <w:tcMar>
              <w:top w:w="100" w:type="dxa"/>
              <w:left w:w="100" w:type="dxa"/>
              <w:bottom w:w="100" w:type="dxa"/>
              <w:right w:w="100" w:type="dxa"/>
            </w:tcMar>
          </w:tcPr>
          <w:p w14:paraId="474E7D5C" w14:textId="77777777" w:rsidR="00826870" w:rsidRPr="00820F7A" w:rsidRDefault="00B21388">
            <w:pPr>
              <w:pStyle w:val="Normal1"/>
              <w:widowControl w:val="0"/>
              <w:pBdr>
                <w:top w:val="nil"/>
                <w:left w:val="nil"/>
                <w:bottom w:val="nil"/>
                <w:right w:val="nil"/>
                <w:between w:val="nil"/>
              </w:pBdr>
              <w:rPr>
                <w:color w:val="000000"/>
                <w:sz w:val="20"/>
                <w:szCs w:val="20"/>
                <w:lang w:val="en-GB"/>
              </w:rPr>
            </w:pPr>
            <w:r w:rsidRPr="00820F7A">
              <w:rPr>
                <w:color w:val="000000"/>
                <w:sz w:val="20"/>
                <w:szCs w:val="20"/>
                <w:highlight w:val="white"/>
                <w:lang w:val="en-GB"/>
              </w:rPr>
              <w:t xml:space="preserve">Granel-Giménez </w:t>
            </w:r>
            <w:r w:rsidRPr="00820F7A">
              <w:rPr>
                <w:i/>
                <w:iCs/>
                <w:color w:val="000000"/>
                <w:sz w:val="20"/>
                <w:szCs w:val="20"/>
                <w:highlight w:val="white"/>
                <w:lang w:val="en-GB"/>
              </w:rPr>
              <w:t xml:space="preserve">et al. </w:t>
            </w:r>
            <w:r w:rsidRPr="00820F7A">
              <w:rPr>
                <w:color w:val="000000"/>
                <w:sz w:val="20"/>
                <w:szCs w:val="20"/>
                <w:highlight w:val="white"/>
                <w:lang w:val="en-GB"/>
              </w:rPr>
              <w:t>(2022)</w:t>
            </w:r>
          </w:p>
        </w:tc>
        <w:tc>
          <w:tcPr>
            <w:tcW w:w="1097" w:type="dxa"/>
            <w:tcMar>
              <w:top w:w="100" w:type="dxa"/>
              <w:left w:w="100" w:type="dxa"/>
              <w:bottom w:w="100" w:type="dxa"/>
              <w:right w:w="100" w:type="dxa"/>
            </w:tcMar>
          </w:tcPr>
          <w:p w14:paraId="292C1BEC" w14:textId="77777777" w:rsidR="00826870" w:rsidRPr="00820F7A" w:rsidRDefault="00B21388">
            <w:pPr>
              <w:pStyle w:val="Normal1"/>
              <w:widowControl w:val="0"/>
              <w:pBdr>
                <w:top w:val="nil"/>
                <w:left w:val="nil"/>
                <w:bottom w:val="nil"/>
                <w:right w:val="nil"/>
                <w:between w:val="nil"/>
              </w:pBdr>
              <w:rPr>
                <w:color w:val="000000"/>
                <w:sz w:val="20"/>
                <w:szCs w:val="20"/>
                <w:lang w:val="en-GB"/>
              </w:rPr>
            </w:pPr>
            <w:r w:rsidRPr="00820F7A">
              <w:rPr>
                <w:color w:val="000000"/>
                <w:sz w:val="20"/>
                <w:szCs w:val="20"/>
                <w:lang w:val="en-GB"/>
              </w:rPr>
              <w:t>To measure the safety culture perceived by nurses working for public hospitals in four countries.</w:t>
            </w:r>
          </w:p>
        </w:tc>
        <w:tc>
          <w:tcPr>
            <w:tcW w:w="900" w:type="dxa"/>
            <w:tcMar>
              <w:top w:w="100" w:type="dxa"/>
              <w:left w:w="100" w:type="dxa"/>
              <w:bottom w:w="100" w:type="dxa"/>
              <w:right w:w="100" w:type="dxa"/>
            </w:tcMar>
          </w:tcPr>
          <w:p w14:paraId="1C37FCFC"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Croatia, Hungary, Spain, and Sweden</w:t>
            </w:r>
          </w:p>
        </w:tc>
        <w:tc>
          <w:tcPr>
            <w:tcW w:w="900" w:type="dxa"/>
            <w:tcMar>
              <w:top w:w="100" w:type="dxa"/>
              <w:left w:w="100" w:type="dxa"/>
              <w:bottom w:w="100" w:type="dxa"/>
              <w:right w:w="100" w:type="dxa"/>
            </w:tcMar>
          </w:tcPr>
          <w:p w14:paraId="2AF117A1" w14:textId="77777777" w:rsidR="00826870" w:rsidRPr="00820F7A" w:rsidRDefault="00B21388">
            <w:pPr>
              <w:pStyle w:val="Normal1"/>
              <w:widowControl w:val="0"/>
              <w:pBdr>
                <w:top w:val="nil"/>
                <w:left w:val="nil"/>
                <w:bottom w:val="nil"/>
                <w:right w:val="nil"/>
                <w:between w:val="nil"/>
              </w:pBdr>
              <w:rPr>
                <w:color w:val="000000"/>
                <w:sz w:val="20"/>
                <w:szCs w:val="20"/>
                <w:lang w:val="en-GB"/>
              </w:rPr>
            </w:pPr>
            <w:r w:rsidRPr="00820F7A">
              <w:rPr>
                <w:color w:val="000000"/>
                <w:sz w:val="20"/>
                <w:szCs w:val="20"/>
                <w:lang w:val="en-GB"/>
              </w:rPr>
              <w:t xml:space="preserve">Qualitative study </w:t>
            </w:r>
          </w:p>
        </w:tc>
        <w:tc>
          <w:tcPr>
            <w:tcW w:w="1350" w:type="dxa"/>
            <w:tcMar>
              <w:top w:w="100" w:type="dxa"/>
              <w:left w:w="100" w:type="dxa"/>
              <w:bottom w:w="100" w:type="dxa"/>
              <w:right w:w="100" w:type="dxa"/>
            </w:tcMar>
          </w:tcPr>
          <w:p w14:paraId="7E244B49" w14:textId="77777777" w:rsidR="00826870" w:rsidRPr="00820F7A" w:rsidRDefault="00B21388">
            <w:pPr>
              <w:pStyle w:val="Normal1"/>
              <w:widowControl w:val="0"/>
              <w:pBdr>
                <w:top w:val="nil"/>
                <w:left w:val="nil"/>
                <w:bottom w:val="nil"/>
                <w:right w:val="nil"/>
                <w:between w:val="nil"/>
              </w:pBdr>
              <w:rPr>
                <w:color w:val="000000"/>
                <w:sz w:val="20"/>
                <w:szCs w:val="20"/>
                <w:lang w:val="en-GB"/>
              </w:rPr>
            </w:pPr>
            <w:r w:rsidRPr="00820F7A">
              <w:rPr>
                <w:color w:val="000000"/>
                <w:sz w:val="20"/>
                <w:szCs w:val="20"/>
                <w:lang w:val="en-GB"/>
              </w:rPr>
              <w:t>Leaders seek to strengthen system resilience to medical errors</w:t>
            </w:r>
          </w:p>
        </w:tc>
        <w:tc>
          <w:tcPr>
            <w:tcW w:w="1260" w:type="dxa"/>
            <w:tcMar>
              <w:top w:w="100" w:type="dxa"/>
              <w:left w:w="100" w:type="dxa"/>
              <w:bottom w:w="100" w:type="dxa"/>
              <w:right w:w="100" w:type="dxa"/>
            </w:tcMar>
          </w:tcPr>
          <w:p w14:paraId="51691A84" w14:textId="77777777" w:rsidR="00826870" w:rsidRPr="00820F7A" w:rsidRDefault="00B21388">
            <w:pPr>
              <w:pStyle w:val="Normal1"/>
              <w:widowControl w:val="0"/>
              <w:pBdr>
                <w:top w:val="nil"/>
                <w:left w:val="nil"/>
                <w:bottom w:val="nil"/>
                <w:right w:val="nil"/>
                <w:between w:val="nil"/>
              </w:pBdr>
              <w:rPr>
                <w:color w:val="000000"/>
                <w:sz w:val="20"/>
                <w:szCs w:val="20"/>
                <w:lang w:val="en-GB"/>
              </w:rPr>
            </w:pPr>
            <w:r w:rsidRPr="00820F7A">
              <w:rPr>
                <w:color w:val="000000"/>
                <w:sz w:val="20"/>
                <w:szCs w:val="20"/>
                <w:lang w:val="en-GB"/>
              </w:rPr>
              <w:t>Safety culture for most dimensions was ‘adequate’ in Sweden and ‘adequate’ to ‘poor</w:t>
            </w:r>
          </w:p>
        </w:tc>
        <w:tc>
          <w:tcPr>
            <w:tcW w:w="1440" w:type="dxa"/>
            <w:tcMar>
              <w:top w:w="100" w:type="dxa"/>
              <w:left w:w="100" w:type="dxa"/>
              <w:bottom w:w="100" w:type="dxa"/>
              <w:right w:w="100" w:type="dxa"/>
            </w:tcMar>
          </w:tcPr>
          <w:p w14:paraId="482B227A" w14:textId="77777777" w:rsidR="00826870" w:rsidRPr="00820F7A" w:rsidRDefault="00B21388">
            <w:pPr>
              <w:pStyle w:val="Normal1"/>
              <w:widowControl w:val="0"/>
              <w:pBdr>
                <w:top w:val="nil"/>
                <w:left w:val="nil"/>
                <w:bottom w:val="nil"/>
                <w:right w:val="nil"/>
                <w:between w:val="nil"/>
              </w:pBdr>
              <w:rPr>
                <w:color w:val="000000"/>
                <w:sz w:val="20"/>
                <w:szCs w:val="20"/>
                <w:lang w:val="en-GB"/>
              </w:rPr>
            </w:pPr>
            <w:r w:rsidRPr="00820F7A">
              <w:rPr>
                <w:color w:val="000000"/>
                <w:sz w:val="20"/>
                <w:szCs w:val="20"/>
                <w:lang w:val="en-GB"/>
              </w:rPr>
              <w:t>Dimension level perceptions were at times incongruent across countries.</w:t>
            </w:r>
          </w:p>
        </w:tc>
        <w:tc>
          <w:tcPr>
            <w:tcW w:w="1440" w:type="dxa"/>
            <w:tcMar>
              <w:top w:w="100" w:type="dxa"/>
              <w:left w:w="100" w:type="dxa"/>
              <w:bottom w:w="100" w:type="dxa"/>
              <w:right w:w="100" w:type="dxa"/>
            </w:tcMar>
          </w:tcPr>
          <w:p w14:paraId="39D68B12"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 xml:space="preserve">To determine positive safety culture </w:t>
            </w:r>
          </w:p>
        </w:tc>
        <w:tc>
          <w:tcPr>
            <w:tcW w:w="1350" w:type="dxa"/>
            <w:tcMar>
              <w:top w:w="100" w:type="dxa"/>
              <w:left w:w="100" w:type="dxa"/>
              <w:bottom w:w="100" w:type="dxa"/>
              <w:right w:w="100" w:type="dxa"/>
            </w:tcMar>
          </w:tcPr>
          <w:p w14:paraId="76A208D4"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To focus on environmental collaborative crafts</w:t>
            </w:r>
          </w:p>
        </w:tc>
        <w:tc>
          <w:tcPr>
            <w:tcW w:w="1440" w:type="dxa"/>
            <w:tcMar>
              <w:top w:w="100" w:type="dxa"/>
              <w:left w:w="100" w:type="dxa"/>
              <w:bottom w:w="100" w:type="dxa"/>
              <w:right w:w="100" w:type="dxa"/>
            </w:tcMar>
          </w:tcPr>
          <w:p w14:paraId="41399E4F"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 xml:space="preserve">To maintain safety culture as collection of beliefs and values </w:t>
            </w:r>
          </w:p>
        </w:tc>
        <w:tc>
          <w:tcPr>
            <w:tcW w:w="1350" w:type="dxa"/>
            <w:tcMar>
              <w:top w:w="100" w:type="dxa"/>
              <w:left w:w="100" w:type="dxa"/>
              <w:bottom w:w="100" w:type="dxa"/>
              <w:right w:w="100" w:type="dxa"/>
            </w:tcMar>
          </w:tcPr>
          <w:p w14:paraId="5A7B08C0"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 xml:space="preserve">To focus on determining the organisation's commitment </w:t>
            </w:r>
          </w:p>
        </w:tc>
        <w:tc>
          <w:tcPr>
            <w:tcW w:w="900" w:type="dxa"/>
            <w:tcMar>
              <w:top w:w="100" w:type="dxa"/>
              <w:left w:w="100" w:type="dxa"/>
              <w:bottom w:w="100" w:type="dxa"/>
              <w:right w:w="100" w:type="dxa"/>
            </w:tcMar>
          </w:tcPr>
          <w:p w14:paraId="3D0B959A" w14:textId="77777777" w:rsidR="00826870" w:rsidRPr="00820F7A" w:rsidRDefault="00B21388">
            <w:pPr>
              <w:pStyle w:val="Normal1"/>
              <w:widowControl w:val="0"/>
              <w:pBdr>
                <w:top w:val="nil"/>
                <w:left w:val="nil"/>
                <w:bottom w:val="nil"/>
                <w:right w:val="nil"/>
                <w:between w:val="nil"/>
              </w:pBdr>
              <w:rPr>
                <w:color w:val="000000"/>
                <w:sz w:val="20"/>
                <w:szCs w:val="20"/>
                <w:lang w:val="en-GB"/>
              </w:rPr>
            </w:pPr>
            <w:r w:rsidRPr="00820F7A">
              <w:rPr>
                <w:color w:val="000000"/>
                <w:sz w:val="20"/>
                <w:szCs w:val="20"/>
                <w:lang w:val="en-GB"/>
              </w:rPr>
              <w:t>Theme 3</w:t>
            </w:r>
          </w:p>
        </w:tc>
      </w:tr>
      <w:tr w:rsidR="00826870" w:rsidRPr="00820F7A" w14:paraId="214046C6" w14:textId="77777777">
        <w:trPr>
          <w:cantSplit/>
          <w:tblHeader/>
        </w:trPr>
        <w:tc>
          <w:tcPr>
            <w:tcW w:w="753" w:type="dxa"/>
            <w:tcMar>
              <w:top w:w="100" w:type="dxa"/>
              <w:left w:w="100" w:type="dxa"/>
              <w:bottom w:w="100" w:type="dxa"/>
              <w:right w:w="100" w:type="dxa"/>
            </w:tcMar>
          </w:tcPr>
          <w:p w14:paraId="7114D6FC" w14:textId="77777777" w:rsidR="00826870" w:rsidRPr="00820F7A" w:rsidRDefault="00B21388">
            <w:pPr>
              <w:pStyle w:val="Normal1"/>
              <w:widowControl w:val="0"/>
              <w:pBdr>
                <w:top w:val="nil"/>
                <w:left w:val="nil"/>
                <w:bottom w:val="nil"/>
                <w:right w:val="nil"/>
                <w:between w:val="nil"/>
              </w:pBdr>
              <w:rPr>
                <w:color w:val="000000"/>
                <w:sz w:val="20"/>
                <w:szCs w:val="20"/>
                <w:lang w:val="en-GB"/>
              </w:rPr>
            </w:pPr>
            <w:r w:rsidRPr="00820F7A">
              <w:rPr>
                <w:color w:val="000000"/>
                <w:sz w:val="20"/>
                <w:szCs w:val="20"/>
                <w:highlight w:val="white"/>
                <w:lang w:val="en-GB"/>
              </w:rPr>
              <w:t xml:space="preserve">Mahmoud </w:t>
            </w:r>
            <w:r w:rsidRPr="00820F7A">
              <w:rPr>
                <w:i/>
                <w:iCs/>
                <w:color w:val="000000"/>
                <w:sz w:val="20"/>
                <w:szCs w:val="20"/>
                <w:highlight w:val="white"/>
                <w:lang w:val="en-GB"/>
              </w:rPr>
              <w:t xml:space="preserve">et al. </w:t>
            </w:r>
            <w:r w:rsidRPr="00820F7A">
              <w:rPr>
                <w:color w:val="000000"/>
                <w:sz w:val="20"/>
                <w:szCs w:val="20"/>
                <w:highlight w:val="white"/>
                <w:lang w:val="en-GB"/>
              </w:rPr>
              <w:t>(2023)</w:t>
            </w:r>
          </w:p>
        </w:tc>
        <w:tc>
          <w:tcPr>
            <w:tcW w:w="1097" w:type="dxa"/>
            <w:tcMar>
              <w:top w:w="100" w:type="dxa"/>
              <w:left w:w="100" w:type="dxa"/>
              <w:bottom w:w="100" w:type="dxa"/>
              <w:right w:w="100" w:type="dxa"/>
            </w:tcMar>
          </w:tcPr>
          <w:p w14:paraId="47886F78" w14:textId="77777777" w:rsidR="00826870" w:rsidRPr="00820F7A" w:rsidRDefault="00B21388">
            <w:pPr>
              <w:pStyle w:val="Normal1"/>
              <w:widowControl w:val="0"/>
              <w:pBdr>
                <w:top w:val="nil"/>
                <w:left w:val="nil"/>
                <w:bottom w:val="nil"/>
                <w:right w:val="nil"/>
                <w:between w:val="nil"/>
              </w:pBdr>
              <w:rPr>
                <w:color w:val="000000"/>
                <w:sz w:val="20"/>
                <w:szCs w:val="20"/>
                <w:lang w:val="en-GB"/>
              </w:rPr>
            </w:pPr>
            <w:r w:rsidRPr="00820F7A">
              <w:rPr>
                <w:color w:val="000000"/>
                <w:sz w:val="20"/>
                <w:szCs w:val="20"/>
                <w:lang w:val="en-GB"/>
              </w:rPr>
              <w:t>To summarise the barriers and facilitators</w:t>
            </w:r>
          </w:p>
          <w:p w14:paraId="58291F97" w14:textId="77777777" w:rsidR="00826870" w:rsidRPr="00820F7A" w:rsidRDefault="00B21388">
            <w:pPr>
              <w:pStyle w:val="Normal1"/>
              <w:widowControl w:val="0"/>
              <w:pBdr>
                <w:top w:val="nil"/>
                <w:left w:val="nil"/>
                <w:bottom w:val="nil"/>
                <w:right w:val="nil"/>
                <w:between w:val="nil"/>
              </w:pBdr>
              <w:rPr>
                <w:color w:val="000000"/>
                <w:sz w:val="20"/>
                <w:szCs w:val="20"/>
                <w:lang w:val="en-GB"/>
              </w:rPr>
            </w:pPr>
            <w:r w:rsidRPr="00820F7A">
              <w:rPr>
                <w:color w:val="000000"/>
                <w:sz w:val="20"/>
                <w:szCs w:val="20"/>
                <w:lang w:val="en-GB"/>
              </w:rPr>
              <w:t>perceived by hospital staff and physicians</w:t>
            </w:r>
          </w:p>
        </w:tc>
        <w:tc>
          <w:tcPr>
            <w:tcW w:w="900" w:type="dxa"/>
            <w:tcMar>
              <w:top w:w="100" w:type="dxa"/>
              <w:left w:w="100" w:type="dxa"/>
              <w:bottom w:w="100" w:type="dxa"/>
              <w:right w:w="100" w:type="dxa"/>
            </w:tcMar>
          </w:tcPr>
          <w:p w14:paraId="3CADCB42"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UK</w:t>
            </w:r>
          </w:p>
        </w:tc>
        <w:tc>
          <w:tcPr>
            <w:tcW w:w="900" w:type="dxa"/>
            <w:tcMar>
              <w:top w:w="100" w:type="dxa"/>
              <w:left w:w="100" w:type="dxa"/>
              <w:bottom w:w="100" w:type="dxa"/>
              <w:right w:w="100" w:type="dxa"/>
            </w:tcMar>
          </w:tcPr>
          <w:p w14:paraId="725B6FED" w14:textId="77777777" w:rsidR="00826870" w:rsidRPr="00820F7A" w:rsidRDefault="00B21388">
            <w:pPr>
              <w:pStyle w:val="Normal1"/>
              <w:widowControl w:val="0"/>
              <w:pBdr>
                <w:top w:val="nil"/>
                <w:left w:val="nil"/>
                <w:bottom w:val="nil"/>
                <w:right w:val="nil"/>
                <w:between w:val="nil"/>
              </w:pBdr>
              <w:rPr>
                <w:color w:val="000000"/>
                <w:sz w:val="20"/>
                <w:szCs w:val="20"/>
                <w:lang w:val="en-GB"/>
              </w:rPr>
            </w:pPr>
            <w:r w:rsidRPr="00820F7A">
              <w:rPr>
                <w:color w:val="000000"/>
                <w:sz w:val="20"/>
                <w:szCs w:val="20"/>
                <w:lang w:val="en-GB"/>
              </w:rPr>
              <w:t xml:space="preserve">Qualitative study </w:t>
            </w:r>
          </w:p>
        </w:tc>
        <w:tc>
          <w:tcPr>
            <w:tcW w:w="1350" w:type="dxa"/>
            <w:tcMar>
              <w:top w:w="100" w:type="dxa"/>
              <w:left w:w="100" w:type="dxa"/>
              <w:bottom w:w="100" w:type="dxa"/>
              <w:right w:w="100" w:type="dxa"/>
            </w:tcMar>
          </w:tcPr>
          <w:p w14:paraId="38E1C5D8" w14:textId="77777777" w:rsidR="00826870" w:rsidRPr="00820F7A" w:rsidRDefault="00B21388">
            <w:pPr>
              <w:pStyle w:val="Normal1"/>
              <w:widowControl w:val="0"/>
              <w:pBdr>
                <w:top w:val="nil"/>
                <w:left w:val="nil"/>
                <w:bottom w:val="nil"/>
                <w:right w:val="nil"/>
                <w:between w:val="nil"/>
              </w:pBdr>
              <w:rPr>
                <w:color w:val="000000"/>
                <w:sz w:val="20"/>
                <w:szCs w:val="20"/>
                <w:lang w:val="en-GB"/>
              </w:rPr>
            </w:pPr>
            <w:r w:rsidRPr="00820F7A">
              <w:rPr>
                <w:color w:val="000000"/>
                <w:sz w:val="20"/>
                <w:szCs w:val="20"/>
                <w:lang w:val="en-GB"/>
              </w:rPr>
              <w:t>Our study is unique as it included a variety of safety incidents including medication-related and device-related</w:t>
            </w:r>
          </w:p>
          <w:p w14:paraId="486FB4ED" w14:textId="77777777" w:rsidR="00826870" w:rsidRPr="00820F7A" w:rsidRDefault="00B21388">
            <w:pPr>
              <w:pStyle w:val="Normal1"/>
              <w:widowControl w:val="0"/>
              <w:pBdr>
                <w:top w:val="nil"/>
                <w:left w:val="nil"/>
                <w:bottom w:val="nil"/>
                <w:right w:val="nil"/>
                <w:between w:val="nil"/>
              </w:pBdr>
              <w:rPr>
                <w:color w:val="000000"/>
                <w:sz w:val="20"/>
                <w:szCs w:val="20"/>
                <w:lang w:val="en-GB"/>
              </w:rPr>
            </w:pPr>
            <w:r w:rsidRPr="00820F7A">
              <w:rPr>
                <w:color w:val="000000"/>
                <w:sz w:val="20"/>
                <w:szCs w:val="20"/>
                <w:lang w:val="en-GB"/>
              </w:rPr>
              <w:t>incidents.</w:t>
            </w:r>
          </w:p>
        </w:tc>
        <w:tc>
          <w:tcPr>
            <w:tcW w:w="1260" w:type="dxa"/>
            <w:tcMar>
              <w:top w:w="100" w:type="dxa"/>
              <w:left w:w="100" w:type="dxa"/>
              <w:bottom w:w="100" w:type="dxa"/>
              <w:right w:w="100" w:type="dxa"/>
            </w:tcMar>
          </w:tcPr>
          <w:p w14:paraId="007CD08D" w14:textId="77777777" w:rsidR="00826870" w:rsidRPr="00820F7A" w:rsidRDefault="00B21388">
            <w:pPr>
              <w:pStyle w:val="Normal1"/>
              <w:widowControl w:val="0"/>
              <w:pBdr>
                <w:top w:val="nil"/>
                <w:left w:val="nil"/>
                <w:bottom w:val="nil"/>
                <w:right w:val="nil"/>
                <w:between w:val="nil"/>
              </w:pBdr>
              <w:rPr>
                <w:color w:val="000000"/>
                <w:sz w:val="20"/>
                <w:szCs w:val="20"/>
                <w:lang w:val="en-GB"/>
              </w:rPr>
            </w:pPr>
            <w:r w:rsidRPr="00820F7A">
              <w:rPr>
                <w:color w:val="000000"/>
                <w:sz w:val="20"/>
                <w:szCs w:val="20"/>
                <w:lang w:val="en-GB"/>
              </w:rPr>
              <w:t>Important barriers and facilitators</w:t>
            </w:r>
          </w:p>
          <w:p w14:paraId="4F596CA4" w14:textId="77777777" w:rsidR="00826870" w:rsidRPr="00820F7A" w:rsidRDefault="00B21388">
            <w:pPr>
              <w:pStyle w:val="Normal1"/>
              <w:widowControl w:val="0"/>
              <w:pBdr>
                <w:top w:val="nil"/>
                <w:left w:val="nil"/>
                <w:bottom w:val="nil"/>
                <w:right w:val="nil"/>
                <w:between w:val="nil"/>
              </w:pBdr>
              <w:rPr>
                <w:color w:val="000000"/>
                <w:sz w:val="20"/>
                <w:szCs w:val="20"/>
                <w:lang w:val="en-GB"/>
              </w:rPr>
            </w:pPr>
            <w:r w:rsidRPr="00820F7A">
              <w:rPr>
                <w:color w:val="000000"/>
                <w:sz w:val="20"/>
                <w:szCs w:val="20"/>
                <w:lang w:val="en-GB"/>
              </w:rPr>
              <w:t>across the analysis</w:t>
            </w:r>
          </w:p>
        </w:tc>
        <w:tc>
          <w:tcPr>
            <w:tcW w:w="1440" w:type="dxa"/>
            <w:tcMar>
              <w:top w:w="100" w:type="dxa"/>
              <w:left w:w="100" w:type="dxa"/>
              <w:bottom w:w="100" w:type="dxa"/>
              <w:right w:w="100" w:type="dxa"/>
            </w:tcMar>
          </w:tcPr>
          <w:p w14:paraId="34A9AAFE" w14:textId="77777777" w:rsidR="00826870" w:rsidRPr="00820F7A" w:rsidRDefault="00B21388">
            <w:pPr>
              <w:pStyle w:val="Normal1"/>
              <w:widowControl w:val="0"/>
              <w:pBdr>
                <w:top w:val="nil"/>
                <w:left w:val="nil"/>
                <w:bottom w:val="nil"/>
                <w:right w:val="nil"/>
                <w:between w:val="nil"/>
              </w:pBdr>
              <w:rPr>
                <w:color w:val="000000"/>
                <w:sz w:val="20"/>
                <w:szCs w:val="20"/>
                <w:lang w:val="en-GB"/>
              </w:rPr>
            </w:pPr>
            <w:r w:rsidRPr="00820F7A">
              <w:rPr>
                <w:color w:val="000000"/>
                <w:sz w:val="20"/>
                <w:szCs w:val="20"/>
                <w:lang w:val="en-GB"/>
              </w:rPr>
              <w:t>Multiple barriers and facilitators to uptake of</w:t>
            </w:r>
          </w:p>
          <w:p w14:paraId="6C11A84A" w14:textId="77777777" w:rsidR="00826870" w:rsidRPr="00820F7A" w:rsidRDefault="00B21388">
            <w:pPr>
              <w:pStyle w:val="Normal1"/>
              <w:widowControl w:val="0"/>
              <w:pBdr>
                <w:top w:val="nil"/>
                <w:left w:val="nil"/>
                <w:bottom w:val="nil"/>
                <w:right w:val="nil"/>
                <w:between w:val="nil"/>
              </w:pBdr>
              <w:rPr>
                <w:color w:val="000000"/>
                <w:sz w:val="20"/>
                <w:szCs w:val="20"/>
                <w:lang w:val="en-GB"/>
              </w:rPr>
            </w:pPr>
            <w:r w:rsidRPr="00820F7A">
              <w:rPr>
                <w:color w:val="000000"/>
                <w:sz w:val="20"/>
                <w:szCs w:val="20"/>
                <w:lang w:val="en-GB"/>
              </w:rPr>
              <w:t>PSLS exist.</w:t>
            </w:r>
          </w:p>
        </w:tc>
        <w:tc>
          <w:tcPr>
            <w:tcW w:w="1440" w:type="dxa"/>
            <w:tcMar>
              <w:top w:w="100" w:type="dxa"/>
              <w:left w:w="100" w:type="dxa"/>
              <w:bottom w:w="100" w:type="dxa"/>
              <w:right w:w="100" w:type="dxa"/>
            </w:tcMar>
          </w:tcPr>
          <w:p w14:paraId="7C720CCD"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 xml:space="preserve">To implement and continuous improvement of patient safety learning systems </w:t>
            </w:r>
          </w:p>
        </w:tc>
        <w:tc>
          <w:tcPr>
            <w:tcW w:w="1350" w:type="dxa"/>
            <w:tcMar>
              <w:top w:w="100" w:type="dxa"/>
              <w:left w:w="100" w:type="dxa"/>
              <w:bottom w:w="100" w:type="dxa"/>
              <w:right w:w="100" w:type="dxa"/>
            </w:tcMar>
          </w:tcPr>
          <w:p w14:paraId="3E62004B"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To sustain efforts have sought to improve the systems</w:t>
            </w:r>
          </w:p>
        </w:tc>
        <w:tc>
          <w:tcPr>
            <w:tcW w:w="1440" w:type="dxa"/>
            <w:tcMar>
              <w:top w:w="100" w:type="dxa"/>
              <w:left w:w="100" w:type="dxa"/>
              <w:bottom w:w="100" w:type="dxa"/>
              <w:right w:w="100" w:type="dxa"/>
            </w:tcMar>
          </w:tcPr>
          <w:p w14:paraId="50B225C5"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To summarise the barriers and facilitators perceived by hospital staffs</w:t>
            </w:r>
          </w:p>
        </w:tc>
        <w:tc>
          <w:tcPr>
            <w:tcW w:w="1350" w:type="dxa"/>
            <w:tcMar>
              <w:top w:w="100" w:type="dxa"/>
              <w:left w:w="100" w:type="dxa"/>
              <w:bottom w:w="100" w:type="dxa"/>
              <w:right w:w="100" w:type="dxa"/>
            </w:tcMar>
          </w:tcPr>
          <w:p w14:paraId="5D5FDF51"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To perceive the hospital staff and physicians to influence the reporting and learning</w:t>
            </w:r>
          </w:p>
        </w:tc>
        <w:tc>
          <w:tcPr>
            <w:tcW w:w="900" w:type="dxa"/>
            <w:tcMar>
              <w:top w:w="100" w:type="dxa"/>
              <w:left w:w="100" w:type="dxa"/>
              <w:bottom w:w="100" w:type="dxa"/>
              <w:right w:w="100" w:type="dxa"/>
            </w:tcMar>
          </w:tcPr>
          <w:p w14:paraId="4206FDB8" w14:textId="77777777" w:rsidR="00826870" w:rsidRPr="00820F7A" w:rsidRDefault="00B21388">
            <w:pPr>
              <w:pStyle w:val="Normal1"/>
              <w:widowControl w:val="0"/>
              <w:pBdr>
                <w:top w:val="nil"/>
                <w:left w:val="nil"/>
                <w:bottom w:val="nil"/>
                <w:right w:val="nil"/>
                <w:between w:val="nil"/>
              </w:pBdr>
              <w:rPr>
                <w:color w:val="000000"/>
                <w:sz w:val="20"/>
                <w:szCs w:val="20"/>
                <w:lang w:val="en-GB"/>
              </w:rPr>
            </w:pPr>
            <w:r w:rsidRPr="00820F7A">
              <w:rPr>
                <w:color w:val="000000"/>
                <w:sz w:val="20"/>
                <w:szCs w:val="20"/>
                <w:lang w:val="en-GB"/>
              </w:rPr>
              <w:t>Theme 2</w:t>
            </w:r>
          </w:p>
        </w:tc>
      </w:tr>
      <w:tr w:rsidR="00826870" w:rsidRPr="00820F7A" w14:paraId="3F26AF9A" w14:textId="77777777">
        <w:trPr>
          <w:cantSplit/>
          <w:tblHeader/>
        </w:trPr>
        <w:tc>
          <w:tcPr>
            <w:tcW w:w="753" w:type="dxa"/>
            <w:tcMar>
              <w:top w:w="100" w:type="dxa"/>
              <w:left w:w="100" w:type="dxa"/>
              <w:bottom w:w="100" w:type="dxa"/>
              <w:right w:w="100" w:type="dxa"/>
            </w:tcMar>
          </w:tcPr>
          <w:p w14:paraId="39E7E5FC" w14:textId="77777777" w:rsidR="00826870" w:rsidRPr="00820F7A" w:rsidRDefault="00B21388">
            <w:pPr>
              <w:pStyle w:val="Normal1"/>
              <w:widowControl w:val="0"/>
              <w:pBdr>
                <w:top w:val="nil"/>
                <w:left w:val="nil"/>
                <w:bottom w:val="nil"/>
                <w:right w:val="nil"/>
                <w:between w:val="nil"/>
              </w:pBdr>
              <w:rPr>
                <w:color w:val="000000"/>
                <w:sz w:val="20"/>
                <w:szCs w:val="20"/>
                <w:lang w:val="en-GB"/>
              </w:rPr>
            </w:pPr>
            <w:r w:rsidRPr="00820F7A">
              <w:rPr>
                <w:color w:val="000000"/>
                <w:sz w:val="20"/>
                <w:szCs w:val="20"/>
                <w:highlight w:val="white"/>
                <w:lang w:val="en-GB"/>
              </w:rPr>
              <w:t xml:space="preserve">Alabdaly </w:t>
            </w:r>
            <w:r w:rsidRPr="00820F7A">
              <w:rPr>
                <w:i/>
                <w:iCs/>
                <w:color w:val="000000"/>
                <w:sz w:val="20"/>
                <w:szCs w:val="20"/>
                <w:highlight w:val="white"/>
                <w:lang w:val="en-GB"/>
              </w:rPr>
              <w:t xml:space="preserve">et al. </w:t>
            </w:r>
            <w:r w:rsidRPr="00820F7A">
              <w:rPr>
                <w:color w:val="000000"/>
                <w:sz w:val="20"/>
                <w:szCs w:val="20"/>
                <w:highlight w:val="white"/>
                <w:lang w:val="en-GB"/>
              </w:rPr>
              <w:t>(2024)</w:t>
            </w:r>
          </w:p>
        </w:tc>
        <w:tc>
          <w:tcPr>
            <w:tcW w:w="1097" w:type="dxa"/>
            <w:tcMar>
              <w:top w:w="100" w:type="dxa"/>
              <w:left w:w="100" w:type="dxa"/>
              <w:bottom w:w="100" w:type="dxa"/>
              <w:right w:w="100" w:type="dxa"/>
            </w:tcMar>
          </w:tcPr>
          <w:p w14:paraId="106EB60A" w14:textId="77777777" w:rsidR="00826870" w:rsidRPr="00820F7A" w:rsidRDefault="00B21388">
            <w:pPr>
              <w:pStyle w:val="Normal1"/>
              <w:widowControl w:val="0"/>
              <w:pBdr>
                <w:top w:val="nil"/>
                <w:left w:val="nil"/>
                <w:bottom w:val="nil"/>
                <w:right w:val="nil"/>
                <w:between w:val="nil"/>
              </w:pBdr>
              <w:rPr>
                <w:color w:val="000000"/>
                <w:sz w:val="20"/>
                <w:szCs w:val="20"/>
                <w:lang w:val="en-GB"/>
              </w:rPr>
            </w:pPr>
            <w:r w:rsidRPr="00820F7A">
              <w:rPr>
                <w:color w:val="000000"/>
                <w:sz w:val="20"/>
                <w:szCs w:val="20"/>
                <w:lang w:val="en-GB"/>
              </w:rPr>
              <w:t>To identify how these concepts have</w:t>
            </w:r>
          </w:p>
          <w:p w14:paraId="024A47AC" w14:textId="77777777" w:rsidR="00826870" w:rsidRPr="00820F7A" w:rsidRDefault="00B21388">
            <w:pPr>
              <w:pStyle w:val="Normal1"/>
              <w:widowControl w:val="0"/>
              <w:pBdr>
                <w:top w:val="nil"/>
                <w:left w:val="nil"/>
                <w:bottom w:val="nil"/>
                <w:right w:val="nil"/>
                <w:between w:val="nil"/>
              </w:pBdr>
              <w:rPr>
                <w:color w:val="000000"/>
                <w:sz w:val="20"/>
                <w:szCs w:val="20"/>
                <w:lang w:val="en-GB"/>
              </w:rPr>
            </w:pPr>
            <w:r w:rsidRPr="00820F7A">
              <w:rPr>
                <w:color w:val="000000"/>
                <w:sz w:val="20"/>
                <w:szCs w:val="20"/>
                <w:lang w:val="en-GB"/>
              </w:rPr>
              <w:t>been defined or described in the literature</w:t>
            </w:r>
          </w:p>
        </w:tc>
        <w:tc>
          <w:tcPr>
            <w:tcW w:w="900" w:type="dxa"/>
            <w:tcMar>
              <w:top w:w="100" w:type="dxa"/>
              <w:left w:w="100" w:type="dxa"/>
              <w:bottom w:w="100" w:type="dxa"/>
              <w:right w:w="100" w:type="dxa"/>
            </w:tcMar>
          </w:tcPr>
          <w:p w14:paraId="76AC4123"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UK clinic</w:t>
            </w:r>
          </w:p>
        </w:tc>
        <w:tc>
          <w:tcPr>
            <w:tcW w:w="900" w:type="dxa"/>
            <w:tcMar>
              <w:top w:w="100" w:type="dxa"/>
              <w:left w:w="100" w:type="dxa"/>
              <w:bottom w:w="100" w:type="dxa"/>
              <w:right w:w="100" w:type="dxa"/>
            </w:tcMar>
          </w:tcPr>
          <w:p w14:paraId="494BC9A3" w14:textId="77777777" w:rsidR="00826870" w:rsidRPr="00820F7A" w:rsidRDefault="00B21388">
            <w:pPr>
              <w:pStyle w:val="Normal1"/>
              <w:widowControl w:val="0"/>
              <w:pBdr>
                <w:top w:val="nil"/>
                <w:left w:val="nil"/>
                <w:bottom w:val="nil"/>
                <w:right w:val="nil"/>
                <w:between w:val="nil"/>
              </w:pBdr>
              <w:rPr>
                <w:color w:val="000000"/>
                <w:sz w:val="20"/>
                <w:szCs w:val="20"/>
                <w:lang w:val="en-GB"/>
              </w:rPr>
            </w:pPr>
            <w:r w:rsidRPr="00820F7A">
              <w:rPr>
                <w:color w:val="000000"/>
                <w:sz w:val="20"/>
                <w:szCs w:val="20"/>
                <w:lang w:val="en-GB"/>
              </w:rPr>
              <w:t xml:space="preserve">Quantitative study </w:t>
            </w:r>
          </w:p>
        </w:tc>
        <w:tc>
          <w:tcPr>
            <w:tcW w:w="1350" w:type="dxa"/>
            <w:tcMar>
              <w:top w:w="100" w:type="dxa"/>
              <w:left w:w="100" w:type="dxa"/>
              <w:bottom w:w="100" w:type="dxa"/>
              <w:right w:w="100" w:type="dxa"/>
            </w:tcMar>
          </w:tcPr>
          <w:p w14:paraId="7B834E99" w14:textId="77777777" w:rsidR="00826870" w:rsidRPr="00820F7A" w:rsidRDefault="00B21388">
            <w:pPr>
              <w:pStyle w:val="Normal1"/>
              <w:widowControl w:val="0"/>
              <w:pBdr>
                <w:top w:val="nil"/>
                <w:left w:val="nil"/>
                <w:bottom w:val="nil"/>
                <w:right w:val="nil"/>
                <w:between w:val="nil"/>
              </w:pBdr>
              <w:rPr>
                <w:color w:val="000000"/>
                <w:sz w:val="20"/>
                <w:szCs w:val="20"/>
                <w:lang w:val="en-GB"/>
              </w:rPr>
            </w:pPr>
            <w:r w:rsidRPr="00820F7A">
              <w:rPr>
                <w:color w:val="000000"/>
                <w:sz w:val="20"/>
                <w:szCs w:val="20"/>
                <w:lang w:val="en-GB"/>
              </w:rPr>
              <w:t>Importance of promoting and sustaining a</w:t>
            </w:r>
          </w:p>
          <w:p w14:paraId="776B425C" w14:textId="77777777" w:rsidR="00826870" w:rsidRPr="00820F7A" w:rsidRDefault="00B21388">
            <w:pPr>
              <w:pStyle w:val="Normal1"/>
              <w:widowControl w:val="0"/>
              <w:pBdr>
                <w:top w:val="nil"/>
                <w:left w:val="nil"/>
                <w:bottom w:val="nil"/>
                <w:right w:val="nil"/>
                <w:between w:val="nil"/>
              </w:pBdr>
              <w:rPr>
                <w:color w:val="000000"/>
                <w:sz w:val="20"/>
                <w:szCs w:val="20"/>
                <w:lang w:val="en-GB"/>
              </w:rPr>
            </w:pPr>
            <w:r w:rsidRPr="00820F7A">
              <w:rPr>
                <w:color w:val="000000"/>
                <w:sz w:val="20"/>
                <w:szCs w:val="20"/>
                <w:lang w:val="en-GB"/>
              </w:rPr>
              <w:t>robust safety culture is widely recognised</w:t>
            </w:r>
          </w:p>
        </w:tc>
        <w:tc>
          <w:tcPr>
            <w:tcW w:w="1260" w:type="dxa"/>
            <w:tcMar>
              <w:top w:w="100" w:type="dxa"/>
              <w:left w:w="100" w:type="dxa"/>
              <w:bottom w:w="100" w:type="dxa"/>
              <w:right w:w="100" w:type="dxa"/>
            </w:tcMar>
          </w:tcPr>
          <w:p w14:paraId="68DDAA25" w14:textId="77777777" w:rsidR="00826870" w:rsidRPr="00820F7A" w:rsidRDefault="00B21388">
            <w:pPr>
              <w:pStyle w:val="Normal1"/>
              <w:widowControl w:val="0"/>
              <w:pBdr>
                <w:top w:val="nil"/>
                <w:left w:val="nil"/>
                <w:bottom w:val="nil"/>
                <w:right w:val="nil"/>
                <w:between w:val="nil"/>
              </w:pBdr>
              <w:rPr>
                <w:color w:val="000000"/>
                <w:sz w:val="20"/>
                <w:szCs w:val="20"/>
                <w:lang w:val="en-GB"/>
              </w:rPr>
            </w:pPr>
            <w:r w:rsidRPr="00820F7A">
              <w:rPr>
                <w:color w:val="000000"/>
                <w:sz w:val="20"/>
                <w:szCs w:val="20"/>
                <w:lang w:val="en-GB"/>
              </w:rPr>
              <w:t>4512 studies were initially identified; 15 studies met the inclusion criteria.</w:t>
            </w:r>
          </w:p>
        </w:tc>
        <w:tc>
          <w:tcPr>
            <w:tcW w:w="1440" w:type="dxa"/>
            <w:tcMar>
              <w:top w:w="100" w:type="dxa"/>
              <w:left w:w="100" w:type="dxa"/>
              <w:bottom w:w="100" w:type="dxa"/>
              <w:right w:w="100" w:type="dxa"/>
            </w:tcMar>
          </w:tcPr>
          <w:p w14:paraId="1AD54ED8" w14:textId="77777777" w:rsidR="00826870" w:rsidRPr="00820F7A" w:rsidRDefault="00B21388">
            <w:pPr>
              <w:pStyle w:val="Normal1"/>
              <w:widowControl w:val="0"/>
              <w:pBdr>
                <w:top w:val="nil"/>
                <w:left w:val="nil"/>
                <w:bottom w:val="nil"/>
                <w:right w:val="nil"/>
                <w:between w:val="nil"/>
              </w:pBdr>
              <w:rPr>
                <w:color w:val="000000"/>
                <w:sz w:val="20"/>
                <w:szCs w:val="20"/>
                <w:lang w:val="en-GB"/>
              </w:rPr>
            </w:pPr>
            <w:r w:rsidRPr="00820F7A">
              <w:rPr>
                <w:color w:val="000000"/>
                <w:sz w:val="20"/>
                <w:szCs w:val="20"/>
                <w:lang w:val="en-GB"/>
              </w:rPr>
              <w:t>The findings indicate that the patient can recognise safety-related issues that the hospital team may</w:t>
            </w:r>
          </w:p>
          <w:p w14:paraId="043E828C" w14:textId="77777777" w:rsidR="00826870" w:rsidRPr="00820F7A" w:rsidRDefault="00B21388">
            <w:pPr>
              <w:pStyle w:val="Normal1"/>
              <w:widowControl w:val="0"/>
              <w:pBdr>
                <w:top w:val="nil"/>
                <w:left w:val="nil"/>
                <w:bottom w:val="nil"/>
                <w:right w:val="nil"/>
                <w:between w:val="nil"/>
              </w:pBdr>
              <w:rPr>
                <w:color w:val="000000"/>
                <w:sz w:val="20"/>
                <w:szCs w:val="20"/>
                <w:lang w:val="en-GB"/>
              </w:rPr>
            </w:pPr>
            <w:r w:rsidRPr="00820F7A">
              <w:rPr>
                <w:color w:val="000000"/>
                <w:sz w:val="20"/>
                <w:szCs w:val="20"/>
                <w:lang w:val="en-GB"/>
              </w:rPr>
              <w:t>miss.</w:t>
            </w:r>
          </w:p>
        </w:tc>
        <w:tc>
          <w:tcPr>
            <w:tcW w:w="1440" w:type="dxa"/>
            <w:tcMar>
              <w:top w:w="100" w:type="dxa"/>
              <w:left w:w="100" w:type="dxa"/>
              <w:bottom w:w="100" w:type="dxa"/>
              <w:right w:w="100" w:type="dxa"/>
            </w:tcMar>
          </w:tcPr>
          <w:p w14:paraId="6D22F2AC"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 xml:space="preserve">To scope review reveals a positive link between strong patient safety cultures </w:t>
            </w:r>
          </w:p>
        </w:tc>
        <w:tc>
          <w:tcPr>
            <w:tcW w:w="1350" w:type="dxa"/>
            <w:tcMar>
              <w:top w:w="100" w:type="dxa"/>
              <w:left w:w="100" w:type="dxa"/>
              <w:bottom w:w="100" w:type="dxa"/>
              <w:right w:w="100" w:type="dxa"/>
            </w:tcMar>
          </w:tcPr>
          <w:p w14:paraId="70C4AB10"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 xml:space="preserve">To rely on the staff views, missing patients’ and integrated qualitative studies </w:t>
            </w:r>
          </w:p>
        </w:tc>
        <w:tc>
          <w:tcPr>
            <w:tcW w:w="1440" w:type="dxa"/>
            <w:tcMar>
              <w:top w:w="100" w:type="dxa"/>
              <w:left w:w="100" w:type="dxa"/>
              <w:bottom w:w="100" w:type="dxa"/>
              <w:right w:w="100" w:type="dxa"/>
            </w:tcMar>
          </w:tcPr>
          <w:p w14:paraId="43E38B4F"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 xml:space="preserve">To mark strong open communication and learning </w:t>
            </w:r>
          </w:p>
        </w:tc>
        <w:tc>
          <w:tcPr>
            <w:tcW w:w="1350" w:type="dxa"/>
            <w:tcMar>
              <w:top w:w="100" w:type="dxa"/>
              <w:left w:w="100" w:type="dxa"/>
              <w:bottom w:w="100" w:type="dxa"/>
              <w:right w:w="100" w:type="dxa"/>
            </w:tcMar>
          </w:tcPr>
          <w:p w14:paraId="0B643157"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To manage must foster the culture that focus on clinicians to truly develop the patient journey</w:t>
            </w:r>
          </w:p>
        </w:tc>
        <w:tc>
          <w:tcPr>
            <w:tcW w:w="900" w:type="dxa"/>
            <w:tcMar>
              <w:top w:w="100" w:type="dxa"/>
              <w:left w:w="100" w:type="dxa"/>
              <w:bottom w:w="100" w:type="dxa"/>
              <w:right w:w="100" w:type="dxa"/>
            </w:tcMar>
          </w:tcPr>
          <w:p w14:paraId="1DC58FB4" w14:textId="77777777" w:rsidR="00826870" w:rsidRPr="00820F7A" w:rsidRDefault="00B21388">
            <w:pPr>
              <w:pStyle w:val="Normal1"/>
              <w:widowControl w:val="0"/>
              <w:pBdr>
                <w:top w:val="nil"/>
                <w:left w:val="nil"/>
                <w:bottom w:val="nil"/>
                <w:right w:val="nil"/>
                <w:between w:val="nil"/>
              </w:pBdr>
              <w:rPr>
                <w:color w:val="000000"/>
                <w:sz w:val="20"/>
                <w:szCs w:val="20"/>
                <w:lang w:val="en-GB"/>
              </w:rPr>
            </w:pPr>
            <w:r w:rsidRPr="00820F7A">
              <w:rPr>
                <w:color w:val="000000"/>
                <w:sz w:val="20"/>
                <w:szCs w:val="20"/>
                <w:lang w:val="en-GB"/>
              </w:rPr>
              <w:t>Theme 2</w:t>
            </w:r>
          </w:p>
        </w:tc>
      </w:tr>
      <w:tr w:rsidR="00826870" w:rsidRPr="00820F7A" w14:paraId="1621A3A4" w14:textId="77777777">
        <w:trPr>
          <w:cantSplit/>
          <w:tblHeader/>
        </w:trPr>
        <w:tc>
          <w:tcPr>
            <w:tcW w:w="753" w:type="dxa"/>
            <w:tcMar>
              <w:top w:w="100" w:type="dxa"/>
              <w:left w:w="100" w:type="dxa"/>
              <w:bottom w:w="100" w:type="dxa"/>
              <w:right w:w="100" w:type="dxa"/>
            </w:tcMar>
          </w:tcPr>
          <w:p w14:paraId="4A2B7E29" w14:textId="77777777" w:rsidR="00826870" w:rsidRPr="00820F7A" w:rsidRDefault="00B21388">
            <w:pPr>
              <w:pStyle w:val="Normal1"/>
              <w:widowControl w:val="0"/>
              <w:pBdr>
                <w:top w:val="nil"/>
                <w:left w:val="nil"/>
                <w:bottom w:val="nil"/>
                <w:right w:val="nil"/>
                <w:between w:val="nil"/>
              </w:pBdr>
              <w:rPr>
                <w:color w:val="000000"/>
                <w:sz w:val="20"/>
                <w:szCs w:val="20"/>
                <w:lang w:val="en-GB"/>
              </w:rPr>
            </w:pPr>
            <w:r w:rsidRPr="00820F7A">
              <w:rPr>
                <w:color w:val="000000"/>
                <w:sz w:val="20"/>
                <w:szCs w:val="20"/>
                <w:highlight w:val="white"/>
                <w:lang w:val="en-GB"/>
              </w:rPr>
              <w:t xml:space="preserve">Tenza </w:t>
            </w:r>
            <w:r w:rsidRPr="00820F7A">
              <w:rPr>
                <w:i/>
                <w:iCs/>
                <w:color w:val="000000"/>
                <w:sz w:val="20"/>
                <w:szCs w:val="20"/>
                <w:highlight w:val="white"/>
                <w:lang w:val="en-GB"/>
              </w:rPr>
              <w:t xml:space="preserve">et al. </w:t>
            </w:r>
            <w:r w:rsidRPr="00820F7A">
              <w:rPr>
                <w:color w:val="000000"/>
                <w:sz w:val="20"/>
                <w:szCs w:val="20"/>
                <w:highlight w:val="white"/>
                <w:lang w:val="en-GB"/>
              </w:rPr>
              <w:t>(2022)</w:t>
            </w:r>
          </w:p>
        </w:tc>
        <w:tc>
          <w:tcPr>
            <w:tcW w:w="1097" w:type="dxa"/>
            <w:tcMar>
              <w:top w:w="100" w:type="dxa"/>
              <w:left w:w="100" w:type="dxa"/>
              <w:bottom w:w="100" w:type="dxa"/>
              <w:right w:w="100" w:type="dxa"/>
            </w:tcMar>
          </w:tcPr>
          <w:p w14:paraId="0193D539" w14:textId="77777777" w:rsidR="00826870" w:rsidRPr="00820F7A" w:rsidRDefault="00B21388">
            <w:pPr>
              <w:pStyle w:val="Normal1"/>
              <w:widowControl w:val="0"/>
              <w:pBdr>
                <w:top w:val="nil"/>
                <w:left w:val="nil"/>
                <w:bottom w:val="nil"/>
                <w:right w:val="nil"/>
                <w:between w:val="nil"/>
              </w:pBdr>
              <w:rPr>
                <w:color w:val="000000"/>
                <w:sz w:val="20"/>
                <w:szCs w:val="20"/>
                <w:lang w:val="en-GB"/>
              </w:rPr>
            </w:pPr>
            <w:r w:rsidRPr="00820F7A">
              <w:rPr>
                <w:color w:val="000000"/>
                <w:sz w:val="20"/>
                <w:szCs w:val="20"/>
                <w:lang w:val="en-GB"/>
              </w:rPr>
              <w:t>To patient safety cul‑ ture dimensions in the selected hospitals.</w:t>
            </w:r>
          </w:p>
        </w:tc>
        <w:tc>
          <w:tcPr>
            <w:tcW w:w="900" w:type="dxa"/>
            <w:tcMar>
              <w:top w:w="100" w:type="dxa"/>
              <w:left w:w="100" w:type="dxa"/>
              <w:bottom w:w="100" w:type="dxa"/>
              <w:right w:w="100" w:type="dxa"/>
            </w:tcMar>
          </w:tcPr>
          <w:p w14:paraId="1F679585"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Ghana</w:t>
            </w:r>
          </w:p>
        </w:tc>
        <w:tc>
          <w:tcPr>
            <w:tcW w:w="900" w:type="dxa"/>
            <w:tcMar>
              <w:top w:w="100" w:type="dxa"/>
              <w:left w:w="100" w:type="dxa"/>
              <w:bottom w:w="100" w:type="dxa"/>
              <w:right w:w="100" w:type="dxa"/>
            </w:tcMar>
          </w:tcPr>
          <w:p w14:paraId="63DFD06E" w14:textId="77777777" w:rsidR="00826870" w:rsidRPr="00820F7A" w:rsidRDefault="00B21388">
            <w:pPr>
              <w:pStyle w:val="Normal1"/>
              <w:widowControl w:val="0"/>
              <w:pBdr>
                <w:top w:val="nil"/>
                <w:left w:val="nil"/>
                <w:bottom w:val="nil"/>
                <w:right w:val="nil"/>
                <w:between w:val="nil"/>
              </w:pBdr>
              <w:rPr>
                <w:color w:val="000000"/>
                <w:sz w:val="20"/>
                <w:szCs w:val="20"/>
                <w:lang w:val="en-GB"/>
              </w:rPr>
            </w:pPr>
            <w:r w:rsidRPr="00820F7A">
              <w:rPr>
                <w:color w:val="000000"/>
                <w:sz w:val="20"/>
                <w:szCs w:val="20"/>
                <w:lang w:val="en-GB"/>
              </w:rPr>
              <w:t xml:space="preserve">Qualitative study </w:t>
            </w:r>
          </w:p>
        </w:tc>
        <w:tc>
          <w:tcPr>
            <w:tcW w:w="1350" w:type="dxa"/>
            <w:tcMar>
              <w:top w:w="100" w:type="dxa"/>
              <w:left w:w="100" w:type="dxa"/>
              <w:bottom w:w="100" w:type="dxa"/>
              <w:right w:w="100" w:type="dxa"/>
            </w:tcMar>
          </w:tcPr>
          <w:p w14:paraId="1C4BEB62" w14:textId="77777777" w:rsidR="00826870" w:rsidRPr="00820F7A" w:rsidRDefault="00B21388">
            <w:pPr>
              <w:pStyle w:val="Normal1"/>
              <w:widowControl w:val="0"/>
              <w:pBdr>
                <w:top w:val="nil"/>
                <w:left w:val="nil"/>
                <w:bottom w:val="nil"/>
                <w:right w:val="nil"/>
                <w:between w:val="nil"/>
              </w:pBdr>
              <w:rPr>
                <w:color w:val="000000"/>
                <w:sz w:val="20"/>
                <w:szCs w:val="20"/>
                <w:lang w:val="en-GB"/>
              </w:rPr>
            </w:pPr>
            <w:r w:rsidRPr="00820F7A">
              <w:rPr>
                <w:color w:val="000000"/>
                <w:sz w:val="20"/>
                <w:szCs w:val="20"/>
                <w:lang w:val="en-GB"/>
              </w:rPr>
              <w:t>Limited by cross-sectional study, meaning</w:t>
            </w:r>
          </w:p>
          <w:p w14:paraId="2791E179" w14:textId="77777777" w:rsidR="00826870" w:rsidRPr="00820F7A" w:rsidRDefault="00B21388">
            <w:pPr>
              <w:pStyle w:val="Normal1"/>
              <w:widowControl w:val="0"/>
              <w:pBdr>
                <w:top w:val="nil"/>
                <w:left w:val="nil"/>
                <w:bottom w:val="nil"/>
                <w:right w:val="nil"/>
                <w:between w:val="nil"/>
              </w:pBdr>
              <w:rPr>
                <w:color w:val="000000"/>
                <w:sz w:val="20"/>
                <w:szCs w:val="20"/>
                <w:lang w:val="en-GB"/>
              </w:rPr>
            </w:pPr>
            <w:r w:rsidRPr="00820F7A">
              <w:rPr>
                <w:color w:val="000000"/>
                <w:sz w:val="20"/>
                <w:szCs w:val="20"/>
                <w:lang w:val="en-GB"/>
              </w:rPr>
              <w:t>The findings reflect the views of participants.</w:t>
            </w:r>
          </w:p>
        </w:tc>
        <w:tc>
          <w:tcPr>
            <w:tcW w:w="1260" w:type="dxa"/>
            <w:tcMar>
              <w:top w:w="100" w:type="dxa"/>
              <w:left w:w="100" w:type="dxa"/>
              <w:bottom w:w="100" w:type="dxa"/>
              <w:right w:w="100" w:type="dxa"/>
            </w:tcMar>
          </w:tcPr>
          <w:p w14:paraId="2283B4C1" w14:textId="77777777" w:rsidR="00826870" w:rsidRPr="00820F7A" w:rsidRDefault="00B21388">
            <w:pPr>
              <w:pStyle w:val="Normal1"/>
              <w:widowControl w:val="0"/>
              <w:pBdr>
                <w:top w:val="nil"/>
                <w:left w:val="nil"/>
                <w:bottom w:val="nil"/>
                <w:right w:val="nil"/>
                <w:between w:val="nil"/>
              </w:pBdr>
              <w:rPr>
                <w:color w:val="000000"/>
                <w:sz w:val="20"/>
                <w:szCs w:val="20"/>
                <w:lang w:val="en-GB"/>
              </w:rPr>
            </w:pPr>
            <w:r w:rsidRPr="00820F7A">
              <w:rPr>
                <w:color w:val="000000"/>
                <w:sz w:val="20"/>
                <w:szCs w:val="20"/>
                <w:lang w:val="en-GB"/>
              </w:rPr>
              <w:t>Staff shortage contributed to poor</w:t>
            </w:r>
          </w:p>
          <w:p w14:paraId="31BA02C4" w14:textId="77777777" w:rsidR="00826870" w:rsidRPr="00820F7A" w:rsidRDefault="00B21388">
            <w:pPr>
              <w:pStyle w:val="Normal1"/>
              <w:widowControl w:val="0"/>
              <w:pBdr>
                <w:top w:val="nil"/>
                <w:left w:val="nil"/>
                <w:bottom w:val="nil"/>
                <w:right w:val="nil"/>
                <w:between w:val="nil"/>
              </w:pBdr>
              <w:rPr>
                <w:color w:val="000000"/>
                <w:sz w:val="20"/>
                <w:szCs w:val="20"/>
                <w:lang w:val="en-GB"/>
              </w:rPr>
            </w:pPr>
            <w:r w:rsidRPr="00820F7A">
              <w:rPr>
                <w:color w:val="000000"/>
                <w:sz w:val="20"/>
                <w:szCs w:val="20"/>
                <w:lang w:val="en-GB"/>
              </w:rPr>
              <w:t>quality of safety practices including poor handover which was also influenced by lateness to duty.</w:t>
            </w:r>
          </w:p>
        </w:tc>
        <w:tc>
          <w:tcPr>
            <w:tcW w:w="1440" w:type="dxa"/>
            <w:tcMar>
              <w:top w:w="100" w:type="dxa"/>
              <w:left w:w="100" w:type="dxa"/>
              <w:bottom w:w="100" w:type="dxa"/>
              <w:right w:w="100" w:type="dxa"/>
            </w:tcMar>
          </w:tcPr>
          <w:p w14:paraId="4808EAF3" w14:textId="77777777" w:rsidR="00826870" w:rsidRPr="00820F7A" w:rsidRDefault="00B21388">
            <w:pPr>
              <w:pStyle w:val="Normal1"/>
              <w:widowControl w:val="0"/>
              <w:pBdr>
                <w:top w:val="nil"/>
                <w:left w:val="nil"/>
                <w:bottom w:val="nil"/>
                <w:right w:val="nil"/>
                <w:between w:val="nil"/>
              </w:pBdr>
              <w:rPr>
                <w:color w:val="000000"/>
                <w:sz w:val="20"/>
                <w:szCs w:val="20"/>
                <w:lang w:val="en-GB"/>
              </w:rPr>
            </w:pPr>
            <w:r w:rsidRPr="00820F7A">
              <w:rPr>
                <w:color w:val="000000"/>
                <w:sz w:val="20"/>
                <w:szCs w:val="20"/>
                <w:lang w:val="en-GB"/>
              </w:rPr>
              <w:t>Prompt and appropriate responses by managers to medical errors require improvements</w:t>
            </w:r>
          </w:p>
        </w:tc>
        <w:tc>
          <w:tcPr>
            <w:tcW w:w="1440" w:type="dxa"/>
            <w:tcMar>
              <w:top w:w="100" w:type="dxa"/>
              <w:left w:w="100" w:type="dxa"/>
              <w:bottom w:w="100" w:type="dxa"/>
              <w:right w:w="100" w:type="dxa"/>
            </w:tcMar>
          </w:tcPr>
          <w:p w14:paraId="192A4CA3"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To develop communication and teamwork exist</w:t>
            </w:r>
          </w:p>
        </w:tc>
        <w:tc>
          <w:tcPr>
            <w:tcW w:w="1350" w:type="dxa"/>
            <w:tcMar>
              <w:top w:w="100" w:type="dxa"/>
              <w:left w:w="100" w:type="dxa"/>
              <w:bottom w:w="100" w:type="dxa"/>
              <w:right w:w="100" w:type="dxa"/>
            </w:tcMar>
          </w:tcPr>
          <w:p w14:paraId="06CAD353"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 xml:space="preserve">To manage inconsistency management that causes hinder progress </w:t>
            </w:r>
          </w:p>
        </w:tc>
        <w:tc>
          <w:tcPr>
            <w:tcW w:w="1440" w:type="dxa"/>
            <w:tcMar>
              <w:top w:w="100" w:type="dxa"/>
              <w:left w:w="100" w:type="dxa"/>
              <w:bottom w:w="100" w:type="dxa"/>
              <w:right w:w="100" w:type="dxa"/>
            </w:tcMar>
          </w:tcPr>
          <w:p w14:paraId="2E19BCEB"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 xml:space="preserve">To standardize policies for error repose </w:t>
            </w:r>
          </w:p>
        </w:tc>
        <w:tc>
          <w:tcPr>
            <w:tcW w:w="1350" w:type="dxa"/>
            <w:tcMar>
              <w:top w:w="100" w:type="dxa"/>
              <w:left w:w="100" w:type="dxa"/>
              <w:bottom w:w="100" w:type="dxa"/>
              <w:right w:w="100" w:type="dxa"/>
            </w:tcMar>
          </w:tcPr>
          <w:p w14:paraId="2C714BD4" w14:textId="77777777" w:rsidR="00826870" w:rsidRPr="00820F7A" w:rsidRDefault="00B21388">
            <w:pPr>
              <w:pStyle w:val="Normal1"/>
              <w:widowControl w:val="0"/>
              <w:pBdr>
                <w:top w:val="nil"/>
                <w:left w:val="nil"/>
                <w:bottom w:val="nil"/>
                <w:right w:val="nil"/>
                <w:between w:val="nil"/>
              </w:pBdr>
              <w:jc w:val="left"/>
              <w:rPr>
                <w:color w:val="000000"/>
                <w:sz w:val="20"/>
                <w:szCs w:val="20"/>
                <w:lang w:val="en-GB"/>
              </w:rPr>
            </w:pPr>
            <w:r w:rsidRPr="00820F7A">
              <w:rPr>
                <w:color w:val="000000"/>
                <w:sz w:val="20"/>
                <w:szCs w:val="20"/>
                <w:lang w:val="en-GB"/>
              </w:rPr>
              <w:t xml:space="preserve">To lead towards a need for better resources and stronger consistent leadership </w:t>
            </w:r>
          </w:p>
        </w:tc>
        <w:tc>
          <w:tcPr>
            <w:tcW w:w="900" w:type="dxa"/>
            <w:tcMar>
              <w:top w:w="100" w:type="dxa"/>
              <w:left w:w="100" w:type="dxa"/>
              <w:bottom w:w="100" w:type="dxa"/>
              <w:right w:w="100" w:type="dxa"/>
            </w:tcMar>
          </w:tcPr>
          <w:p w14:paraId="1176D04C" w14:textId="77777777" w:rsidR="00826870" w:rsidRPr="00820F7A" w:rsidRDefault="00B21388">
            <w:pPr>
              <w:pStyle w:val="Normal1"/>
              <w:widowControl w:val="0"/>
              <w:pBdr>
                <w:top w:val="nil"/>
                <w:left w:val="nil"/>
                <w:bottom w:val="nil"/>
                <w:right w:val="nil"/>
                <w:between w:val="nil"/>
              </w:pBdr>
              <w:rPr>
                <w:color w:val="000000"/>
                <w:sz w:val="20"/>
                <w:szCs w:val="20"/>
                <w:lang w:val="en-GB"/>
              </w:rPr>
            </w:pPr>
            <w:r w:rsidRPr="00820F7A">
              <w:rPr>
                <w:color w:val="000000"/>
                <w:sz w:val="20"/>
                <w:szCs w:val="20"/>
                <w:lang w:val="en-GB"/>
              </w:rPr>
              <w:t>Theme 1</w:t>
            </w:r>
          </w:p>
        </w:tc>
      </w:tr>
    </w:tbl>
    <w:p w14:paraId="238F8E9D" w14:textId="77777777" w:rsidR="00826870" w:rsidRPr="00820F7A" w:rsidRDefault="00826870">
      <w:pPr>
        <w:pStyle w:val="Heading5"/>
        <w:rPr>
          <w:lang w:val="en-GB"/>
        </w:rPr>
        <w:sectPr w:rsidR="00826870" w:rsidRPr="00820F7A">
          <w:pgSz w:w="15840" w:h="12240" w:orient="landscape"/>
          <w:pgMar w:top="1440" w:right="1440" w:bottom="1440" w:left="1440" w:header="720" w:footer="720" w:gutter="0"/>
          <w:cols w:space="720"/>
        </w:sectPr>
      </w:pPr>
      <w:bookmarkStart w:id="89" w:name="_heading=h.qx727doqwhhb" w:colFirst="0" w:colLast="0"/>
      <w:bookmarkEnd w:id="89"/>
    </w:p>
    <w:p w14:paraId="555EF42D" w14:textId="77777777" w:rsidR="00826870" w:rsidRPr="00820F7A" w:rsidRDefault="00B21388">
      <w:pPr>
        <w:pStyle w:val="Heading5"/>
        <w:rPr>
          <w:lang w:val="en-GB"/>
        </w:rPr>
      </w:pPr>
      <w:r w:rsidRPr="00820F7A">
        <w:rPr>
          <w:lang w:val="en-GB"/>
        </w:rPr>
        <w:t>Table 5.1: Data characteristics</w:t>
      </w:r>
    </w:p>
    <w:p w14:paraId="36CA45B4" w14:textId="77777777" w:rsidR="00826870" w:rsidRPr="00820F7A" w:rsidRDefault="00B21388">
      <w:pPr>
        <w:pStyle w:val="Normal1"/>
        <w:pBdr>
          <w:top w:val="nil"/>
          <w:left w:val="nil"/>
          <w:bottom w:val="nil"/>
          <w:right w:val="nil"/>
          <w:between w:val="nil"/>
        </w:pBdr>
        <w:jc w:val="center"/>
        <w:rPr>
          <w:color w:val="000000"/>
          <w:lang w:val="en-GB"/>
        </w:rPr>
      </w:pPr>
      <w:r w:rsidRPr="00820F7A">
        <w:rPr>
          <w:color w:val="000000"/>
          <w:lang w:val="en-GB"/>
        </w:rPr>
        <w:t>(Source: Self-created)</w:t>
      </w:r>
    </w:p>
    <w:p w14:paraId="08E0DEB0" w14:textId="77777777" w:rsidR="00826870" w:rsidRPr="00820F7A" w:rsidRDefault="00B21388">
      <w:pPr>
        <w:pStyle w:val="Heading2"/>
        <w:rPr>
          <w:lang w:val="en-GB"/>
        </w:rPr>
      </w:pPr>
      <w:bookmarkStart w:id="90" w:name="_Toc220759526"/>
      <w:r w:rsidRPr="00820F7A">
        <w:rPr>
          <w:lang w:val="en-GB"/>
        </w:rPr>
        <w:t>5.2.3 Synthesis of data</w:t>
      </w:r>
      <w:bookmarkEnd w:id="90"/>
    </w:p>
    <w:p w14:paraId="35CBC6AD"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The synthesis of the data across the 12 peer-reviewed studies reveals a consistent and multifaceted relationship between clinical leadership and patient safety culture within the UK hospitals. Furthermore, drawing across quantitative, qualitative and the mixed-method evidence, 4 themes have emerged (Lorenc </w:t>
      </w:r>
      <w:r w:rsidRPr="00820F7A">
        <w:rPr>
          <w:i/>
          <w:iCs/>
          <w:color w:val="000000"/>
          <w:lang w:val="en-GB"/>
        </w:rPr>
        <w:t xml:space="preserve">et al. </w:t>
      </w:r>
      <w:r w:rsidRPr="00820F7A">
        <w:rPr>
          <w:color w:val="000000"/>
          <w:lang w:val="en-GB"/>
        </w:rPr>
        <w:t xml:space="preserve">2024). Collectively the findings demonstrate that the leadership behaviour acts as both the structural as well as cultural determinants of the safety outcomes. </w:t>
      </w:r>
    </w:p>
    <w:p w14:paraId="6591B249" w14:textId="77777777" w:rsidR="00826870" w:rsidRPr="00820F7A" w:rsidRDefault="00B21388">
      <w:pPr>
        <w:pStyle w:val="Normal1"/>
        <w:pBdr>
          <w:top w:val="nil"/>
          <w:left w:val="nil"/>
          <w:bottom w:val="nil"/>
          <w:right w:val="nil"/>
          <w:between w:val="nil"/>
        </w:pBdr>
        <w:rPr>
          <w:b/>
          <w:bCs/>
          <w:color w:val="000000"/>
          <w:lang w:val="en-GB"/>
        </w:rPr>
      </w:pPr>
      <w:r w:rsidRPr="00820F7A">
        <w:rPr>
          <w:b/>
          <w:bCs/>
          <w:color w:val="000000"/>
          <w:lang w:val="en-GB"/>
        </w:rPr>
        <w:t>Discussion based on Theme 1</w:t>
      </w:r>
    </w:p>
    <w:p w14:paraId="217199C0"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The findings of the study outlined that clinical leaders are significant in improving the patient safety culture through integrating regulatory framework. The implication of the regulatory framework in the healthcare setting is positively associated with improving individual accountability regarding patient safety (Tenza </w:t>
      </w:r>
      <w:r w:rsidRPr="00820F7A">
        <w:rPr>
          <w:i/>
          <w:iCs/>
          <w:color w:val="000000"/>
          <w:lang w:val="en-GB"/>
        </w:rPr>
        <w:t xml:space="preserve">et al. </w:t>
      </w:r>
      <w:r w:rsidRPr="00820F7A">
        <w:rPr>
          <w:color w:val="000000"/>
          <w:lang w:val="en-GB"/>
        </w:rPr>
        <w:t xml:space="preserve">2022). On the other hand, the leadership is held accountable by the patients in the UK hospitals for integrating a comprehensive and engaging hospital environment for boosting confidence in communicating individual needs (Wickramasekera </w:t>
      </w:r>
      <w:r w:rsidRPr="00820F7A">
        <w:rPr>
          <w:i/>
          <w:iCs/>
          <w:color w:val="000000"/>
          <w:lang w:val="en-GB"/>
        </w:rPr>
        <w:t xml:space="preserve">et al. </w:t>
      </w:r>
      <w:r w:rsidRPr="00820F7A">
        <w:rPr>
          <w:color w:val="000000"/>
          <w:lang w:val="en-GB"/>
        </w:rPr>
        <w:t xml:space="preserve">2024). The studies under Theme 1 indicate that effective clinical leadership strengthens regulatory compliance, transparency and the incidents that govern those are particularly by frameworks such as PSIRF (Yeowell </w:t>
      </w:r>
      <w:r w:rsidRPr="00820F7A">
        <w:rPr>
          <w:i/>
          <w:iCs/>
          <w:color w:val="000000"/>
          <w:lang w:val="en-GB"/>
        </w:rPr>
        <w:t xml:space="preserve">et al. </w:t>
      </w:r>
      <w:r w:rsidRPr="00820F7A">
        <w:rPr>
          <w:color w:val="000000"/>
          <w:lang w:val="en-GB"/>
        </w:rPr>
        <w:t xml:space="preserve">2024). The adaptability of the clinical leadership in handling diverse workplace issues along with patient concerns is a key aspect of the clinical leadership for improving accountability. </w:t>
      </w:r>
    </w:p>
    <w:p w14:paraId="1E241E90" w14:textId="77777777" w:rsidR="00826870" w:rsidRPr="00820F7A" w:rsidRDefault="00B21388">
      <w:pPr>
        <w:pStyle w:val="Normal1"/>
        <w:pBdr>
          <w:top w:val="nil"/>
          <w:left w:val="nil"/>
          <w:bottom w:val="nil"/>
          <w:right w:val="nil"/>
          <w:between w:val="nil"/>
        </w:pBdr>
        <w:rPr>
          <w:b/>
          <w:bCs/>
          <w:color w:val="000000"/>
          <w:lang w:val="en-GB"/>
        </w:rPr>
      </w:pPr>
      <w:r w:rsidRPr="00820F7A">
        <w:rPr>
          <w:b/>
          <w:bCs/>
          <w:color w:val="000000"/>
          <w:lang w:val="en-GB"/>
        </w:rPr>
        <w:t>Discussion based on Theme 2</w:t>
      </w:r>
    </w:p>
    <w:p w14:paraId="6AB53C8C"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Transformational leadership style is one of the most effective and widely used clinical leadership styles that assist in boosting organisational commitment towards safety and patients’ safety through shared decision making (Haoyan </w:t>
      </w:r>
      <w:r w:rsidRPr="00820F7A">
        <w:rPr>
          <w:i/>
          <w:iCs/>
          <w:color w:val="000000"/>
          <w:lang w:val="en-GB"/>
        </w:rPr>
        <w:t>et al.</w:t>
      </w:r>
      <w:r w:rsidRPr="00820F7A">
        <w:rPr>
          <w:color w:val="000000"/>
          <w:lang w:val="en-GB"/>
        </w:rPr>
        <w:t xml:space="preserve"> 2023). On the other hand, it has been discussed that clinical leadership approaches focus on continuous improvement through establishing patient safety learning systems as a principal strategy (Mahmoud </w:t>
      </w:r>
      <w:r w:rsidRPr="00820F7A">
        <w:rPr>
          <w:i/>
          <w:iCs/>
          <w:color w:val="000000"/>
          <w:lang w:val="en-GB"/>
        </w:rPr>
        <w:t>et al.</w:t>
      </w:r>
      <w:r w:rsidRPr="00820F7A">
        <w:rPr>
          <w:color w:val="000000"/>
          <w:lang w:val="en-GB"/>
        </w:rPr>
        <w:t xml:space="preserve"> 2023). Similarly, the emphasis on providing training on safety and continuous monitoring for identifying systemic risks is also mentioned to assist in building a strong workplace culture for patient safety (Alkan </w:t>
      </w:r>
      <w:r w:rsidRPr="00820F7A">
        <w:rPr>
          <w:i/>
          <w:iCs/>
          <w:color w:val="000000"/>
          <w:lang w:val="en-GB"/>
        </w:rPr>
        <w:t>et al.</w:t>
      </w:r>
      <w:r w:rsidRPr="00820F7A">
        <w:rPr>
          <w:color w:val="000000"/>
          <w:lang w:val="en-GB"/>
        </w:rPr>
        <w:t xml:space="preserve"> 2024). Diverse leadership styles are being integrated in healthcare for guiding individual and organisational practices for developing ethically sound patient safety culture. The leadership style including the transformational leadership is positively associated with strengthening individual involvement in maintaining and developing a safety culture through improving internal team collaboration. </w:t>
      </w:r>
    </w:p>
    <w:p w14:paraId="45E0B694" w14:textId="77777777" w:rsidR="00826870" w:rsidRPr="00820F7A" w:rsidRDefault="00B21388">
      <w:pPr>
        <w:pStyle w:val="Normal1"/>
        <w:pBdr>
          <w:top w:val="nil"/>
          <w:left w:val="nil"/>
          <w:bottom w:val="nil"/>
          <w:right w:val="nil"/>
          <w:between w:val="nil"/>
        </w:pBdr>
        <w:rPr>
          <w:b/>
          <w:bCs/>
          <w:color w:val="000000"/>
          <w:lang w:val="en-GB"/>
        </w:rPr>
      </w:pPr>
      <w:r w:rsidRPr="00820F7A">
        <w:rPr>
          <w:b/>
          <w:bCs/>
          <w:color w:val="000000"/>
          <w:lang w:val="en-GB"/>
        </w:rPr>
        <w:t>Discussion based on Theme 3</w:t>
      </w:r>
    </w:p>
    <w:p w14:paraId="58C91EEF" w14:textId="77777777" w:rsidR="00826870" w:rsidRPr="00820F7A" w:rsidRDefault="00B21388">
      <w:pPr>
        <w:pStyle w:val="Normal1"/>
        <w:pBdr>
          <w:top w:val="nil"/>
          <w:left w:val="nil"/>
          <w:bottom w:val="nil"/>
          <w:right w:val="nil"/>
          <w:between w:val="nil"/>
        </w:pBdr>
        <w:rPr>
          <w:b/>
          <w:bCs/>
          <w:color w:val="000000"/>
          <w:lang w:val="en-GB"/>
        </w:rPr>
      </w:pPr>
      <w:r w:rsidRPr="00820F7A">
        <w:rPr>
          <w:color w:val="000000"/>
          <w:lang w:val="en-GB"/>
        </w:rPr>
        <w:t xml:space="preserve">Theme 3 is determined to synthesize evidence linking weak leadership, poor communication as well as risk-average behaviours for increased clinical negligence. The findings outline that one of the major issues associated with increased risks of patient safety is the lack of evidence-based practices that directly hamper healthcare outcomes in UK hospitals (Carter </w:t>
      </w:r>
      <w:r w:rsidRPr="00820F7A">
        <w:rPr>
          <w:i/>
          <w:iCs/>
          <w:color w:val="000000"/>
          <w:lang w:val="en-GB"/>
        </w:rPr>
        <w:t xml:space="preserve">et al. </w:t>
      </w:r>
      <w:r w:rsidRPr="00820F7A">
        <w:rPr>
          <w:color w:val="000000"/>
          <w:lang w:val="en-GB"/>
        </w:rPr>
        <w:t xml:space="preserve">2022). In contrast, clinical negligence due to poor guidance from the management and leadership teams is also a significant channel that hampers patient’s trust and reliance on healthcare services (Rowen </w:t>
      </w:r>
      <w:r w:rsidRPr="00820F7A">
        <w:rPr>
          <w:i/>
          <w:iCs/>
          <w:color w:val="000000"/>
          <w:lang w:val="en-GB"/>
        </w:rPr>
        <w:t xml:space="preserve">et al. </w:t>
      </w:r>
      <w:r w:rsidRPr="00820F7A">
        <w:rPr>
          <w:color w:val="000000"/>
          <w:lang w:val="en-GB"/>
        </w:rPr>
        <w:t xml:space="preserve">2022). Similarly, lack of individual accountability among the healthcare professionals and staff leads to poor compliance with the safety guidelines that impact hospital accountability toward maintaining patient safety culture (Granel-Giménez </w:t>
      </w:r>
      <w:r w:rsidRPr="00820F7A">
        <w:rPr>
          <w:i/>
          <w:iCs/>
          <w:color w:val="000000"/>
          <w:lang w:val="en-GB"/>
        </w:rPr>
        <w:t xml:space="preserve">et al. </w:t>
      </w:r>
      <w:r w:rsidRPr="00820F7A">
        <w:rPr>
          <w:color w:val="000000"/>
          <w:lang w:val="en-GB"/>
        </w:rPr>
        <w:t xml:space="preserve">2022) In contrast, the clinical leadership are responsible to developed a comprehensive safety organisational culture through developing a shared vision and long-term safety objectives (Taske </w:t>
      </w:r>
      <w:r w:rsidRPr="00820F7A">
        <w:rPr>
          <w:i/>
          <w:iCs/>
          <w:color w:val="000000"/>
          <w:lang w:val="en-GB"/>
        </w:rPr>
        <w:t xml:space="preserve">et al. </w:t>
      </w:r>
      <w:r w:rsidRPr="00820F7A">
        <w:rPr>
          <w:color w:val="000000"/>
          <w:lang w:val="en-GB"/>
        </w:rPr>
        <w:t xml:space="preserve">2023). Thus, increasing risks of patient safety culture due to poor ethical compliance and governance integrated by the clinical leadership is a major issue that hampers UK Hospitals patient safety culture. </w:t>
      </w:r>
    </w:p>
    <w:p w14:paraId="36B4A87E" w14:textId="77777777" w:rsidR="00826870" w:rsidRPr="00820F7A" w:rsidRDefault="00B21388">
      <w:pPr>
        <w:pStyle w:val="Normal1"/>
        <w:pBdr>
          <w:top w:val="nil"/>
          <w:left w:val="nil"/>
          <w:bottom w:val="nil"/>
          <w:right w:val="nil"/>
          <w:between w:val="nil"/>
        </w:pBdr>
        <w:rPr>
          <w:b/>
          <w:bCs/>
          <w:color w:val="000000"/>
          <w:lang w:val="en-GB"/>
        </w:rPr>
      </w:pPr>
      <w:r w:rsidRPr="00820F7A">
        <w:rPr>
          <w:b/>
          <w:bCs/>
          <w:color w:val="000000"/>
          <w:lang w:val="en-GB"/>
        </w:rPr>
        <w:t>Discussion based on Theme 4</w:t>
      </w:r>
    </w:p>
    <w:p w14:paraId="4BB0B24E"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The theme 4 is underscored with the role of structured leadership development, coaching and also reflective practices for mediating safety risks with fostering collaborative cultures (Phillipson </w:t>
      </w:r>
      <w:r w:rsidRPr="00820F7A">
        <w:rPr>
          <w:i/>
          <w:iCs/>
          <w:color w:val="000000"/>
          <w:lang w:val="en-GB"/>
        </w:rPr>
        <w:t xml:space="preserve">et al. </w:t>
      </w:r>
      <w:r w:rsidRPr="00820F7A">
        <w:rPr>
          <w:color w:val="000000"/>
          <w:lang w:val="en-GB"/>
        </w:rPr>
        <w:t xml:space="preserve">2025). Overall, the synthesis suggests that the patient safety culture within the UK hospitals is not shaped by the isolated leadership traits but by an interaction between the leadership styles, the organizational systems and also contextual NHS pressures. On the other hand, the findings emphasise on utilising defensive practice that implicate a diffuse sense of risks, enabling clinical leadership to alter behaviour based on the patient requirement (Lorenc </w:t>
      </w:r>
      <w:r w:rsidRPr="00820F7A">
        <w:rPr>
          <w:i/>
          <w:iCs/>
          <w:color w:val="000000"/>
          <w:lang w:val="en-GB"/>
        </w:rPr>
        <w:t xml:space="preserve">et al. </w:t>
      </w:r>
      <w:r w:rsidRPr="00820F7A">
        <w:rPr>
          <w:color w:val="000000"/>
          <w:lang w:val="en-GB"/>
        </w:rPr>
        <w:t xml:space="preserve">2024). The findings outline the implications of strategic and long-term collective vision of patient health and safety positively associated with improving individual accountability and enhancing outcomes. In contrast, the clinical leadership practice in the UK hospitals for developing patient safety can be enhanced through ensuring transparency with the patient by maintaining open communication and involvement of the patients in decision-making (Phillipson </w:t>
      </w:r>
      <w:r w:rsidRPr="00820F7A">
        <w:rPr>
          <w:i/>
          <w:iCs/>
          <w:color w:val="000000"/>
          <w:lang w:val="en-GB"/>
        </w:rPr>
        <w:t xml:space="preserve">et al. </w:t>
      </w:r>
      <w:r w:rsidRPr="00820F7A">
        <w:rPr>
          <w:color w:val="000000"/>
          <w:lang w:val="en-GB"/>
        </w:rPr>
        <w:t xml:space="preserve">2025). Therefore, the clinical leadership operates to enable and to mediate the mechanism for the sustainable safety improvements. </w:t>
      </w:r>
    </w:p>
    <w:p w14:paraId="54B52D95" w14:textId="77777777" w:rsidR="00826870" w:rsidRPr="00820F7A" w:rsidRDefault="00B21388">
      <w:pPr>
        <w:pStyle w:val="Heading2"/>
        <w:rPr>
          <w:lang w:val="en-GB"/>
        </w:rPr>
      </w:pPr>
      <w:bookmarkStart w:id="91" w:name="_Toc220759527"/>
      <w:r w:rsidRPr="00820F7A">
        <w:rPr>
          <w:lang w:val="en-GB"/>
        </w:rPr>
        <w:t>5. 3 Critical evaluations of findings and study comparison</w:t>
      </w:r>
      <w:bookmarkEnd w:id="91"/>
    </w:p>
    <w:p w14:paraId="45A27F66"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The cricket evaluation of the reviewed studies ensured highlighting both convergence and divergence of clinical leadership influences patient safety culture across the UK settings. The broad consequences that ensured leadership safety outcomes, variations within the study design, population focuses as well as theoretical framing influences the strengths for better venerabilityof the findings (Lorenc </w:t>
      </w:r>
      <w:r w:rsidRPr="00820F7A">
        <w:rPr>
          <w:i/>
          <w:iCs/>
          <w:color w:val="000000"/>
          <w:lang w:val="en-GB"/>
        </w:rPr>
        <w:t xml:space="preserve">et al. </w:t>
      </w:r>
      <w:r w:rsidRPr="00820F7A">
        <w:rPr>
          <w:color w:val="000000"/>
          <w:lang w:val="en-GB"/>
        </w:rPr>
        <w:t xml:space="preserve">2024). Quantitative studies have provided robust statistical evidence that are linked with the leadership practices with safety-related outcomes, these are further including the incident rewriting, staff wellbeing as well as litigation experiences. The studies have been determined to benefit from the large sample sizes and the national representations that enhance the external validity (Rowen </w:t>
      </w:r>
      <w:r w:rsidRPr="00820F7A">
        <w:rPr>
          <w:i/>
          <w:iCs/>
          <w:color w:val="000000"/>
          <w:lang w:val="en-GB"/>
        </w:rPr>
        <w:t xml:space="preserve">et al. </w:t>
      </w:r>
      <w:r w:rsidRPr="00820F7A">
        <w:rPr>
          <w:color w:val="000000"/>
          <w:lang w:val="en-GB"/>
        </w:rPr>
        <w:t xml:space="preserve">2022). However, the reliance is aligned with the self-reported survey data that introduces the response bias and also limits causal inference. Moreover, the systematic reviews have also offered strong evidence that supports transformational leadership as a driver of organizational commitment. Thus, yet the aggregation of international studies is able to reduce the contextual specificity towards the NHS. </w:t>
      </w:r>
    </w:p>
    <w:p w14:paraId="05FE56D5"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Contrastingly, the qualitative and the mixed-methods studies provides a deeper insight within the clinicians, lived experiences of defensive practices, complaints handling and the emotional labour under regulatory scrutiny, these studies critically expose the fear of blame, litigation pressures and also performance targets undermining safety culture deposit of the formal leadership structures. However the qualitative findings often stem from the smaller or the non-representative samples, limiting the transferability across the NHS trusts (Carter </w:t>
      </w:r>
      <w:r w:rsidRPr="00820F7A">
        <w:rPr>
          <w:i/>
          <w:iCs/>
          <w:color w:val="000000"/>
          <w:lang w:val="en-GB"/>
        </w:rPr>
        <w:t xml:space="preserve">et al. </w:t>
      </w:r>
      <w:r w:rsidRPr="00820F7A">
        <w:rPr>
          <w:color w:val="000000"/>
          <w:lang w:val="en-GB"/>
        </w:rPr>
        <w:t xml:space="preserve">2022). Comparative analysis across the themes is determined to reveal that the tension between the transformational leadership ensures ideals and the operational realities. The studies under Theme 2 and Theme 4 are determined to strongly advocate the leadership development and the person-centred approaches, evidence from theme 3 is able to indicate the systematic constraints for example workforce shortages, inadequate training and also increasing negligence (Alkan </w:t>
      </w:r>
      <w:r w:rsidRPr="00820F7A">
        <w:rPr>
          <w:i/>
          <w:iCs/>
          <w:color w:val="000000"/>
          <w:lang w:val="en-GB"/>
        </w:rPr>
        <w:t xml:space="preserve">et al. </w:t>
      </w:r>
      <w:r w:rsidRPr="00820F7A">
        <w:rPr>
          <w:color w:val="000000"/>
          <w:lang w:val="en-GB"/>
        </w:rPr>
        <w:t xml:space="preserve">2024). The contradiction further suggests that leadership effectiveness is contingent not only on individual capability but also on organisational support as well as policy alignment. Therefore, leadership development studies demonstrate positive associations between clinically trained leaders with improved organizational culture. </w:t>
      </w:r>
    </w:p>
    <w:p w14:paraId="0955D6A4"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The variability in intervention design, outcome measures as well as follow-up periods weakens comparability across the studies. The absence of the longitudinal evaluations also limits understanding of the sustained safety impact. Critically, most studies privilege positive leadership outcomes, indicating the potential publication bias as acknowledged within the limitations (Backman </w:t>
      </w:r>
      <w:r w:rsidRPr="00820F7A">
        <w:rPr>
          <w:i/>
          <w:iCs/>
          <w:color w:val="000000"/>
          <w:lang w:val="en-GB"/>
        </w:rPr>
        <w:t xml:space="preserve">et al. </w:t>
      </w:r>
      <w:r w:rsidRPr="00820F7A">
        <w:rPr>
          <w:color w:val="000000"/>
          <w:lang w:val="en-GB"/>
        </w:rPr>
        <w:t>2025). The negative or neutral leadership effects are underexplored, particularly within high-pressure NHS contexts. In addition, studies integrate explicit patient safety theories alongside the leadership models presenting their typical gap. The evidence collectively supports the pivotal role of clinical leadership within the shaping patient safety culture, inconsistencies across methodologies as well as contextual constraints. Therefore, the research highlights the need for more theoretical integration, longitudinal and NHS-specific research to fully evaluate leadership effectiveness.</w:t>
      </w:r>
    </w:p>
    <w:p w14:paraId="3D17F9F7" w14:textId="77777777" w:rsidR="00826870" w:rsidRPr="00820F7A" w:rsidRDefault="00B21388">
      <w:pPr>
        <w:pStyle w:val="Heading2"/>
        <w:rPr>
          <w:b w:val="0"/>
          <w:bCs w:val="0"/>
          <w:lang w:val="en-GB"/>
        </w:rPr>
      </w:pPr>
      <w:bookmarkStart w:id="92" w:name="_Toc220759528"/>
      <w:r w:rsidRPr="00820F7A">
        <w:rPr>
          <w:lang w:val="en-GB"/>
        </w:rPr>
        <w:t>5. 4 Implications and Future Research Needs</w:t>
      </w:r>
      <w:bookmarkEnd w:id="92"/>
    </w:p>
    <w:p w14:paraId="5BDD4EE6"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The findings have significantly implied the healthcare practices and policies. Strengthening the clinical leadership capabilities is required to prioritise the core patient safety strategies within the NHS with targeted leadership development focusing on the communication, psychological safety and also learning-oriented approaches for error management. The organisational policies are determined to support the leaders for embedding the Just Culture principles for better alignment with safety objectives with the staff wellbeing initiatives (</w:t>
      </w:r>
      <w:r w:rsidRPr="00820F7A">
        <w:rPr>
          <w:color w:val="000000"/>
          <w:highlight w:val="white"/>
          <w:lang w:val="en-GB"/>
        </w:rPr>
        <w:t xml:space="preserve">Murray </w:t>
      </w:r>
      <w:r w:rsidRPr="00820F7A">
        <w:rPr>
          <w:i/>
          <w:iCs/>
          <w:color w:val="000000"/>
          <w:highlight w:val="white"/>
          <w:lang w:val="en-GB"/>
        </w:rPr>
        <w:t xml:space="preserve">et al. </w:t>
      </w:r>
      <w:r w:rsidRPr="00820F7A">
        <w:rPr>
          <w:color w:val="000000"/>
          <w:highlight w:val="white"/>
          <w:lang w:val="en-GB"/>
        </w:rPr>
        <w:t>2023</w:t>
      </w:r>
      <w:r w:rsidRPr="00820F7A">
        <w:rPr>
          <w:color w:val="000000"/>
          <w:lang w:val="en-GB"/>
        </w:rPr>
        <w:t xml:space="preserve">). The future research is determined to move beyond the secondary analysis by incorporating the primary qualitative and quantitative status for examining leadership analysis that incorporates safety cultures. Therefore, the investigation is aligned well with digital leadership as well as inter-professional leadership models within UK hospitals. </w:t>
      </w:r>
    </w:p>
    <w:p w14:paraId="5428A30C" w14:textId="77777777" w:rsidR="00826870" w:rsidRPr="00820F7A" w:rsidRDefault="00B21388">
      <w:pPr>
        <w:pStyle w:val="Heading2"/>
        <w:rPr>
          <w:b w:val="0"/>
          <w:bCs w:val="0"/>
          <w:lang w:val="en-GB"/>
        </w:rPr>
      </w:pPr>
      <w:bookmarkStart w:id="93" w:name="_Toc220759529"/>
      <w:r w:rsidRPr="00820F7A">
        <w:rPr>
          <w:lang w:val="en-GB"/>
        </w:rPr>
        <w:t>5. 5 Strengths and Limitations/bias</w:t>
      </w:r>
      <w:bookmarkEnd w:id="93"/>
    </w:p>
    <w:p w14:paraId="3603E6DD"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The key strength of the study lies within the systematic and the transplant review methodologies that enhance rigor credibility by the inclusion of 12 peer-reviewed articles and the structured quality appraisal. The usage of the established frameworks ensured consistency as well as reduced the selection bias. However, the reliance on the secondary data limits the insights within lived experiences of the clinical leaders and also the frontline staff (</w:t>
      </w:r>
      <w:r w:rsidRPr="00820F7A">
        <w:rPr>
          <w:color w:val="000000"/>
          <w:highlight w:val="white"/>
          <w:lang w:val="en-GB"/>
        </w:rPr>
        <w:t xml:space="preserve">Alvarez </w:t>
      </w:r>
      <w:r w:rsidRPr="00820F7A">
        <w:rPr>
          <w:i/>
          <w:iCs/>
          <w:color w:val="000000"/>
          <w:highlight w:val="white"/>
          <w:lang w:val="en-GB"/>
        </w:rPr>
        <w:t xml:space="preserve">et al. </w:t>
      </w:r>
      <w:r w:rsidRPr="00820F7A">
        <w:rPr>
          <w:color w:val="000000"/>
          <w:highlight w:val="white"/>
          <w:lang w:val="en-GB"/>
        </w:rPr>
        <w:t>2022</w:t>
      </w:r>
      <w:r w:rsidRPr="00820F7A">
        <w:rPr>
          <w:color w:val="000000"/>
          <w:lang w:val="en-GB"/>
        </w:rPr>
        <w:t xml:space="preserve">). Thus, the publication bias is also possible as the studies report positive, leadership outcomes as these have more likely to be published than those with neutral or negative findings </w:t>
      </w:r>
    </w:p>
    <w:p w14:paraId="4EBC8E84" w14:textId="77777777" w:rsidR="00826870" w:rsidRPr="00820F7A" w:rsidRDefault="00B21388">
      <w:pPr>
        <w:pStyle w:val="Heading2"/>
        <w:rPr>
          <w:b w:val="0"/>
          <w:bCs w:val="0"/>
          <w:lang w:val="en-GB"/>
        </w:rPr>
      </w:pPr>
      <w:bookmarkStart w:id="94" w:name="_Toc220759530"/>
      <w:r w:rsidRPr="00820F7A">
        <w:rPr>
          <w:lang w:val="en-GB"/>
        </w:rPr>
        <w:t>5.6 Conclusion and recommendation</w:t>
      </w:r>
      <w:bookmarkEnd w:id="94"/>
    </w:p>
    <w:p w14:paraId="32B43CD0" w14:textId="20A00DF6" w:rsidR="00826870" w:rsidRPr="00EC4A28" w:rsidRDefault="00B21388">
      <w:pPr>
        <w:pStyle w:val="Heading3"/>
        <w:rPr>
          <w:b w:val="0"/>
          <w:bCs w:val="0"/>
          <w:i w:val="0"/>
          <w:iCs w:val="0"/>
          <w:color w:val="FF0000"/>
          <w:lang w:val="en-GB"/>
        </w:rPr>
      </w:pPr>
      <w:bookmarkStart w:id="95" w:name="_Toc220759531"/>
      <w:r w:rsidRPr="00EC4A28">
        <w:rPr>
          <w:color w:val="FF0000"/>
          <w:lang w:val="en-GB"/>
        </w:rPr>
        <w:t>5.6. 1 C</w:t>
      </w:r>
      <w:r w:rsidR="00EC4A28" w:rsidRPr="00EC4A28">
        <w:rPr>
          <w:color w:val="FF0000"/>
          <w:lang w:val="en-GB"/>
        </w:rPr>
        <w:t>oncluding the final implication</w:t>
      </w:r>
      <w:bookmarkEnd w:id="95"/>
      <w:r w:rsidR="00EC4A28" w:rsidRPr="00EC4A28">
        <w:rPr>
          <w:color w:val="FF0000"/>
          <w:lang w:val="en-GB"/>
        </w:rPr>
        <w:t xml:space="preserve"> </w:t>
      </w:r>
    </w:p>
    <w:p w14:paraId="478DCFC1"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The chapter summarises the discussion of the findings aligned well with SLR, demonstrating the clinical leadership styles that play a crucial role within shaping. The synthesis of the 12 peer-reviewed studies tends to confirm that the leadership behaviours are characterised based on the transparency, inclusivity, ethically conducted and also emotional intelligence have strong association within the positive safety measures, conversely, hierarchical as well as blame-formed leadership approaches indigenous trust, discourages repeating and also weakening the organisational learning. The discussions are further determined to highlight the systemic pressures within the NHS constraints facing leadership effectiveness with strong clinical leadership to address the challenges by fostering psychological safety. Therefore, the discussion reinforces the conclusion that the patient safety culture cannot be effectively developed without the investments within clinical leadership development and the supportive organisational structures.</w:t>
      </w:r>
    </w:p>
    <w:p w14:paraId="2667F0F0"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The research evaluates the role of the clinical leadership within management as well as strengthening patient safety culture within the UK hospitals with particular reference to the NHS. Moreover, drawing on the extensive systematic literature review as well as relevant theoretical frameworks, the findings clearly demonstrates clinical leadership is a central determinant of the patient safety outcomes, the staff behaviours and also organisational learning. The research confirms that the leadership practices influence not only frontline clinical decision-making but also have deeper cultural norms that shape the safety that is prioritised, reported and is continuously developed within healthcare settings. The analysis highlights the effective clinical leaders that act as a cultural architecture that establishes trust, psychological safety and also accountability in multidisciplinary teams. The transformational leadership behaviours for example open communication, ethical role modelling, staff empowerment and emotional intelligence. Therefore, these are considered to have consistently been associated with the improved safety reporting, reduced errors concealment and the enhanced staff engagement. </w:t>
      </w:r>
    </w:p>
    <w:p w14:paraId="7C92E826"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Conversely, the hierarchical, authoritarians or the blame-oriented leadership approaches have been found to undermine the safety culture through discouraging incident reporting that increases burn outs and perpetuation of fear-driven compliance rather than learning-oriented practices. The research study further reveals that the patient safety culture within UK hospitals is deeply shaped by the systemic pressures that involve staff shortages, workload intensity, financial constraints and also regulatory scrutiny. These pressures are often behind an immediate control of the individual leaders. The findings also imply that skilled clinical leadership can be addressed based on the impact of fostering resilient teams, prioritising patient-centred values and also promoting shared responsibilities for safety. In particular, the leaders are determined to actively support learning from the adverse events and near misses are more successful. Therefore, it is ensured to embed the culture with the accountabilities balanced with compassion as well as improvements. </w:t>
      </w:r>
    </w:p>
    <w:p w14:paraId="2AE0E627"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Subsequently, the research further underscores the importance of the leadership visibilities as well as accessibilities that are intended to shape the staff perceptions of the safety. The clinical leaders are determined to maintain a strong form of presence on wards, that helps in engaging directly with the staff and to respond constructively to safety concerns as perceived as more credible and trustworthy. The visibility reinforces the sense of collective ownership over safety outcomes that are crucial for complex, high-risk healthcare environments. The study concludes that clinical leadership is not an auxiliary function but a foundational mechanism by which the patient safety culture is developed, sustained as well as embedded within the UK hospitals. Moreover, the policies, protocols as well as technologies are essential based on the effectiveness ultimately depends on the leadership behaviour that promotes the ethical practices, learning as well as psychological safety. Therefore, strengthening clinical leadership capabilities is a strategic necessity for developing patient safety to reduce clinical negligence within the NHS. </w:t>
      </w:r>
    </w:p>
    <w:p w14:paraId="10EA32D3" w14:textId="77777777" w:rsidR="00826870" w:rsidRPr="00820F7A" w:rsidRDefault="00B21388">
      <w:pPr>
        <w:pStyle w:val="Heading3"/>
        <w:rPr>
          <w:b w:val="0"/>
          <w:bCs w:val="0"/>
          <w:i w:val="0"/>
          <w:iCs w:val="0"/>
          <w:lang w:val="en-GB"/>
        </w:rPr>
      </w:pPr>
      <w:bookmarkStart w:id="96" w:name="_Toc220759532"/>
      <w:r w:rsidRPr="00820F7A">
        <w:rPr>
          <w:lang w:val="en-GB"/>
        </w:rPr>
        <w:t>5.6.2 Linking with objectives</w:t>
      </w:r>
      <w:bookmarkEnd w:id="96"/>
    </w:p>
    <w:p w14:paraId="03AC752A"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Linking with objectives links the study’s findings directly to the research objectives outlined at the beginning of the study, demonstrating that each objective has been achieved. </w:t>
      </w:r>
    </w:p>
    <w:p w14:paraId="0A177BB1" w14:textId="77777777" w:rsidR="00826870" w:rsidRPr="00820F7A" w:rsidRDefault="00B21388">
      <w:pPr>
        <w:pStyle w:val="Normal1"/>
        <w:pBdr>
          <w:top w:val="nil"/>
          <w:left w:val="nil"/>
          <w:bottom w:val="nil"/>
          <w:right w:val="nil"/>
          <w:between w:val="nil"/>
        </w:pBdr>
        <w:rPr>
          <w:color w:val="000000"/>
          <w:lang w:val="en-GB"/>
        </w:rPr>
      </w:pPr>
      <w:r w:rsidRPr="00820F7A">
        <w:rPr>
          <w:b/>
          <w:bCs/>
          <w:i/>
          <w:iCs/>
          <w:color w:val="000000"/>
          <w:lang w:val="en-GB"/>
        </w:rPr>
        <w:t xml:space="preserve">Objective 1: </w:t>
      </w:r>
      <w:r w:rsidRPr="00820F7A">
        <w:rPr>
          <w:color w:val="000000"/>
          <w:lang w:val="en-GB"/>
        </w:rPr>
        <w:t xml:space="preserve">The objective 1 is determined to examine the effective clinical leadership fosters patient safety aspects in the UK hospitals. The literature review established that patient safety culture is the multidimensional construct encompassing values, attitudes, behaviours as well as organisational practices related to risk management and patient care. The findings confirm that positive safety culture is associated with the lower rates of adverse events, developed staff morale as well as better patient outcomes. Safety culture is particularly essential because of the scale and complexity of the NHS, system failures can have widespread consequences. Therefore, objective was achieved by synthesising the evidence that solutions safety culture as a critical indicator of the healthcare quality rather than a peripheral organisational concern. </w:t>
      </w:r>
    </w:p>
    <w:p w14:paraId="41F0E7F4" w14:textId="77777777" w:rsidR="00826870" w:rsidRPr="00820F7A" w:rsidRDefault="00B21388">
      <w:pPr>
        <w:pStyle w:val="Normal1"/>
        <w:pBdr>
          <w:top w:val="nil"/>
          <w:left w:val="nil"/>
          <w:bottom w:val="nil"/>
          <w:right w:val="nil"/>
          <w:between w:val="nil"/>
        </w:pBdr>
        <w:rPr>
          <w:color w:val="000000"/>
          <w:lang w:val="en-GB"/>
        </w:rPr>
      </w:pPr>
      <w:r w:rsidRPr="00820F7A">
        <w:rPr>
          <w:b/>
          <w:bCs/>
          <w:i/>
          <w:iCs/>
          <w:color w:val="000000"/>
          <w:lang w:val="en-GB"/>
        </w:rPr>
        <w:t xml:space="preserve">Objective 2: </w:t>
      </w:r>
      <w:r w:rsidRPr="00820F7A">
        <w:rPr>
          <w:color w:val="000000"/>
          <w:lang w:val="en-GB"/>
        </w:rPr>
        <w:t xml:space="preserve">The objective 2 evaluates the role of the clinical leadership within shaping as well as managing patient safety cultures. The study demonstrates that clinical leadership plays a decisive role in influencing safety culture by communication practices, ethical conduct and also behavioural modelling. The leaders are determined to encourage transparency, promoting teamwork as well as respond constructively for errors significantly enhancing safety culture. The findings support theoretical perspectives for transformational Leadership Theory, just culture theory and Jean Watson's theory that emphasises trust, empowerment and also learning. Therefore, the objective was met through critically analysing the leadership behaviours as well as the direct or indirect impacts on the safety outcomes. </w:t>
      </w:r>
    </w:p>
    <w:p w14:paraId="51FF4D63" w14:textId="77777777" w:rsidR="00826870" w:rsidRPr="00820F7A" w:rsidRDefault="00B21388">
      <w:pPr>
        <w:pStyle w:val="Normal1"/>
        <w:pBdr>
          <w:top w:val="nil"/>
          <w:left w:val="nil"/>
          <w:bottom w:val="nil"/>
          <w:right w:val="nil"/>
          <w:between w:val="nil"/>
        </w:pBdr>
        <w:rPr>
          <w:color w:val="000000"/>
          <w:lang w:val="en-GB"/>
        </w:rPr>
      </w:pPr>
      <w:r w:rsidRPr="00820F7A">
        <w:rPr>
          <w:b/>
          <w:bCs/>
          <w:i/>
          <w:iCs/>
          <w:color w:val="000000"/>
          <w:lang w:val="en-GB"/>
        </w:rPr>
        <w:t xml:space="preserve">Objective 3: </w:t>
      </w:r>
      <w:r w:rsidRPr="00820F7A">
        <w:rPr>
          <w:color w:val="000000"/>
          <w:lang w:val="en-GB"/>
        </w:rPr>
        <w:t xml:space="preserve">The objective 3 evaluates the key enablers and the barriers those are required for a strong sense of safety cultures. The research is identified to transform inclusively as well as compassionately for the leadership styles as the most effective within promoting patient safety, the key characteristics involve the emotions; intelligence accountability, approachability as well as decisiveness. These are the key trials that enable the leaders for balancing out the critical performance demands with the staff wellbeing. Furthermore, the research is determined to reinforce the culture based on the safety measures being prioritised even under the pressures. The objective was fulfilled by the evaluation of the empirical studies that link with the leadership styles for measurable safety improvements. The findings reveal multiple barriers involving the resource limitations, staffing shortages, hierarchical structures as well as blame-oriented organisational norms. The regulatory pressures and the fear of the litigation further tends to inhibit the open reporting of the errors. Therefore, the objective was achieved by critically examining the structural and the cultural constraints that limit leadership effectiveness by highlighting the news for systemic and individual-level interventions. </w:t>
      </w:r>
    </w:p>
    <w:p w14:paraId="4A48AF53" w14:textId="77777777" w:rsidR="00826870" w:rsidRPr="00820F7A" w:rsidRDefault="00B21388">
      <w:pPr>
        <w:pStyle w:val="Normal1"/>
        <w:pBdr>
          <w:top w:val="nil"/>
          <w:left w:val="nil"/>
          <w:bottom w:val="nil"/>
          <w:right w:val="nil"/>
          <w:between w:val="nil"/>
        </w:pBdr>
        <w:rPr>
          <w:b/>
          <w:bCs/>
          <w:i/>
          <w:iCs/>
          <w:color w:val="000000"/>
          <w:lang w:val="en-GB"/>
        </w:rPr>
      </w:pPr>
      <w:r w:rsidRPr="00820F7A">
        <w:rPr>
          <w:b/>
          <w:bCs/>
          <w:i/>
          <w:iCs/>
          <w:color w:val="000000"/>
          <w:lang w:val="en-GB"/>
        </w:rPr>
        <w:t xml:space="preserve">Objective 4: </w:t>
      </w:r>
      <w:r w:rsidRPr="00820F7A">
        <w:rPr>
          <w:color w:val="000000"/>
          <w:lang w:val="en-GB"/>
        </w:rPr>
        <w:t xml:space="preserve">The objective 4 is determined to promote the evidence-based strategies for strengthening their clinical leadership for patient safety improvements. The synthesis of the findings ensures that the study proposes the leadership development and the cultural reforms; the organisational support is determined to align with the mechanisms as the crucial strategies. Therefore, the objective directly informs the recommendations to be outlined well within the following research. </w:t>
      </w:r>
    </w:p>
    <w:p w14:paraId="617ACD41" w14:textId="77777777" w:rsidR="00826870" w:rsidRPr="00820F7A" w:rsidRDefault="00B21388">
      <w:pPr>
        <w:pStyle w:val="Heading3"/>
        <w:rPr>
          <w:b w:val="0"/>
          <w:bCs w:val="0"/>
          <w:i w:val="0"/>
          <w:iCs w:val="0"/>
          <w:lang w:val="en-GB"/>
        </w:rPr>
      </w:pPr>
      <w:bookmarkStart w:id="97" w:name="_Toc220759533"/>
      <w:r w:rsidRPr="00820F7A">
        <w:rPr>
          <w:lang w:val="en-GB"/>
        </w:rPr>
        <w:t>5.6.3 Recommendations</w:t>
      </w:r>
      <w:bookmarkEnd w:id="97"/>
    </w:p>
    <w:p w14:paraId="3F21291B" w14:textId="77777777" w:rsidR="00826870" w:rsidRPr="00820F7A" w:rsidRDefault="00B21388">
      <w:pPr>
        <w:pStyle w:val="Normal1"/>
        <w:pBdr>
          <w:top w:val="nil"/>
          <w:left w:val="nil"/>
          <w:bottom w:val="nil"/>
          <w:right w:val="nil"/>
          <w:between w:val="nil"/>
        </w:pBdr>
        <w:rPr>
          <w:b/>
          <w:bCs/>
          <w:i/>
          <w:iCs/>
          <w:color w:val="000000"/>
          <w:lang w:val="en-GB"/>
        </w:rPr>
      </w:pPr>
      <w:r w:rsidRPr="00820F7A">
        <w:rPr>
          <w:b/>
          <w:bCs/>
          <w:i/>
          <w:iCs/>
          <w:color w:val="000000"/>
          <w:lang w:val="en-GB"/>
        </w:rPr>
        <w:t xml:space="preserve">Leadership development and training </w:t>
      </w:r>
    </w:p>
    <w:p w14:paraId="7632B943"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The NHS is required to implement the mandatory leadership development programmes that are determined to focus on patient safety, emotional intelligence as well as ethical decision-making for every clinical leader. These programmes are determined to emphasise the transformational leadership behaviours, the communication skills as well as to manage the psychological safety within the teams. </w:t>
      </w:r>
    </w:p>
    <w:p w14:paraId="12FA31FC" w14:textId="77777777" w:rsidR="00826870" w:rsidRPr="00820F7A" w:rsidRDefault="00B21388">
      <w:pPr>
        <w:pStyle w:val="Normal1"/>
        <w:pBdr>
          <w:top w:val="nil"/>
          <w:left w:val="nil"/>
          <w:bottom w:val="nil"/>
          <w:right w:val="nil"/>
          <w:between w:val="nil"/>
        </w:pBdr>
        <w:rPr>
          <w:b/>
          <w:bCs/>
          <w:i/>
          <w:iCs/>
          <w:color w:val="000000"/>
          <w:lang w:val="en-GB"/>
        </w:rPr>
      </w:pPr>
      <w:r w:rsidRPr="00820F7A">
        <w:rPr>
          <w:b/>
          <w:bCs/>
          <w:i/>
          <w:iCs/>
          <w:color w:val="000000"/>
          <w:lang w:val="en-GB"/>
        </w:rPr>
        <w:t xml:space="preserve">Embedding a just culture framework </w:t>
      </w:r>
    </w:p>
    <w:p w14:paraId="235C40BA"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The clinical leader is required to increase the presence within the frontline settings by regular ward rounds, the safety huddles as well as staff engagement sessions (</w:t>
      </w:r>
      <w:r w:rsidRPr="00820F7A">
        <w:rPr>
          <w:color w:val="000000"/>
          <w:highlight w:val="white"/>
          <w:lang w:val="en-GB"/>
        </w:rPr>
        <w:t xml:space="preserve">Knezevic </w:t>
      </w:r>
      <w:r w:rsidRPr="00820F7A">
        <w:rPr>
          <w:i/>
          <w:iCs/>
          <w:color w:val="000000"/>
          <w:highlight w:val="white"/>
          <w:lang w:val="en-GB"/>
        </w:rPr>
        <w:t xml:space="preserve">et al. </w:t>
      </w:r>
      <w:r w:rsidRPr="00820F7A">
        <w:rPr>
          <w:color w:val="000000"/>
          <w:highlight w:val="white"/>
          <w:lang w:val="en-GB"/>
        </w:rPr>
        <w:t>2025</w:t>
      </w:r>
      <w:r w:rsidRPr="00820F7A">
        <w:rPr>
          <w:color w:val="000000"/>
          <w:lang w:val="en-GB"/>
        </w:rPr>
        <w:t xml:space="preserve">). The visible leadership reinforces the need to trust, improves the communication and also further demonstrates the commitment towards the patient's safety. </w:t>
      </w:r>
    </w:p>
    <w:p w14:paraId="252BF18B" w14:textId="77777777" w:rsidR="00826870" w:rsidRPr="00820F7A" w:rsidRDefault="00B21388">
      <w:pPr>
        <w:pStyle w:val="Normal1"/>
        <w:pBdr>
          <w:top w:val="nil"/>
          <w:left w:val="nil"/>
          <w:bottom w:val="nil"/>
          <w:right w:val="nil"/>
          <w:between w:val="nil"/>
        </w:pBdr>
        <w:rPr>
          <w:b/>
          <w:bCs/>
          <w:i/>
          <w:iCs/>
          <w:color w:val="000000"/>
          <w:lang w:val="en-GB"/>
        </w:rPr>
      </w:pPr>
      <w:r w:rsidRPr="00820F7A">
        <w:rPr>
          <w:b/>
          <w:bCs/>
          <w:i/>
          <w:iCs/>
          <w:color w:val="000000"/>
          <w:lang w:val="en-GB"/>
        </w:rPr>
        <w:t>Strengthening leadership visibility</w:t>
      </w:r>
    </w:p>
    <w:p w14:paraId="21DE3066"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The clinical leaders are required to increase the presence of the frontline settings by the regular ward rounds, the safety huddles and also staff engagement sessions. The visible leadership reinforces the trust, improves the communication and also is able to demonstrate the commitment towards the patient safety measures. </w:t>
      </w:r>
    </w:p>
    <w:p w14:paraId="63F376CB" w14:textId="77777777" w:rsidR="00826870" w:rsidRPr="00820F7A" w:rsidRDefault="00B21388">
      <w:pPr>
        <w:pStyle w:val="Normal1"/>
        <w:pBdr>
          <w:top w:val="nil"/>
          <w:left w:val="nil"/>
          <w:bottom w:val="nil"/>
          <w:right w:val="nil"/>
          <w:between w:val="nil"/>
        </w:pBdr>
        <w:rPr>
          <w:b/>
          <w:bCs/>
          <w:i/>
          <w:iCs/>
          <w:color w:val="000000"/>
          <w:lang w:val="en-GB"/>
        </w:rPr>
      </w:pPr>
      <w:r w:rsidRPr="00820F7A">
        <w:rPr>
          <w:b/>
          <w:bCs/>
          <w:i/>
          <w:iCs/>
          <w:color w:val="000000"/>
          <w:lang w:val="en-GB"/>
        </w:rPr>
        <w:t xml:space="preserve">‘Supporting staff wellbeing </w:t>
      </w:r>
    </w:p>
    <w:p w14:paraId="0E213D5D" w14:textId="77777777" w:rsidR="00826870" w:rsidRPr="00820F7A" w:rsidRDefault="00B21388">
      <w:pPr>
        <w:pStyle w:val="Normal1"/>
        <w:pBdr>
          <w:top w:val="nil"/>
          <w:left w:val="nil"/>
          <w:bottom w:val="nil"/>
          <w:right w:val="nil"/>
          <w:between w:val="nil"/>
        </w:pBdr>
        <w:rPr>
          <w:b/>
          <w:bCs/>
          <w:i/>
          <w:iCs/>
          <w:color w:val="000000"/>
          <w:lang w:val="en-GB"/>
        </w:rPr>
      </w:pPr>
      <w:r w:rsidRPr="00820F7A">
        <w:rPr>
          <w:color w:val="000000"/>
          <w:lang w:val="en-GB"/>
        </w:rPr>
        <w:t>The healthcare firms are required to integrate the staff wellbeing that tends to ensure to take initiative for patient safety strategies. The key identity of staffing, mental health support and also workload management are crucial that helps in sustaining a positive safety culture (</w:t>
      </w:r>
      <w:r w:rsidRPr="00820F7A">
        <w:rPr>
          <w:color w:val="000000"/>
          <w:highlight w:val="white"/>
          <w:lang w:val="en-GB"/>
        </w:rPr>
        <w:t xml:space="preserve">Lu </w:t>
      </w:r>
      <w:r w:rsidRPr="00820F7A">
        <w:rPr>
          <w:i/>
          <w:iCs/>
          <w:color w:val="000000"/>
          <w:highlight w:val="white"/>
          <w:lang w:val="en-GB"/>
        </w:rPr>
        <w:t xml:space="preserve">et al. </w:t>
      </w:r>
      <w:r w:rsidRPr="00820F7A">
        <w:rPr>
          <w:color w:val="000000"/>
          <w:highlight w:val="white"/>
          <w:lang w:val="en-GB"/>
        </w:rPr>
        <w:t>2022</w:t>
      </w:r>
      <w:r w:rsidRPr="00820F7A">
        <w:rPr>
          <w:color w:val="000000"/>
          <w:lang w:val="en-GB"/>
        </w:rPr>
        <w:t xml:space="preserve">). The national NHS policies are determined to translate locally with actionable leadership practices. Thus, these ensure to maintain the consistency between the strategic objectives and also frontline realities. </w:t>
      </w:r>
    </w:p>
    <w:p w14:paraId="2C3BD6AD" w14:textId="77777777" w:rsidR="00826870" w:rsidRPr="00820F7A" w:rsidRDefault="00B21388">
      <w:pPr>
        <w:pStyle w:val="Heading3"/>
        <w:rPr>
          <w:b w:val="0"/>
          <w:bCs w:val="0"/>
          <w:i w:val="0"/>
          <w:iCs w:val="0"/>
          <w:lang w:val="en-GB"/>
        </w:rPr>
      </w:pPr>
      <w:bookmarkStart w:id="98" w:name="_Toc220759534"/>
      <w:r w:rsidRPr="00820F7A">
        <w:rPr>
          <w:lang w:val="en-GB"/>
        </w:rPr>
        <w:t>5.6.4 Limitations</w:t>
      </w:r>
      <w:bookmarkEnd w:id="98"/>
    </w:p>
    <w:p w14:paraId="0EA7860A"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The research study has certain limitations of the strengths in promoting open communication, trust, teamwork and learning with leaders demonstrating commitment through actions. The reliance within the secondary data is aligned with the systematic literature review as it limits the ability to capture the real-time experiences as well as perceptions of the clinical leaders and also the frontline staff (</w:t>
      </w:r>
      <w:r w:rsidRPr="00820F7A">
        <w:rPr>
          <w:color w:val="000000"/>
          <w:highlight w:val="white"/>
          <w:lang w:val="en-GB"/>
        </w:rPr>
        <w:t xml:space="preserve">Khanbhai </w:t>
      </w:r>
      <w:r w:rsidRPr="00820F7A">
        <w:rPr>
          <w:i/>
          <w:iCs/>
          <w:color w:val="000000"/>
          <w:highlight w:val="white"/>
          <w:lang w:val="en-GB"/>
        </w:rPr>
        <w:t xml:space="preserve">et al. </w:t>
      </w:r>
      <w:r w:rsidRPr="00820F7A">
        <w:rPr>
          <w:color w:val="000000"/>
          <w:highlight w:val="white"/>
          <w:lang w:val="en-GB"/>
        </w:rPr>
        <w:t>2021</w:t>
      </w:r>
      <w:r w:rsidRPr="00820F7A">
        <w:rPr>
          <w:color w:val="000000"/>
          <w:lang w:val="en-GB"/>
        </w:rPr>
        <w:t>). In addition, there are variations within the hospital settings, specialists as well as leadership structures across the UK that might restrict the generality of the findings. Therefore, the studies have been further involved within the review where the international might limit the direct applicability of the NHS context deposit of the careful contextual interpretation.</w:t>
      </w:r>
    </w:p>
    <w:p w14:paraId="4BCDE348" w14:textId="77777777" w:rsidR="00826870" w:rsidRPr="00820F7A" w:rsidRDefault="00B21388">
      <w:pPr>
        <w:pStyle w:val="Heading3"/>
        <w:rPr>
          <w:b w:val="0"/>
          <w:bCs w:val="0"/>
          <w:i w:val="0"/>
          <w:iCs w:val="0"/>
          <w:lang w:val="en-GB"/>
        </w:rPr>
      </w:pPr>
      <w:bookmarkStart w:id="99" w:name="_Toc220759535"/>
      <w:r w:rsidRPr="00820F7A">
        <w:rPr>
          <w:lang w:val="en-GB"/>
        </w:rPr>
        <w:t>5.6.5 Future Scope</w:t>
      </w:r>
      <w:bookmarkEnd w:id="99"/>
    </w:p>
    <w:p w14:paraId="34951D18"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The future research is determined to incorporate the primary quantitative and the qualitative methods for example interviews and surveys. These tend to gain a deeper sense of insights that are lived within leadership experiences. The longitudinal studies might examine the impact of the leadership interventions within the patient safety outcomes as these are considered for over time that would be particularly valuable (</w:t>
      </w:r>
      <w:r w:rsidRPr="00820F7A">
        <w:rPr>
          <w:color w:val="000000"/>
          <w:highlight w:val="white"/>
          <w:lang w:val="en-GB"/>
        </w:rPr>
        <w:t xml:space="preserve">Schram </w:t>
      </w:r>
      <w:r w:rsidRPr="00820F7A">
        <w:rPr>
          <w:i/>
          <w:iCs/>
          <w:color w:val="000000"/>
          <w:highlight w:val="white"/>
          <w:lang w:val="en-GB"/>
        </w:rPr>
        <w:t xml:space="preserve">et al. </w:t>
      </w:r>
      <w:r w:rsidRPr="00820F7A">
        <w:rPr>
          <w:color w:val="000000"/>
          <w:highlight w:val="white"/>
          <w:lang w:val="en-GB"/>
        </w:rPr>
        <w:t>2022</w:t>
      </w:r>
      <w:r w:rsidRPr="00820F7A">
        <w:rPr>
          <w:color w:val="000000"/>
          <w:lang w:val="en-GB"/>
        </w:rPr>
        <w:t xml:space="preserve">). Thus, further the research could also explore the key roles of the digital leadership as well as technologies to enhance the safety culture within the UK hospitals. </w:t>
      </w:r>
    </w:p>
    <w:p w14:paraId="5789F6B0" w14:textId="77777777" w:rsidR="00826870" w:rsidRPr="00820F7A" w:rsidRDefault="00826870">
      <w:pPr>
        <w:pStyle w:val="Normal1"/>
        <w:pBdr>
          <w:top w:val="nil"/>
          <w:left w:val="nil"/>
          <w:bottom w:val="nil"/>
          <w:right w:val="nil"/>
          <w:between w:val="nil"/>
        </w:pBdr>
        <w:rPr>
          <w:color w:val="000000"/>
          <w:lang w:val="en-GB"/>
        </w:rPr>
      </w:pPr>
    </w:p>
    <w:p w14:paraId="62C99707" w14:textId="77777777" w:rsidR="00826870" w:rsidRPr="00820F7A" w:rsidRDefault="00B21388">
      <w:pPr>
        <w:pStyle w:val="Normal1"/>
        <w:pBdr>
          <w:top w:val="nil"/>
          <w:left w:val="nil"/>
          <w:bottom w:val="nil"/>
          <w:right w:val="nil"/>
          <w:between w:val="nil"/>
        </w:pBdr>
        <w:rPr>
          <w:color w:val="000000"/>
          <w:lang w:val="en-GB"/>
        </w:rPr>
      </w:pPr>
      <w:r w:rsidRPr="00820F7A">
        <w:rPr>
          <w:lang w:val="en-GB"/>
        </w:rPr>
        <w:br w:type="page"/>
      </w:r>
    </w:p>
    <w:p w14:paraId="6AB3C041" w14:textId="77777777" w:rsidR="00826870" w:rsidRPr="00820F7A" w:rsidRDefault="00B21388">
      <w:pPr>
        <w:pStyle w:val="Heading1"/>
        <w:rPr>
          <w:lang w:val="en-GB"/>
        </w:rPr>
      </w:pPr>
      <w:bookmarkStart w:id="100" w:name="_Toc220759536"/>
      <w:r w:rsidRPr="00820F7A">
        <w:rPr>
          <w:lang w:val="en-GB"/>
        </w:rPr>
        <w:t>References</w:t>
      </w:r>
      <w:bookmarkEnd w:id="100"/>
    </w:p>
    <w:p w14:paraId="0CE38037" w14:textId="77777777" w:rsidR="00826870" w:rsidRPr="00820F7A" w:rsidRDefault="00B21388">
      <w:pPr>
        <w:pStyle w:val="Normal1"/>
        <w:pBdr>
          <w:top w:val="nil"/>
          <w:left w:val="nil"/>
          <w:bottom w:val="nil"/>
          <w:right w:val="nil"/>
          <w:between w:val="nil"/>
        </w:pBdr>
        <w:spacing w:before="240" w:after="240"/>
        <w:rPr>
          <w:b/>
          <w:bCs/>
          <w:i/>
          <w:iCs/>
          <w:color w:val="000000"/>
          <w:lang w:val="en-GB"/>
        </w:rPr>
      </w:pPr>
      <w:r w:rsidRPr="00820F7A">
        <w:rPr>
          <w:b/>
          <w:bCs/>
          <w:i/>
          <w:iCs/>
          <w:color w:val="000000"/>
          <w:lang w:val="en-GB"/>
        </w:rPr>
        <w:t>Chapter 1</w:t>
      </w:r>
    </w:p>
    <w:p w14:paraId="0EBA8876"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Bohren, M.A., Iyer, A., Barros, A.J., Williams, C.R., Hazfiarini, A., Arroyave, L., Filippi, V., Chamberlain, C., Kabakian-Khasholian, T., Mayra, K. and Gill, R., (2024). Towards a better tomorrow: addressing intersectional gender power relations to eradicate inequities in maternal health. </w:t>
      </w:r>
      <w:r w:rsidRPr="00820F7A">
        <w:rPr>
          <w:i/>
          <w:iCs/>
          <w:color w:val="000000"/>
          <w:lang w:val="en-GB"/>
        </w:rPr>
        <w:t>EClinicalMedicine</w:t>
      </w:r>
      <w:r w:rsidRPr="00820F7A">
        <w:rPr>
          <w:color w:val="000000"/>
          <w:lang w:val="en-GB"/>
        </w:rPr>
        <w:t xml:space="preserve">, </w:t>
      </w:r>
      <w:r w:rsidRPr="00820F7A">
        <w:rPr>
          <w:i/>
          <w:iCs/>
          <w:color w:val="000000"/>
          <w:lang w:val="en-GB"/>
        </w:rPr>
        <w:t>67</w:t>
      </w:r>
      <w:r w:rsidRPr="00820F7A">
        <w:rPr>
          <w:color w:val="000000"/>
          <w:lang w:val="en-GB"/>
        </w:rPr>
        <w:t>.</w:t>
      </w:r>
    </w:p>
    <w:p w14:paraId="2511DF7A" w14:textId="77777777" w:rsidR="00826870" w:rsidRPr="00820F7A" w:rsidRDefault="00B21388">
      <w:pPr>
        <w:pStyle w:val="Normal1"/>
        <w:pBdr>
          <w:top w:val="nil"/>
          <w:left w:val="nil"/>
          <w:bottom w:val="nil"/>
          <w:right w:val="nil"/>
          <w:between w:val="nil"/>
        </w:pBdr>
        <w:spacing w:before="240" w:after="240"/>
        <w:rPr>
          <w:color w:val="000000"/>
          <w:lang w:val="en-GB"/>
        </w:rPr>
      </w:pPr>
      <w:bookmarkStart w:id="101" w:name="_heading=h.n6q750be3hyc" w:colFirst="0" w:colLast="0"/>
      <w:bookmarkEnd w:id="101"/>
      <w:r w:rsidRPr="00820F7A">
        <w:rPr>
          <w:color w:val="000000"/>
          <w:lang w:val="en-GB"/>
        </w:rPr>
        <w:t xml:space="preserve">Campbell, D. (2024). </w:t>
      </w:r>
      <w:r w:rsidRPr="00820F7A">
        <w:rPr>
          <w:i/>
          <w:iCs/>
          <w:color w:val="000000"/>
          <w:lang w:val="en-GB"/>
        </w:rPr>
        <w:t>NHS spends £14.7bn a year treating patients in England hurt by care mistakes, says report</w:t>
      </w:r>
      <w:r w:rsidRPr="00820F7A">
        <w:rPr>
          <w:color w:val="000000"/>
          <w:lang w:val="en-GB"/>
        </w:rPr>
        <w:t>. Available at:</w:t>
      </w:r>
      <w:hyperlink r:id="rId24">
        <w:r w:rsidRPr="00820F7A">
          <w:rPr>
            <w:color w:val="000000"/>
            <w:u w:val="single"/>
            <w:lang w:val="en-GB"/>
          </w:rPr>
          <w:t>https://www.theguardian.com/society/2024/dec/12/nhs-spends-147bn-a-year-treating-patients-in-england-hurt-by-care-mistakes-says-report</w:t>
        </w:r>
      </w:hyperlink>
      <w:r w:rsidRPr="00820F7A">
        <w:rPr>
          <w:color w:val="000000"/>
          <w:lang w:val="en-GB"/>
        </w:rPr>
        <w:t xml:space="preserve"> [Accessed 16 October 2025].</w:t>
      </w:r>
    </w:p>
    <w:p w14:paraId="39B6FF2C"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Campbell, D. (2025). </w:t>
      </w:r>
      <w:r w:rsidRPr="00820F7A">
        <w:rPr>
          <w:i/>
          <w:iCs/>
          <w:color w:val="000000"/>
          <w:lang w:val="en-GB"/>
        </w:rPr>
        <w:t>NHS medical negligence liabilities hit £58.2bn amid calls to improve patient safety</w:t>
      </w:r>
      <w:r w:rsidRPr="00820F7A">
        <w:rPr>
          <w:color w:val="000000"/>
          <w:lang w:val="en-GB"/>
        </w:rPr>
        <w:t>. Available at:</w:t>
      </w:r>
      <w:hyperlink r:id="rId25">
        <w:r w:rsidRPr="00820F7A">
          <w:rPr>
            <w:color w:val="000000"/>
            <w:u w:val="single"/>
            <w:lang w:val="en-GB"/>
          </w:rPr>
          <w:t>https://www.theguardian.com/society/2025/may/14/nhs-medical-negligence-liabilities-hit-582bn-amid-calls-to-improve-patient-safety</w:t>
        </w:r>
      </w:hyperlink>
      <w:r w:rsidRPr="00820F7A">
        <w:rPr>
          <w:color w:val="000000"/>
          <w:lang w:val="en-GB"/>
        </w:rPr>
        <w:t xml:space="preserve"> [Accessed: 14 October 2025].</w:t>
      </w:r>
    </w:p>
    <w:p w14:paraId="3C680923"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Darzi, A. (2024). </w:t>
      </w:r>
      <w:r w:rsidRPr="00820F7A">
        <w:rPr>
          <w:i/>
          <w:iCs/>
          <w:color w:val="000000"/>
          <w:lang w:val="en-GB"/>
        </w:rPr>
        <w:t>Independent Investigation of the National Health Service in England</w:t>
      </w:r>
      <w:r w:rsidRPr="00820F7A">
        <w:rPr>
          <w:color w:val="000000"/>
          <w:lang w:val="en-GB"/>
        </w:rPr>
        <w:t>. Available at:</w:t>
      </w:r>
      <w:hyperlink r:id="rId26">
        <w:r w:rsidRPr="00820F7A">
          <w:rPr>
            <w:color w:val="000000"/>
            <w:u w:val="single"/>
            <w:lang w:val="en-GB"/>
          </w:rPr>
          <w:t>https://assets.publishing.service.gov.uk/media/66f42ae630536cb92748271f/Lord-Darzi-Independent-Investigation-of-the-National-Health-Service-in-England-Updated-25-September.pdf</w:t>
        </w:r>
      </w:hyperlink>
      <w:r w:rsidRPr="00820F7A">
        <w:rPr>
          <w:color w:val="000000"/>
          <w:lang w:val="en-GB"/>
        </w:rPr>
        <w:t xml:space="preserve"> [Accessed: 14 October 2025].</w:t>
      </w:r>
    </w:p>
    <w:p w14:paraId="7E33487F"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Finn, M., Walsh, A., Rafter, N., Mellon, L., Chong, H.Y., Naji, A., O'Brien, N., Williams, D.J. and McCarthy, S.E., (2024). Effect of interventions to improve safety culture on healthcare workers in hospital settings: a systematic review of the international literature. </w:t>
      </w:r>
      <w:r w:rsidRPr="00820F7A">
        <w:rPr>
          <w:i/>
          <w:iCs/>
          <w:color w:val="000000"/>
          <w:lang w:val="en-GB"/>
        </w:rPr>
        <w:t>BMJ open quality</w:t>
      </w:r>
      <w:r w:rsidRPr="00820F7A">
        <w:rPr>
          <w:color w:val="000000"/>
          <w:lang w:val="en-GB"/>
        </w:rPr>
        <w:t xml:space="preserve">, </w:t>
      </w:r>
      <w:r w:rsidRPr="00820F7A">
        <w:rPr>
          <w:i/>
          <w:iCs/>
          <w:color w:val="000000"/>
          <w:lang w:val="en-GB"/>
        </w:rPr>
        <w:t>13</w:t>
      </w:r>
      <w:r w:rsidRPr="00820F7A">
        <w:rPr>
          <w:color w:val="000000"/>
          <w:lang w:val="en-GB"/>
        </w:rPr>
        <w:t>(2).</w:t>
      </w:r>
    </w:p>
    <w:p w14:paraId="1071269A"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Frick, S.L., Casey, V.F., Shore, B.J. and Waters, P.M., (2024). Building high-performance teams in pediatric orthopaedic surgery: the importance of psychological safety and creating a trusting environment. </w:t>
      </w:r>
      <w:r w:rsidRPr="00820F7A">
        <w:rPr>
          <w:i/>
          <w:iCs/>
          <w:color w:val="000000"/>
          <w:lang w:val="en-GB"/>
        </w:rPr>
        <w:t>Journal of the Pediatric Orthopaedic Society of North America</w:t>
      </w:r>
      <w:r w:rsidRPr="00820F7A">
        <w:rPr>
          <w:color w:val="000000"/>
          <w:lang w:val="en-GB"/>
        </w:rPr>
        <w:t xml:space="preserve">, </w:t>
      </w:r>
      <w:r w:rsidRPr="00820F7A">
        <w:rPr>
          <w:i/>
          <w:iCs/>
          <w:color w:val="000000"/>
          <w:lang w:val="en-GB"/>
        </w:rPr>
        <w:t>9</w:t>
      </w:r>
      <w:r w:rsidRPr="00820F7A">
        <w:rPr>
          <w:color w:val="000000"/>
          <w:lang w:val="en-GB"/>
        </w:rPr>
        <w:t>, p.100132.</w:t>
      </w:r>
    </w:p>
    <w:p w14:paraId="5FE29C2A"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GMC (2025). </w:t>
      </w:r>
      <w:r w:rsidRPr="00820F7A">
        <w:rPr>
          <w:i/>
          <w:iCs/>
          <w:color w:val="000000"/>
          <w:lang w:val="en-GB"/>
        </w:rPr>
        <w:t xml:space="preserve">National Training Survey 2025 results. </w:t>
      </w:r>
      <w:r w:rsidRPr="00820F7A">
        <w:rPr>
          <w:color w:val="000000"/>
          <w:lang w:val="en-GB"/>
        </w:rPr>
        <w:t>Available at:</w:t>
      </w:r>
      <w:hyperlink r:id="rId27">
        <w:r w:rsidRPr="00820F7A">
          <w:rPr>
            <w:color w:val="000000"/>
            <w:u w:val="single"/>
            <w:lang w:val="en-GB"/>
          </w:rPr>
          <w:t>https://www.gmc-uk.org/-/media/documents/national-training-survey-2025-results-report-111657596.pdf</w:t>
        </w:r>
      </w:hyperlink>
      <w:r w:rsidRPr="00820F7A">
        <w:rPr>
          <w:color w:val="000000"/>
          <w:lang w:val="en-GB"/>
        </w:rPr>
        <w:t xml:space="preserve"> [Accessed: 14 October 2025].</w:t>
      </w:r>
    </w:p>
    <w:p w14:paraId="138DD645"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Jin, M., Qian, R., Wang, J., Long, J., Yuan, Z., Zeng, L., Liao, D., Liu, X., Tang, S. and Huang, S., (2024). Influencing factors associated with mental workload among nurses: A latent profile analysis. </w:t>
      </w:r>
      <w:r w:rsidRPr="00820F7A">
        <w:rPr>
          <w:i/>
          <w:iCs/>
          <w:color w:val="000000"/>
          <w:lang w:val="en-GB"/>
        </w:rPr>
        <w:t>International journal of nursing sciences</w:t>
      </w:r>
      <w:r w:rsidRPr="00820F7A">
        <w:rPr>
          <w:color w:val="000000"/>
          <w:lang w:val="en-GB"/>
        </w:rPr>
        <w:t xml:space="preserve">, </w:t>
      </w:r>
      <w:r w:rsidRPr="00820F7A">
        <w:rPr>
          <w:i/>
          <w:iCs/>
          <w:color w:val="000000"/>
          <w:lang w:val="en-GB"/>
        </w:rPr>
        <w:t>11</w:t>
      </w:r>
      <w:r w:rsidRPr="00820F7A">
        <w:rPr>
          <w:color w:val="000000"/>
          <w:lang w:val="en-GB"/>
        </w:rPr>
        <w:t>(3), pp.330-337.</w:t>
      </w:r>
    </w:p>
    <w:p w14:paraId="4361D4D5"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Munford, L.A., Armitage, C.J., Webb, R.T. and Ashcroft, D.M., (2025). Economic case for reducing inequities in patient safety. </w:t>
      </w:r>
      <w:r w:rsidRPr="00820F7A">
        <w:rPr>
          <w:i/>
          <w:iCs/>
          <w:color w:val="000000"/>
          <w:lang w:val="en-GB"/>
        </w:rPr>
        <w:t>BMJ Open Quality</w:t>
      </w:r>
      <w:r w:rsidRPr="00820F7A">
        <w:rPr>
          <w:color w:val="000000"/>
          <w:lang w:val="en-GB"/>
        </w:rPr>
        <w:t xml:space="preserve">, </w:t>
      </w:r>
      <w:r w:rsidRPr="00820F7A">
        <w:rPr>
          <w:i/>
          <w:iCs/>
          <w:color w:val="000000"/>
          <w:lang w:val="en-GB"/>
        </w:rPr>
        <w:t>14</w:t>
      </w:r>
      <w:r w:rsidRPr="00820F7A">
        <w:rPr>
          <w:color w:val="000000"/>
          <w:lang w:val="en-GB"/>
        </w:rPr>
        <w:t>(1).</w:t>
      </w:r>
    </w:p>
    <w:p w14:paraId="1B2EB8F6"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NHS (2022). </w:t>
      </w:r>
      <w:r w:rsidRPr="00820F7A">
        <w:rPr>
          <w:i/>
          <w:iCs/>
          <w:color w:val="000000"/>
          <w:lang w:val="en-GB"/>
        </w:rPr>
        <w:t>Report Appendices -An independent review into the cessation of maternity services provided by One to One Midwives.</w:t>
      </w:r>
      <w:r w:rsidRPr="00820F7A">
        <w:rPr>
          <w:color w:val="000000"/>
          <w:lang w:val="en-GB"/>
        </w:rPr>
        <w:t xml:space="preserve"> Available at:</w:t>
      </w:r>
      <w:hyperlink r:id="rId28">
        <w:r w:rsidRPr="00820F7A">
          <w:rPr>
            <w:color w:val="000000"/>
            <w:u w:val="single"/>
            <w:lang w:val="en-GB"/>
          </w:rPr>
          <w:t>https://www.england.nhs.uk/north-west/wp-content/uploads/sites/48/2022/09/One-to-One-Final-Report-Appendices-August-2022-post-Final-1.pdf</w:t>
        </w:r>
      </w:hyperlink>
      <w:r w:rsidRPr="00820F7A">
        <w:rPr>
          <w:color w:val="000000"/>
          <w:lang w:val="en-GB"/>
        </w:rPr>
        <w:t xml:space="preserve"> [Accessed 16 October 2025].</w:t>
      </w:r>
    </w:p>
    <w:p w14:paraId="6A7A7714"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NHS (2025). </w:t>
      </w:r>
      <w:r w:rsidRPr="00820F7A">
        <w:rPr>
          <w:i/>
          <w:iCs/>
          <w:color w:val="000000"/>
          <w:lang w:val="en-GB"/>
        </w:rPr>
        <w:t>NHS England» Monthly operational statistics – May 2025</w:t>
      </w:r>
      <w:r w:rsidRPr="00820F7A">
        <w:rPr>
          <w:color w:val="000000"/>
          <w:lang w:val="en-GB"/>
        </w:rPr>
        <w:t>. Available at:</w:t>
      </w:r>
      <w:hyperlink r:id="rId29">
        <w:r w:rsidRPr="00820F7A">
          <w:rPr>
            <w:color w:val="000000"/>
            <w:u w:val="single"/>
            <w:lang w:val="en-GB"/>
          </w:rPr>
          <w:t>https://www.england.nhs.uk/long-read/monthly-operational-statistics-may-2025/</w:t>
        </w:r>
      </w:hyperlink>
      <w:r w:rsidRPr="00820F7A">
        <w:rPr>
          <w:color w:val="000000"/>
          <w:lang w:val="en-GB"/>
        </w:rPr>
        <w:t xml:space="preserve"> [Accessed: 14 October 2025].</w:t>
      </w:r>
    </w:p>
    <w:p w14:paraId="77371F91"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NHS (2025). </w:t>
      </w:r>
      <w:r w:rsidRPr="00820F7A">
        <w:rPr>
          <w:i/>
          <w:iCs/>
          <w:color w:val="000000"/>
          <w:lang w:val="en-GB"/>
        </w:rPr>
        <w:t>NHS Resolution resolves record numbers of compensation claims through collaboration - NHS Resolution</w:t>
      </w:r>
      <w:r w:rsidRPr="00820F7A">
        <w:rPr>
          <w:color w:val="000000"/>
          <w:lang w:val="en-GB"/>
        </w:rPr>
        <w:t>. Available at:</w:t>
      </w:r>
      <w:hyperlink r:id="rId30">
        <w:r w:rsidRPr="00820F7A">
          <w:rPr>
            <w:color w:val="000000"/>
            <w:u w:val="single"/>
            <w:lang w:val="en-GB"/>
          </w:rPr>
          <w:t>https://resolution.nhs.uk/2025/07/17/nhs-resolution-resolves-record-numbers-of-compensation-claims-through-collaboration/</w:t>
        </w:r>
      </w:hyperlink>
      <w:r w:rsidRPr="00820F7A">
        <w:rPr>
          <w:color w:val="000000"/>
          <w:lang w:val="en-GB"/>
        </w:rPr>
        <w:t xml:space="preserve"> [Accessed: 14 October 2025].</w:t>
      </w:r>
    </w:p>
    <w:p w14:paraId="18C2EDB2"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NHS Employers (2025). </w:t>
      </w:r>
      <w:r w:rsidRPr="00820F7A">
        <w:rPr>
          <w:i/>
          <w:iCs/>
          <w:color w:val="000000"/>
          <w:lang w:val="en-GB"/>
        </w:rPr>
        <w:t>Beating burnout in the NHS | NHS Employers</w:t>
      </w:r>
      <w:r w:rsidRPr="00820F7A">
        <w:rPr>
          <w:color w:val="000000"/>
          <w:lang w:val="en-GB"/>
        </w:rPr>
        <w:t>. Available at:</w:t>
      </w:r>
      <w:hyperlink r:id="rId31">
        <w:r w:rsidRPr="00820F7A">
          <w:rPr>
            <w:color w:val="000000"/>
            <w:u w:val="single"/>
            <w:lang w:val="en-GB"/>
          </w:rPr>
          <w:t>https://www.nhsemployers.org/articles/beating-burnout-nhs</w:t>
        </w:r>
      </w:hyperlink>
      <w:r w:rsidRPr="00820F7A">
        <w:rPr>
          <w:color w:val="000000"/>
          <w:lang w:val="en-GB"/>
        </w:rPr>
        <w:t xml:space="preserve"> [Accessed: 14 October 2025].</w:t>
      </w:r>
    </w:p>
    <w:p w14:paraId="09258E6C"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NHS England (2021). </w:t>
      </w:r>
      <w:r w:rsidRPr="00820F7A">
        <w:rPr>
          <w:i/>
          <w:iCs/>
          <w:color w:val="000000"/>
          <w:lang w:val="en-GB"/>
        </w:rPr>
        <w:t>The National Patient Safety Improvement Programmes</w:t>
      </w:r>
      <w:r w:rsidRPr="00820F7A">
        <w:rPr>
          <w:color w:val="000000"/>
          <w:lang w:val="en-GB"/>
        </w:rPr>
        <w:t>. Available at:</w:t>
      </w:r>
      <w:hyperlink r:id="rId32">
        <w:r w:rsidRPr="00820F7A">
          <w:rPr>
            <w:color w:val="000000"/>
            <w:u w:val="single"/>
            <w:lang w:val="en-GB"/>
          </w:rPr>
          <w:t>https://www.england.nhs.uk/patient-safety/patient-safety-improvement-programmes/</w:t>
        </w:r>
      </w:hyperlink>
      <w:r w:rsidRPr="00820F7A">
        <w:rPr>
          <w:color w:val="000000"/>
          <w:lang w:val="en-GB"/>
        </w:rPr>
        <w:t xml:space="preserve"> [Accessed 16 October 2025].</w:t>
      </w:r>
    </w:p>
    <w:p w14:paraId="00D58707"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NHS Resolution. (2023). </w:t>
      </w:r>
      <w:r w:rsidRPr="00820F7A">
        <w:rPr>
          <w:i/>
          <w:iCs/>
          <w:color w:val="000000"/>
          <w:lang w:val="en-GB"/>
        </w:rPr>
        <w:t>Demographics, professions and concerns: What are the patterns in Practitioner Performance Advice cases?</w:t>
      </w:r>
      <w:r w:rsidRPr="00820F7A">
        <w:rPr>
          <w:color w:val="000000"/>
          <w:lang w:val="en-GB"/>
        </w:rPr>
        <w:t xml:space="preserve"> Available at:</w:t>
      </w:r>
      <w:hyperlink r:id="rId33">
        <w:r w:rsidRPr="00820F7A">
          <w:rPr>
            <w:color w:val="000000"/>
            <w:u w:val="single"/>
            <w:lang w:val="en-GB"/>
          </w:rPr>
          <w:t>https://resolution.nhs.uk/resources/demographics-professions-and-concerns-what-are-the-patterns-in-practitioner-performance-advice-cases/</w:t>
        </w:r>
      </w:hyperlink>
      <w:r w:rsidRPr="00820F7A">
        <w:rPr>
          <w:color w:val="000000"/>
          <w:lang w:val="en-GB"/>
        </w:rPr>
        <w:t xml:space="preserve"> [Accessed: 14 October 2025].</w:t>
      </w:r>
    </w:p>
    <w:p w14:paraId="1AA9B717"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Rcp.ac.uk. (2025). </w:t>
      </w:r>
      <w:r w:rsidRPr="00820F7A">
        <w:rPr>
          <w:i/>
          <w:iCs/>
          <w:color w:val="000000"/>
          <w:lang w:val="en-GB"/>
        </w:rPr>
        <w:t>A snapshot of UK doctors: experiences of health inequalities</w:t>
      </w:r>
      <w:r w:rsidRPr="00820F7A">
        <w:rPr>
          <w:color w:val="000000"/>
          <w:lang w:val="en-GB"/>
        </w:rPr>
        <w:t>. Available at:</w:t>
      </w:r>
      <w:hyperlink r:id="rId34">
        <w:r w:rsidRPr="00820F7A">
          <w:rPr>
            <w:color w:val="000000"/>
            <w:u w:val="single"/>
            <w:lang w:val="en-GB"/>
          </w:rPr>
          <w:t>https://www.rcp.ac.uk/policy-and-campaigns/policy-documents/a-snapshot-of-uk-doctors-experiences-of-health-inequalities/</w:t>
        </w:r>
      </w:hyperlink>
      <w:r w:rsidRPr="00820F7A">
        <w:rPr>
          <w:color w:val="000000"/>
          <w:lang w:val="en-GB"/>
        </w:rPr>
        <w:t xml:space="preserve"> [Accessed: 14 October 2025].</w:t>
      </w:r>
    </w:p>
    <w:p w14:paraId="7BE1B2E3"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Rcp.ac.uk. (2025). </w:t>
      </w:r>
      <w:r w:rsidRPr="00820F7A">
        <w:rPr>
          <w:i/>
          <w:iCs/>
          <w:color w:val="000000"/>
          <w:lang w:val="en-GB"/>
        </w:rPr>
        <w:t>Nearly 90% of doctors warn that health inequalities are harming patients</w:t>
      </w:r>
      <w:r w:rsidRPr="00820F7A">
        <w:rPr>
          <w:color w:val="000000"/>
          <w:lang w:val="en-GB"/>
        </w:rPr>
        <w:t>. Available at:</w:t>
      </w:r>
      <w:hyperlink r:id="rId35">
        <w:r w:rsidRPr="00820F7A">
          <w:rPr>
            <w:color w:val="000000"/>
            <w:u w:val="single"/>
            <w:lang w:val="en-GB"/>
          </w:rPr>
          <w:t>https://www.rcp.ac.uk/news-and-media/news-and-opinion/nearly-90-of-doctors-warn-that-health-inequalities-are-harming-patients/</w:t>
        </w:r>
      </w:hyperlink>
      <w:r w:rsidRPr="00820F7A">
        <w:rPr>
          <w:color w:val="000000"/>
          <w:lang w:val="en-GB"/>
        </w:rPr>
        <w:t xml:space="preserve"> [Accessed 16 October 2025].</w:t>
      </w:r>
    </w:p>
    <w:p w14:paraId="1C98A963"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UK Government (2024). </w:t>
      </w:r>
      <w:r w:rsidRPr="00820F7A">
        <w:rPr>
          <w:i/>
          <w:iCs/>
          <w:color w:val="000000"/>
          <w:lang w:val="en-GB"/>
        </w:rPr>
        <w:t>Annual report and accounts 2023/24 Advise / Resolve / Learn HC 73.</w:t>
      </w:r>
      <w:r w:rsidRPr="00820F7A">
        <w:rPr>
          <w:color w:val="000000"/>
          <w:lang w:val="en-GB"/>
        </w:rPr>
        <w:t xml:space="preserve"> Available at:</w:t>
      </w:r>
      <w:hyperlink r:id="rId36">
        <w:r w:rsidRPr="00820F7A">
          <w:rPr>
            <w:color w:val="000000"/>
            <w:u w:val="single"/>
            <w:lang w:val="en-GB"/>
          </w:rPr>
          <w:t>https://assets.publishing.service.gov.uk/media/66a0c996fc8e12ac3edb0374/nhs-resolution-annual-report-and-accounts-2023-to-2024-web-accessible.pdf</w:t>
        </w:r>
      </w:hyperlink>
      <w:r w:rsidRPr="00820F7A">
        <w:rPr>
          <w:color w:val="000000"/>
          <w:lang w:val="en-GB"/>
        </w:rPr>
        <w:t xml:space="preserve"> [Accessed: 14 October 2025].</w:t>
      </w:r>
    </w:p>
    <w:p w14:paraId="27A70106"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UK Parliament, (2024). </w:t>
      </w:r>
      <w:r w:rsidRPr="00820F7A">
        <w:rPr>
          <w:i/>
          <w:iCs/>
          <w:color w:val="000000"/>
          <w:lang w:val="en-GB"/>
        </w:rPr>
        <w:t>The Medical Defence Union (NFS0001).</w:t>
      </w:r>
      <w:r w:rsidRPr="00820F7A">
        <w:rPr>
          <w:color w:val="000000"/>
          <w:lang w:val="en-GB"/>
        </w:rPr>
        <w:t xml:space="preserve"> Available at:</w:t>
      </w:r>
      <w:hyperlink r:id="rId37">
        <w:r w:rsidRPr="00820F7A">
          <w:rPr>
            <w:color w:val="000000"/>
            <w:u w:val="single"/>
            <w:lang w:val="en-GB"/>
          </w:rPr>
          <w:t>https://committees.parliament.uk/writtenevidence/131266/html/</w:t>
        </w:r>
      </w:hyperlink>
      <w:r w:rsidRPr="00820F7A">
        <w:rPr>
          <w:color w:val="000000"/>
          <w:lang w:val="en-GB"/>
        </w:rPr>
        <w:t xml:space="preserve"> [Accessed: 14 October 2025].</w:t>
      </w:r>
    </w:p>
    <w:p w14:paraId="4CDF16A6"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World Health Organization (2023). </w:t>
      </w:r>
      <w:r w:rsidRPr="00820F7A">
        <w:rPr>
          <w:i/>
          <w:iCs/>
          <w:color w:val="000000"/>
          <w:lang w:val="en-GB"/>
        </w:rPr>
        <w:t>Patient safety</w:t>
      </w:r>
      <w:r w:rsidRPr="00820F7A">
        <w:rPr>
          <w:color w:val="000000"/>
          <w:lang w:val="en-GB"/>
        </w:rPr>
        <w:t>. Available at:</w:t>
      </w:r>
      <w:hyperlink r:id="rId38">
        <w:r w:rsidRPr="00820F7A">
          <w:rPr>
            <w:color w:val="000000"/>
            <w:u w:val="single"/>
            <w:lang w:val="en-GB"/>
          </w:rPr>
          <w:t>https://www.who.int/news-room/fact-sheets/detail/patient-safety</w:t>
        </w:r>
      </w:hyperlink>
      <w:r w:rsidRPr="00820F7A">
        <w:rPr>
          <w:color w:val="000000"/>
          <w:lang w:val="en-GB"/>
        </w:rPr>
        <w:t xml:space="preserve"> [Accessed: 14 October 2025].</w:t>
      </w:r>
    </w:p>
    <w:p w14:paraId="2574C57C" w14:textId="77777777" w:rsidR="00826870" w:rsidRPr="00820F7A" w:rsidRDefault="00B21388">
      <w:pPr>
        <w:pStyle w:val="Normal1"/>
        <w:pBdr>
          <w:top w:val="nil"/>
          <w:left w:val="nil"/>
          <w:bottom w:val="nil"/>
          <w:right w:val="nil"/>
          <w:between w:val="nil"/>
        </w:pBdr>
        <w:rPr>
          <w:b/>
          <w:bCs/>
          <w:i/>
          <w:iCs/>
          <w:color w:val="000000"/>
          <w:lang w:val="en-GB"/>
        </w:rPr>
      </w:pPr>
      <w:r w:rsidRPr="00820F7A">
        <w:rPr>
          <w:b/>
          <w:bCs/>
          <w:i/>
          <w:iCs/>
          <w:color w:val="000000"/>
          <w:lang w:val="en-GB"/>
        </w:rPr>
        <w:t>Chapter 2</w:t>
      </w:r>
    </w:p>
    <w:p w14:paraId="0BC8DE19"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Adams, C., Walpola, R., Iqbal, M.P., Schembri, A. and Harrison, R., (2024). The three pillars of patient experience: identifying key drivers of patient experience to improve quality in healthcare. </w:t>
      </w:r>
      <w:r w:rsidRPr="00820F7A">
        <w:rPr>
          <w:i/>
          <w:iCs/>
          <w:color w:val="000000"/>
          <w:lang w:val="en-GB"/>
        </w:rPr>
        <w:t>Journal of public health</w:t>
      </w:r>
      <w:r w:rsidRPr="00820F7A">
        <w:rPr>
          <w:color w:val="000000"/>
          <w:lang w:val="en-GB"/>
        </w:rPr>
        <w:t>, pp.1-9.</w:t>
      </w:r>
    </w:p>
    <w:p w14:paraId="33FD1377"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Adelodun, M.O. and Anyanwu, E.C., (2024). Environmental and patient safety: Advances in radiological techniques to reduce radiation exposure. </w:t>
      </w:r>
      <w:r w:rsidRPr="00820F7A">
        <w:rPr>
          <w:i/>
          <w:iCs/>
          <w:color w:val="000000"/>
          <w:lang w:val="en-GB"/>
        </w:rPr>
        <w:t>Int J Front Med Surg Res</w:t>
      </w:r>
      <w:r w:rsidRPr="00820F7A">
        <w:rPr>
          <w:color w:val="000000"/>
          <w:lang w:val="en-GB"/>
        </w:rPr>
        <w:t xml:space="preserve">, </w:t>
      </w:r>
      <w:r w:rsidRPr="00820F7A">
        <w:rPr>
          <w:i/>
          <w:iCs/>
          <w:color w:val="000000"/>
          <w:lang w:val="en-GB"/>
        </w:rPr>
        <w:t>6</w:t>
      </w:r>
      <w:r w:rsidRPr="00820F7A">
        <w:rPr>
          <w:color w:val="000000"/>
          <w:lang w:val="en-GB"/>
        </w:rPr>
        <w:t>(1), pp.64-80.</w:t>
      </w:r>
    </w:p>
    <w:p w14:paraId="0EE0806B"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Afonso, S.D.R., Padilha, M.I., Neves, V.R., Elizondo, N.R. and Vieira, R.Q., (2024). Critical analysis of the scientific production on Jean Watson’s Theory of Human Care. </w:t>
      </w:r>
      <w:r w:rsidRPr="00820F7A">
        <w:rPr>
          <w:i/>
          <w:iCs/>
          <w:color w:val="000000"/>
          <w:lang w:val="en-GB"/>
        </w:rPr>
        <w:t>Revista Brasileira de Enfermagem</w:t>
      </w:r>
      <w:r w:rsidRPr="00820F7A">
        <w:rPr>
          <w:color w:val="000000"/>
          <w:lang w:val="en-GB"/>
        </w:rPr>
        <w:t xml:space="preserve">, </w:t>
      </w:r>
      <w:r w:rsidRPr="00820F7A">
        <w:rPr>
          <w:i/>
          <w:iCs/>
          <w:color w:val="000000"/>
          <w:lang w:val="en-GB"/>
        </w:rPr>
        <w:t>77</w:t>
      </w:r>
      <w:r w:rsidRPr="00820F7A">
        <w:rPr>
          <w:color w:val="000000"/>
          <w:lang w:val="en-GB"/>
        </w:rPr>
        <w:t>(2), p.e20230231.</w:t>
      </w:r>
    </w:p>
    <w:p w14:paraId="55AB4796"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Ahmed, Z., Ellahham, S., Soomro, M., Shams, S. and Latif, K., (2024). Exploring the impact of compassion and leadership on patient safety and quality in healthcare systems: a narrative review. </w:t>
      </w:r>
      <w:r w:rsidRPr="00820F7A">
        <w:rPr>
          <w:i/>
          <w:iCs/>
          <w:color w:val="000000"/>
          <w:lang w:val="en-GB"/>
        </w:rPr>
        <w:t>BMJ open quality</w:t>
      </w:r>
      <w:r w:rsidRPr="00820F7A">
        <w:rPr>
          <w:color w:val="000000"/>
          <w:lang w:val="en-GB"/>
        </w:rPr>
        <w:t xml:space="preserve">, </w:t>
      </w:r>
      <w:r w:rsidRPr="00820F7A">
        <w:rPr>
          <w:i/>
          <w:iCs/>
          <w:color w:val="000000"/>
          <w:lang w:val="en-GB"/>
        </w:rPr>
        <w:t>13</w:t>
      </w:r>
      <w:r w:rsidRPr="00820F7A">
        <w:rPr>
          <w:color w:val="000000"/>
          <w:lang w:val="en-GB"/>
        </w:rPr>
        <w:t>(Suppl 2).</w:t>
      </w:r>
    </w:p>
    <w:p w14:paraId="26E6209B"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Alghrani, A., Rehman, U., Sarwar, M.S. and Brennan, P.A., (2024). Balancing the scales of safety: the criminal law’s impact on patient safety and error reduction. </w:t>
      </w:r>
      <w:r w:rsidRPr="00820F7A">
        <w:rPr>
          <w:i/>
          <w:iCs/>
          <w:color w:val="000000"/>
          <w:lang w:val="en-GB"/>
        </w:rPr>
        <w:t>British journal of oral and maxillofacial surgery</w:t>
      </w:r>
      <w:r w:rsidRPr="00820F7A">
        <w:rPr>
          <w:color w:val="000000"/>
          <w:lang w:val="en-GB"/>
        </w:rPr>
        <w:t xml:space="preserve">, </w:t>
      </w:r>
      <w:r w:rsidRPr="00820F7A">
        <w:rPr>
          <w:i/>
          <w:iCs/>
          <w:color w:val="000000"/>
          <w:lang w:val="en-GB"/>
        </w:rPr>
        <w:t>62</w:t>
      </w:r>
      <w:r w:rsidRPr="00820F7A">
        <w:rPr>
          <w:color w:val="000000"/>
          <w:lang w:val="en-GB"/>
        </w:rPr>
        <w:t xml:space="preserve">(3), pp.229-232. </w:t>
      </w:r>
    </w:p>
    <w:p w14:paraId="657DAF5A"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Almutairi, M., Timmins, F., Wise, P.Y., Stokes, D. and Alharbi, T.A.F., (2025). Authentic leadership—A concept analysis. </w:t>
      </w:r>
      <w:r w:rsidRPr="00820F7A">
        <w:rPr>
          <w:i/>
          <w:iCs/>
          <w:color w:val="000000"/>
          <w:lang w:val="en-GB"/>
        </w:rPr>
        <w:t>Journal of Advanced Nursing</w:t>
      </w:r>
      <w:r w:rsidRPr="00820F7A">
        <w:rPr>
          <w:color w:val="000000"/>
          <w:lang w:val="en-GB"/>
        </w:rPr>
        <w:t xml:space="preserve">, </w:t>
      </w:r>
      <w:r w:rsidRPr="00820F7A">
        <w:rPr>
          <w:i/>
          <w:iCs/>
          <w:color w:val="000000"/>
          <w:lang w:val="en-GB"/>
        </w:rPr>
        <w:t>81</w:t>
      </w:r>
      <w:r w:rsidRPr="00820F7A">
        <w:rPr>
          <w:color w:val="000000"/>
          <w:lang w:val="en-GB"/>
        </w:rPr>
        <w:t>(4), pp.1775-1793.</w:t>
      </w:r>
    </w:p>
    <w:p w14:paraId="21BCEFC1"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Aunger, J.A., Abrams, R., Westbrook, J.I., Wright, J.M., Pearson, M., Jones, A., Mannion, R. and Maben, J., (2024). Why do acute healthcare staff behave unprofessionally towards each other and how can these behaviours be reduced?: A realist review. </w:t>
      </w:r>
      <w:r w:rsidRPr="00820F7A">
        <w:rPr>
          <w:i/>
          <w:iCs/>
          <w:color w:val="000000"/>
          <w:lang w:val="en-GB"/>
        </w:rPr>
        <w:t>Health and Social Care Delivery Research</w:t>
      </w:r>
      <w:r w:rsidRPr="00820F7A">
        <w:rPr>
          <w:color w:val="000000"/>
          <w:lang w:val="en-GB"/>
        </w:rPr>
        <w:t xml:space="preserve">, </w:t>
      </w:r>
      <w:r w:rsidRPr="00820F7A">
        <w:rPr>
          <w:i/>
          <w:iCs/>
          <w:color w:val="000000"/>
          <w:lang w:val="en-GB"/>
        </w:rPr>
        <w:t>12</w:t>
      </w:r>
      <w:r w:rsidRPr="00820F7A">
        <w:rPr>
          <w:color w:val="000000"/>
          <w:lang w:val="en-GB"/>
        </w:rPr>
        <w:t xml:space="preserve">(25), pp.1-195. </w:t>
      </w:r>
    </w:p>
    <w:p w14:paraId="684693B5"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Awasthi, S., Zaveri, B., Parida, S., Suri, S., Sidhu, A. and Thorat, V.M., (2024). Impact of Leadership Styles on Healthcare Team Performance and Patient Satisfaction. </w:t>
      </w:r>
      <w:r w:rsidRPr="00820F7A">
        <w:rPr>
          <w:i/>
          <w:iCs/>
          <w:color w:val="000000"/>
          <w:lang w:val="en-GB"/>
        </w:rPr>
        <w:t>Health Leadership and Quality of Life</w:t>
      </w:r>
      <w:r w:rsidRPr="00820F7A">
        <w:rPr>
          <w:color w:val="000000"/>
          <w:lang w:val="en-GB"/>
        </w:rPr>
        <w:t xml:space="preserve">, (3), p.7. </w:t>
      </w:r>
    </w:p>
    <w:p w14:paraId="769D635D"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Baker, D., Norris, D., Newman, L. and Cherneva, V., (2023). Organisational learning, or organised irresponsibility? Risk, opacity and lesson learning about mental health related deaths. </w:t>
      </w:r>
      <w:r w:rsidRPr="00820F7A">
        <w:rPr>
          <w:i/>
          <w:iCs/>
          <w:color w:val="000000"/>
          <w:lang w:val="en-GB"/>
        </w:rPr>
        <w:t>Health, Risk &amp; Society</w:t>
      </w:r>
      <w:r w:rsidRPr="00820F7A">
        <w:rPr>
          <w:color w:val="000000"/>
          <w:lang w:val="en-GB"/>
        </w:rPr>
        <w:t xml:space="preserve">, </w:t>
      </w:r>
      <w:r w:rsidRPr="00820F7A">
        <w:rPr>
          <w:i/>
          <w:iCs/>
          <w:color w:val="000000"/>
          <w:lang w:val="en-GB"/>
        </w:rPr>
        <w:t>25</w:t>
      </w:r>
      <w:r w:rsidRPr="00820F7A">
        <w:rPr>
          <w:color w:val="000000"/>
          <w:lang w:val="en-GB"/>
        </w:rPr>
        <w:t>(5-6), pp.268-284.</w:t>
      </w:r>
    </w:p>
    <w:p w14:paraId="0EF9D41C"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Barmayehvar, B., Metcalfe, C. and Muzaffar, J., (2025). Ten Years of Clinical Negligence Claims in Otolaryngology: Trends, Costs, and Preventable Harm in the UK National Health Service. </w:t>
      </w:r>
      <w:r w:rsidRPr="00820F7A">
        <w:rPr>
          <w:i/>
          <w:iCs/>
          <w:color w:val="000000"/>
          <w:lang w:val="en-GB"/>
        </w:rPr>
        <w:t>medRxiv</w:t>
      </w:r>
      <w:r w:rsidRPr="00820F7A">
        <w:rPr>
          <w:color w:val="000000"/>
          <w:lang w:val="en-GB"/>
        </w:rPr>
        <w:t>, pp.2025-05.</w:t>
      </w:r>
    </w:p>
    <w:p w14:paraId="214AEA40"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Bashir, H., Barkatullah, M., Raza, A., Mushtaq, M., Khan, K.S., Saber, A. and Ahmad, S., (2024). Practices Used to Improve Patient Safety Culture Among Healthcare Professionals in a Tertiary Care Hospital. </w:t>
      </w:r>
      <w:r w:rsidRPr="00820F7A">
        <w:rPr>
          <w:i/>
          <w:iCs/>
          <w:color w:val="000000"/>
          <w:lang w:val="en-GB"/>
        </w:rPr>
        <w:t>Global Journal on Quality and Safety in Healthcare</w:t>
      </w:r>
      <w:r w:rsidRPr="00820F7A">
        <w:rPr>
          <w:color w:val="000000"/>
          <w:lang w:val="en-GB"/>
        </w:rPr>
        <w:t xml:space="preserve">, </w:t>
      </w:r>
      <w:r w:rsidRPr="00820F7A">
        <w:rPr>
          <w:i/>
          <w:iCs/>
          <w:color w:val="000000"/>
          <w:lang w:val="en-GB"/>
        </w:rPr>
        <w:t>7</w:t>
      </w:r>
      <w:r w:rsidRPr="00820F7A">
        <w:rPr>
          <w:color w:val="000000"/>
          <w:lang w:val="en-GB"/>
        </w:rPr>
        <w:t xml:space="preserve">(1), pp.9-14. </w:t>
      </w:r>
    </w:p>
    <w:p w14:paraId="520955F1" w14:textId="77777777" w:rsidR="00826870" w:rsidRPr="00820F7A" w:rsidRDefault="00B21388">
      <w:pPr>
        <w:pStyle w:val="Normal1"/>
        <w:pBdr>
          <w:top w:val="nil"/>
          <w:left w:val="nil"/>
          <w:bottom w:val="nil"/>
          <w:right w:val="nil"/>
          <w:between w:val="nil"/>
        </w:pBdr>
        <w:spacing w:before="240"/>
        <w:rPr>
          <w:color w:val="000000"/>
          <w:highlight w:val="white"/>
          <w:lang w:val="en-GB"/>
        </w:rPr>
      </w:pPr>
      <w:r w:rsidRPr="00820F7A">
        <w:rPr>
          <w:color w:val="000000"/>
          <w:highlight w:val="white"/>
          <w:lang w:val="en-GB"/>
        </w:rPr>
        <w:t>Bornman, J. and Louw, B., (2023). Leadership development strategies in interprofessional healthcare collaboration: a rapid review. </w:t>
      </w:r>
      <w:r w:rsidRPr="00820F7A">
        <w:rPr>
          <w:i/>
          <w:iCs/>
          <w:color w:val="000000"/>
          <w:highlight w:val="white"/>
          <w:lang w:val="en-GB"/>
        </w:rPr>
        <w:t>Journal of healthcare leadership</w:t>
      </w:r>
      <w:r w:rsidRPr="00820F7A">
        <w:rPr>
          <w:color w:val="000000"/>
          <w:highlight w:val="white"/>
          <w:lang w:val="en-GB"/>
        </w:rPr>
        <w:t>, pp.175-192.</w:t>
      </w:r>
    </w:p>
    <w:p w14:paraId="4B32DD56"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Clifford, J., Scott, D., Kelly, S. and Hanover, C., (2024). Leader rounding for high reliability and improved patient safety. </w:t>
      </w:r>
      <w:r w:rsidRPr="00820F7A">
        <w:rPr>
          <w:i/>
          <w:iCs/>
          <w:color w:val="000000"/>
          <w:lang w:val="en-GB"/>
        </w:rPr>
        <w:t>Federal Practitioner</w:t>
      </w:r>
      <w:r w:rsidRPr="00820F7A">
        <w:rPr>
          <w:color w:val="000000"/>
          <w:lang w:val="en-GB"/>
        </w:rPr>
        <w:t xml:space="preserve">, </w:t>
      </w:r>
      <w:r w:rsidRPr="00820F7A">
        <w:rPr>
          <w:i/>
          <w:iCs/>
          <w:color w:val="000000"/>
          <w:lang w:val="en-GB"/>
        </w:rPr>
        <w:t>41</w:t>
      </w:r>
      <w:r w:rsidRPr="00820F7A">
        <w:rPr>
          <w:color w:val="000000"/>
          <w:lang w:val="en-GB"/>
        </w:rPr>
        <w:t>(1), p.16.</w:t>
      </w:r>
    </w:p>
    <w:p w14:paraId="7961FD76"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Comeau, D.S., Bitterman, D.S. and Celi, L.A., (2025). Preventing unrestricted and unmonitored AI experimentation in healthcare through transparency and accountability. </w:t>
      </w:r>
      <w:r w:rsidRPr="00820F7A">
        <w:rPr>
          <w:i/>
          <w:iCs/>
          <w:color w:val="000000"/>
          <w:lang w:val="en-GB"/>
        </w:rPr>
        <w:t>npj Digital Medicine</w:t>
      </w:r>
      <w:r w:rsidRPr="00820F7A">
        <w:rPr>
          <w:color w:val="000000"/>
          <w:lang w:val="en-GB"/>
        </w:rPr>
        <w:t xml:space="preserve">, </w:t>
      </w:r>
      <w:r w:rsidRPr="00820F7A">
        <w:rPr>
          <w:i/>
          <w:iCs/>
          <w:color w:val="000000"/>
          <w:lang w:val="en-GB"/>
        </w:rPr>
        <w:t>8</w:t>
      </w:r>
      <w:r w:rsidRPr="00820F7A">
        <w:rPr>
          <w:color w:val="000000"/>
          <w:lang w:val="en-GB"/>
        </w:rPr>
        <w:t>(1), p.42.</w:t>
      </w:r>
    </w:p>
    <w:p w14:paraId="3F45942C"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Dirik, H.F. and Seren Intepeler, S., (2024). An authentic leadership training programme to increase nurse empowerment and patient safety: A quasi</w:t>
      </w:r>
      <w:r w:rsidRPr="00820F7A">
        <w:rPr>
          <w:rFonts w:ascii="Cambria Math" w:eastAsia="Cambria Math" w:hAnsi="Cambria Math" w:cs="Cambria Math"/>
          <w:color w:val="000000"/>
          <w:lang w:val="en-GB"/>
        </w:rPr>
        <w:t>‐</w:t>
      </w:r>
      <w:r w:rsidRPr="00820F7A">
        <w:rPr>
          <w:color w:val="000000"/>
          <w:lang w:val="en-GB"/>
        </w:rPr>
        <w:t xml:space="preserve">experimental study. </w:t>
      </w:r>
      <w:r w:rsidRPr="00820F7A">
        <w:rPr>
          <w:i/>
          <w:iCs/>
          <w:color w:val="000000"/>
          <w:lang w:val="en-GB"/>
        </w:rPr>
        <w:t>Journal of Advanced Nursing</w:t>
      </w:r>
      <w:r w:rsidRPr="00820F7A">
        <w:rPr>
          <w:color w:val="000000"/>
          <w:lang w:val="en-GB"/>
        </w:rPr>
        <w:t xml:space="preserve">, </w:t>
      </w:r>
      <w:r w:rsidRPr="00820F7A">
        <w:rPr>
          <w:i/>
          <w:iCs/>
          <w:color w:val="000000"/>
          <w:lang w:val="en-GB"/>
        </w:rPr>
        <w:t>80</w:t>
      </w:r>
      <w:r w:rsidRPr="00820F7A">
        <w:rPr>
          <w:color w:val="000000"/>
          <w:lang w:val="en-GB"/>
        </w:rPr>
        <w:t>(4), pp.1417-1428.</w:t>
      </w:r>
    </w:p>
    <w:p w14:paraId="6B524302"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Endalamaw, A., Khatri, R.B., Mengistu, T.S., Erku, D., Wolka, E., Zewdie, A. and Assefa, Y., (2024). A scoping review of continuous quality improvement in healthcare system: conceptualization, models and tools, barriers and facilitators, and impact. </w:t>
      </w:r>
      <w:r w:rsidRPr="00820F7A">
        <w:rPr>
          <w:i/>
          <w:iCs/>
          <w:color w:val="000000"/>
          <w:lang w:val="en-GB"/>
        </w:rPr>
        <w:t>BMC Health Services Research</w:t>
      </w:r>
      <w:r w:rsidRPr="00820F7A">
        <w:rPr>
          <w:color w:val="000000"/>
          <w:lang w:val="en-GB"/>
        </w:rPr>
        <w:t xml:space="preserve">, </w:t>
      </w:r>
      <w:r w:rsidRPr="00820F7A">
        <w:rPr>
          <w:i/>
          <w:iCs/>
          <w:color w:val="000000"/>
          <w:lang w:val="en-GB"/>
        </w:rPr>
        <w:t>24</w:t>
      </w:r>
      <w:r w:rsidRPr="00820F7A">
        <w:rPr>
          <w:color w:val="000000"/>
          <w:lang w:val="en-GB"/>
        </w:rPr>
        <w:t>(1), p.487.</w:t>
      </w:r>
    </w:p>
    <w:p w14:paraId="4DE19A90"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Enghiad, P., Venturato, L. and Ewashen, C., (2022). Exploring clinical leadership in long</w:t>
      </w:r>
      <w:r w:rsidRPr="00820F7A">
        <w:rPr>
          <w:rFonts w:ascii="Cambria Math" w:eastAsia="Cambria Math" w:hAnsi="Cambria Math" w:cs="Cambria Math"/>
          <w:color w:val="000000"/>
          <w:lang w:val="en-GB"/>
        </w:rPr>
        <w:t>‐</w:t>
      </w:r>
      <w:r w:rsidRPr="00820F7A">
        <w:rPr>
          <w:color w:val="000000"/>
          <w:lang w:val="en-GB"/>
        </w:rPr>
        <w:t xml:space="preserve">term care: An integrative literature review. </w:t>
      </w:r>
      <w:r w:rsidRPr="00820F7A">
        <w:rPr>
          <w:i/>
          <w:iCs/>
          <w:color w:val="000000"/>
          <w:lang w:val="en-GB"/>
        </w:rPr>
        <w:t>Journal of Nursing Management</w:t>
      </w:r>
      <w:r w:rsidRPr="00820F7A">
        <w:rPr>
          <w:color w:val="000000"/>
          <w:lang w:val="en-GB"/>
        </w:rPr>
        <w:t xml:space="preserve">, </w:t>
      </w:r>
      <w:r w:rsidRPr="00820F7A">
        <w:rPr>
          <w:i/>
          <w:iCs/>
          <w:color w:val="000000"/>
          <w:lang w:val="en-GB"/>
        </w:rPr>
        <w:t>30</w:t>
      </w:r>
      <w:r w:rsidRPr="00820F7A">
        <w:rPr>
          <w:color w:val="000000"/>
          <w:lang w:val="en-GB"/>
        </w:rPr>
        <w:t xml:space="preserve">(1), pp.90-103. </w:t>
      </w:r>
    </w:p>
    <w:p w14:paraId="62F36372" w14:textId="77777777" w:rsidR="00826870" w:rsidRPr="00820F7A" w:rsidRDefault="00B21388">
      <w:pPr>
        <w:pStyle w:val="Normal1"/>
        <w:pBdr>
          <w:top w:val="nil"/>
          <w:left w:val="nil"/>
          <w:bottom w:val="nil"/>
          <w:right w:val="nil"/>
          <w:between w:val="nil"/>
        </w:pBdr>
        <w:spacing w:before="240"/>
        <w:rPr>
          <w:color w:val="000000"/>
          <w:lang w:val="en-GB"/>
        </w:rPr>
      </w:pPr>
      <w:r w:rsidRPr="00820F7A">
        <w:rPr>
          <w:color w:val="000000"/>
          <w:lang w:val="en-GB"/>
        </w:rPr>
        <w:t>Falade, I.M., Gyampoh, G.K.S., Akpamgbo, E.O., Chika, O.C., Obodo, O.R., Okobi, O.E., Aguguo, J.C. and Chukwu, V.U., (2024). A comprehensive review of effective patient safety and quality improvement programs in healthcare facilities. Medical Research Archives, 12(7).</w:t>
      </w:r>
    </w:p>
    <w:p w14:paraId="2E3B0427"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Fletcher, M., Read, C. and D-Adderio, L., (2023). Nurse Leadership Post COVID pandemic—a framework for digital healthcare innovation and transformation. </w:t>
      </w:r>
      <w:r w:rsidRPr="00820F7A">
        <w:rPr>
          <w:i/>
          <w:iCs/>
          <w:color w:val="000000"/>
          <w:lang w:val="en-GB"/>
        </w:rPr>
        <w:t>SAGE open nursing</w:t>
      </w:r>
      <w:r w:rsidRPr="00820F7A">
        <w:rPr>
          <w:color w:val="000000"/>
          <w:lang w:val="en-GB"/>
        </w:rPr>
        <w:t xml:space="preserve">, </w:t>
      </w:r>
      <w:r w:rsidRPr="00820F7A">
        <w:rPr>
          <w:i/>
          <w:iCs/>
          <w:color w:val="000000"/>
          <w:lang w:val="en-GB"/>
        </w:rPr>
        <w:t>9</w:t>
      </w:r>
      <w:r w:rsidRPr="00820F7A">
        <w:rPr>
          <w:color w:val="000000"/>
          <w:lang w:val="en-GB"/>
        </w:rPr>
        <w:t xml:space="preserve">, p.23779608231160465. </w:t>
      </w:r>
    </w:p>
    <w:p w14:paraId="291B09B0"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Fukami, T. and FUKAMI, T., (2024). Enhancing healthcare accountability for administrators: Fostering transparency for patient safety and quality enhancement. </w:t>
      </w:r>
      <w:r w:rsidRPr="00820F7A">
        <w:rPr>
          <w:i/>
          <w:iCs/>
          <w:color w:val="000000"/>
          <w:lang w:val="en-GB"/>
        </w:rPr>
        <w:t>Cureus</w:t>
      </w:r>
      <w:r w:rsidRPr="00820F7A">
        <w:rPr>
          <w:color w:val="000000"/>
          <w:lang w:val="en-GB"/>
        </w:rPr>
        <w:t xml:space="preserve">, </w:t>
      </w:r>
      <w:r w:rsidRPr="00820F7A">
        <w:rPr>
          <w:i/>
          <w:iCs/>
          <w:color w:val="000000"/>
          <w:lang w:val="en-GB"/>
        </w:rPr>
        <w:t>16</w:t>
      </w:r>
      <w:r w:rsidRPr="00820F7A">
        <w:rPr>
          <w:color w:val="000000"/>
          <w:lang w:val="en-GB"/>
        </w:rPr>
        <w:t>(8).</w:t>
      </w:r>
    </w:p>
    <w:p w14:paraId="0D4F5D49"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Glarcher, M. and Vaismoradi, M., (2025). A systematic integrative review of specialized nurses' role to establish a culture of patient safety: A modelling perspective. </w:t>
      </w:r>
      <w:r w:rsidRPr="00820F7A">
        <w:rPr>
          <w:i/>
          <w:iCs/>
          <w:color w:val="000000"/>
          <w:lang w:val="en-GB"/>
        </w:rPr>
        <w:t>Journal of Advanced Nursing</w:t>
      </w:r>
      <w:r w:rsidRPr="00820F7A">
        <w:rPr>
          <w:color w:val="000000"/>
          <w:lang w:val="en-GB"/>
        </w:rPr>
        <w:t xml:space="preserve">, </w:t>
      </w:r>
      <w:r w:rsidRPr="00820F7A">
        <w:rPr>
          <w:i/>
          <w:iCs/>
          <w:color w:val="000000"/>
          <w:lang w:val="en-GB"/>
        </w:rPr>
        <w:t>81</w:t>
      </w:r>
      <w:r w:rsidRPr="00820F7A">
        <w:rPr>
          <w:color w:val="000000"/>
          <w:lang w:val="en-GB"/>
        </w:rPr>
        <w:t>(9), pp.5248-5263.</w:t>
      </w:r>
    </w:p>
    <w:p w14:paraId="38BA83C6"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Hamdan, M., Jaaffar, A.H., Khraisat, O., Issa, M.R. and Jarrar, M.T., (2024). The association of transformational leadership on safety practices among nurses: the mediating role of patient safety culture. </w:t>
      </w:r>
      <w:r w:rsidRPr="00820F7A">
        <w:rPr>
          <w:i/>
          <w:iCs/>
          <w:color w:val="000000"/>
          <w:lang w:val="en-GB"/>
        </w:rPr>
        <w:t>Risk Management and Healthcare Policy</w:t>
      </w:r>
      <w:r w:rsidRPr="00820F7A">
        <w:rPr>
          <w:color w:val="000000"/>
          <w:lang w:val="en-GB"/>
        </w:rPr>
        <w:t>, pp.1687-1700.</w:t>
      </w:r>
    </w:p>
    <w:p w14:paraId="665E1CFE"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Hibbert, P.D., Stewart, S., Wiles, L.K., Braithwaite, J., Runciman, W.B. and Thomas, M.J., (2023). Improving patient safety governance and systems through learning from successes and failures: qualitative surveys and interviews with international experts. </w:t>
      </w:r>
      <w:r w:rsidRPr="00820F7A">
        <w:rPr>
          <w:i/>
          <w:iCs/>
          <w:color w:val="000000"/>
          <w:lang w:val="en-GB"/>
        </w:rPr>
        <w:t>International Journal for Quality in Health Care</w:t>
      </w:r>
      <w:r w:rsidRPr="00820F7A">
        <w:rPr>
          <w:color w:val="000000"/>
          <w:lang w:val="en-GB"/>
        </w:rPr>
        <w:t xml:space="preserve">, </w:t>
      </w:r>
      <w:r w:rsidRPr="00820F7A">
        <w:rPr>
          <w:i/>
          <w:iCs/>
          <w:color w:val="000000"/>
          <w:lang w:val="en-GB"/>
        </w:rPr>
        <w:t>35</w:t>
      </w:r>
      <w:r w:rsidRPr="00820F7A">
        <w:rPr>
          <w:color w:val="000000"/>
          <w:lang w:val="en-GB"/>
        </w:rPr>
        <w:t xml:space="preserve">(4), p.0. </w:t>
      </w:r>
    </w:p>
    <w:p w14:paraId="438B22DA"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Hope, M. and Pascoe, P., (2024). The Impact of Ward Accreditation on The Quality of Patient Care. </w:t>
      </w:r>
      <w:r w:rsidRPr="00820F7A">
        <w:rPr>
          <w:i/>
          <w:iCs/>
          <w:color w:val="000000"/>
          <w:lang w:val="en-GB"/>
        </w:rPr>
        <w:t>A Realist Literature Review. J Nur Prim Health Car: JNPHC-112</w:t>
      </w:r>
      <w:r w:rsidRPr="00820F7A">
        <w:rPr>
          <w:color w:val="000000"/>
          <w:lang w:val="en-GB"/>
        </w:rPr>
        <w:t xml:space="preserve">. </w:t>
      </w:r>
    </w:p>
    <w:p w14:paraId="4BC4D239"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Hoxha, G., Simeli, I., Theocharis, D., Vasileiou, A. and Tsekouropoulos, G., (2024). Sustainable healthcare quality and job satisfaction through organizational culture: Approaches and outcomes. </w:t>
      </w:r>
      <w:r w:rsidRPr="00820F7A">
        <w:rPr>
          <w:i/>
          <w:iCs/>
          <w:color w:val="000000"/>
          <w:lang w:val="en-GB"/>
        </w:rPr>
        <w:t>Sustainability</w:t>
      </w:r>
      <w:r w:rsidRPr="00820F7A">
        <w:rPr>
          <w:color w:val="000000"/>
          <w:lang w:val="en-GB"/>
        </w:rPr>
        <w:t xml:space="preserve">, </w:t>
      </w:r>
      <w:r w:rsidRPr="00820F7A">
        <w:rPr>
          <w:i/>
          <w:iCs/>
          <w:color w:val="000000"/>
          <w:lang w:val="en-GB"/>
        </w:rPr>
        <w:t>16</w:t>
      </w:r>
      <w:r w:rsidRPr="00820F7A">
        <w:rPr>
          <w:color w:val="000000"/>
          <w:lang w:val="en-GB"/>
        </w:rPr>
        <w:t>(9), p.3603.</w:t>
      </w:r>
    </w:p>
    <w:p w14:paraId="58C1A40E"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Huang, C.H., Wu, H.H., Lee, Y.C. and Li, X., (2024). The critical role of leadership in patient safety culture: a mediation analysis of management influence on safety factors. </w:t>
      </w:r>
      <w:r w:rsidRPr="00820F7A">
        <w:rPr>
          <w:i/>
          <w:iCs/>
          <w:color w:val="000000"/>
          <w:lang w:val="en-GB"/>
        </w:rPr>
        <w:t>Risk management and healthcare policy</w:t>
      </w:r>
      <w:r w:rsidRPr="00820F7A">
        <w:rPr>
          <w:color w:val="000000"/>
          <w:lang w:val="en-GB"/>
        </w:rPr>
        <w:t>, pp.513-523.</w:t>
      </w:r>
    </w:p>
    <w:p w14:paraId="17BF94A4"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Kirkpatrick, I., Altanlar, A. and Veronesi, G., (2024). Doctors in leadership roles: consequences for quality and safety. </w:t>
      </w:r>
      <w:r w:rsidRPr="00820F7A">
        <w:rPr>
          <w:i/>
          <w:iCs/>
          <w:color w:val="000000"/>
          <w:lang w:val="en-GB"/>
        </w:rPr>
        <w:t>Public Money &amp; Management</w:t>
      </w:r>
      <w:r w:rsidRPr="00820F7A">
        <w:rPr>
          <w:color w:val="000000"/>
          <w:lang w:val="en-GB"/>
        </w:rPr>
        <w:t xml:space="preserve">, </w:t>
      </w:r>
      <w:r w:rsidRPr="00820F7A">
        <w:rPr>
          <w:i/>
          <w:iCs/>
          <w:color w:val="000000"/>
          <w:lang w:val="en-GB"/>
        </w:rPr>
        <w:t>44</w:t>
      </w:r>
      <w:r w:rsidRPr="00820F7A">
        <w:rPr>
          <w:color w:val="000000"/>
          <w:lang w:val="en-GB"/>
        </w:rPr>
        <w:t xml:space="preserve">(6), pp.515-522. </w:t>
      </w:r>
    </w:p>
    <w:p w14:paraId="2BB60C1B"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Kludacz-Alessandri, M., Hawrysz, L., Żak, K. and Zhang, W., (2025). The impact of digital transformational leadership on digital intensity among primary healthcare entities: a moderated mediation model. </w:t>
      </w:r>
      <w:r w:rsidRPr="00820F7A">
        <w:rPr>
          <w:i/>
          <w:iCs/>
          <w:color w:val="000000"/>
          <w:lang w:val="en-GB"/>
        </w:rPr>
        <w:t>BMC Health Services Research</w:t>
      </w:r>
      <w:r w:rsidRPr="00820F7A">
        <w:rPr>
          <w:color w:val="000000"/>
          <w:lang w:val="en-GB"/>
        </w:rPr>
        <w:t xml:space="preserve">, </w:t>
      </w:r>
      <w:r w:rsidRPr="00820F7A">
        <w:rPr>
          <w:i/>
          <w:iCs/>
          <w:color w:val="000000"/>
          <w:lang w:val="en-GB"/>
        </w:rPr>
        <w:t>25</w:t>
      </w:r>
      <w:r w:rsidRPr="00820F7A">
        <w:rPr>
          <w:color w:val="000000"/>
          <w:lang w:val="en-GB"/>
        </w:rPr>
        <w:t>(1), p.117.</w:t>
      </w:r>
    </w:p>
    <w:p w14:paraId="01FB27F4"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Kwary, M.M.I., Kusumapradja, R. and Mulyani, E.Y., (2025). The Role of Clinical Leadership and Work Engagement in Improving Patient Safety Culture: Interprofessional Collaboration Mediator at Emhaka Hospital. </w:t>
      </w:r>
      <w:r w:rsidRPr="00820F7A">
        <w:rPr>
          <w:i/>
          <w:iCs/>
          <w:color w:val="000000"/>
          <w:lang w:val="en-GB"/>
        </w:rPr>
        <w:t>Jurnal Cinta Nusantara (JCN)</w:t>
      </w:r>
      <w:r w:rsidRPr="00820F7A">
        <w:rPr>
          <w:color w:val="000000"/>
          <w:lang w:val="en-GB"/>
        </w:rPr>
        <w:t xml:space="preserve">, </w:t>
      </w:r>
      <w:r w:rsidRPr="00820F7A">
        <w:rPr>
          <w:i/>
          <w:iCs/>
          <w:color w:val="000000"/>
          <w:lang w:val="en-GB"/>
        </w:rPr>
        <w:t>3</w:t>
      </w:r>
      <w:r w:rsidRPr="00820F7A">
        <w:rPr>
          <w:color w:val="000000"/>
          <w:lang w:val="en-GB"/>
        </w:rPr>
        <w:t>(2), pp.48-62.</w:t>
      </w:r>
    </w:p>
    <w:p w14:paraId="1B385B56"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Laaksonen, R., Burch, A.R., Lass, J., McCarthy, S., Howlett, M. and Silvari, V., (2025). Patient safety culture and medication safety in European intensive care units: a focus group study. </w:t>
      </w:r>
      <w:r w:rsidRPr="00820F7A">
        <w:rPr>
          <w:i/>
          <w:iCs/>
          <w:color w:val="000000"/>
          <w:lang w:val="en-GB"/>
        </w:rPr>
        <w:t>European Journal of Hospital Pharmacy</w:t>
      </w:r>
      <w:r w:rsidRPr="00820F7A">
        <w:rPr>
          <w:color w:val="000000"/>
          <w:lang w:val="en-GB"/>
        </w:rPr>
        <w:t xml:space="preserve">, </w:t>
      </w:r>
      <w:r w:rsidRPr="00820F7A">
        <w:rPr>
          <w:i/>
          <w:iCs/>
          <w:color w:val="000000"/>
          <w:lang w:val="en-GB"/>
        </w:rPr>
        <w:t>32</w:t>
      </w:r>
      <w:r w:rsidRPr="00820F7A">
        <w:rPr>
          <w:color w:val="000000"/>
          <w:lang w:val="en-GB"/>
        </w:rPr>
        <w:t xml:space="preserve">(3), pp.209-219. </w:t>
      </w:r>
    </w:p>
    <w:p w14:paraId="5C14C5B7"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Lamming, L., Montague, J., Crosswaite, K., Faisal, M., McDonach, E., Mohammed, M.A., Cracknell, A., Lovatt, A. and Slater, B., (2021). Fidelity and the impact of patient safety huddles on teamwork and safety culture: an evaluation of the Huddle Up for Safer Healthcare (HUSH) project. </w:t>
      </w:r>
      <w:r w:rsidRPr="00820F7A">
        <w:rPr>
          <w:i/>
          <w:iCs/>
          <w:color w:val="000000"/>
          <w:lang w:val="en-GB"/>
        </w:rPr>
        <w:t>BMC health services research</w:t>
      </w:r>
      <w:r w:rsidRPr="00820F7A">
        <w:rPr>
          <w:color w:val="000000"/>
          <w:lang w:val="en-GB"/>
        </w:rPr>
        <w:t xml:space="preserve">, </w:t>
      </w:r>
      <w:r w:rsidRPr="00820F7A">
        <w:rPr>
          <w:i/>
          <w:iCs/>
          <w:color w:val="000000"/>
          <w:lang w:val="en-GB"/>
        </w:rPr>
        <w:t>21</w:t>
      </w:r>
      <w:r w:rsidRPr="00820F7A">
        <w:rPr>
          <w:color w:val="000000"/>
          <w:lang w:val="en-GB"/>
        </w:rPr>
        <w:t>(1), p.1038.</w:t>
      </w:r>
    </w:p>
    <w:p w14:paraId="23F1D54C"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Leape, L.L., (2021). </w:t>
      </w:r>
      <w:r w:rsidRPr="00820F7A">
        <w:rPr>
          <w:i/>
          <w:iCs/>
          <w:color w:val="000000"/>
          <w:lang w:val="en-GB"/>
        </w:rPr>
        <w:t>Making healthcare safe: the story of the patient safety movement</w:t>
      </w:r>
      <w:r w:rsidRPr="00820F7A">
        <w:rPr>
          <w:color w:val="000000"/>
          <w:lang w:val="en-GB"/>
        </w:rPr>
        <w:t xml:space="preserve"> (p. 450). </w:t>
      </w:r>
    </w:p>
    <w:p w14:paraId="0F9099F5"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Linnik, L., Sepp, J. and Reinhold, K., (2023). Enhancing Patient Safety Through Leadership: A Comprehensive Literature Review on the Role of Head Nurses in Hospital Settings. </w:t>
      </w:r>
      <w:r w:rsidRPr="00820F7A">
        <w:rPr>
          <w:i/>
          <w:iCs/>
          <w:color w:val="000000"/>
          <w:lang w:val="en-GB"/>
        </w:rPr>
        <w:t>Economics and Business</w:t>
      </w:r>
      <w:r w:rsidRPr="00820F7A">
        <w:rPr>
          <w:color w:val="000000"/>
          <w:lang w:val="en-GB"/>
        </w:rPr>
        <w:t xml:space="preserve">, </w:t>
      </w:r>
      <w:r w:rsidRPr="00820F7A">
        <w:rPr>
          <w:i/>
          <w:iCs/>
          <w:color w:val="000000"/>
          <w:lang w:val="en-GB"/>
        </w:rPr>
        <w:t>37</w:t>
      </w:r>
      <w:r w:rsidRPr="00820F7A">
        <w:rPr>
          <w:color w:val="000000"/>
          <w:lang w:val="en-GB"/>
        </w:rPr>
        <w:t xml:space="preserve">, pp.220-235. </w:t>
      </w:r>
    </w:p>
    <w:p w14:paraId="396EFB36"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Liston, E., O’Connor, E. and Ward, M.E., (2023), December. Exploring Safety Culture in the ICU of a large Acute Teaching Hospital through triangulating different data sources. In </w:t>
      </w:r>
      <w:r w:rsidRPr="00820F7A">
        <w:rPr>
          <w:i/>
          <w:iCs/>
          <w:color w:val="000000"/>
          <w:lang w:val="en-GB"/>
        </w:rPr>
        <w:t>Healthcare</w:t>
      </w:r>
      <w:r w:rsidRPr="00820F7A">
        <w:rPr>
          <w:color w:val="000000"/>
          <w:lang w:val="en-GB"/>
        </w:rPr>
        <w:t xml:space="preserve"> (Vol. 11, No. 23, p. 3095). MDPI. </w:t>
      </w:r>
    </w:p>
    <w:p w14:paraId="71A80AB9"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Lockhart, A., Walker, T. and Bowles, K.A., (2025). A qualitative study on the relationship between leadership and clinical skills in paramedicine and the promotion of patient safety. </w:t>
      </w:r>
      <w:r w:rsidRPr="00820F7A">
        <w:rPr>
          <w:i/>
          <w:iCs/>
          <w:color w:val="000000"/>
          <w:lang w:val="en-GB"/>
        </w:rPr>
        <w:t>Paramedicine</w:t>
      </w:r>
      <w:r w:rsidRPr="00820F7A">
        <w:rPr>
          <w:color w:val="000000"/>
          <w:lang w:val="en-GB"/>
        </w:rPr>
        <w:t xml:space="preserve">, </w:t>
      </w:r>
      <w:r w:rsidRPr="00820F7A">
        <w:rPr>
          <w:i/>
          <w:iCs/>
          <w:color w:val="000000"/>
          <w:lang w:val="en-GB"/>
        </w:rPr>
        <w:t>22</w:t>
      </w:r>
      <w:r w:rsidRPr="00820F7A">
        <w:rPr>
          <w:color w:val="000000"/>
          <w:lang w:val="en-GB"/>
        </w:rPr>
        <w:t>(1), pp.6-18.</w:t>
      </w:r>
    </w:p>
    <w:p w14:paraId="56B05FAE"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Manalayil, J., Kouranloo, K. and Horne, L., (2021). “Incident Teaching (IT)” Lecture Series–Incorporating Education Surrounding Clinical Incidents and Complaints into Foundation Year 1 (FY1) Doctors’ Induction. </w:t>
      </w:r>
      <w:r w:rsidRPr="00820F7A">
        <w:rPr>
          <w:i/>
          <w:iCs/>
          <w:color w:val="000000"/>
          <w:lang w:val="en-GB"/>
        </w:rPr>
        <w:t>Journal of European CME</w:t>
      </w:r>
      <w:r w:rsidRPr="00820F7A">
        <w:rPr>
          <w:color w:val="000000"/>
          <w:lang w:val="en-GB"/>
        </w:rPr>
        <w:t xml:space="preserve">, </w:t>
      </w:r>
      <w:r w:rsidRPr="00820F7A">
        <w:rPr>
          <w:i/>
          <w:iCs/>
          <w:color w:val="000000"/>
          <w:lang w:val="en-GB"/>
        </w:rPr>
        <w:t>10</w:t>
      </w:r>
      <w:r w:rsidRPr="00820F7A">
        <w:rPr>
          <w:color w:val="000000"/>
          <w:lang w:val="en-GB"/>
        </w:rPr>
        <w:t>(1), p.1874643.</w:t>
      </w:r>
    </w:p>
    <w:p w14:paraId="47537572"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Mandizha, J., Crook, C., Lanario, J., Davies, R., Duckworth, A., Howard, A.P., Lines, S., Gibbons, M., Scotton, C. and Russell, A.M., (2025). Modification of the Rheumatoid Arthritis (RA) Patient Reported Experience Measure (PREM) for patients with Interstitial Lung Disease (ILD). </w:t>
      </w:r>
      <w:r w:rsidRPr="00820F7A">
        <w:rPr>
          <w:i/>
          <w:iCs/>
          <w:color w:val="000000"/>
          <w:lang w:val="en-GB"/>
        </w:rPr>
        <w:t>medRxiv</w:t>
      </w:r>
      <w:r w:rsidRPr="00820F7A">
        <w:rPr>
          <w:color w:val="000000"/>
          <w:lang w:val="en-GB"/>
        </w:rPr>
        <w:t>, pp.2025-04.</w:t>
      </w:r>
    </w:p>
    <w:p w14:paraId="67CD6B15"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McHale, J., (2023). Choosing home: discharge to assess and the Health and Care Act 2022. </w:t>
      </w:r>
      <w:r w:rsidRPr="00820F7A">
        <w:rPr>
          <w:i/>
          <w:iCs/>
          <w:color w:val="000000"/>
          <w:lang w:val="en-GB"/>
        </w:rPr>
        <w:t>N. Ir. Legal Q.</w:t>
      </w:r>
      <w:r w:rsidRPr="00820F7A">
        <w:rPr>
          <w:color w:val="000000"/>
          <w:lang w:val="en-GB"/>
        </w:rPr>
        <w:t xml:space="preserve">, </w:t>
      </w:r>
      <w:r w:rsidRPr="00820F7A">
        <w:rPr>
          <w:i/>
          <w:iCs/>
          <w:color w:val="000000"/>
          <w:lang w:val="en-GB"/>
        </w:rPr>
        <w:t>74</w:t>
      </w:r>
      <w:r w:rsidRPr="00820F7A">
        <w:rPr>
          <w:color w:val="000000"/>
          <w:lang w:val="en-GB"/>
        </w:rPr>
        <w:t xml:space="preserve">, p.713. </w:t>
      </w:r>
    </w:p>
    <w:p w14:paraId="4E91E835" w14:textId="77777777" w:rsidR="00826870" w:rsidRPr="00820F7A" w:rsidRDefault="00B21388">
      <w:pPr>
        <w:pStyle w:val="Normal1"/>
        <w:pBdr>
          <w:top w:val="nil"/>
          <w:left w:val="nil"/>
          <w:bottom w:val="nil"/>
          <w:right w:val="nil"/>
          <w:between w:val="nil"/>
        </w:pBdr>
        <w:spacing w:before="240" w:after="240"/>
        <w:rPr>
          <w:color w:val="000000"/>
          <w:sz w:val="24"/>
          <w:szCs w:val="24"/>
          <w:lang w:val="en-GB"/>
        </w:rPr>
      </w:pPr>
      <w:r w:rsidRPr="00820F7A">
        <w:rPr>
          <w:color w:val="000000"/>
          <w:sz w:val="24"/>
          <w:szCs w:val="24"/>
          <w:lang w:val="en-GB"/>
        </w:rPr>
        <w:t xml:space="preserve">Mistri, I.U., Badge, A. and Shahu, S., (2023). Enhancing patient safety culture in hospitals. </w:t>
      </w:r>
      <w:r w:rsidRPr="00820F7A">
        <w:rPr>
          <w:i/>
          <w:iCs/>
          <w:color w:val="000000"/>
          <w:sz w:val="24"/>
          <w:szCs w:val="24"/>
          <w:lang w:val="en-GB"/>
        </w:rPr>
        <w:t>Cureus</w:t>
      </w:r>
      <w:r w:rsidRPr="00820F7A">
        <w:rPr>
          <w:color w:val="000000"/>
          <w:sz w:val="24"/>
          <w:szCs w:val="24"/>
          <w:lang w:val="en-GB"/>
        </w:rPr>
        <w:t xml:space="preserve">, </w:t>
      </w:r>
      <w:r w:rsidRPr="00820F7A">
        <w:rPr>
          <w:i/>
          <w:iCs/>
          <w:color w:val="000000"/>
          <w:sz w:val="24"/>
          <w:szCs w:val="24"/>
          <w:lang w:val="en-GB"/>
        </w:rPr>
        <w:t>15</w:t>
      </w:r>
      <w:r w:rsidRPr="00820F7A">
        <w:rPr>
          <w:color w:val="000000"/>
          <w:sz w:val="24"/>
          <w:szCs w:val="24"/>
          <w:lang w:val="en-GB"/>
        </w:rPr>
        <w:t xml:space="preserve">(12). </w:t>
      </w:r>
    </w:p>
    <w:p w14:paraId="4E862274"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Moradi, A., Hashemi, S., Sadeghi, H. and Jafari-Oori, M., (2025). Exploring facilitators and barriers faced by PhD nursing faculty in clinical settings: a qualitative content analysis. </w:t>
      </w:r>
      <w:r w:rsidRPr="00820F7A">
        <w:rPr>
          <w:i/>
          <w:iCs/>
          <w:color w:val="000000"/>
          <w:lang w:val="en-GB"/>
        </w:rPr>
        <w:t>BMC nursing</w:t>
      </w:r>
      <w:r w:rsidRPr="00820F7A">
        <w:rPr>
          <w:color w:val="000000"/>
          <w:lang w:val="en-GB"/>
        </w:rPr>
        <w:t xml:space="preserve">, </w:t>
      </w:r>
      <w:r w:rsidRPr="00820F7A">
        <w:rPr>
          <w:i/>
          <w:iCs/>
          <w:color w:val="000000"/>
          <w:lang w:val="en-GB"/>
        </w:rPr>
        <w:t>24</w:t>
      </w:r>
      <w:r w:rsidRPr="00820F7A">
        <w:rPr>
          <w:color w:val="000000"/>
          <w:lang w:val="en-GB"/>
        </w:rPr>
        <w:t xml:space="preserve">(1), p.250. </w:t>
      </w:r>
    </w:p>
    <w:p w14:paraId="0AE496E2" w14:textId="77777777" w:rsidR="00826870" w:rsidRPr="00820F7A" w:rsidRDefault="00B21388">
      <w:pPr>
        <w:pStyle w:val="Normal1"/>
        <w:pBdr>
          <w:top w:val="nil"/>
          <w:left w:val="nil"/>
          <w:bottom w:val="nil"/>
          <w:right w:val="nil"/>
          <w:between w:val="nil"/>
        </w:pBdr>
        <w:spacing w:before="240"/>
        <w:rPr>
          <w:color w:val="000000"/>
          <w:lang w:val="en-GB"/>
        </w:rPr>
      </w:pPr>
      <w:r w:rsidRPr="00820F7A">
        <w:rPr>
          <w:color w:val="000000"/>
          <w:lang w:val="en-GB"/>
        </w:rPr>
        <w:t>Nazir, M.A., Gautam, S. and Zhu, X., (2025). Transforming Care in the United Kingdom: How Leadership and Culture Drive Healthcare Professionals’ Engagement and Performance in the NHS.</w:t>
      </w:r>
    </w:p>
    <w:p w14:paraId="7E7D0E4D"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Padmanabhan, V., Islam, M.S., Rahman, M.M., Chaitanya, N.C. and Sivan, P.P., (2024). Understanding patient safety in dentistry: evaluating the present and envisioning the future—a narrative review. </w:t>
      </w:r>
      <w:r w:rsidRPr="00820F7A">
        <w:rPr>
          <w:i/>
          <w:iCs/>
          <w:color w:val="000000"/>
          <w:lang w:val="en-GB"/>
        </w:rPr>
        <w:t>BMJ Open Quality</w:t>
      </w:r>
      <w:r w:rsidRPr="00820F7A">
        <w:rPr>
          <w:color w:val="000000"/>
          <w:lang w:val="en-GB"/>
        </w:rPr>
        <w:t xml:space="preserve">, </w:t>
      </w:r>
      <w:r w:rsidRPr="00820F7A">
        <w:rPr>
          <w:i/>
          <w:iCs/>
          <w:color w:val="000000"/>
          <w:lang w:val="en-GB"/>
        </w:rPr>
        <w:t>13</w:t>
      </w:r>
      <w:r w:rsidRPr="00820F7A">
        <w:rPr>
          <w:color w:val="000000"/>
          <w:lang w:val="en-GB"/>
        </w:rPr>
        <w:t>(Suppl 2).</w:t>
      </w:r>
    </w:p>
    <w:p w14:paraId="1E9A94A3"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Pozzobon, L., Le, B., Robinson, S., Heggie, J. and Al-Awamer, A., (2025). 247 Breaking barriers to speaking up for safety: a leadership toolkit to foster a culture of communication openness.</w:t>
      </w:r>
    </w:p>
    <w:p w14:paraId="2B450403"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Qadid, M., (2025). Impact of Leadership on Enhancing Patient Care in Physiotherapy: a Systematic Review. </w:t>
      </w:r>
      <w:r w:rsidRPr="00820F7A">
        <w:rPr>
          <w:i/>
          <w:iCs/>
          <w:color w:val="000000"/>
          <w:lang w:val="en-GB"/>
        </w:rPr>
        <w:t>PhysioPlus Open</w:t>
      </w:r>
      <w:r w:rsidRPr="00820F7A">
        <w:rPr>
          <w:color w:val="000000"/>
          <w:lang w:val="en-GB"/>
        </w:rPr>
        <w:t xml:space="preserve">, </w:t>
      </w:r>
      <w:r w:rsidRPr="00820F7A">
        <w:rPr>
          <w:i/>
          <w:iCs/>
          <w:color w:val="000000"/>
          <w:lang w:val="en-GB"/>
        </w:rPr>
        <w:t>2</w:t>
      </w:r>
      <w:r w:rsidRPr="00820F7A">
        <w:rPr>
          <w:color w:val="000000"/>
          <w:lang w:val="en-GB"/>
        </w:rPr>
        <w:t>(1), pp.45-56.</w:t>
      </w:r>
    </w:p>
    <w:p w14:paraId="11B7B5EB" w14:textId="77777777" w:rsidR="00826870" w:rsidRPr="00820F7A" w:rsidRDefault="00B21388">
      <w:pPr>
        <w:pStyle w:val="Normal1"/>
        <w:pBdr>
          <w:top w:val="nil"/>
          <w:left w:val="nil"/>
          <w:bottom w:val="nil"/>
          <w:right w:val="nil"/>
          <w:between w:val="nil"/>
        </w:pBdr>
        <w:spacing w:before="240"/>
        <w:rPr>
          <w:color w:val="000000"/>
          <w:lang w:val="en-GB"/>
        </w:rPr>
      </w:pPr>
      <w:r w:rsidRPr="00820F7A">
        <w:rPr>
          <w:color w:val="000000"/>
          <w:lang w:val="en-GB"/>
        </w:rPr>
        <w:t>Ramdas, S., Bhowmik, M., Kumar, C.N., Sthul, S., Patel, P.B., Hodade, D. and Shende, C.N., (2024). Leadership styles and their impact on health system performance: A comparative analysis. South Eastern European Journal of Public Health, 76, pp.76-89.</w:t>
      </w:r>
    </w:p>
    <w:p w14:paraId="4FCAAF25" w14:textId="77777777" w:rsidR="00826870" w:rsidRPr="00820F7A" w:rsidRDefault="00B21388">
      <w:pPr>
        <w:pStyle w:val="Normal1"/>
        <w:pBdr>
          <w:top w:val="nil"/>
          <w:left w:val="nil"/>
          <w:bottom w:val="nil"/>
          <w:right w:val="nil"/>
          <w:between w:val="nil"/>
        </w:pBdr>
        <w:spacing w:before="240"/>
        <w:rPr>
          <w:color w:val="000000"/>
          <w:highlight w:val="white"/>
          <w:lang w:val="en-GB"/>
        </w:rPr>
      </w:pPr>
      <w:r w:rsidRPr="00820F7A">
        <w:rPr>
          <w:color w:val="000000"/>
          <w:highlight w:val="white"/>
          <w:lang w:val="en-GB"/>
        </w:rPr>
        <w:t>Rostami-Tabar, B., Greene, T., Shmueli, G. and Hyndman, R.J., (2024). Good intentions, unintended consequences: exploring forecasting harms. </w:t>
      </w:r>
      <w:r w:rsidRPr="00820F7A">
        <w:rPr>
          <w:i/>
          <w:iCs/>
          <w:color w:val="000000"/>
          <w:highlight w:val="white"/>
          <w:lang w:val="en-GB"/>
        </w:rPr>
        <w:t>arXiv preprint arXiv:2411.16531</w:t>
      </w:r>
      <w:r w:rsidRPr="00820F7A">
        <w:rPr>
          <w:color w:val="000000"/>
          <w:highlight w:val="white"/>
          <w:lang w:val="en-GB"/>
        </w:rPr>
        <w:t>.</w:t>
      </w:r>
    </w:p>
    <w:p w14:paraId="2DADEFD1"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Tania, T., Mustikawati, I.S. and Indrawati, R., (2025). The Influence Of Clinical Leadership And Self-Efficacy On Patient Safety Culture With Work Engagement As An Intervening Variable In Inpatient Nurses At X Hospital. </w:t>
      </w:r>
      <w:r w:rsidRPr="00820F7A">
        <w:rPr>
          <w:i/>
          <w:iCs/>
          <w:color w:val="000000"/>
          <w:lang w:val="en-GB"/>
        </w:rPr>
        <w:t>Vitalitas Medis: Jurnal Kesehatan dan Kedokteran</w:t>
      </w:r>
      <w:r w:rsidRPr="00820F7A">
        <w:rPr>
          <w:color w:val="000000"/>
          <w:lang w:val="en-GB"/>
        </w:rPr>
        <w:t xml:space="preserve">, </w:t>
      </w:r>
      <w:r w:rsidRPr="00820F7A">
        <w:rPr>
          <w:i/>
          <w:iCs/>
          <w:color w:val="000000"/>
          <w:lang w:val="en-GB"/>
        </w:rPr>
        <w:t>2</w:t>
      </w:r>
      <w:r w:rsidRPr="00820F7A">
        <w:rPr>
          <w:color w:val="000000"/>
          <w:lang w:val="en-GB"/>
        </w:rPr>
        <w:t xml:space="preserve">(2), pp.170-193. </w:t>
      </w:r>
    </w:p>
    <w:p w14:paraId="04D5E272"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Tocco Tussardi, I., Moretti, F., Capasso, M., Niero, V., Visentin, D., Dalla Barba, L. and Tardivo, S., (2022). Improving the culture of safety among healthcare workers: Integration of different instruments to gain major insights and drive effective changes. </w:t>
      </w:r>
      <w:r w:rsidRPr="00820F7A">
        <w:rPr>
          <w:i/>
          <w:iCs/>
          <w:color w:val="000000"/>
          <w:lang w:val="en-GB"/>
        </w:rPr>
        <w:t>The International journal of health planning and management</w:t>
      </w:r>
      <w:r w:rsidRPr="00820F7A">
        <w:rPr>
          <w:color w:val="000000"/>
          <w:lang w:val="en-GB"/>
        </w:rPr>
        <w:t xml:space="preserve">, </w:t>
      </w:r>
      <w:r w:rsidRPr="00820F7A">
        <w:rPr>
          <w:i/>
          <w:iCs/>
          <w:color w:val="000000"/>
          <w:lang w:val="en-GB"/>
        </w:rPr>
        <w:t>37</w:t>
      </w:r>
      <w:r w:rsidRPr="00820F7A">
        <w:rPr>
          <w:color w:val="000000"/>
          <w:lang w:val="en-GB"/>
        </w:rPr>
        <w:t xml:space="preserve">(1), pp.429-451. </w:t>
      </w:r>
    </w:p>
    <w:p w14:paraId="1C5CE7C3" w14:textId="77777777" w:rsidR="00826870" w:rsidRPr="00820F7A" w:rsidRDefault="00B21388">
      <w:pPr>
        <w:pStyle w:val="Normal1"/>
        <w:pBdr>
          <w:top w:val="nil"/>
          <w:left w:val="nil"/>
          <w:bottom w:val="nil"/>
          <w:right w:val="nil"/>
          <w:between w:val="nil"/>
        </w:pBdr>
        <w:spacing w:before="240"/>
        <w:rPr>
          <w:color w:val="000000"/>
          <w:lang w:val="en-GB"/>
        </w:rPr>
      </w:pPr>
      <w:r w:rsidRPr="00820F7A">
        <w:rPr>
          <w:color w:val="000000"/>
          <w:lang w:val="en-GB"/>
        </w:rPr>
        <w:t xml:space="preserve">Torabi, M., Afshari, A., Salimi, R. and Khazaei, A., (2025). Leveling of triggers: a comprehensive summative content analysis of factors contributing to physical violence in emergency medical services. </w:t>
      </w:r>
      <w:r w:rsidRPr="00820F7A">
        <w:rPr>
          <w:i/>
          <w:iCs/>
          <w:color w:val="000000"/>
          <w:lang w:val="en-GB"/>
        </w:rPr>
        <w:t>BMC Emergency Medicine</w:t>
      </w:r>
      <w:r w:rsidRPr="00820F7A">
        <w:rPr>
          <w:color w:val="000000"/>
          <w:lang w:val="en-GB"/>
        </w:rPr>
        <w:t>, 25(1), p.22.</w:t>
      </w:r>
    </w:p>
    <w:p w14:paraId="3333EE18"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Vamadevan, A., Vijayan, V., Jayasudha, K., Varghese, S., Eboh, O., Karthikeyan, A., Cole, C. and Walker, L., (2025). Challenges to nursing leadership in research and academia in the UK: A systematic narrative review. </w:t>
      </w:r>
      <w:r w:rsidRPr="00820F7A">
        <w:rPr>
          <w:i/>
          <w:iCs/>
          <w:color w:val="000000"/>
          <w:lang w:val="en-GB"/>
        </w:rPr>
        <w:t>International Journal of Nursing Studies Advances</w:t>
      </w:r>
      <w:r w:rsidRPr="00820F7A">
        <w:rPr>
          <w:color w:val="000000"/>
          <w:lang w:val="en-GB"/>
        </w:rPr>
        <w:t xml:space="preserve">, p.100411. </w:t>
      </w:r>
    </w:p>
    <w:p w14:paraId="6A41E8C8"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Wood, D.P., Nathan, R., Robinson, C.A. and McPhillips, R., (2024). The art of the possible? Supporting a patient safety culture in mental healthcare to maximise safety. </w:t>
      </w:r>
      <w:r w:rsidRPr="00820F7A">
        <w:rPr>
          <w:i/>
          <w:iCs/>
          <w:color w:val="000000"/>
          <w:lang w:val="en-GB"/>
        </w:rPr>
        <w:t>Mental Health Review Journal</w:t>
      </w:r>
      <w:r w:rsidRPr="00820F7A">
        <w:rPr>
          <w:color w:val="000000"/>
          <w:lang w:val="en-GB"/>
        </w:rPr>
        <w:t xml:space="preserve">, </w:t>
      </w:r>
      <w:r w:rsidRPr="00820F7A">
        <w:rPr>
          <w:i/>
          <w:iCs/>
          <w:color w:val="000000"/>
          <w:lang w:val="en-GB"/>
        </w:rPr>
        <w:t>29</w:t>
      </w:r>
      <w:r w:rsidRPr="00820F7A">
        <w:rPr>
          <w:color w:val="000000"/>
          <w:lang w:val="en-GB"/>
        </w:rPr>
        <w:t xml:space="preserve">(1), pp.19-33. </w:t>
      </w:r>
    </w:p>
    <w:p w14:paraId="7D8C273B"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Woodhead, C., Onwumere, J., Rhead, R., Bora-White, M., Chui, Z., Clifford, N., Connor, L., Gunasinghe, C., Harwood, H., Meriez, P. and Mir, G., (2022). Race, ethnicity and COVID-19 vaccination: a qualitative study of UK healthcare staff. </w:t>
      </w:r>
      <w:r w:rsidRPr="00820F7A">
        <w:rPr>
          <w:i/>
          <w:iCs/>
          <w:color w:val="000000"/>
          <w:lang w:val="en-GB"/>
        </w:rPr>
        <w:t>Ethnicity &amp; health</w:t>
      </w:r>
      <w:r w:rsidRPr="00820F7A">
        <w:rPr>
          <w:color w:val="000000"/>
          <w:lang w:val="en-GB"/>
        </w:rPr>
        <w:t xml:space="preserve">, </w:t>
      </w:r>
      <w:r w:rsidRPr="00820F7A">
        <w:rPr>
          <w:i/>
          <w:iCs/>
          <w:color w:val="000000"/>
          <w:lang w:val="en-GB"/>
        </w:rPr>
        <w:t>27</w:t>
      </w:r>
      <w:r w:rsidRPr="00820F7A">
        <w:rPr>
          <w:color w:val="000000"/>
          <w:lang w:val="en-GB"/>
        </w:rPr>
        <w:t>(7), pp.1555-1574.</w:t>
      </w:r>
    </w:p>
    <w:p w14:paraId="04C9F5D4" w14:textId="77777777" w:rsidR="00826870" w:rsidRPr="00820F7A" w:rsidRDefault="00B21388">
      <w:pPr>
        <w:pStyle w:val="Normal1"/>
        <w:pBdr>
          <w:top w:val="nil"/>
          <w:left w:val="nil"/>
          <w:bottom w:val="nil"/>
          <w:right w:val="nil"/>
          <w:between w:val="nil"/>
        </w:pBdr>
        <w:spacing w:before="240" w:after="240"/>
        <w:rPr>
          <w:b/>
          <w:bCs/>
          <w:color w:val="000000"/>
          <w:lang w:val="en-GB"/>
        </w:rPr>
      </w:pPr>
      <w:r w:rsidRPr="00820F7A">
        <w:rPr>
          <w:b/>
          <w:bCs/>
          <w:color w:val="000000"/>
          <w:lang w:val="en-GB"/>
        </w:rPr>
        <w:t>Chapter 3</w:t>
      </w:r>
    </w:p>
    <w:p w14:paraId="52E86F00"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Camanni, G., Ciccone, O., Lepri, A., Tinarelli, C., Bedetti, C., Cicuttin, S., Murgia, N. and Elisei, S., (2023). ‘Being disabled’as an exclusion criterion for clinical trials: a scoping review. </w:t>
      </w:r>
      <w:r w:rsidRPr="00820F7A">
        <w:rPr>
          <w:i/>
          <w:iCs/>
          <w:color w:val="000000"/>
          <w:lang w:val="en-GB"/>
        </w:rPr>
        <w:t>BMJ Global Health</w:t>
      </w:r>
      <w:r w:rsidRPr="00820F7A">
        <w:rPr>
          <w:color w:val="000000"/>
          <w:lang w:val="en-GB"/>
        </w:rPr>
        <w:t xml:space="preserve">, </w:t>
      </w:r>
      <w:r w:rsidRPr="00820F7A">
        <w:rPr>
          <w:i/>
          <w:iCs/>
          <w:color w:val="000000"/>
          <w:lang w:val="en-GB"/>
        </w:rPr>
        <w:t>8</w:t>
      </w:r>
      <w:r w:rsidRPr="00820F7A">
        <w:rPr>
          <w:color w:val="000000"/>
          <w:lang w:val="en-GB"/>
        </w:rPr>
        <w:t>(11).</w:t>
      </w:r>
    </w:p>
    <w:p w14:paraId="39F73A8D"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Chikada, A., Takenouchi, S., Nin, K. and Mori, M., (2021) ‘Definition and recommended cultural considerations for advance care planning in Japan: a systematic review.’ </w:t>
      </w:r>
      <w:r w:rsidRPr="00820F7A">
        <w:rPr>
          <w:i/>
          <w:iCs/>
          <w:color w:val="000000"/>
          <w:lang w:val="en-GB"/>
        </w:rPr>
        <w:t>Asia-Pacific Journal of Oncology Nursing</w:t>
      </w:r>
      <w:r w:rsidRPr="00820F7A">
        <w:rPr>
          <w:color w:val="000000"/>
          <w:lang w:val="en-GB"/>
        </w:rPr>
        <w:t xml:space="preserve">, </w:t>
      </w:r>
      <w:r w:rsidRPr="00820F7A">
        <w:rPr>
          <w:i/>
          <w:iCs/>
          <w:color w:val="000000"/>
          <w:lang w:val="en-GB"/>
        </w:rPr>
        <w:t>8</w:t>
      </w:r>
      <w:r w:rsidRPr="00820F7A">
        <w:rPr>
          <w:color w:val="000000"/>
          <w:lang w:val="en-GB"/>
        </w:rPr>
        <w:t xml:space="preserve">(6), pp.628-641. </w:t>
      </w:r>
    </w:p>
    <w:p w14:paraId="5C8E0E1C"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Fekadu, G., Muir, R., Tobiano, G., Bime, A.E., Ireland, M.J. and Marshall, A.P., (2025). Patient safety culture in resource-limited healthcare settings: A multicentre survey. </w:t>
      </w:r>
      <w:r w:rsidRPr="00820F7A">
        <w:rPr>
          <w:i/>
          <w:iCs/>
          <w:color w:val="000000"/>
          <w:lang w:val="en-GB"/>
        </w:rPr>
        <w:t>PLoS One</w:t>
      </w:r>
      <w:r w:rsidRPr="00820F7A">
        <w:rPr>
          <w:color w:val="000000"/>
          <w:lang w:val="en-GB"/>
        </w:rPr>
        <w:t xml:space="preserve">, </w:t>
      </w:r>
      <w:r w:rsidRPr="00820F7A">
        <w:rPr>
          <w:i/>
          <w:iCs/>
          <w:color w:val="000000"/>
          <w:lang w:val="en-GB"/>
        </w:rPr>
        <w:t>20</w:t>
      </w:r>
      <w:r w:rsidRPr="00820F7A">
        <w:rPr>
          <w:color w:val="000000"/>
          <w:lang w:val="en-GB"/>
        </w:rPr>
        <w:t>(6), p.e0326320.</w:t>
      </w:r>
    </w:p>
    <w:p w14:paraId="50C02EAC"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Idrees, M., Kujan, O., Shearston, K. and Farah, C.S., (2021). Oral lichen planus has a very low malignant transformation rate: A systematic review and meta</w:t>
      </w:r>
      <w:r w:rsidRPr="00820F7A">
        <w:rPr>
          <w:rFonts w:ascii="Cambria Math" w:eastAsia="Cambria Math" w:hAnsi="Cambria Math" w:cs="Cambria Math"/>
          <w:color w:val="000000"/>
          <w:lang w:val="en-GB"/>
        </w:rPr>
        <w:t>‐</w:t>
      </w:r>
      <w:r w:rsidRPr="00820F7A">
        <w:rPr>
          <w:color w:val="000000"/>
          <w:lang w:val="en-GB"/>
        </w:rPr>
        <w:t xml:space="preserve">analysis using strict diagnostic and inclusion criteria. </w:t>
      </w:r>
      <w:r w:rsidRPr="00820F7A">
        <w:rPr>
          <w:i/>
          <w:iCs/>
          <w:color w:val="000000"/>
          <w:lang w:val="en-GB"/>
        </w:rPr>
        <w:t>Journal of Oral Pathology &amp; Medicine</w:t>
      </w:r>
      <w:r w:rsidRPr="00820F7A">
        <w:rPr>
          <w:color w:val="000000"/>
          <w:lang w:val="en-GB"/>
        </w:rPr>
        <w:t xml:space="preserve">, </w:t>
      </w:r>
      <w:r w:rsidRPr="00820F7A">
        <w:rPr>
          <w:i/>
          <w:iCs/>
          <w:color w:val="000000"/>
          <w:lang w:val="en-GB"/>
        </w:rPr>
        <w:t>50</w:t>
      </w:r>
      <w:r w:rsidRPr="00820F7A">
        <w:rPr>
          <w:color w:val="000000"/>
          <w:lang w:val="en-GB"/>
        </w:rPr>
        <w:t>(3), pp.287-298.</w:t>
      </w:r>
    </w:p>
    <w:p w14:paraId="77CB68E7"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Khatatbeh, H., Pakai, A., Al</w:t>
      </w:r>
      <w:r w:rsidRPr="00820F7A">
        <w:rPr>
          <w:rFonts w:ascii="Cambria Math" w:eastAsia="Cambria Math" w:hAnsi="Cambria Math" w:cs="Cambria Math"/>
          <w:color w:val="000000"/>
          <w:lang w:val="en-GB"/>
        </w:rPr>
        <w:t>‐</w:t>
      </w:r>
      <w:r w:rsidRPr="00820F7A">
        <w:rPr>
          <w:color w:val="000000"/>
          <w:lang w:val="en-GB"/>
        </w:rPr>
        <w:t xml:space="preserve">Dwaikat, T., Onchonga, D., Amer, F., Prémusz, V. and Oláh, A., (2022). Nurses’ burnout and quality of life: A systematic review and critical analysis of measures used. </w:t>
      </w:r>
      <w:r w:rsidRPr="00820F7A">
        <w:rPr>
          <w:i/>
          <w:iCs/>
          <w:color w:val="000000"/>
          <w:lang w:val="en-GB"/>
        </w:rPr>
        <w:t>Nursing open</w:t>
      </w:r>
      <w:r w:rsidRPr="00820F7A">
        <w:rPr>
          <w:color w:val="000000"/>
          <w:lang w:val="en-GB"/>
        </w:rPr>
        <w:t xml:space="preserve">, </w:t>
      </w:r>
      <w:r w:rsidRPr="00820F7A">
        <w:rPr>
          <w:i/>
          <w:iCs/>
          <w:color w:val="000000"/>
          <w:lang w:val="en-GB"/>
        </w:rPr>
        <w:t>9</w:t>
      </w:r>
      <w:r w:rsidRPr="00820F7A">
        <w:rPr>
          <w:color w:val="000000"/>
          <w:lang w:val="en-GB"/>
        </w:rPr>
        <w:t>(3), pp.1564-1574.</w:t>
      </w:r>
    </w:p>
    <w:p w14:paraId="51845FC0"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Khraisha, Q., Put, S., Kappenberg, J., Warraitch, A. and Hadfield, K., (2024). Can large language models replace humans in systematic reviews? Evaluating GPT</w:t>
      </w:r>
      <w:r w:rsidRPr="00820F7A">
        <w:rPr>
          <w:rFonts w:ascii="Cambria Math" w:eastAsia="Cambria Math" w:hAnsi="Cambria Math" w:cs="Cambria Math"/>
          <w:color w:val="000000"/>
          <w:lang w:val="en-GB"/>
        </w:rPr>
        <w:t>‐</w:t>
      </w:r>
      <w:r w:rsidRPr="00820F7A">
        <w:rPr>
          <w:color w:val="000000"/>
          <w:lang w:val="en-GB"/>
        </w:rPr>
        <w:t>4's efficacy in screening and extracting data from peer</w:t>
      </w:r>
      <w:r w:rsidRPr="00820F7A">
        <w:rPr>
          <w:rFonts w:ascii="Cambria Math" w:eastAsia="Cambria Math" w:hAnsi="Cambria Math" w:cs="Cambria Math"/>
          <w:color w:val="000000"/>
          <w:lang w:val="en-GB"/>
        </w:rPr>
        <w:t>‐</w:t>
      </w:r>
      <w:r w:rsidRPr="00820F7A">
        <w:rPr>
          <w:color w:val="000000"/>
          <w:lang w:val="en-GB"/>
        </w:rPr>
        <w:t xml:space="preserve">reviewed and grey literature in multiple languages. </w:t>
      </w:r>
      <w:r w:rsidRPr="00820F7A">
        <w:rPr>
          <w:i/>
          <w:iCs/>
          <w:color w:val="000000"/>
          <w:lang w:val="en-GB"/>
        </w:rPr>
        <w:t>Research Synthesis Methods</w:t>
      </w:r>
      <w:r w:rsidRPr="00820F7A">
        <w:rPr>
          <w:color w:val="000000"/>
          <w:lang w:val="en-GB"/>
        </w:rPr>
        <w:t xml:space="preserve">, </w:t>
      </w:r>
      <w:r w:rsidRPr="00820F7A">
        <w:rPr>
          <w:i/>
          <w:iCs/>
          <w:color w:val="000000"/>
          <w:lang w:val="en-GB"/>
        </w:rPr>
        <w:t>15</w:t>
      </w:r>
      <w:r w:rsidRPr="00820F7A">
        <w:rPr>
          <w:color w:val="000000"/>
          <w:lang w:val="en-GB"/>
        </w:rPr>
        <w:t>(4), pp.616-626.</w:t>
      </w:r>
    </w:p>
    <w:p w14:paraId="5E5A3013" w14:textId="77777777" w:rsidR="00826870" w:rsidRPr="00820F7A" w:rsidRDefault="00B21388">
      <w:pPr>
        <w:pStyle w:val="Normal1"/>
        <w:pBdr>
          <w:top w:val="nil"/>
          <w:left w:val="nil"/>
          <w:bottom w:val="nil"/>
          <w:right w:val="nil"/>
          <w:between w:val="nil"/>
        </w:pBdr>
        <w:spacing w:before="200"/>
        <w:rPr>
          <w:color w:val="000000"/>
          <w:lang w:val="en-GB"/>
        </w:rPr>
      </w:pPr>
      <w:r w:rsidRPr="00820F7A">
        <w:rPr>
          <w:color w:val="000000"/>
          <w:lang w:val="en-GB"/>
        </w:rPr>
        <w:t xml:space="preserve">Lawler, J. and Waldner, D., (2023). Interpretivism versus positivism in an age of causal inference. </w:t>
      </w:r>
      <w:r w:rsidRPr="00820F7A">
        <w:rPr>
          <w:i/>
          <w:iCs/>
          <w:color w:val="000000"/>
          <w:lang w:val="en-GB"/>
        </w:rPr>
        <w:t>Oxford handbook of philosophy of political Science</w:t>
      </w:r>
      <w:r w:rsidRPr="00820F7A">
        <w:rPr>
          <w:color w:val="000000"/>
          <w:lang w:val="en-GB"/>
        </w:rPr>
        <w:t>, pp.221-242.</w:t>
      </w:r>
    </w:p>
    <w:p w14:paraId="44F33540"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Lockhart, A., Walker, T. and Bowles, K.A., (2025). A qualitative study on the relationship between leadership and clinical skills in paramedicine and the promotion of patient safety. </w:t>
      </w:r>
      <w:r w:rsidRPr="00820F7A">
        <w:rPr>
          <w:i/>
          <w:iCs/>
          <w:color w:val="000000"/>
          <w:lang w:val="en-GB"/>
        </w:rPr>
        <w:t>Paramedicine</w:t>
      </w:r>
      <w:r w:rsidRPr="00820F7A">
        <w:rPr>
          <w:color w:val="000000"/>
          <w:lang w:val="en-GB"/>
        </w:rPr>
        <w:t xml:space="preserve">, </w:t>
      </w:r>
      <w:r w:rsidRPr="00820F7A">
        <w:rPr>
          <w:i/>
          <w:iCs/>
          <w:color w:val="000000"/>
          <w:lang w:val="en-GB"/>
        </w:rPr>
        <w:t>22</w:t>
      </w:r>
      <w:r w:rsidRPr="00820F7A">
        <w:rPr>
          <w:color w:val="000000"/>
          <w:lang w:val="en-GB"/>
        </w:rPr>
        <w:t>(1), pp.6-18.</w:t>
      </w:r>
    </w:p>
    <w:p w14:paraId="414EA4C1" w14:textId="77777777" w:rsidR="00826870" w:rsidRPr="00820F7A" w:rsidRDefault="00B21388">
      <w:pPr>
        <w:pStyle w:val="Normal1"/>
        <w:pBdr>
          <w:top w:val="nil"/>
          <w:left w:val="nil"/>
          <w:bottom w:val="nil"/>
          <w:right w:val="nil"/>
          <w:between w:val="nil"/>
        </w:pBdr>
        <w:spacing w:before="200"/>
        <w:rPr>
          <w:color w:val="000000"/>
          <w:lang w:val="en-GB"/>
        </w:rPr>
      </w:pPr>
      <w:r w:rsidRPr="00820F7A">
        <w:rPr>
          <w:color w:val="000000"/>
          <w:lang w:val="en-GB"/>
        </w:rPr>
        <w:t xml:space="preserve">Nii Laryeafio, M. and Ogbewe, O.C., (2023). Ethical consideration dilemma: systematic review of ethics in qualitative data collection through interviews. </w:t>
      </w:r>
      <w:r w:rsidRPr="00820F7A">
        <w:rPr>
          <w:i/>
          <w:iCs/>
          <w:color w:val="000000"/>
          <w:lang w:val="en-GB"/>
        </w:rPr>
        <w:t>Journal of Ethics in Entrepreneurship and Technology</w:t>
      </w:r>
      <w:r w:rsidRPr="00820F7A">
        <w:rPr>
          <w:color w:val="000000"/>
          <w:lang w:val="en-GB"/>
        </w:rPr>
        <w:t xml:space="preserve">, </w:t>
      </w:r>
      <w:r w:rsidRPr="00820F7A">
        <w:rPr>
          <w:i/>
          <w:iCs/>
          <w:color w:val="000000"/>
          <w:lang w:val="en-GB"/>
        </w:rPr>
        <w:t>3</w:t>
      </w:r>
      <w:r w:rsidRPr="00820F7A">
        <w:rPr>
          <w:color w:val="000000"/>
          <w:lang w:val="en-GB"/>
        </w:rPr>
        <w:t xml:space="preserve">(2), pp.94-110. </w:t>
      </w:r>
    </w:p>
    <w:p w14:paraId="0113450D" w14:textId="77777777" w:rsidR="00826870" w:rsidRPr="00820F7A" w:rsidRDefault="00B21388">
      <w:pPr>
        <w:pStyle w:val="Normal1"/>
        <w:pBdr>
          <w:top w:val="nil"/>
          <w:left w:val="nil"/>
          <w:bottom w:val="nil"/>
          <w:right w:val="nil"/>
          <w:between w:val="nil"/>
        </w:pBdr>
        <w:spacing w:before="200"/>
        <w:rPr>
          <w:color w:val="000000"/>
          <w:lang w:val="en-GB"/>
        </w:rPr>
      </w:pPr>
      <w:r w:rsidRPr="00820F7A">
        <w:rPr>
          <w:color w:val="000000"/>
          <w:lang w:val="en-GB"/>
        </w:rPr>
        <w:t xml:space="preserve">Okoli, C., (2023). Inductive, abductive and deductive theorising. </w:t>
      </w:r>
      <w:r w:rsidRPr="00820F7A">
        <w:rPr>
          <w:i/>
          <w:iCs/>
          <w:color w:val="000000"/>
          <w:lang w:val="en-GB"/>
        </w:rPr>
        <w:t>International Journal of Management Concepts and Philosophy</w:t>
      </w:r>
      <w:r w:rsidRPr="00820F7A">
        <w:rPr>
          <w:color w:val="000000"/>
          <w:lang w:val="en-GB"/>
        </w:rPr>
        <w:t xml:space="preserve">, </w:t>
      </w:r>
      <w:r w:rsidRPr="00820F7A">
        <w:rPr>
          <w:i/>
          <w:iCs/>
          <w:color w:val="000000"/>
          <w:lang w:val="en-GB"/>
        </w:rPr>
        <w:t>16</w:t>
      </w:r>
      <w:r w:rsidRPr="00820F7A">
        <w:rPr>
          <w:color w:val="000000"/>
          <w:lang w:val="en-GB"/>
        </w:rPr>
        <w:t>(3), pp.302-316.</w:t>
      </w:r>
    </w:p>
    <w:p w14:paraId="5B4CBB65"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 xml:space="preserve">Ritterbusch, G.D. and Teichmann, M.R., (2023). Defining the metaverse: A systematic literature review. </w:t>
      </w:r>
      <w:r w:rsidRPr="00820F7A">
        <w:rPr>
          <w:i/>
          <w:iCs/>
          <w:color w:val="000000"/>
          <w:lang w:val="en-GB"/>
        </w:rPr>
        <w:t>Ieee Access</w:t>
      </w:r>
      <w:r w:rsidRPr="00820F7A">
        <w:rPr>
          <w:color w:val="000000"/>
          <w:lang w:val="en-GB"/>
        </w:rPr>
        <w:t xml:space="preserve">, </w:t>
      </w:r>
      <w:r w:rsidRPr="00820F7A">
        <w:rPr>
          <w:i/>
          <w:iCs/>
          <w:color w:val="000000"/>
          <w:lang w:val="en-GB"/>
        </w:rPr>
        <w:t>11</w:t>
      </w:r>
      <w:r w:rsidRPr="00820F7A">
        <w:rPr>
          <w:color w:val="000000"/>
          <w:lang w:val="en-GB"/>
        </w:rPr>
        <w:t>, pp.12368-12377.</w:t>
      </w:r>
    </w:p>
    <w:p w14:paraId="29BDE9F6" w14:textId="77777777" w:rsidR="00826870" w:rsidRPr="00820F7A" w:rsidRDefault="00B21388">
      <w:pPr>
        <w:pStyle w:val="Normal1"/>
        <w:pBdr>
          <w:top w:val="nil"/>
          <w:left w:val="nil"/>
          <w:bottom w:val="nil"/>
          <w:right w:val="nil"/>
          <w:between w:val="nil"/>
        </w:pBdr>
        <w:spacing w:before="200"/>
        <w:rPr>
          <w:color w:val="000000"/>
          <w:lang w:val="en-GB"/>
        </w:rPr>
      </w:pPr>
      <w:r w:rsidRPr="00820F7A">
        <w:rPr>
          <w:color w:val="000000"/>
          <w:lang w:val="en-GB"/>
        </w:rPr>
        <w:t xml:space="preserve">Schiavenato, M. and Chu, F., (2021). PICO: What it is and what it is not. </w:t>
      </w:r>
      <w:r w:rsidRPr="00820F7A">
        <w:rPr>
          <w:i/>
          <w:iCs/>
          <w:color w:val="000000"/>
          <w:lang w:val="en-GB"/>
        </w:rPr>
        <w:t>Nurse education in practice</w:t>
      </w:r>
      <w:r w:rsidRPr="00820F7A">
        <w:rPr>
          <w:color w:val="000000"/>
          <w:lang w:val="en-GB"/>
        </w:rPr>
        <w:t xml:space="preserve">, </w:t>
      </w:r>
      <w:r w:rsidRPr="00820F7A">
        <w:rPr>
          <w:i/>
          <w:iCs/>
          <w:color w:val="000000"/>
          <w:lang w:val="en-GB"/>
        </w:rPr>
        <w:t>56</w:t>
      </w:r>
      <w:r w:rsidRPr="00820F7A">
        <w:rPr>
          <w:color w:val="000000"/>
          <w:lang w:val="en-GB"/>
        </w:rPr>
        <w:t>, p.103194.</w:t>
      </w:r>
    </w:p>
    <w:p w14:paraId="75C54041"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lang w:val="en-GB"/>
        </w:rPr>
        <w:t xml:space="preserve">Wang, S., Li, H., Scells, H., Locke, D. and Zuccon, G., (2021), December. Mesh term suggestion for systematic review literature search. In </w:t>
      </w:r>
      <w:r w:rsidRPr="00820F7A">
        <w:rPr>
          <w:i/>
          <w:iCs/>
          <w:color w:val="000000"/>
          <w:lang w:val="en-GB"/>
        </w:rPr>
        <w:t>Proceedings of the 25th Australasian Document Computing Symposium</w:t>
      </w:r>
      <w:r w:rsidRPr="00820F7A">
        <w:rPr>
          <w:color w:val="000000"/>
          <w:lang w:val="en-GB"/>
        </w:rPr>
        <w:t xml:space="preserve"> (pp. 1-8).</w:t>
      </w:r>
    </w:p>
    <w:p w14:paraId="2B3EFF2A" w14:textId="77777777" w:rsidR="00826870" w:rsidRPr="00820F7A" w:rsidRDefault="00B21388">
      <w:pPr>
        <w:pStyle w:val="Normal1"/>
        <w:pBdr>
          <w:top w:val="nil"/>
          <w:left w:val="nil"/>
          <w:bottom w:val="nil"/>
          <w:right w:val="nil"/>
          <w:between w:val="nil"/>
        </w:pBdr>
        <w:spacing w:before="240" w:after="240"/>
        <w:rPr>
          <w:b/>
          <w:bCs/>
          <w:color w:val="000000"/>
          <w:lang w:val="en-GB"/>
        </w:rPr>
      </w:pPr>
      <w:r w:rsidRPr="00820F7A">
        <w:rPr>
          <w:b/>
          <w:bCs/>
          <w:color w:val="000000"/>
          <w:lang w:val="en-GB"/>
        </w:rPr>
        <w:t>Chapter 4</w:t>
      </w:r>
    </w:p>
    <w:p w14:paraId="2ACFCA59"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highlight w:val="white"/>
          <w:lang w:val="en-GB"/>
        </w:rPr>
        <w:t xml:space="preserve">Schram, A., Paltved, C., Lindhard, M.S., Kjaergaard-Andersen, G., Jensen, H.I. and Kristensen, S., (2022). Patient safety culture improvements depend on basic healthcare education: a longitudinal simulation-based intervention study at two Danish hospitals. </w:t>
      </w:r>
      <w:r w:rsidRPr="00820F7A">
        <w:rPr>
          <w:i/>
          <w:iCs/>
          <w:color w:val="000000"/>
          <w:lang w:val="en-GB"/>
        </w:rPr>
        <w:t>BMJ open quality</w:t>
      </w:r>
      <w:r w:rsidRPr="00820F7A">
        <w:rPr>
          <w:color w:val="000000"/>
          <w:lang w:val="en-GB"/>
        </w:rPr>
        <w:t xml:space="preserve">, </w:t>
      </w:r>
      <w:r w:rsidRPr="00820F7A">
        <w:rPr>
          <w:i/>
          <w:iCs/>
          <w:color w:val="000000"/>
          <w:lang w:val="en-GB"/>
        </w:rPr>
        <w:t>11</w:t>
      </w:r>
      <w:r w:rsidRPr="00820F7A">
        <w:rPr>
          <w:color w:val="000000"/>
          <w:lang w:val="en-GB"/>
        </w:rPr>
        <w:t>(1).</w:t>
      </w:r>
    </w:p>
    <w:p w14:paraId="009274E1"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highlight w:val="white"/>
          <w:lang w:val="en-GB"/>
        </w:rPr>
        <w:t xml:space="preserve">Khanbhai, M., Flott, K., Manton, D., Harrison-White, S., Klaber, R., Darzi, A. and Mayer, E., (2021). Identifying factors that promote and limit the effective use of real-time patient experience feedback: a mixed-methods study in secondary care. </w:t>
      </w:r>
      <w:r w:rsidRPr="00820F7A">
        <w:rPr>
          <w:i/>
          <w:iCs/>
          <w:color w:val="000000"/>
          <w:lang w:val="en-GB"/>
        </w:rPr>
        <w:t>BMJ open</w:t>
      </w:r>
      <w:r w:rsidRPr="00820F7A">
        <w:rPr>
          <w:color w:val="000000"/>
          <w:lang w:val="en-GB"/>
        </w:rPr>
        <w:t xml:space="preserve">, </w:t>
      </w:r>
      <w:r w:rsidRPr="00820F7A">
        <w:rPr>
          <w:i/>
          <w:iCs/>
          <w:color w:val="000000"/>
          <w:lang w:val="en-GB"/>
        </w:rPr>
        <w:t>11</w:t>
      </w:r>
      <w:r w:rsidRPr="00820F7A">
        <w:rPr>
          <w:color w:val="000000"/>
          <w:lang w:val="en-GB"/>
        </w:rPr>
        <w:t>(12), p.e047239.</w:t>
      </w:r>
    </w:p>
    <w:p w14:paraId="0D9A863A"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highlight w:val="white"/>
          <w:lang w:val="en-GB"/>
        </w:rPr>
        <w:t xml:space="preserve">Knezevic, A., Allan, J., Cameron, J., Olcoń, K. and Pai, P., (2025). Workplace Wellbeing in Action: A Qualitative Exploration of a Champion-Led Approach in Healthcare. </w:t>
      </w:r>
      <w:r w:rsidRPr="00820F7A">
        <w:rPr>
          <w:i/>
          <w:iCs/>
          <w:color w:val="000000"/>
          <w:lang w:val="en-GB"/>
        </w:rPr>
        <w:t>Health Services Insights</w:t>
      </w:r>
      <w:r w:rsidRPr="00820F7A">
        <w:rPr>
          <w:color w:val="000000"/>
          <w:lang w:val="en-GB"/>
        </w:rPr>
        <w:t xml:space="preserve">, </w:t>
      </w:r>
      <w:r w:rsidRPr="00820F7A">
        <w:rPr>
          <w:i/>
          <w:iCs/>
          <w:color w:val="000000"/>
          <w:lang w:val="en-GB"/>
        </w:rPr>
        <w:t>18</w:t>
      </w:r>
      <w:r w:rsidRPr="00820F7A">
        <w:rPr>
          <w:color w:val="000000"/>
          <w:lang w:val="en-GB"/>
        </w:rPr>
        <w:t>, p.11786329251387227.</w:t>
      </w:r>
    </w:p>
    <w:p w14:paraId="7C1C122B"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highlight w:val="white"/>
          <w:lang w:val="en-GB"/>
        </w:rPr>
        <w:t xml:space="preserve">Lu, L., Ko, Y.M., Chen, H.Y., Chueh, J.W., Chen, P.Y. and Cooper, C.L., (2022). Patient safety and staff well-being: organizational culture as a resource. </w:t>
      </w:r>
      <w:r w:rsidRPr="00820F7A">
        <w:rPr>
          <w:i/>
          <w:iCs/>
          <w:color w:val="000000"/>
          <w:lang w:val="en-GB"/>
        </w:rPr>
        <w:t>International Journal of Environmental Research and Public Health</w:t>
      </w:r>
      <w:r w:rsidRPr="00820F7A">
        <w:rPr>
          <w:color w:val="000000"/>
          <w:lang w:val="en-GB"/>
        </w:rPr>
        <w:t xml:space="preserve">, </w:t>
      </w:r>
      <w:r w:rsidRPr="00820F7A">
        <w:rPr>
          <w:i/>
          <w:iCs/>
          <w:color w:val="000000"/>
          <w:lang w:val="en-GB"/>
        </w:rPr>
        <w:t>19</w:t>
      </w:r>
      <w:r w:rsidRPr="00820F7A">
        <w:rPr>
          <w:color w:val="000000"/>
          <w:lang w:val="en-GB"/>
        </w:rPr>
        <w:t xml:space="preserve">(6), p.3722. </w:t>
      </w:r>
    </w:p>
    <w:p w14:paraId="5BF202AE"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highlight w:val="white"/>
          <w:lang w:val="en-GB"/>
        </w:rPr>
        <w:t xml:space="preserve">Murray, J.S., Lee, J., Larson, S., Range, A., Scott, D. and Clifford, J., (2023). Requirements for implementing a ‘just culture’within healthcare organisations: an integrative review. </w:t>
      </w:r>
      <w:r w:rsidRPr="00820F7A">
        <w:rPr>
          <w:i/>
          <w:iCs/>
          <w:color w:val="000000"/>
          <w:lang w:val="en-GB"/>
        </w:rPr>
        <w:t>BMJ Open Quality</w:t>
      </w:r>
      <w:r w:rsidRPr="00820F7A">
        <w:rPr>
          <w:color w:val="000000"/>
          <w:lang w:val="en-GB"/>
        </w:rPr>
        <w:t xml:space="preserve">, </w:t>
      </w:r>
      <w:r w:rsidRPr="00820F7A">
        <w:rPr>
          <w:i/>
          <w:iCs/>
          <w:color w:val="000000"/>
          <w:lang w:val="en-GB"/>
        </w:rPr>
        <w:t>12</w:t>
      </w:r>
      <w:r w:rsidRPr="00820F7A">
        <w:rPr>
          <w:color w:val="000000"/>
          <w:lang w:val="en-GB"/>
        </w:rPr>
        <w:t>(2), p.e002237.</w:t>
      </w:r>
    </w:p>
    <w:p w14:paraId="6E5DA39A"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highlight w:val="white"/>
          <w:lang w:val="en-GB"/>
        </w:rPr>
        <w:t xml:space="preserve">Alvarez, C., Sims, H., Grant, K., Walczak, J., Lipman, P.D., Marsteller, J.A., Cooper, L.A. and Rich Life Project Investigators, (2022). Healthcare leadership perspectives on supporting frontline workers in health center settings during the pandemic. </w:t>
      </w:r>
      <w:r w:rsidRPr="00820F7A">
        <w:rPr>
          <w:i/>
          <w:iCs/>
          <w:color w:val="000000"/>
          <w:lang w:val="en-GB"/>
        </w:rPr>
        <w:t>International journal of environmental research and public health</w:t>
      </w:r>
      <w:r w:rsidRPr="00820F7A">
        <w:rPr>
          <w:color w:val="000000"/>
          <w:lang w:val="en-GB"/>
        </w:rPr>
        <w:t xml:space="preserve">, </w:t>
      </w:r>
      <w:r w:rsidRPr="00820F7A">
        <w:rPr>
          <w:i/>
          <w:iCs/>
          <w:color w:val="000000"/>
          <w:lang w:val="en-GB"/>
        </w:rPr>
        <w:t>19</w:t>
      </w:r>
      <w:r w:rsidRPr="00820F7A">
        <w:rPr>
          <w:color w:val="000000"/>
          <w:lang w:val="en-GB"/>
        </w:rPr>
        <w:t>(6), p.3310.</w:t>
      </w:r>
    </w:p>
    <w:p w14:paraId="195A3559" w14:textId="77777777" w:rsidR="00826870" w:rsidRPr="00820F7A" w:rsidRDefault="00B21388">
      <w:pPr>
        <w:pStyle w:val="Normal1"/>
        <w:pBdr>
          <w:top w:val="nil"/>
          <w:left w:val="nil"/>
          <w:bottom w:val="nil"/>
          <w:right w:val="nil"/>
          <w:between w:val="nil"/>
        </w:pBdr>
        <w:rPr>
          <w:b/>
          <w:bCs/>
          <w:color w:val="000000"/>
          <w:lang w:val="en-GB"/>
        </w:rPr>
      </w:pPr>
      <w:r w:rsidRPr="00820F7A">
        <w:rPr>
          <w:b/>
          <w:bCs/>
          <w:color w:val="000000"/>
          <w:lang w:val="en-GB"/>
        </w:rPr>
        <w:t xml:space="preserve">Chosen 17 articles </w:t>
      </w:r>
    </w:p>
    <w:p w14:paraId="34BD481D" w14:textId="77777777" w:rsidR="00826870" w:rsidRPr="00820F7A" w:rsidRDefault="00B21388">
      <w:pPr>
        <w:pStyle w:val="Normal1"/>
        <w:pBdr>
          <w:top w:val="nil"/>
          <w:left w:val="nil"/>
          <w:bottom w:val="nil"/>
          <w:right w:val="nil"/>
          <w:between w:val="nil"/>
        </w:pBdr>
        <w:spacing w:before="240"/>
        <w:rPr>
          <w:b/>
          <w:bCs/>
          <w:i/>
          <w:iCs/>
          <w:color w:val="000000"/>
          <w:lang w:val="en-GB"/>
        </w:rPr>
      </w:pPr>
      <w:r w:rsidRPr="00820F7A">
        <w:rPr>
          <w:b/>
          <w:bCs/>
          <w:i/>
          <w:iCs/>
          <w:color w:val="000000"/>
          <w:lang w:val="en-GB"/>
        </w:rPr>
        <w:t>Quantitative Articles</w:t>
      </w:r>
    </w:p>
    <w:p w14:paraId="5C843D86" w14:textId="77777777" w:rsidR="00826870" w:rsidRPr="00820F7A" w:rsidRDefault="00B21388">
      <w:pPr>
        <w:pStyle w:val="Normal1"/>
        <w:pBdr>
          <w:top w:val="nil"/>
          <w:left w:val="nil"/>
          <w:bottom w:val="nil"/>
          <w:right w:val="nil"/>
          <w:between w:val="nil"/>
        </w:pBdr>
        <w:spacing w:before="240"/>
        <w:rPr>
          <w:color w:val="000000"/>
          <w:lang w:val="en-GB"/>
        </w:rPr>
      </w:pPr>
      <w:r w:rsidRPr="00820F7A">
        <w:rPr>
          <w:color w:val="000000"/>
          <w:lang w:val="en-GB"/>
        </w:rPr>
        <w:t>Alkan, E., Cushen-Brewster, N. and Anyanwu, P. (2024) Investigating healthcare workforce recruitment and retention: a mixed-methods study protocol.</w:t>
      </w:r>
      <w:r w:rsidRPr="00820F7A">
        <w:rPr>
          <w:i/>
          <w:iCs/>
          <w:color w:val="000000"/>
          <w:lang w:val="en-GB"/>
        </w:rPr>
        <w:t xml:space="preserve"> BMJ open</w:t>
      </w:r>
      <w:r w:rsidRPr="00820F7A">
        <w:rPr>
          <w:color w:val="000000"/>
          <w:lang w:val="en-GB"/>
        </w:rPr>
        <w:t xml:space="preserve">, 14(2), p.e074100. </w:t>
      </w:r>
    </w:p>
    <w:p w14:paraId="58393856" w14:textId="77777777" w:rsidR="00826870" w:rsidRPr="00820F7A" w:rsidRDefault="00B21388">
      <w:pPr>
        <w:pStyle w:val="Normal1"/>
        <w:pBdr>
          <w:top w:val="nil"/>
          <w:left w:val="nil"/>
          <w:bottom w:val="nil"/>
          <w:right w:val="nil"/>
          <w:between w:val="nil"/>
        </w:pBdr>
        <w:rPr>
          <w:color w:val="000000"/>
          <w:lang w:val="en-GB"/>
        </w:rPr>
      </w:pPr>
      <w:r w:rsidRPr="00820F7A">
        <w:rPr>
          <w:color w:val="000000"/>
          <w:lang w:val="en-GB"/>
        </w:rPr>
        <w:t>Backman, A., Sundström, M., Jeon, Y.H. and Edberg, A.K. (2025) Framing Person</w:t>
      </w:r>
      <w:r w:rsidRPr="00820F7A">
        <w:rPr>
          <w:rFonts w:ascii="Cambria Math" w:eastAsia="Cambria Math" w:hAnsi="Cambria Math" w:cs="Cambria Math"/>
          <w:color w:val="000000"/>
          <w:lang w:val="en-GB"/>
        </w:rPr>
        <w:t>‐</w:t>
      </w:r>
      <w:r w:rsidRPr="00820F7A">
        <w:rPr>
          <w:color w:val="000000"/>
          <w:lang w:val="en-GB"/>
        </w:rPr>
        <w:t>Centred Leadership in Residential Care: A Cross</w:t>
      </w:r>
      <w:r w:rsidRPr="00820F7A">
        <w:rPr>
          <w:rFonts w:ascii="Cambria Math" w:eastAsia="Cambria Math" w:hAnsi="Cambria Math" w:cs="Cambria Math"/>
          <w:color w:val="000000"/>
          <w:lang w:val="en-GB"/>
        </w:rPr>
        <w:t>‐</w:t>
      </w:r>
      <w:r w:rsidRPr="00820F7A">
        <w:rPr>
          <w:color w:val="000000"/>
          <w:lang w:val="en-GB"/>
        </w:rPr>
        <w:t>Cultural Adaptation of the Aged</w:t>
      </w:r>
      <w:r w:rsidRPr="00820F7A">
        <w:rPr>
          <w:rFonts w:ascii="Cambria Math" w:eastAsia="Cambria Math" w:hAnsi="Cambria Math" w:cs="Cambria Math"/>
          <w:color w:val="000000"/>
          <w:lang w:val="en-GB"/>
        </w:rPr>
        <w:t>‐</w:t>
      </w:r>
      <w:r w:rsidRPr="00820F7A">
        <w:rPr>
          <w:color w:val="000000"/>
          <w:lang w:val="en-GB"/>
        </w:rPr>
        <w:t xml:space="preserve">Care Clinical Leadership Qualities Framework. </w:t>
      </w:r>
      <w:r w:rsidRPr="00820F7A">
        <w:rPr>
          <w:i/>
          <w:iCs/>
          <w:color w:val="000000"/>
          <w:lang w:val="en-GB"/>
        </w:rPr>
        <w:t>Journal of Clinical Nursing</w:t>
      </w:r>
      <w:r w:rsidRPr="00820F7A">
        <w:rPr>
          <w:color w:val="000000"/>
          <w:lang w:val="en-GB"/>
        </w:rPr>
        <w:t>.1(1).pp.1-14.</w:t>
      </w:r>
    </w:p>
    <w:p w14:paraId="26332258" w14:textId="77777777" w:rsidR="00826870" w:rsidRPr="00820F7A" w:rsidRDefault="00B21388">
      <w:pPr>
        <w:pStyle w:val="Normal1"/>
        <w:pBdr>
          <w:top w:val="nil"/>
          <w:left w:val="nil"/>
          <w:bottom w:val="nil"/>
          <w:right w:val="nil"/>
          <w:between w:val="nil"/>
        </w:pBdr>
        <w:spacing w:before="240"/>
        <w:rPr>
          <w:color w:val="000000"/>
          <w:lang w:val="en-GB"/>
        </w:rPr>
      </w:pPr>
      <w:r w:rsidRPr="00820F7A">
        <w:rPr>
          <w:color w:val="000000"/>
          <w:lang w:val="en-GB"/>
        </w:rPr>
        <w:t xml:space="preserve">Haoyan, X., Waters, D., Jinling, H., Qiongling, L. and Sien, L. (2023) Quantitative systematic review of the transformational leadership style as a driver of nurses' organisational commitment. Nursing open, 10(7), pp.4160-4171. </w:t>
      </w:r>
    </w:p>
    <w:p w14:paraId="12B9616A" w14:textId="77777777" w:rsidR="00826870" w:rsidRPr="00820F7A" w:rsidRDefault="00B21388">
      <w:pPr>
        <w:pStyle w:val="Normal1"/>
        <w:pBdr>
          <w:top w:val="nil"/>
          <w:left w:val="nil"/>
          <w:bottom w:val="nil"/>
          <w:right w:val="nil"/>
          <w:between w:val="nil"/>
        </w:pBdr>
        <w:spacing w:before="240"/>
        <w:rPr>
          <w:color w:val="000000"/>
          <w:lang w:val="en-GB"/>
        </w:rPr>
      </w:pPr>
      <w:r w:rsidRPr="00820F7A">
        <w:rPr>
          <w:color w:val="000000"/>
          <w:lang w:val="en-GB"/>
        </w:rPr>
        <w:t xml:space="preserve">Rowen, D., Wickramasekera, N., Hole, A.R., Keetharuth, A. and Wailoo, A. (2022) A discrete choice experiment to elicit general population preferences around the factors influencing the choice to make clinical negligence claims. </w:t>
      </w:r>
      <w:r w:rsidRPr="00820F7A">
        <w:rPr>
          <w:i/>
          <w:iCs/>
          <w:color w:val="000000"/>
          <w:lang w:val="en-GB"/>
        </w:rPr>
        <w:t>Value in Health,</w:t>
      </w:r>
      <w:r w:rsidRPr="00820F7A">
        <w:rPr>
          <w:color w:val="000000"/>
          <w:lang w:val="en-GB"/>
        </w:rPr>
        <w:t xml:space="preserve"> 25(8), pp.1404-1415. </w:t>
      </w:r>
    </w:p>
    <w:p w14:paraId="6CDAD202" w14:textId="77777777" w:rsidR="00826870" w:rsidRPr="00820F7A" w:rsidRDefault="00B21388">
      <w:pPr>
        <w:pStyle w:val="Normal1"/>
        <w:pBdr>
          <w:top w:val="nil"/>
          <w:left w:val="nil"/>
          <w:bottom w:val="nil"/>
          <w:right w:val="nil"/>
          <w:between w:val="nil"/>
        </w:pBdr>
        <w:spacing w:before="240"/>
        <w:rPr>
          <w:color w:val="000000"/>
          <w:lang w:val="en-GB"/>
        </w:rPr>
      </w:pPr>
      <w:r w:rsidRPr="00820F7A">
        <w:rPr>
          <w:color w:val="000000"/>
          <w:lang w:val="en-GB"/>
        </w:rPr>
        <w:t>Scheffer, H. (2025) Clinical leadership development in the NHS–a study in urgent and emergency care (UEC).</w:t>
      </w:r>
      <w:r w:rsidRPr="00820F7A">
        <w:rPr>
          <w:i/>
          <w:iCs/>
          <w:color w:val="000000"/>
          <w:lang w:val="en-GB"/>
        </w:rPr>
        <w:t xml:space="preserve"> Journal of Health Organization and Management,</w:t>
      </w:r>
      <w:r w:rsidRPr="00820F7A">
        <w:rPr>
          <w:color w:val="000000"/>
          <w:lang w:val="en-GB"/>
        </w:rPr>
        <w:t xml:space="preserve"> 39(9), pp.192-209. </w:t>
      </w:r>
    </w:p>
    <w:p w14:paraId="21B780E7" w14:textId="77777777" w:rsidR="00826870" w:rsidRPr="00820F7A" w:rsidRDefault="00B21388">
      <w:pPr>
        <w:pStyle w:val="Normal1"/>
        <w:pBdr>
          <w:top w:val="nil"/>
          <w:left w:val="nil"/>
          <w:bottom w:val="nil"/>
          <w:right w:val="nil"/>
          <w:between w:val="nil"/>
        </w:pBdr>
        <w:spacing w:before="240"/>
        <w:rPr>
          <w:color w:val="000000"/>
          <w:lang w:val="en-GB"/>
        </w:rPr>
      </w:pPr>
      <w:r w:rsidRPr="00820F7A">
        <w:rPr>
          <w:color w:val="000000"/>
          <w:lang w:val="en-GB"/>
        </w:rPr>
        <w:t xml:space="preserve">Wickramasekera, N., Hole, A.R., Rowen, D., Wailoo, A. and Keetharuth, A.D. (2024) Exploring the factors that drive clinical negligence claims: stated preferences of those who have experienced unintended harm. </w:t>
      </w:r>
      <w:r w:rsidRPr="00820F7A">
        <w:rPr>
          <w:i/>
          <w:iCs/>
          <w:color w:val="000000"/>
          <w:lang w:val="en-GB"/>
        </w:rPr>
        <w:t xml:space="preserve">The Patient-Patient-Centered Outcomes Research, </w:t>
      </w:r>
      <w:r w:rsidRPr="00820F7A">
        <w:rPr>
          <w:color w:val="000000"/>
          <w:lang w:val="en-GB"/>
        </w:rPr>
        <w:t xml:space="preserve">17(3), pp.301-317. </w:t>
      </w:r>
    </w:p>
    <w:p w14:paraId="17D8E03B" w14:textId="77777777" w:rsidR="00826870" w:rsidRPr="00820F7A" w:rsidRDefault="00B21388">
      <w:pPr>
        <w:pStyle w:val="Normal1"/>
        <w:pBdr>
          <w:top w:val="nil"/>
          <w:left w:val="nil"/>
          <w:bottom w:val="nil"/>
          <w:right w:val="nil"/>
          <w:between w:val="nil"/>
        </w:pBdr>
        <w:spacing w:before="240"/>
        <w:rPr>
          <w:color w:val="000000"/>
          <w:lang w:val="en-GB"/>
        </w:rPr>
      </w:pPr>
      <w:r w:rsidRPr="00820F7A">
        <w:rPr>
          <w:color w:val="000000"/>
          <w:lang w:val="en-GB"/>
        </w:rPr>
        <w:t xml:space="preserve">Yeowell, G., Leech, R., Greenhalgh, S., Willis, E. and Selfe, J. (2024) Clinical negligence and physiotherapy: UK survey of physiotherapists’ experiences of litigation. </w:t>
      </w:r>
      <w:r w:rsidRPr="00820F7A">
        <w:rPr>
          <w:i/>
          <w:iCs/>
          <w:color w:val="000000"/>
          <w:lang w:val="en-GB"/>
        </w:rPr>
        <w:t>Physiotherapy</w:t>
      </w:r>
      <w:r w:rsidRPr="00820F7A">
        <w:rPr>
          <w:color w:val="000000"/>
          <w:lang w:val="en-GB"/>
        </w:rPr>
        <w:t xml:space="preserve">, 124, pp.126-134. </w:t>
      </w:r>
    </w:p>
    <w:p w14:paraId="761F07C1"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highlight w:val="white"/>
          <w:lang w:val="en-GB"/>
        </w:rPr>
        <w:t xml:space="preserve">Alabdaly, A., Hinchcliff, R., Debono, D. and Hor, S.Y., (2024). Relationship between patient safety culture and patient experience in hospital settings: a scoping review. </w:t>
      </w:r>
      <w:r w:rsidRPr="00820F7A">
        <w:rPr>
          <w:i/>
          <w:iCs/>
          <w:color w:val="000000"/>
          <w:lang w:val="en-GB"/>
        </w:rPr>
        <w:t>BMC Health Services Research</w:t>
      </w:r>
      <w:r w:rsidRPr="00820F7A">
        <w:rPr>
          <w:color w:val="000000"/>
          <w:lang w:val="en-GB"/>
        </w:rPr>
        <w:t xml:space="preserve">, </w:t>
      </w:r>
      <w:r w:rsidRPr="00820F7A">
        <w:rPr>
          <w:i/>
          <w:iCs/>
          <w:color w:val="000000"/>
          <w:lang w:val="en-GB"/>
        </w:rPr>
        <w:t>24</w:t>
      </w:r>
      <w:r w:rsidRPr="00820F7A">
        <w:rPr>
          <w:color w:val="000000"/>
          <w:lang w:val="en-GB"/>
        </w:rPr>
        <w:t>(1), p.906.</w:t>
      </w:r>
    </w:p>
    <w:p w14:paraId="1F796C87" w14:textId="77777777" w:rsidR="00826870" w:rsidRPr="00820F7A" w:rsidRDefault="00B21388">
      <w:pPr>
        <w:pStyle w:val="Normal1"/>
        <w:pBdr>
          <w:top w:val="nil"/>
          <w:left w:val="nil"/>
          <w:bottom w:val="nil"/>
          <w:right w:val="nil"/>
          <w:between w:val="nil"/>
        </w:pBdr>
        <w:spacing w:before="240"/>
        <w:rPr>
          <w:b/>
          <w:bCs/>
          <w:i/>
          <w:iCs/>
          <w:color w:val="000000"/>
          <w:lang w:val="en-GB"/>
        </w:rPr>
      </w:pPr>
      <w:r w:rsidRPr="00820F7A">
        <w:rPr>
          <w:b/>
          <w:bCs/>
          <w:i/>
          <w:iCs/>
          <w:color w:val="000000"/>
          <w:lang w:val="en-GB"/>
        </w:rPr>
        <w:t xml:space="preserve">Qualitative Articles </w:t>
      </w:r>
    </w:p>
    <w:p w14:paraId="104542CC" w14:textId="77777777" w:rsidR="00826870" w:rsidRPr="00820F7A" w:rsidRDefault="00B21388">
      <w:pPr>
        <w:pStyle w:val="Normal1"/>
        <w:pBdr>
          <w:top w:val="nil"/>
          <w:left w:val="nil"/>
          <w:bottom w:val="nil"/>
          <w:right w:val="nil"/>
          <w:between w:val="nil"/>
        </w:pBdr>
        <w:spacing w:before="240"/>
        <w:rPr>
          <w:color w:val="000000"/>
          <w:lang w:val="en-GB"/>
        </w:rPr>
      </w:pPr>
      <w:r w:rsidRPr="00820F7A">
        <w:rPr>
          <w:color w:val="000000"/>
          <w:lang w:val="en-GB"/>
        </w:rPr>
        <w:t xml:space="preserve">Antonopoulou, V., Meyer, C., Chadwick, P., Gibson, B., Sniehotta, F.F., Vlaev, I., Vassova, A., Goffe, L., Lorencatto, F., McKinlay, A. and Chater, A.M. (2024) Understanding healthcare professionals’ responses to patient complaints in secondary and tertiary care in the UK: A systematic review and behavioural analysis using the Theoretical Domains Framework. </w:t>
      </w:r>
      <w:r w:rsidRPr="00820F7A">
        <w:rPr>
          <w:i/>
          <w:iCs/>
          <w:color w:val="000000"/>
          <w:lang w:val="en-GB"/>
        </w:rPr>
        <w:t>Health research policy and systems,</w:t>
      </w:r>
      <w:r w:rsidRPr="00820F7A">
        <w:rPr>
          <w:color w:val="000000"/>
          <w:lang w:val="en-GB"/>
        </w:rPr>
        <w:t xml:space="preserve"> 22(1), pp.1-30. </w:t>
      </w:r>
    </w:p>
    <w:p w14:paraId="4C205816" w14:textId="77777777" w:rsidR="00826870" w:rsidRPr="00820F7A" w:rsidRDefault="00B21388">
      <w:pPr>
        <w:pStyle w:val="Normal1"/>
        <w:pBdr>
          <w:top w:val="nil"/>
          <w:left w:val="nil"/>
          <w:bottom w:val="nil"/>
          <w:right w:val="nil"/>
          <w:between w:val="nil"/>
        </w:pBdr>
        <w:spacing w:before="240"/>
        <w:rPr>
          <w:color w:val="000000"/>
          <w:lang w:val="en-GB"/>
        </w:rPr>
      </w:pPr>
      <w:r w:rsidRPr="00820F7A">
        <w:rPr>
          <w:color w:val="000000"/>
          <w:lang w:val="en-GB"/>
        </w:rPr>
        <w:t xml:space="preserve">Carter, A.W., Mossialos, E., Redhead, J. and Papalois, V. (2022) Clinical negligence cases in the English NHS: uncertainty in evidence as a driver of settlement costs and societal outcomes. </w:t>
      </w:r>
      <w:r w:rsidRPr="00820F7A">
        <w:rPr>
          <w:i/>
          <w:iCs/>
          <w:color w:val="000000"/>
          <w:lang w:val="en-GB"/>
        </w:rPr>
        <w:t>Health Economics, Policy and Law,</w:t>
      </w:r>
      <w:r w:rsidRPr="00820F7A">
        <w:rPr>
          <w:color w:val="000000"/>
          <w:lang w:val="en-GB"/>
        </w:rPr>
        <w:t xml:space="preserve"> 17(3), pp.266-281. </w:t>
      </w:r>
    </w:p>
    <w:p w14:paraId="0FE024E1"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highlight w:val="white"/>
          <w:lang w:val="en-GB"/>
        </w:rPr>
        <w:t xml:space="preserve">Granel-Giménez, N., Palmieri, P.A., Watson-Badia, C.E., Gómez-Ibáñez, R., Leyva-Moral, J.M. and Bernabeu-Tamayo, M.D., (2022). Patient safety culture in European hospitals: A comparative mixed methods study. </w:t>
      </w:r>
      <w:r w:rsidRPr="00820F7A">
        <w:rPr>
          <w:i/>
          <w:iCs/>
          <w:color w:val="000000"/>
          <w:lang w:val="en-GB"/>
        </w:rPr>
        <w:t>International journal of environmental research and public health</w:t>
      </w:r>
      <w:r w:rsidRPr="00820F7A">
        <w:rPr>
          <w:color w:val="000000"/>
          <w:lang w:val="en-GB"/>
        </w:rPr>
        <w:t xml:space="preserve">, </w:t>
      </w:r>
      <w:r w:rsidRPr="00820F7A">
        <w:rPr>
          <w:i/>
          <w:iCs/>
          <w:color w:val="000000"/>
          <w:lang w:val="en-GB"/>
        </w:rPr>
        <w:t>19</w:t>
      </w:r>
      <w:r w:rsidRPr="00820F7A">
        <w:rPr>
          <w:color w:val="000000"/>
          <w:lang w:val="en-GB"/>
        </w:rPr>
        <w:t>(2), p.939.</w:t>
      </w:r>
    </w:p>
    <w:p w14:paraId="24F379E5" w14:textId="77777777" w:rsidR="00826870" w:rsidRPr="00820F7A" w:rsidRDefault="00B21388">
      <w:pPr>
        <w:pStyle w:val="Normal1"/>
        <w:pBdr>
          <w:top w:val="nil"/>
          <w:left w:val="nil"/>
          <w:bottom w:val="nil"/>
          <w:right w:val="nil"/>
          <w:between w:val="nil"/>
        </w:pBdr>
        <w:spacing w:before="240"/>
        <w:rPr>
          <w:color w:val="000000"/>
          <w:lang w:val="en-GB"/>
        </w:rPr>
      </w:pPr>
      <w:r w:rsidRPr="00820F7A">
        <w:rPr>
          <w:color w:val="000000"/>
          <w:lang w:val="en-GB"/>
        </w:rPr>
        <w:t xml:space="preserve">Jones, B., Home, J. and Jones, D. (2024) Strengthening clinical leadership and management. Health Foundation. 1(1).pp.1-17. </w:t>
      </w:r>
    </w:p>
    <w:p w14:paraId="2B981BD6" w14:textId="77777777" w:rsidR="00826870" w:rsidRPr="00820F7A" w:rsidRDefault="00B21388">
      <w:pPr>
        <w:pStyle w:val="Normal1"/>
        <w:pBdr>
          <w:top w:val="nil"/>
          <w:left w:val="nil"/>
          <w:bottom w:val="nil"/>
          <w:right w:val="nil"/>
          <w:between w:val="nil"/>
        </w:pBdr>
        <w:spacing w:before="240"/>
        <w:rPr>
          <w:color w:val="000000"/>
          <w:lang w:val="en-GB"/>
        </w:rPr>
      </w:pPr>
      <w:r w:rsidRPr="00820F7A">
        <w:rPr>
          <w:color w:val="000000"/>
          <w:lang w:val="en-GB"/>
        </w:rPr>
        <w:t xml:space="preserve">Lorenc, T., Khouja, C., Harden, M., Fulbright, H. and Thomas, J. (2024) Defensive healthcare practice: systematic review of qualitative evidence. </w:t>
      </w:r>
      <w:r w:rsidRPr="00820F7A">
        <w:rPr>
          <w:i/>
          <w:iCs/>
          <w:color w:val="000000"/>
          <w:lang w:val="en-GB"/>
        </w:rPr>
        <w:t>BMJ open,</w:t>
      </w:r>
      <w:r w:rsidRPr="00820F7A">
        <w:rPr>
          <w:color w:val="000000"/>
          <w:lang w:val="en-GB"/>
        </w:rPr>
        <w:t xml:space="preserve"> 14(7), p.e085673. </w:t>
      </w:r>
    </w:p>
    <w:p w14:paraId="0570ABD3"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highlight w:val="white"/>
          <w:lang w:val="en-GB"/>
        </w:rPr>
        <w:t xml:space="preserve">Mahmoud, H.A., Thavorn, K., Mulpuru, S., McIsaac, D., Abdelrazek, M.A., Mahmoud, A.A. and Forster, A.J., (2023). Barriers and facilitators to improving patient safety learning systems: a systematic review of qualitative studies and meta-synthesis. </w:t>
      </w:r>
      <w:r w:rsidRPr="00820F7A">
        <w:rPr>
          <w:i/>
          <w:iCs/>
          <w:color w:val="000000"/>
          <w:lang w:val="en-GB"/>
        </w:rPr>
        <w:t>BMJ Open Quality</w:t>
      </w:r>
      <w:r w:rsidRPr="00820F7A">
        <w:rPr>
          <w:color w:val="000000"/>
          <w:lang w:val="en-GB"/>
        </w:rPr>
        <w:t xml:space="preserve">, </w:t>
      </w:r>
      <w:r w:rsidRPr="00820F7A">
        <w:rPr>
          <w:i/>
          <w:iCs/>
          <w:color w:val="000000"/>
          <w:lang w:val="en-GB"/>
        </w:rPr>
        <w:t>12</w:t>
      </w:r>
      <w:r w:rsidRPr="00820F7A">
        <w:rPr>
          <w:color w:val="000000"/>
          <w:lang w:val="en-GB"/>
        </w:rPr>
        <w:t>(2).</w:t>
      </w:r>
    </w:p>
    <w:p w14:paraId="4E7C7147" w14:textId="77777777" w:rsidR="00826870" w:rsidRPr="00820F7A" w:rsidRDefault="00B21388">
      <w:pPr>
        <w:pStyle w:val="Normal1"/>
        <w:pBdr>
          <w:top w:val="nil"/>
          <w:left w:val="nil"/>
          <w:bottom w:val="nil"/>
          <w:right w:val="nil"/>
          <w:between w:val="nil"/>
        </w:pBdr>
        <w:spacing w:before="240"/>
        <w:rPr>
          <w:color w:val="000000"/>
          <w:lang w:val="en-GB"/>
        </w:rPr>
      </w:pPr>
      <w:r w:rsidRPr="00820F7A">
        <w:rPr>
          <w:color w:val="000000"/>
          <w:lang w:val="en-GB"/>
        </w:rPr>
        <w:t xml:space="preserve">Phillipson, J., Pinto, A.C., Kingsley-Smith, H., Krachler, N., McGivern, G. and Lyons, O. (2025) Leadership training in healthcare: a systematic umbrella review. BMJ leader, pp.leader-2025. </w:t>
      </w:r>
    </w:p>
    <w:p w14:paraId="17129067"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highlight w:val="white"/>
          <w:lang w:val="en-GB"/>
        </w:rPr>
        <w:t xml:space="preserve">Tasker, A., Jones, J. and Brake, S., (2023). How effectively has a Just Culture been adopted? A qualitative study to analyse the attitudes and behaviours of clinicians and managers to clinical incident management within an NHS Hospital Trust and identify enablers and barriers to achieving a Just Culture. </w:t>
      </w:r>
      <w:r w:rsidRPr="00820F7A">
        <w:rPr>
          <w:i/>
          <w:iCs/>
          <w:color w:val="000000"/>
          <w:lang w:val="en-GB"/>
        </w:rPr>
        <w:t>BMJ Open Quality</w:t>
      </w:r>
      <w:r w:rsidRPr="00820F7A">
        <w:rPr>
          <w:color w:val="000000"/>
          <w:lang w:val="en-GB"/>
        </w:rPr>
        <w:t xml:space="preserve">, </w:t>
      </w:r>
      <w:r w:rsidRPr="00820F7A">
        <w:rPr>
          <w:i/>
          <w:iCs/>
          <w:color w:val="000000"/>
          <w:lang w:val="en-GB"/>
        </w:rPr>
        <w:t>12</w:t>
      </w:r>
      <w:r w:rsidRPr="00820F7A">
        <w:rPr>
          <w:color w:val="000000"/>
          <w:lang w:val="en-GB"/>
        </w:rPr>
        <w:t>(1).</w:t>
      </w:r>
    </w:p>
    <w:p w14:paraId="3E3A9091" w14:textId="77777777" w:rsidR="00826870" w:rsidRPr="00820F7A" w:rsidRDefault="00B21388">
      <w:pPr>
        <w:pStyle w:val="Normal1"/>
        <w:pBdr>
          <w:top w:val="nil"/>
          <w:left w:val="nil"/>
          <w:bottom w:val="nil"/>
          <w:right w:val="nil"/>
          <w:between w:val="nil"/>
        </w:pBdr>
        <w:spacing w:before="240" w:after="240"/>
        <w:rPr>
          <w:color w:val="000000"/>
          <w:lang w:val="en-GB"/>
        </w:rPr>
      </w:pPr>
      <w:r w:rsidRPr="00820F7A">
        <w:rPr>
          <w:color w:val="000000"/>
          <w:highlight w:val="white"/>
          <w:lang w:val="en-GB"/>
        </w:rPr>
        <w:t xml:space="preserve">Tenza, I.S., Attafuah, P.Y., Abor, P., Nketiah-Amponsah, E. and Abuosi, A.A., (2022). Hospital managers’ views on the state of patient safety culture across three regions in Ghana. </w:t>
      </w:r>
      <w:r w:rsidRPr="00820F7A">
        <w:rPr>
          <w:i/>
          <w:iCs/>
          <w:color w:val="000000"/>
          <w:lang w:val="en-GB"/>
        </w:rPr>
        <w:t>BMC Health Services Research</w:t>
      </w:r>
      <w:r w:rsidRPr="00820F7A">
        <w:rPr>
          <w:color w:val="000000"/>
          <w:lang w:val="en-GB"/>
        </w:rPr>
        <w:t xml:space="preserve">, </w:t>
      </w:r>
      <w:r w:rsidRPr="00820F7A">
        <w:rPr>
          <w:i/>
          <w:iCs/>
          <w:color w:val="000000"/>
          <w:lang w:val="en-GB"/>
        </w:rPr>
        <w:t>22</w:t>
      </w:r>
      <w:r w:rsidRPr="00820F7A">
        <w:rPr>
          <w:color w:val="000000"/>
          <w:lang w:val="en-GB"/>
        </w:rPr>
        <w:t>(1), p.1300.</w:t>
      </w:r>
    </w:p>
    <w:p w14:paraId="67C8D9A6" w14:textId="77777777" w:rsidR="00826870" w:rsidRPr="00820F7A" w:rsidRDefault="00B21388">
      <w:pPr>
        <w:pStyle w:val="Normal1"/>
        <w:pBdr>
          <w:top w:val="nil"/>
          <w:left w:val="nil"/>
          <w:bottom w:val="nil"/>
          <w:right w:val="nil"/>
          <w:between w:val="nil"/>
        </w:pBdr>
        <w:rPr>
          <w:color w:val="000000"/>
          <w:lang w:val="en-GB"/>
        </w:rPr>
      </w:pPr>
      <w:r w:rsidRPr="00820F7A">
        <w:rPr>
          <w:lang w:val="en-GB"/>
        </w:rPr>
        <w:br w:type="page"/>
      </w:r>
    </w:p>
    <w:p w14:paraId="1F52A061" w14:textId="77777777" w:rsidR="00826870" w:rsidRPr="00820F7A" w:rsidRDefault="00B21388">
      <w:pPr>
        <w:pStyle w:val="Heading1"/>
        <w:rPr>
          <w:lang w:val="en-GB"/>
        </w:rPr>
      </w:pPr>
      <w:bookmarkStart w:id="102" w:name="_Toc220759537"/>
      <w:r w:rsidRPr="00820F7A">
        <w:rPr>
          <w:lang w:val="en-GB"/>
        </w:rPr>
        <w:t>Appendix 1: CASP</w:t>
      </w:r>
      <w:bookmarkEnd w:id="102"/>
    </w:p>
    <w:p w14:paraId="3FDF725E" w14:textId="77777777" w:rsidR="00826870" w:rsidRPr="00820F7A" w:rsidRDefault="00B21388">
      <w:pPr>
        <w:pStyle w:val="Normal1"/>
        <w:pBdr>
          <w:top w:val="nil"/>
          <w:left w:val="nil"/>
          <w:bottom w:val="nil"/>
          <w:right w:val="nil"/>
          <w:between w:val="nil"/>
        </w:pBdr>
        <w:rPr>
          <w:b/>
          <w:bCs/>
          <w:color w:val="000000"/>
          <w:lang w:val="en-GB"/>
        </w:rPr>
      </w:pPr>
      <w:r w:rsidRPr="00820F7A">
        <w:rPr>
          <w:b/>
          <w:bCs/>
          <w:color w:val="000000"/>
          <w:highlight w:val="white"/>
          <w:lang w:val="en-GB"/>
        </w:rPr>
        <w:t>Table 3.0: Quality assessment of included qualitative studies using CASP tool</w:t>
      </w:r>
    </w:p>
    <w:tbl>
      <w:tblPr>
        <w:tblStyle w:val="afff8"/>
        <w:tblW w:w="9576" w:type="dxa"/>
        <w:tblInd w:w="-108"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00" w:firstRow="0" w:lastRow="0" w:firstColumn="0" w:lastColumn="0" w:noHBand="0" w:noVBand="1"/>
      </w:tblPr>
      <w:tblGrid>
        <w:gridCol w:w="1135"/>
        <w:gridCol w:w="770"/>
        <w:gridCol w:w="929"/>
        <w:gridCol w:w="846"/>
        <w:gridCol w:w="846"/>
        <w:gridCol w:w="798"/>
        <w:gridCol w:w="895"/>
        <w:gridCol w:w="1026"/>
        <w:gridCol w:w="798"/>
        <w:gridCol w:w="763"/>
        <w:gridCol w:w="770"/>
      </w:tblGrid>
      <w:tr w:rsidR="00826870" w:rsidRPr="00820F7A" w14:paraId="2DD0C2F6" w14:textId="77777777">
        <w:trPr>
          <w:cantSplit/>
          <w:tblHeader/>
        </w:trPr>
        <w:tc>
          <w:tcPr>
            <w:tcW w:w="1135" w:type="dxa"/>
          </w:tcPr>
          <w:p w14:paraId="7A3364C6" w14:textId="77777777" w:rsidR="00826870" w:rsidRPr="00820F7A" w:rsidRDefault="00B21388">
            <w:pPr>
              <w:pStyle w:val="Normal1"/>
              <w:pBdr>
                <w:top w:val="nil"/>
                <w:left w:val="nil"/>
                <w:bottom w:val="nil"/>
                <w:right w:val="nil"/>
                <w:between w:val="nil"/>
              </w:pBdr>
              <w:spacing w:line="360" w:lineRule="auto"/>
              <w:jc w:val="center"/>
              <w:rPr>
                <w:color w:val="000000"/>
                <w:lang w:val="en-GB"/>
              </w:rPr>
            </w:pPr>
            <w:r w:rsidRPr="00820F7A">
              <w:rPr>
                <w:color w:val="000000"/>
                <w:lang w:val="en-GB"/>
              </w:rPr>
              <w:t>Reference</w:t>
            </w:r>
          </w:p>
        </w:tc>
        <w:tc>
          <w:tcPr>
            <w:tcW w:w="770" w:type="dxa"/>
          </w:tcPr>
          <w:p w14:paraId="20ADFDF6" w14:textId="77777777" w:rsidR="00826870" w:rsidRPr="00820F7A" w:rsidRDefault="00B21388">
            <w:pPr>
              <w:pStyle w:val="Normal1"/>
              <w:pBdr>
                <w:top w:val="nil"/>
                <w:left w:val="nil"/>
                <w:bottom w:val="nil"/>
                <w:right w:val="nil"/>
                <w:between w:val="nil"/>
              </w:pBdr>
              <w:spacing w:line="360" w:lineRule="auto"/>
              <w:jc w:val="center"/>
              <w:rPr>
                <w:color w:val="000000"/>
                <w:lang w:val="en-GB"/>
              </w:rPr>
            </w:pPr>
            <w:r w:rsidRPr="00820F7A">
              <w:rPr>
                <w:color w:val="000000"/>
                <w:lang w:val="en-GB"/>
              </w:rPr>
              <w:t>Was there a clear statement of the aims of the research?</w:t>
            </w:r>
          </w:p>
        </w:tc>
        <w:tc>
          <w:tcPr>
            <w:tcW w:w="929" w:type="dxa"/>
          </w:tcPr>
          <w:p w14:paraId="4DF48DEC" w14:textId="77777777" w:rsidR="00826870" w:rsidRPr="00820F7A" w:rsidRDefault="00B21388">
            <w:pPr>
              <w:pStyle w:val="Normal1"/>
              <w:pBdr>
                <w:top w:val="nil"/>
                <w:left w:val="nil"/>
                <w:bottom w:val="nil"/>
                <w:right w:val="nil"/>
                <w:between w:val="nil"/>
              </w:pBdr>
              <w:spacing w:line="360" w:lineRule="auto"/>
              <w:jc w:val="center"/>
              <w:rPr>
                <w:color w:val="000000"/>
                <w:lang w:val="en-GB"/>
              </w:rPr>
            </w:pPr>
            <w:r w:rsidRPr="00820F7A">
              <w:rPr>
                <w:color w:val="000000"/>
                <w:lang w:val="en-GB"/>
              </w:rPr>
              <w:t>Is a qualitative methodology appropriate?</w:t>
            </w:r>
          </w:p>
        </w:tc>
        <w:tc>
          <w:tcPr>
            <w:tcW w:w="846" w:type="dxa"/>
          </w:tcPr>
          <w:p w14:paraId="39F5827B" w14:textId="77777777" w:rsidR="00826870" w:rsidRPr="00820F7A" w:rsidRDefault="00B21388">
            <w:pPr>
              <w:pStyle w:val="Normal1"/>
              <w:pBdr>
                <w:top w:val="nil"/>
                <w:left w:val="nil"/>
                <w:bottom w:val="nil"/>
                <w:right w:val="nil"/>
                <w:between w:val="nil"/>
              </w:pBdr>
              <w:spacing w:line="360" w:lineRule="auto"/>
              <w:jc w:val="center"/>
              <w:rPr>
                <w:color w:val="000000"/>
                <w:lang w:val="en-GB"/>
              </w:rPr>
            </w:pPr>
            <w:r w:rsidRPr="00820F7A">
              <w:rPr>
                <w:color w:val="000000"/>
                <w:lang w:val="en-GB"/>
              </w:rPr>
              <w:t>Was the research design appropriate to address the aims of the research?</w:t>
            </w:r>
          </w:p>
        </w:tc>
        <w:tc>
          <w:tcPr>
            <w:tcW w:w="846" w:type="dxa"/>
          </w:tcPr>
          <w:p w14:paraId="1A9B8A2B" w14:textId="77777777" w:rsidR="00826870" w:rsidRPr="00820F7A" w:rsidRDefault="00B21388">
            <w:pPr>
              <w:pStyle w:val="Normal1"/>
              <w:pBdr>
                <w:top w:val="nil"/>
                <w:left w:val="nil"/>
                <w:bottom w:val="nil"/>
                <w:right w:val="nil"/>
                <w:between w:val="nil"/>
              </w:pBdr>
              <w:spacing w:line="360" w:lineRule="auto"/>
              <w:jc w:val="center"/>
              <w:rPr>
                <w:color w:val="000000"/>
                <w:lang w:val="en-GB"/>
              </w:rPr>
            </w:pPr>
            <w:r w:rsidRPr="00820F7A">
              <w:rPr>
                <w:color w:val="000000"/>
                <w:lang w:val="en-GB"/>
              </w:rPr>
              <w:t>Was the recruitment strategy appropriate to the aims of the research?</w:t>
            </w:r>
          </w:p>
        </w:tc>
        <w:tc>
          <w:tcPr>
            <w:tcW w:w="798" w:type="dxa"/>
          </w:tcPr>
          <w:p w14:paraId="5C105329" w14:textId="77777777" w:rsidR="00826870" w:rsidRPr="00820F7A" w:rsidRDefault="00B21388">
            <w:pPr>
              <w:pStyle w:val="Normal1"/>
              <w:pBdr>
                <w:top w:val="nil"/>
                <w:left w:val="nil"/>
                <w:bottom w:val="nil"/>
                <w:right w:val="nil"/>
                <w:between w:val="nil"/>
              </w:pBdr>
              <w:spacing w:line="360" w:lineRule="auto"/>
              <w:jc w:val="center"/>
              <w:rPr>
                <w:color w:val="000000"/>
                <w:lang w:val="en-GB"/>
              </w:rPr>
            </w:pPr>
            <w:r w:rsidRPr="00820F7A">
              <w:rPr>
                <w:color w:val="000000"/>
                <w:lang w:val="en-GB"/>
              </w:rPr>
              <w:t>Was the data collected in a way that addressed the research issue?</w:t>
            </w:r>
          </w:p>
        </w:tc>
        <w:tc>
          <w:tcPr>
            <w:tcW w:w="895" w:type="dxa"/>
          </w:tcPr>
          <w:p w14:paraId="795326EE" w14:textId="77777777" w:rsidR="00826870" w:rsidRPr="00820F7A" w:rsidRDefault="00B21388">
            <w:pPr>
              <w:pStyle w:val="Normal1"/>
              <w:pBdr>
                <w:top w:val="nil"/>
                <w:left w:val="nil"/>
                <w:bottom w:val="nil"/>
                <w:right w:val="nil"/>
                <w:between w:val="nil"/>
              </w:pBdr>
              <w:spacing w:line="360" w:lineRule="auto"/>
              <w:jc w:val="center"/>
              <w:rPr>
                <w:color w:val="000000"/>
                <w:lang w:val="en-GB"/>
              </w:rPr>
            </w:pPr>
            <w:r w:rsidRPr="00820F7A">
              <w:rPr>
                <w:color w:val="000000"/>
                <w:lang w:val="en-GB"/>
              </w:rPr>
              <w:t>Has the relationship between researcher and participants been adequately considered?</w:t>
            </w:r>
          </w:p>
        </w:tc>
        <w:tc>
          <w:tcPr>
            <w:tcW w:w="1026" w:type="dxa"/>
          </w:tcPr>
          <w:p w14:paraId="06096CE7" w14:textId="77777777" w:rsidR="00826870" w:rsidRPr="00820F7A" w:rsidRDefault="00B21388">
            <w:pPr>
              <w:pStyle w:val="Normal1"/>
              <w:pBdr>
                <w:top w:val="nil"/>
                <w:left w:val="nil"/>
                <w:bottom w:val="nil"/>
                <w:right w:val="nil"/>
                <w:between w:val="nil"/>
              </w:pBdr>
              <w:spacing w:line="360" w:lineRule="auto"/>
              <w:jc w:val="center"/>
              <w:rPr>
                <w:color w:val="000000"/>
                <w:lang w:val="en-GB"/>
              </w:rPr>
            </w:pPr>
            <w:r w:rsidRPr="00820F7A">
              <w:rPr>
                <w:color w:val="000000"/>
                <w:lang w:val="en-GB"/>
              </w:rPr>
              <w:t>Have ethical issues been taken into consideration?</w:t>
            </w:r>
          </w:p>
        </w:tc>
        <w:tc>
          <w:tcPr>
            <w:tcW w:w="798" w:type="dxa"/>
          </w:tcPr>
          <w:p w14:paraId="32A397E3" w14:textId="77777777" w:rsidR="00826870" w:rsidRPr="00820F7A" w:rsidRDefault="00B21388">
            <w:pPr>
              <w:pStyle w:val="Normal1"/>
              <w:pBdr>
                <w:top w:val="nil"/>
                <w:left w:val="nil"/>
                <w:bottom w:val="nil"/>
                <w:right w:val="nil"/>
                <w:between w:val="nil"/>
              </w:pBdr>
              <w:spacing w:line="360" w:lineRule="auto"/>
              <w:jc w:val="center"/>
              <w:rPr>
                <w:color w:val="000000"/>
                <w:lang w:val="en-GB"/>
              </w:rPr>
            </w:pPr>
            <w:r w:rsidRPr="00820F7A">
              <w:rPr>
                <w:color w:val="000000"/>
                <w:lang w:val="en-GB"/>
              </w:rPr>
              <w:t>Was the data analysis sufficiently rigorous?</w:t>
            </w:r>
          </w:p>
        </w:tc>
        <w:tc>
          <w:tcPr>
            <w:tcW w:w="763" w:type="dxa"/>
          </w:tcPr>
          <w:p w14:paraId="49069B42" w14:textId="77777777" w:rsidR="00826870" w:rsidRPr="00820F7A" w:rsidRDefault="00B21388">
            <w:pPr>
              <w:pStyle w:val="Normal1"/>
              <w:pBdr>
                <w:top w:val="nil"/>
                <w:left w:val="nil"/>
                <w:bottom w:val="nil"/>
                <w:right w:val="nil"/>
                <w:between w:val="nil"/>
              </w:pBdr>
              <w:spacing w:line="360" w:lineRule="auto"/>
              <w:jc w:val="center"/>
              <w:rPr>
                <w:color w:val="000000"/>
                <w:lang w:val="en-GB"/>
              </w:rPr>
            </w:pPr>
            <w:r w:rsidRPr="00820F7A">
              <w:rPr>
                <w:color w:val="000000"/>
                <w:lang w:val="en-GB"/>
              </w:rPr>
              <w:t>Is there a clear statement of findings?</w:t>
            </w:r>
          </w:p>
        </w:tc>
        <w:tc>
          <w:tcPr>
            <w:tcW w:w="770" w:type="dxa"/>
          </w:tcPr>
          <w:p w14:paraId="1D7F0ADF" w14:textId="77777777" w:rsidR="00826870" w:rsidRPr="00820F7A" w:rsidRDefault="00B21388">
            <w:pPr>
              <w:pStyle w:val="Normal1"/>
              <w:pBdr>
                <w:top w:val="nil"/>
                <w:left w:val="nil"/>
                <w:bottom w:val="nil"/>
                <w:right w:val="nil"/>
                <w:between w:val="nil"/>
              </w:pBdr>
              <w:spacing w:line="360" w:lineRule="auto"/>
              <w:jc w:val="center"/>
              <w:rPr>
                <w:color w:val="000000"/>
                <w:lang w:val="en-GB"/>
              </w:rPr>
            </w:pPr>
            <w:r w:rsidRPr="00820F7A">
              <w:rPr>
                <w:color w:val="000000"/>
                <w:lang w:val="en-GB"/>
              </w:rPr>
              <w:t>How valuable is the research?</w:t>
            </w:r>
          </w:p>
        </w:tc>
      </w:tr>
      <w:tr w:rsidR="00826870" w:rsidRPr="00820F7A" w14:paraId="120EE171" w14:textId="77777777">
        <w:trPr>
          <w:cantSplit/>
          <w:tblHeader/>
        </w:trPr>
        <w:tc>
          <w:tcPr>
            <w:tcW w:w="1135" w:type="dxa"/>
          </w:tcPr>
          <w:p w14:paraId="3CD428D1" w14:textId="77777777" w:rsidR="00826870" w:rsidRPr="00820F7A" w:rsidRDefault="00B21388">
            <w:pPr>
              <w:pStyle w:val="Normal1"/>
              <w:pBdr>
                <w:top w:val="nil"/>
                <w:left w:val="nil"/>
                <w:bottom w:val="nil"/>
                <w:right w:val="nil"/>
                <w:between w:val="nil"/>
              </w:pBdr>
              <w:spacing w:line="360" w:lineRule="auto"/>
              <w:rPr>
                <w:color w:val="000000"/>
                <w:lang w:val="en-GB"/>
              </w:rPr>
            </w:pPr>
            <w:r w:rsidRPr="00820F7A">
              <w:rPr>
                <w:color w:val="000000"/>
                <w:lang w:val="en-GB"/>
              </w:rPr>
              <w:t>Yeowell et al. (2024)</w:t>
            </w:r>
          </w:p>
        </w:tc>
        <w:tc>
          <w:tcPr>
            <w:tcW w:w="770" w:type="dxa"/>
          </w:tcPr>
          <w:p w14:paraId="322E9E69"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29" w:type="dxa"/>
          </w:tcPr>
          <w:p w14:paraId="417FFCBC"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46" w:type="dxa"/>
          </w:tcPr>
          <w:p w14:paraId="660F82EC"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46" w:type="dxa"/>
          </w:tcPr>
          <w:p w14:paraId="7C1E94A3"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98" w:type="dxa"/>
          </w:tcPr>
          <w:p w14:paraId="3C39298D"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95" w:type="dxa"/>
          </w:tcPr>
          <w:p w14:paraId="77FBD545"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1026" w:type="dxa"/>
          </w:tcPr>
          <w:p w14:paraId="1331AA1C"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98" w:type="dxa"/>
          </w:tcPr>
          <w:p w14:paraId="7357B954"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63" w:type="dxa"/>
          </w:tcPr>
          <w:p w14:paraId="076DBE76"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70" w:type="dxa"/>
          </w:tcPr>
          <w:p w14:paraId="18305A8F"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r>
      <w:tr w:rsidR="00826870" w:rsidRPr="00820F7A" w14:paraId="1F6EB0F7" w14:textId="77777777">
        <w:trPr>
          <w:cantSplit/>
          <w:tblHeader/>
        </w:trPr>
        <w:tc>
          <w:tcPr>
            <w:tcW w:w="1135" w:type="dxa"/>
          </w:tcPr>
          <w:p w14:paraId="5FEB5615" w14:textId="77777777" w:rsidR="00826870" w:rsidRPr="00820F7A" w:rsidRDefault="00B21388">
            <w:pPr>
              <w:pStyle w:val="Normal1"/>
              <w:pBdr>
                <w:top w:val="nil"/>
                <w:left w:val="nil"/>
                <w:bottom w:val="nil"/>
                <w:right w:val="nil"/>
                <w:between w:val="nil"/>
              </w:pBdr>
              <w:spacing w:line="360" w:lineRule="auto"/>
              <w:rPr>
                <w:color w:val="000000"/>
                <w:lang w:val="en-GB"/>
              </w:rPr>
            </w:pPr>
            <w:r w:rsidRPr="00820F7A">
              <w:rPr>
                <w:color w:val="000000"/>
                <w:lang w:val="en-GB"/>
              </w:rPr>
              <w:t>Wickramasekera et al. (2024)</w:t>
            </w:r>
          </w:p>
        </w:tc>
        <w:tc>
          <w:tcPr>
            <w:tcW w:w="770" w:type="dxa"/>
          </w:tcPr>
          <w:p w14:paraId="62526002"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29" w:type="dxa"/>
          </w:tcPr>
          <w:p w14:paraId="0D3A1AA6"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46" w:type="dxa"/>
          </w:tcPr>
          <w:p w14:paraId="091D17B1"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46" w:type="dxa"/>
          </w:tcPr>
          <w:p w14:paraId="3C229C6B"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98" w:type="dxa"/>
          </w:tcPr>
          <w:p w14:paraId="16D79AC7"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95" w:type="dxa"/>
          </w:tcPr>
          <w:p w14:paraId="685978F7"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1026" w:type="dxa"/>
          </w:tcPr>
          <w:p w14:paraId="4B82902B"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98" w:type="dxa"/>
          </w:tcPr>
          <w:p w14:paraId="6AE1A5CC"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63" w:type="dxa"/>
          </w:tcPr>
          <w:p w14:paraId="6DA27DB1"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70" w:type="dxa"/>
          </w:tcPr>
          <w:p w14:paraId="0DBCCF70"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r>
      <w:tr w:rsidR="00826870" w:rsidRPr="00820F7A" w14:paraId="27AAFC48" w14:textId="77777777">
        <w:trPr>
          <w:cantSplit/>
          <w:tblHeader/>
        </w:trPr>
        <w:tc>
          <w:tcPr>
            <w:tcW w:w="1135" w:type="dxa"/>
          </w:tcPr>
          <w:p w14:paraId="7487ACD3" w14:textId="77777777" w:rsidR="00826870" w:rsidRPr="00820F7A" w:rsidRDefault="00B21388">
            <w:pPr>
              <w:pStyle w:val="Normal1"/>
              <w:pBdr>
                <w:top w:val="nil"/>
                <w:left w:val="nil"/>
                <w:bottom w:val="nil"/>
                <w:right w:val="nil"/>
                <w:between w:val="nil"/>
              </w:pBdr>
              <w:spacing w:line="360" w:lineRule="auto"/>
              <w:rPr>
                <w:color w:val="000000"/>
                <w:lang w:val="en-GB"/>
              </w:rPr>
            </w:pPr>
            <w:r w:rsidRPr="00820F7A">
              <w:rPr>
                <w:color w:val="000000"/>
                <w:lang w:val="en-GB"/>
              </w:rPr>
              <w:t>Scheffer, (2025)</w:t>
            </w:r>
          </w:p>
        </w:tc>
        <w:tc>
          <w:tcPr>
            <w:tcW w:w="770" w:type="dxa"/>
          </w:tcPr>
          <w:p w14:paraId="13FE043B"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29" w:type="dxa"/>
          </w:tcPr>
          <w:p w14:paraId="12F4FC5D"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46" w:type="dxa"/>
          </w:tcPr>
          <w:p w14:paraId="5B8246B6"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46" w:type="dxa"/>
          </w:tcPr>
          <w:p w14:paraId="2FDFA689"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98" w:type="dxa"/>
          </w:tcPr>
          <w:p w14:paraId="32049742"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95" w:type="dxa"/>
          </w:tcPr>
          <w:p w14:paraId="752B8F5F"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1026" w:type="dxa"/>
          </w:tcPr>
          <w:p w14:paraId="23282BE5"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98" w:type="dxa"/>
          </w:tcPr>
          <w:p w14:paraId="5728B7BF"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63" w:type="dxa"/>
          </w:tcPr>
          <w:p w14:paraId="501E0622"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70" w:type="dxa"/>
          </w:tcPr>
          <w:p w14:paraId="2ADE27D6"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r>
      <w:tr w:rsidR="00826870" w:rsidRPr="00820F7A" w14:paraId="4DE9D548" w14:textId="77777777">
        <w:trPr>
          <w:cantSplit/>
          <w:tblHeader/>
        </w:trPr>
        <w:tc>
          <w:tcPr>
            <w:tcW w:w="1135" w:type="dxa"/>
          </w:tcPr>
          <w:p w14:paraId="659D3131" w14:textId="77777777" w:rsidR="00826870" w:rsidRPr="00820F7A" w:rsidRDefault="00B21388">
            <w:pPr>
              <w:pStyle w:val="Normal1"/>
              <w:pBdr>
                <w:top w:val="nil"/>
                <w:left w:val="nil"/>
                <w:bottom w:val="nil"/>
                <w:right w:val="nil"/>
                <w:between w:val="nil"/>
              </w:pBdr>
              <w:spacing w:line="360" w:lineRule="auto"/>
              <w:rPr>
                <w:color w:val="000000"/>
                <w:lang w:val="en-GB"/>
              </w:rPr>
            </w:pPr>
            <w:r w:rsidRPr="00820F7A">
              <w:rPr>
                <w:color w:val="000000"/>
                <w:lang w:val="en-GB"/>
              </w:rPr>
              <w:t>Haoyan et al. (2023)</w:t>
            </w:r>
          </w:p>
        </w:tc>
        <w:tc>
          <w:tcPr>
            <w:tcW w:w="770" w:type="dxa"/>
          </w:tcPr>
          <w:p w14:paraId="5A75193D"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29" w:type="dxa"/>
          </w:tcPr>
          <w:p w14:paraId="59561D57"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46" w:type="dxa"/>
          </w:tcPr>
          <w:p w14:paraId="57B066D3"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46" w:type="dxa"/>
          </w:tcPr>
          <w:p w14:paraId="25658CCA"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98" w:type="dxa"/>
          </w:tcPr>
          <w:p w14:paraId="43D6D695"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95" w:type="dxa"/>
          </w:tcPr>
          <w:p w14:paraId="23F2EA9F"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1026" w:type="dxa"/>
          </w:tcPr>
          <w:p w14:paraId="391F9D18"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98" w:type="dxa"/>
          </w:tcPr>
          <w:p w14:paraId="0CDA7890"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63" w:type="dxa"/>
          </w:tcPr>
          <w:p w14:paraId="344FF3CC"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70" w:type="dxa"/>
          </w:tcPr>
          <w:p w14:paraId="7A489785"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r>
      <w:tr w:rsidR="00826870" w:rsidRPr="00820F7A" w14:paraId="102AD672" w14:textId="77777777">
        <w:trPr>
          <w:cantSplit/>
          <w:tblHeader/>
        </w:trPr>
        <w:tc>
          <w:tcPr>
            <w:tcW w:w="1135" w:type="dxa"/>
          </w:tcPr>
          <w:p w14:paraId="1EA810B0" w14:textId="77777777" w:rsidR="00826870" w:rsidRPr="00820F7A" w:rsidRDefault="00B21388">
            <w:pPr>
              <w:pStyle w:val="Normal1"/>
              <w:pBdr>
                <w:top w:val="nil"/>
                <w:left w:val="nil"/>
                <w:bottom w:val="nil"/>
                <w:right w:val="nil"/>
                <w:between w:val="nil"/>
              </w:pBdr>
              <w:spacing w:line="360" w:lineRule="auto"/>
              <w:rPr>
                <w:color w:val="000000"/>
                <w:lang w:val="en-GB"/>
              </w:rPr>
            </w:pPr>
            <w:r w:rsidRPr="00820F7A">
              <w:rPr>
                <w:color w:val="000000"/>
                <w:lang w:val="en-GB"/>
              </w:rPr>
              <w:t xml:space="preserve">Backman </w:t>
            </w:r>
            <w:r w:rsidRPr="00820F7A">
              <w:rPr>
                <w:i/>
                <w:iCs/>
                <w:color w:val="000000"/>
                <w:lang w:val="en-GB"/>
              </w:rPr>
              <w:t>et al.</w:t>
            </w:r>
            <w:r w:rsidRPr="00820F7A">
              <w:rPr>
                <w:color w:val="000000"/>
                <w:lang w:val="en-GB"/>
              </w:rPr>
              <w:t xml:space="preserve"> (2025)</w:t>
            </w:r>
          </w:p>
        </w:tc>
        <w:tc>
          <w:tcPr>
            <w:tcW w:w="770" w:type="dxa"/>
          </w:tcPr>
          <w:p w14:paraId="3094E823"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29" w:type="dxa"/>
          </w:tcPr>
          <w:p w14:paraId="5B9A4308"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46" w:type="dxa"/>
          </w:tcPr>
          <w:p w14:paraId="480A6C36"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46" w:type="dxa"/>
          </w:tcPr>
          <w:p w14:paraId="52E63972"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98" w:type="dxa"/>
          </w:tcPr>
          <w:p w14:paraId="65369E7B"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95" w:type="dxa"/>
          </w:tcPr>
          <w:p w14:paraId="7B6ACD3D"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1026" w:type="dxa"/>
          </w:tcPr>
          <w:p w14:paraId="4B50A754"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98" w:type="dxa"/>
          </w:tcPr>
          <w:p w14:paraId="70301941"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63" w:type="dxa"/>
          </w:tcPr>
          <w:p w14:paraId="0045C75B"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70" w:type="dxa"/>
          </w:tcPr>
          <w:p w14:paraId="0FFDA18A"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r>
      <w:tr w:rsidR="00826870" w:rsidRPr="00820F7A" w14:paraId="1FBB221C" w14:textId="77777777">
        <w:trPr>
          <w:cantSplit/>
          <w:tblHeader/>
        </w:trPr>
        <w:tc>
          <w:tcPr>
            <w:tcW w:w="1135" w:type="dxa"/>
          </w:tcPr>
          <w:p w14:paraId="567194CF" w14:textId="77777777" w:rsidR="00826870" w:rsidRPr="00820F7A" w:rsidRDefault="00B21388">
            <w:pPr>
              <w:pStyle w:val="Normal1"/>
              <w:pBdr>
                <w:top w:val="nil"/>
                <w:left w:val="nil"/>
                <w:bottom w:val="nil"/>
                <w:right w:val="nil"/>
                <w:between w:val="nil"/>
              </w:pBdr>
              <w:spacing w:line="360" w:lineRule="auto"/>
              <w:rPr>
                <w:color w:val="000000"/>
                <w:lang w:val="en-GB"/>
              </w:rPr>
            </w:pPr>
            <w:r w:rsidRPr="00820F7A">
              <w:rPr>
                <w:color w:val="000000"/>
                <w:lang w:val="en-GB"/>
              </w:rPr>
              <w:t>Alkan et al. (2024)</w:t>
            </w:r>
          </w:p>
        </w:tc>
        <w:tc>
          <w:tcPr>
            <w:tcW w:w="770" w:type="dxa"/>
          </w:tcPr>
          <w:p w14:paraId="5E669A7A"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29" w:type="dxa"/>
          </w:tcPr>
          <w:p w14:paraId="21411F1A"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46" w:type="dxa"/>
          </w:tcPr>
          <w:p w14:paraId="5A52E7AF"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46" w:type="dxa"/>
          </w:tcPr>
          <w:p w14:paraId="398F0A1A"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98" w:type="dxa"/>
          </w:tcPr>
          <w:p w14:paraId="3F836601"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95" w:type="dxa"/>
          </w:tcPr>
          <w:p w14:paraId="2EED170C"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1026" w:type="dxa"/>
          </w:tcPr>
          <w:p w14:paraId="5899E34D"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98" w:type="dxa"/>
          </w:tcPr>
          <w:p w14:paraId="22B1E6CD"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63" w:type="dxa"/>
          </w:tcPr>
          <w:p w14:paraId="1DF01A8B"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70" w:type="dxa"/>
          </w:tcPr>
          <w:p w14:paraId="1F3718B2"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r>
      <w:tr w:rsidR="00826870" w:rsidRPr="00820F7A" w14:paraId="3C8BEAD4" w14:textId="77777777">
        <w:trPr>
          <w:cantSplit/>
          <w:tblHeader/>
        </w:trPr>
        <w:tc>
          <w:tcPr>
            <w:tcW w:w="1135" w:type="dxa"/>
          </w:tcPr>
          <w:p w14:paraId="69183D8C" w14:textId="77777777" w:rsidR="00826870" w:rsidRPr="00820F7A" w:rsidRDefault="00B21388">
            <w:pPr>
              <w:pStyle w:val="Normal1"/>
              <w:pBdr>
                <w:top w:val="nil"/>
                <w:left w:val="nil"/>
                <w:bottom w:val="nil"/>
                <w:right w:val="nil"/>
                <w:between w:val="nil"/>
              </w:pBdr>
              <w:spacing w:line="360" w:lineRule="auto"/>
              <w:rPr>
                <w:color w:val="000000"/>
                <w:lang w:val="en-GB"/>
              </w:rPr>
            </w:pPr>
            <w:r w:rsidRPr="00820F7A">
              <w:rPr>
                <w:color w:val="000000"/>
                <w:lang w:val="en-GB"/>
              </w:rPr>
              <w:t>Carter et al. (2022)</w:t>
            </w:r>
          </w:p>
        </w:tc>
        <w:tc>
          <w:tcPr>
            <w:tcW w:w="770" w:type="dxa"/>
          </w:tcPr>
          <w:p w14:paraId="61FE1899"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29" w:type="dxa"/>
          </w:tcPr>
          <w:p w14:paraId="6C027F45"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46" w:type="dxa"/>
          </w:tcPr>
          <w:p w14:paraId="36D9642A"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46" w:type="dxa"/>
          </w:tcPr>
          <w:p w14:paraId="4CE480E4"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98" w:type="dxa"/>
          </w:tcPr>
          <w:p w14:paraId="7531784D"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95" w:type="dxa"/>
          </w:tcPr>
          <w:p w14:paraId="05E11B23"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1026" w:type="dxa"/>
          </w:tcPr>
          <w:p w14:paraId="27DAB641"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98" w:type="dxa"/>
          </w:tcPr>
          <w:p w14:paraId="0C8E995C"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63" w:type="dxa"/>
          </w:tcPr>
          <w:p w14:paraId="559E054F"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70" w:type="dxa"/>
          </w:tcPr>
          <w:p w14:paraId="2A3E8BF4"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r>
      <w:tr w:rsidR="00826870" w:rsidRPr="00820F7A" w14:paraId="06001A35" w14:textId="77777777">
        <w:trPr>
          <w:cantSplit/>
          <w:tblHeader/>
        </w:trPr>
        <w:tc>
          <w:tcPr>
            <w:tcW w:w="1135" w:type="dxa"/>
          </w:tcPr>
          <w:p w14:paraId="5EBCA307" w14:textId="77777777" w:rsidR="00826870" w:rsidRPr="00820F7A" w:rsidRDefault="00B21388">
            <w:pPr>
              <w:pStyle w:val="Normal1"/>
              <w:pBdr>
                <w:top w:val="nil"/>
                <w:left w:val="nil"/>
                <w:bottom w:val="nil"/>
                <w:right w:val="nil"/>
                <w:between w:val="nil"/>
              </w:pBdr>
              <w:spacing w:line="360" w:lineRule="auto"/>
              <w:rPr>
                <w:color w:val="000000"/>
                <w:lang w:val="en-GB"/>
              </w:rPr>
            </w:pPr>
            <w:r w:rsidRPr="00820F7A">
              <w:rPr>
                <w:color w:val="000000"/>
                <w:lang w:val="en-GB"/>
              </w:rPr>
              <w:t>Rowen et al. (2022)</w:t>
            </w:r>
          </w:p>
        </w:tc>
        <w:tc>
          <w:tcPr>
            <w:tcW w:w="770" w:type="dxa"/>
          </w:tcPr>
          <w:p w14:paraId="05C71F7C"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29" w:type="dxa"/>
          </w:tcPr>
          <w:p w14:paraId="430F86A7"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46" w:type="dxa"/>
          </w:tcPr>
          <w:p w14:paraId="45AD8DC2"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46" w:type="dxa"/>
          </w:tcPr>
          <w:p w14:paraId="2E242431"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98" w:type="dxa"/>
          </w:tcPr>
          <w:p w14:paraId="3B8D480A"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95" w:type="dxa"/>
          </w:tcPr>
          <w:p w14:paraId="3611721D"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1026" w:type="dxa"/>
          </w:tcPr>
          <w:p w14:paraId="56538B24"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98" w:type="dxa"/>
          </w:tcPr>
          <w:p w14:paraId="5E0DBE4A"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63" w:type="dxa"/>
          </w:tcPr>
          <w:p w14:paraId="504A1165"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70" w:type="dxa"/>
          </w:tcPr>
          <w:p w14:paraId="448A3AD7"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r>
      <w:tr w:rsidR="00826870" w:rsidRPr="00820F7A" w14:paraId="0D011AB8" w14:textId="77777777">
        <w:trPr>
          <w:cantSplit/>
          <w:tblHeader/>
        </w:trPr>
        <w:tc>
          <w:tcPr>
            <w:tcW w:w="1135" w:type="dxa"/>
          </w:tcPr>
          <w:p w14:paraId="4CFA1D66" w14:textId="77777777" w:rsidR="00826870" w:rsidRPr="00820F7A" w:rsidRDefault="00B21388">
            <w:pPr>
              <w:pStyle w:val="Normal1"/>
              <w:pBdr>
                <w:top w:val="nil"/>
                <w:left w:val="nil"/>
                <w:bottom w:val="nil"/>
                <w:right w:val="nil"/>
                <w:between w:val="nil"/>
              </w:pBdr>
              <w:spacing w:line="360" w:lineRule="auto"/>
              <w:rPr>
                <w:color w:val="000000"/>
                <w:lang w:val="en-GB"/>
              </w:rPr>
            </w:pPr>
            <w:r w:rsidRPr="00820F7A">
              <w:rPr>
                <w:color w:val="000000"/>
                <w:lang w:val="en-GB"/>
              </w:rPr>
              <w:t>Lorenc et al. (2024)</w:t>
            </w:r>
          </w:p>
        </w:tc>
        <w:tc>
          <w:tcPr>
            <w:tcW w:w="770" w:type="dxa"/>
          </w:tcPr>
          <w:p w14:paraId="3246AA19"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29" w:type="dxa"/>
          </w:tcPr>
          <w:p w14:paraId="5BF844F7"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46" w:type="dxa"/>
          </w:tcPr>
          <w:p w14:paraId="5E7AA74C"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46" w:type="dxa"/>
          </w:tcPr>
          <w:p w14:paraId="2270FA35"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98" w:type="dxa"/>
          </w:tcPr>
          <w:p w14:paraId="633B96CC"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95" w:type="dxa"/>
          </w:tcPr>
          <w:p w14:paraId="0014FE42"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1026" w:type="dxa"/>
          </w:tcPr>
          <w:p w14:paraId="406ADDE7"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98" w:type="dxa"/>
          </w:tcPr>
          <w:p w14:paraId="5ECFBC09"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63" w:type="dxa"/>
          </w:tcPr>
          <w:p w14:paraId="626D99EE"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70" w:type="dxa"/>
          </w:tcPr>
          <w:p w14:paraId="21B7388C"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r>
      <w:tr w:rsidR="00826870" w:rsidRPr="00820F7A" w14:paraId="679F6C16" w14:textId="77777777">
        <w:trPr>
          <w:cantSplit/>
          <w:tblHeader/>
        </w:trPr>
        <w:tc>
          <w:tcPr>
            <w:tcW w:w="1135" w:type="dxa"/>
          </w:tcPr>
          <w:p w14:paraId="7E6ABFBC" w14:textId="77777777" w:rsidR="00826870" w:rsidRPr="00820F7A" w:rsidRDefault="00B21388">
            <w:pPr>
              <w:pStyle w:val="Normal1"/>
              <w:pBdr>
                <w:top w:val="nil"/>
                <w:left w:val="nil"/>
                <w:bottom w:val="nil"/>
                <w:right w:val="nil"/>
                <w:between w:val="nil"/>
              </w:pBdr>
              <w:spacing w:line="360" w:lineRule="auto"/>
              <w:rPr>
                <w:color w:val="000000"/>
                <w:lang w:val="en-GB"/>
              </w:rPr>
            </w:pPr>
            <w:r w:rsidRPr="00820F7A">
              <w:rPr>
                <w:color w:val="000000"/>
                <w:lang w:val="en-GB"/>
              </w:rPr>
              <w:t>Jones et al. (2024)</w:t>
            </w:r>
          </w:p>
        </w:tc>
        <w:tc>
          <w:tcPr>
            <w:tcW w:w="770" w:type="dxa"/>
          </w:tcPr>
          <w:p w14:paraId="604A86A8"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29" w:type="dxa"/>
          </w:tcPr>
          <w:p w14:paraId="261CC282"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46" w:type="dxa"/>
          </w:tcPr>
          <w:p w14:paraId="385EC926"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46" w:type="dxa"/>
          </w:tcPr>
          <w:p w14:paraId="27577B11"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98" w:type="dxa"/>
          </w:tcPr>
          <w:p w14:paraId="621900DB"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95" w:type="dxa"/>
          </w:tcPr>
          <w:p w14:paraId="7442CEE9"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1026" w:type="dxa"/>
          </w:tcPr>
          <w:p w14:paraId="4208BC6D"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98" w:type="dxa"/>
          </w:tcPr>
          <w:p w14:paraId="64317E22"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63" w:type="dxa"/>
          </w:tcPr>
          <w:p w14:paraId="59C0C4B4"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70" w:type="dxa"/>
          </w:tcPr>
          <w:p w14:paraId="53470BE0"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r>
      <w:tr w:rsidR="00826870" w:rsidRPr="00820F7A" w14:paraId="46D6B93C" w14:textId="77777777">
        <w:trPr>
          <w:cantSplit/>
          <w:tblHeader/>
        </w:trPr>
        <w:tc>
          <w:tcPr>
            <w:tcW w:w="1135" w:type="dxa"/>
          </w:tcPr>
          <w:p w14:paraId="6A026E6B" w14:textId="77777777" w:rsidR="00826870" w:rsidRPr="00820F7A" w:rsidRDefault="00B21388">
            <w:pPr>
              <w:pStyle w:val="Normal1"/>
              <w:pBdr>
                <w:top w:val="nil"/>
                <w:left w:val="nil"/>
                <w:bottom w:val="nil"/>
                <w:right w:val="nil"/>
                <w:between w:val="nil"/>
              </w:pBdr>
              <w:spacing w:line="360" w:lineRule="auto"/>
              <w:rPr>
                <w:color w:val="000000"/>
                <w:lang w:val="en-GB"/>
              </w:rPr>
            </w:pPr>
            <w:r w:rsidRPr="00820F7A">
              <w:rPr>
                <w:color w:val="000000"/>
                <w:lang w:val="en-GB"/>
              </w:rPr>
              <w:t>Phillipson et al. (2025)</w:t>
            </w:r>
          </w:p>
        </w:tc>
        <w:tc>
          <w:tcPr>
            <w:tcW w:w="770" w:type="dxa"/>
          </w:tcPr>
          <w:p w14:paraId="7A52E452"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29" w:type="dxa"/>
          </w:tcPr>
          <w:p w14:paraId="590E1BBE"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46" w:type="dxa"/>
          </w:tcPr>
          <w:p w14:paraId="0D4B2EE7"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46" w:type="dxa"/>
          </w:tcPr>
          <w:p w14:paraId="18531675"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98" w:type="dxa"/>
          </w:tcPr>
          <w:p w14:paraId="4691455E"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95" w:type="dxa"/>
          </w:tcPr>
          <w:p w14:paraId="4E1F1033"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1026" w:type="dxa"/>
          </w:tcPr>
          <w:p w14:paraId="18BD4155"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98" w:type="dxa"/>
          </w:tcPr>
          <w:p w14:paraId="2F801453"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63" w:type="dxa"/>
          </w:tcPr>
          <w:p w14:paraId="5F9881B4"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70" w:type="dxa"/>
          </w:tcPr>
          <w:p w14:paraId="78B4B027"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r>
      <w:tr w:rsidR="00826870" w:rsidRPr="00820F7A" w14:paraId="6C05B5A8" w14:textId="77777777">
        <w:trPr>
          <w:cantSplit/>
          <w:tblHeader/>
        </w:trPr>
        <w:tc>
          <w:tcPr>
            <w:tcW w:w="1135" w:type="dxa"/>
          </w:tcPr>
          <w:p w14:paraId="368D1062" w14:textId="77777777" w:rsidR="00826870" w:rsidRPr="00820F7A" w:rsidRDefault="00B21388">
            <w:pPr>
              <w:pStyle w:val="Normal1"/>
              <w:pBdr>
                <w:top w:val="nil"/>
                <w:left w:val="nil"/>
                <w:bottom w:val="nil"/>
                <w:right w:val="nil"/>
                <w:between w:val="nil"/>
              </w:pBdr>
              <w:spacing w:line="360" w:lineRule="auto"/>
              <w:rPr>
                <w:color w:val="000000"/>
                <w:lang w:val="en-GB"/>
              </w:rPr>
            </w:pPr>
            <w:r w:rsidRPr="00820F7A">
              <w:rPr>
                <w:color w:val="000000"/>
                <w:lang w:val="en-GB"/>
              </w:rPr>
              <w:t>Antonopoulou et al. (2024)</w:t>
            </w:r>
          </w:p>
        </w:tc>
        <w:tc>
          <w:tcPr>
            <w:tcW w:w="770" w:type="dxa"/>
          </w:tcPr>
          <w:p w14:paraId="5CBA546B"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29" w:type="dxa"/>
          </w:tcPr>
          <w:p w14:paraId="73457E62"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46" w:type="dxa"/>
          </w:tcPr>
          <w:p w14:paraId="4C0E7CEC"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46" w:type="dxa"/>
          </w:tcPr>
          <w:p w14:paraId="62DB455F"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98" w:type="dxa"/>
          </w:tcPr>
          <w:p w14:paraId="11012CF9"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95" w:type="dxa"/>
          </w:tcPr>
          <w:p w14:paraId="75270FAA"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1026" w:type="dxa"/>
          </w:tcPr>
          <w:p w14:paraId="7690EA56"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98" w:type="dxa"/>
          </w:tcPr>
          <w:p w14:paraId="307ACF91"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63" w:type="dxa"/>
          </w:tcPr>
          <w:p w14:paraId="7279BDEC"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70" w:type="dxa"/>
          </w:tcPr>
          <w:p w14:paraId="4377F52E"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r>
      <w:tr w:rsidR="00826870" w:rsidRPr="00820F7A" w14:paraId="00689448" w14:textId="77777777">
        <w:trPr>
          <w:cantSplit/>
          <w:tblHeader/>
        </w:trPr>
        <w:tc>
          <w:tcPr>
            <w:tcW w:w="1135" w:type="dxa"/>
          </w:tcPr>
          <w:p w14:paraId="3216E6F7" w14:textId="77777777" w:rsidR="00826870" w:rsidRPr="00820F7A" w:rsidRDefault="00B21388">
            <w:pPr>
              <w:pStyle w:val="Normal1"/>
              <w:widowControl w:val="0"/>
              <w:pBdr>
                <w:top w:val="nil"/>
                <w:left w:val="nil"/>
                <w:bottom w:val="nil"/>
                <w:right w:val="nil"/>
                <w:between w:val="nil"/>
              </w:pBdr>
              <w:spacing w:line="360" w:lineRule="auto"/>
              <w:rPr>
                <w:color w:val="000000"/>
                <w:lang w:val="en-GB"/>
              </w:rPr>
            </w:pPr>
            <w:r w:rsidRPr="00820F7A">
              <w:rPr>
                <w:color w:val="000000"/>
                <w:highlight w:val="white"/>
                <w:lang w:val="en-GB"/>
              </w:rPr>
              <w:t xml:space="preserve">Taske </w:t>
            </w:r>
            <w:r w:rsidRPr="00820F7A">
              <w:rPr>
                <w:i/>
                <w:iCs/>
                <w:color w:val="000000"/>
                <w:highlight w:val="white"/>
                <w:lang w:val="en-GB"/>
              </w:rPr>
              <w:t xml:space="preserve">et al. </w:t>
            </w:r>
            <w:r w:rsidRPr="00820F7A">
              <w:rPr>
                <w:color w:val="000000"/>
                <w:highlight w:val="white"/>
                <w:lang w:val="en-GB"/>
              </w:rPr>
              <w:t>(2023)</w:t>
            </w:r>
          </w:p>
        </w:tc>
        <w:tc>
          <w:tcPr>
            <w:tcW w:w="770" w:type="dxa"/>
          </w:tcPr>
          <w:p w14:paraId="33A7722A"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29" w:type="dxa"/>
          </w:tcPr>
          <w:p w14:paraId="39D38655"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46" w:type="dxa"/>
          </w:tcPr>
          <w:p w14:paraId="02D532E4"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46" w:type="dxa"/>
          </w:tcPr>
          <w:p w14:paraId="480DF74C"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98" w:type="dxa"/>
          </w:tcPr>
          <w:p w14:paraId="5AD4E75E"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95" w:type="dxa"/>
          </w:tcPr>
          <w:p w14:paraId="34BCD9F1"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1026" w:type="dxa"/>
          </w:tcPr>
          <w:p w14:paraId="4C01AF64"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98" w:type="dxa"/>
          </w:tcPr>
          <w:p w14:paraId="77B27C0C"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63" w:type="dxa"/>
          </w:tcPr>
          <w:p w14:paraId="154DC7B5"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70" w:type="dxa"/>
          </w:tcPr>
          <w:p w14:paraId="63F31B3B"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r>
      <w:tr w:rsidR="00826870" w:rsidRPr="00820F7A" w14:paraId="0C298AF5" w14:textId="77777777">
        <w:trPr>
          <w:cantSplit/>
          <w:tblHeader/>
        </w:trPr>
        <w:tc>
          <w:tcPr>
            <w:tcW w:w="1135" w:type="dxa"/>
          </w:tcPr>
          <w:p w14:paraId="470D4C92" w14:textId="77777777" w:rsidR="00826870" w:rsidRPr="00820F7A" w:rsidRDefault="00B21388">
            <w:pPr>
              <w:pStyle w:val="Normal1"/>
              <w:widowControl w:val="0"/>
              <w:pBdr>
                <w:top w:val="nil"/>
                <w:left w:val="nil"/>
                <w:bottom w:val="nil"/>
                <w:right w:val="nil"/>
                <w:between w:val="nil"/>
              </w:pBdr>
              <w:spacing w:line="360" w:lineRule="auto"/>
              <w:rPr>
                <w:color w:val="000000"/>
                <w:lang w:val="en-GB"/>
              </w:rPr>
            </w:pPr>
            <w:r w:rsidRPr="00820F7A">
              <w:rPr>
                <w:color w:val="000000"/>
                <w:highlight w:val="white"/>
                <w:lang w:val="en-GB"/>
              </w:rPr>
              <w:t xml:space="preserve">Granel-Giménez </w:t>
            </w:r>
            <w:r w:rsidRPr="00820F7A">
              <w:rPr>
                <w:i/>
                <w:iCs/>
                <w:color w:val="000000"/>
                <w:highlight w:val="white"/>
                <w:lang w:val="en-GB"/>
              </w:rPr>
              <w:t xml:space="preserve">et al. </w:t>
            </w:r>
            <w:r w:rsidRPr="00820F7A">
              <w:rPr>
                <w:color w:val="000000"/>
                <w:highlight w:val="white"/>
                <w:lang w:val="en-GB"/>
              </w:rPr>
              <w:t>(2022)</w:t>
            </w:r>
          </w:p>
        </w:tc>
        <w:tc>
          <w:tcPr>
            <w:tcW w:w="770" w:type="dxa"/>
          </w:tcPr>
          <w:p w14:paraId="643F62A4"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29" w:type="dxa"/>
          </w:tcPr>
          <w:p w14:paraId="6EB8217D"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46" w:type="dxa"/>
          </w:tcPr>
          <w:p w14:paraId="28E9B88A"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46" w:type="dxa"/>
          </w:tcPr>
          <w:p w14:paraId="295950FD"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98" w:type="dxa"/>
          </w:tcPr>
          <w:p w14:paraId="6284BEFE"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95" w:type="dxa"/>
          </w:tcPr>
          <w:p w14:paraId="19A0023F"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1026" w:type="dxa"/>
          </w:tcPr>
          <w:p w14:paraId="2A82FAE9"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98" w:type="dxa"/>
          </w:tcPr>
          <w:p w14:paraId="7DE0962E"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63" w:type="dxa"/>
          </w:tcPr>
          <w:p w14:paraId="2BEE653D"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70" w:type="dxa"/>
          </w:tcPr>
          <w:p w14:paraId="73AE98D1"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r>
      <w:tr w:rsidR="00826870" w:rsidRPr="00820F7A" w14:paraId="324437C7" w14:textId="77777777">
        <w:trPr>
          <w:cantSplit/>
          <w:tblHeader/>
        </w:trPr>
        <w:tc>
          <w:tcPr>
            <w:tcW w:w="1135" w:type="dxa"/>
          </w:tcPr>
          <w:p w14:paraId="30C48463" w14:textId="77777777" w:rsidR="00826870" w:rsidRPr="00820F7A" w:rsidRDefault="00B21388">
            <w:pPr>
              <w:pStyle w:val="Normal1"/>
              <w:widowControl w:val="0"/>
              <w:pBdr>
                <w:top w:val="nil"/>
                <w:left w:val="nil"/>
                <w:bottom w:val="nil"/>
                <w:right w:val="nil"/>
                <w:between w:val="nil"/>
              </w:pBdr>
              <w:spacing w:line="360" w:lineRule="auto"/>
              <w:rPr>
                <w:color w:val="000000"/>
                <w:lang w:val="en-GB"/>
              </w:rPr>
            </w:pPr>
            <w:r w:rsidRPr="00820F7A">
              <w:rPr>
                <w:color w:val="000000"/>
                <w:highlight w:val="white"/>
                <w:lang w:val="en-GB"/>
              </w:rPr>
              <w:t xml:space="preserve">Mahmoud </w:t>
            </w:r>
            <w:r w:rsidRPr="00820F7A">
              <w:rPr>
                <w:i/>
                <w:iCs/>
                <w:color w:val="000000"/>
                <w:highlight w:val="white"/>
                <w:lang w:val="en-GB"/>
              </w:rPr>
              <w:t xml:space="preserve">et al. </w:t>
            </w:r>
            <w:r w:rsidRPr="00820F7A">
              <w:rPr>
                <w:color w:val="000000"/>
                <w:highlight w:val="white"/>
                <w:lang w:val="en-GB"/>
              </w:rPr>
              <w:t>(2023)</w:t>
            </w:r>
          </w:p>
        </w:tc>
        <w:tc>
          <w:tcPr>
            <w:tcW w:w="770" w:type="dxa"/>
          </w:tcPr>
          <w:p w14:paraId="7E17AA52"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29" w:type="dxa"/>
          </w:tcPr>
          <w:p w14:paraId="6CEDFC41"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46" w:type="dxa"/>
          </w:tcPr>
          <w:p w14:paraId="00F33C2F"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46" w:type="dxa"/>
          </w:tcPr>
          <w:p w14:paraId="0E588037"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98" w:type="dxa"/>
          </w:tcPr>
          <w:p w14:paraId="743B66BD"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95" w:type="dxa"/>
          </w:tcPr>
          <w:p w14:paraId="25E1652C"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1026" w:type="dxa"/>
          </w:tcPr>
          <w:p w14:paraId="52F318A2"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98" w:type="dxa"/>
          </w:tcPr>
          <w:p w14:paraId="5304DBE9"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63" w:type="dxa"/>
          </w:tcPr>
          <w:p w14:paraId="7C756A69"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70" w:type="dxa"/>
          </w:tcPr>
          <w:p w14:paraId="3F802625"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r>
      <w:tr w:rsidR="00826870" w:rsidRPr="00820F7A" w14:paraId="08D089D1" w14:textId="77777777">
        <w:trPr>
          <w:cantSplit/>
          <w:tblHeader/>
        </w:trPr>
        <w:tc>
          <w:tcPr>
            <w:tcW w:w="1135" w:type="dxa"/>
          </w:tcPr>
          <w:p w14:paraId="7E1C9B11" w14:textId="77777777" w:rsidR="00826870" w:rsidRPr="00820F7A" w:rsidRDefault="00B21388">
            <w:pPr>
              <w:pStyle w:val="Normal1"/>
              <w:widowControl w:val="0"/>
              <w:pBdr>
                <w:top w:val="nil"/>
                <w:left w:val="nil"/>
                <w:bottom w:val="nil"/>
                <w:right w:val="nil"/>
                <w:between w:val="nil"/>
              </w:pBdr>
              <w:spacing w:line="360" w:lineRule="auto"/>
              <w:rPr>
                <w:color w:val="000000"/>
                <w:lang w:val="en-GB"/>
              </w:rPr>
            </w:pPr>
            <w:r w:rsidRPr="00820F7A">
              <w:rPr>
                <w:color w:val="000000"/>
                <w:highlight w:val="white"/>
                <w:lang w:val="en-GB"/>
              </w:rPr>
              <w:t xml:space="preserve">Alabdaly </w:t>
            </w:r>
            <w:r w:rsidRPr="00820F7A">
              <w:rPr>
                <w:i/>
                <w:iCs/>
                <w:color w:val="000000"/>
                <w:highlight w:val="white"/>
                <w:lang w:val="en-GB"/>
              </w:rPr>
              <w:t xml:space="preserve">et al. </w:t>
            </w:r>
            <w:r w:rsidRPr="00820F7A">
              <w:rPr>
                <w:color w:val="000000"/>
                <w:highlight w:val="white"/>
                <w:lang w:val="en-GB"/>
              </w:rPr>
              <w:t>(2024)</w:t>
            </w:r>
          </w:p>
        </w:tc>
        <w:tc>
          <w:tcPr>
            <w:tcW w:w="770" w:type="dxa"/>
          </w:tcPr>
          <w:p w14:paraId="2A75C9D9"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29" w:type="dxa"/>
          </w:tcPr>
          <w:p w14:paraId="03CD4840"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46" w:type="dxa"/>
          </w:tcPr>
          <w:p w14:paraId="75597E7D"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46" w:type="dxa"/>
          </w:tcPr>
          <w:p w14:paraId="055666F1"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98" w:type="dxa"/>
          </w:tcPr>
          <w:p w14:paraId="5EB7E3D2"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95" w:type="dxa"/>
          </w:tcPr>
          <w:p w14:paraId="4FABD8F0"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1026" w:type="dxa"/>
          </w:tcPr>
          <w:p w14:paraId="0EAE4D60"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98" w:type="dxa"/>
          </w:tcPr>
          <w:p w14:paraId="4FDB1BB7"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63" w:type="dxa"/>
          </w:tcPr>
          <w:p w14:paraId="23C30C08"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70" w:type="dxa"/>
          </w:tcPr>
          <w:p w14:paraId="0CB14C80"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r>
      <w:tr w:rsidR="00826870" w:rsidRPr="00820F7A" w14:paraId="199A9AFC" w14:textId="77777777">
        <w:trPr>
          <w:cantSplit/>
          <w:tblHeader/>
        </w:trPr>
        <w:tc>
          <w:tcPr>
            <w:tcW w:w="1135" w:type="dxa"/>
          </w:tcPr>
          <w:p w14:paraId="4343DD0F" w14:textId="77777777" w:rsidR="00826870" w:rsidRPr="00820F7A" w:rsidRDefault="00B21388">
            <w:pPr>
              <w:pStyle w:val="Normal1"/>
              <w:widowControl w:val="0"/>
              <w:pBdr>
                <w:top w:val="nil"/>
                <w:left w:val="nil"/>
                <w:bottom w:val="nil"/>
                <w:right w:val="nil"/>
                <w:between w:val="nil"/>
              </w:pBdr>
              <w:spacing w:line="360" w:lineRule="auto"/>
              <w:rPr>
                <w:color w:val="000000"/>
                <w:lang w:val="en-GB"/>
              </w:rPr>
            </w:pPr>
            <w:r w:rsidRPr="00820F7A">
              <w:rPr>
                <w:color w:val="000000"/>
                <w:highlight w:val="white"/>
                <w:lang w:val="en-GB"/>
              </w:rPr>
              <w:t xml:space="preserve">Tenza </w:t>
            </w:r>
            <w:r w:rsidRPr="00820F7A">
              <w:rPr>
                <w:i/>
                <w:iCs/>
                <w:color w:val="000000"/>
                <w:highlight w:val="white"/>
                <w:lang w:val="en-GB"/>
              </w:rPr>
              <w:t xml:space="preserve">et al. </w:t>
            </w:r>
            <w:r w:rsidRPr="00820F7A">
              <w:rPr>
                <w:color w:val="000000"/>
                <w:highlight w:val="white"/>
                <w:lang w:val="en-GB"/>
              </w:rPr>
              <w:t>(2022)</w:t>
            </w:r>
          </w:p>
        </w:tc>
        <w:tc>
          <w:tcPr>
            <w:tcW w:w="770" w:type="dxa"/>
          </w:tcPr>
          <w:p w14:paraId="1D8462E4"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29" w:type="dxa"/>
          </w:tcPr>
          <w:p w14:paraId="7AD28184"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46" w:type="dxa"/>
          </w:tcPr>
          <w:p w14:paraId="78BFAA19"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46" w:type="dxa"/>
          </w:tcPr>
          <w:p w14:paraId="6BED78BD"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98" w:type="dxa"/>
          </w:tcPr>
          <w:p w14:paraId="103DEE03"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95" w:type="dxa"/>
          </w:tcPr>
          <w:p w14:paraId="32E0AC9A"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1026" w:type="dxa"/>
          </w:tcPr>
          <w:p w14:paraId="704A5CAB"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98" w:type="dxa"/>
          </w:tcPr>
          <w:p w14:paraId="6FD20C52"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63" w:type="dxa"/>
          </w:tcPr>
          <w:p w14:paraId="682F9DE6"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70" w:type="dxa"/>
          </w:tcPr>
          <w:p w14:paraId="05C960FE"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r>
    </w:tbl>
    <w:p w14:paraId="5B387D8D" w14:textId="77777777" w:rsidR="00826870" w:rsidRPr="00820F7A" w:rsidRDefault="00826870">
      <w:pPr>
        <w:pStyle w:val="Normal1"/>
        <w:pBdr>
          <w:top w:val="nil"/>
          <w:left w:val="nil"/>
          <w:bottom w:val="nil"/>
          <w:right w:val="nil"/>
          <w:between w:val="nil"/>
        </w:pBdr>
        <w:spacing w:line="240" w:lineRule="auto"/>
        <w:jc w:val="left"/>
        <w:rPr>
          <w:b/>
          <w:bCs/>
          <w:color w:val="000000"/>
          <w:highlight w:val="white"/>
          <w:lang w:val="en-GB"/>
        </w:rPr>
      </w:pPr>
    </w:p>
    <w:p w14:paraId="2135796B" w14:textId="77777777" w:rsidR="00826870" w:rsidRPr="00820F7A" w:rsidRDefault="00B21388">
      <w:pPr>
        <w:pStyle w:val="Normal1"/>
        <w:pBdr>
          <w:top w:val="nil"/>
          <w:left w:val="nil"/>
          <w:bottom w:val="nil"/>
          <w:right w:val="nil"/>
          <w:between w:val="nil"/>
        </w:pBdr>
        <w:spacing w:line="240" w:lineRule="auto"/>
        <w:jc w:val="left"/>
        <w:rPr>
          <w:color w:val="000000"/>
          <w:lang w:val="en-GB"/>
        </w:rPr>
      </w:pPr>
      <w:r w:rsidRPr="00820F7A">
        <w:rPr>
          <w:b/>
          <w:bCs/>
          <w:color w:val="000000"/>
          <w:highlight w:val="white"/>
          <w:lang w:val="en-GB"/>
        </w:rPr>
        <w:t xml:space="preserve">Table 3.1: </w:t>
      </w:r>
      <w:r w:rsidRPr="00820F7A">
        <w:rPr>
          <w:color w:val="000000"/>
          <w:highlight w:val="white"/>
          <w:lang w:val="en-GB"/>
        </w:rPr>
        <w:t xml:space="preserve">Quality assessment of included cohort study using CASP tool </w:t>
      </w:r>
      <w:r w:rsidRPr="00820F7A">
        <w:rPr>
          <w:color w:val="000000"/>
          <w:highlight w:val="white"/>
          <w:vertAlign w:val="superscript"/>
          <w:lang w:val="en-GB"/>
        </w:rPr>
        <w:t> </w:t>
      </w:r>
    </w:p>
    <w:tbl>
      <w:tblPr>
        <w:tblStyle w:val="afff9"/>
        <w:tblW w:w="9572" w:type="dxa"/>
        <w:tblInd w:w="-108"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00" w:firstRow="0" w:lastRow="0" w:firstColumn="0" w:lastColumn="0" w:noHBand="0" w:noVBand="1"/>
      </w:tblPr>
      <w:tblGrid>
        <w:gridCol w:w="1269"/>
        <w:gridCol w:w="726"/>
        <w:gridCol w:w="910"/>
        <w:gridCol w:w="870"/>
        <w:gridCol w:w="870"/>
        <w:gridCol w:w="998"/>
        <w:gridCol w:w="998"/>
        <w:gridCol w:w="798"/>
        <w:gridCol w:w="775"/>
        <w:gridCol w:w="639"/>
        <w:gridCol w:w="719"/>
      </w:tblGrid>
      <w:tr w:rsidR="00826870" w:rsidRPr="00820F7A" w14:paraId="547F3C21" w14:textId="77777777">
        <w:trPr>
          <w:cantSplit/>
          <w:tblHeader/>
        </w:trPr>
        <w:tc>
          <w:tcPr>
            <w:tcW w:w="1270" w:type="dxa"/>
          </w:tcPr>
          <w:p w14:paraId="1B7FC6A1" w14:textId="77777777" w:rsidR="00826870" w:rsidRPr="00820F7A" w:rsidRDefault="00B21388">
            <w:pPr>
              <w:pStyle w:val="Normal1"/>
              <w:pBdr>
                <w:top w:val="nil"/>
                <w:left w:val="nil"/>
                <w:bottom w:val="nil"/>
                <w:right w:val="nil"/>
                <w:between w:val="nil"/>
              </w:pBdr>
              <w:spacing w:line="360" w:lineRule="auto"/>
              <w:jc w:val="center"/>
              <w:rPr>
                <w:color w:val="000000"/>
                <w:lang w:val="en-GB"/>
              </w:rPr>
            </w:pPr>
            <w:r w:rsidRPr="00820F7A">
              <w:rPr>
                <w:color w:val="000000"/>
                <w:lang w:val="en-GB"/>
              </w:rPr>
              <w:t>Reference</w:t>
            </w:r>
          </w:p>
        </w:tc>
        <w:tc>
          <w:tcPr>
            <w:tcW w:w="726" w:type="dxa"/>
          </w:tcPr>
          <w:p w14:paraId="0FF3D047" w14:textId="77777777" w:rsidR="00826870" w:rsidRPr="00820F7A" w:rsidRDefault="00B21388">
            <w:pPr>
              <w:pStyle w:val="Normal1"/>
              <w:pBdr>
                <w:top w:val="nil"/>
                <w:left w:val="nil"/>
                <w:bottom w:val="nil"/>
                <w:right w:val="nil"/>
                <w:between w:val="nil"/>
              </w:pBdr>
              <w:spacing w:line="360" w:lineRule="auto"/>
              <w:jc w:val="center"/>
              <w:rPr>
                <w:color w:val="000000"/>
                <w:lang w:val="en-GB"/>
              </w:rPr>
            </w:pPr>
            <w:r w:rsidRPr="00820F7A">
              <w:rPr>
                <w:color w:val="000000"/>
                <w:lang w:val="en-GB"/>
              </w:rPr>
              <w:t>Did the study address a clearly focused issue?</w:t>
            </w:r>
          </w:p>
        </w:tc>
        <w:tc>
          <w:tcPr>
            <w:tcW w:w="910" w:type="dxa"/>
          </w:tcPr>
          <w:p w14:paraId="1789F9B4" w14:textId="77777777" w:rsidR="00826870" w:rsidRPr="00820F7A" w:rsidRDefault="00B21388">
            <w:pPr>
              <w:pStyle w:val="Normal1"/>
              <w:pBdr>
                <w:top w:val="nil"/>
                <w:left w:val="nil"/>
                <w:bottom w:val="nil"/>
                <w:right w:val="nil"/>
                <w:between w:val="nil"/>
              </w:pBdr>
              <w:spacing w:line="360" w:lineRule="auto"/>
              <w:jc w:val="center"/>
              <w:rPr>
                <w:color w:val="000000"/>
                <w:lang w:val="en-GB"/>
              </w:rPr>
            </w:pPr>
            <w:r w:rsidRPr="00820F7A">
              <w:rPr>
                <w:color w:val="000000"/>
                <w:lang w:val="en-GB"/>
              </w:rPr>
              <w:t>Was the cohort recruited in an acceptable way?</w:t>
            </w:r>
          </w:p>
        </w:tc>
        <w:tc>
          <w:tcPr>
            <w:tcW w:w="870" w:type="dxa"/>
          </w:tcPr>
          <w:p w14:paraId="233D33ED" w14:textId="77777777" w:rsidR="00826870" w:rsidRPr="00820F7A" w:rsidRDefault="00B21388">
            <w:pPr>
              <w:pStyle w:val="Normal1"/>
              <w:pBdr>
                <w:top w:val="nil"/>
                <w:left w:val="nil"/>
                <w:bottom w:val="nil"/>
                <w:right w:val="nil"/>
                <w:between w:val="nil"/>
              </w:pBdr>
              <w:spacing w:line="360" w:lineRule="auto"/>
              <w:jc w:val="center"/>
              <w:rPr>
                <w:color w:val="000000"/>
                <w:lang w:val="en-GB"/>
              </w:rPr>
            </w:pPr>
            <w:r w:rsidRPr="00820F7A">
              <w:rPr>
                <w:color w:val="000000"/>
                <w:lang w:val="en-GB"/>
              </w:rPr>
              <w:t>Was the exposure accurately measured to minimise bias?</w:t>
            </w:r>
          </w:p>
        </w:tc>
        <w:tc>
          <w:tcPr>
            <w:tcW w:w="870" w:type="dxa"/>
          </w:tcPr>
          <w:p w14:paraId="7DFDD426" w14:textId="77777777" w:rsidR="00826870" w:rsidRPr="00820F7A" w:rsidRDefault="00B21388">
            <w:pPr>
              <w:pStyle w:val="Normal1"/>
              <w:pBdr>
                <w:top w:val="nil"/>
                <w:left w:val="nil"/>
                <w:bottom w:val="nil"/>
                <w:right w:val="nil"/>
                <w:between w:val="nil"/>
              </w:pBdr>
              <w:spacing w:line="360" w:lineRule="auto"/>
              <w:jc w:val="center"/>
              <w:rPr>
                <w:color w:val="000000"/>
                <w:lang w:val="en-GB"/>
              </w:rPr>
            </w:pPr>
            <w:r w:rsidRPr="00820F7A">
              <w:rPr>
                <w:color w:val="000000"/>
                <w:lang w:val="en-GB"/>
              </w:rPr>
              <w:t>Was the outcome accurately measured to minimise bias?</w:t>
            </w:r>
          </w:p>
        </w:tc>
        <w:tc>
          <w:tcPr>
            <w:tcW w:w="998" w:type="dxa"/>
          </w:tcPr>
          <w:p w14:paraId="0DC0B9D5" w14:textId="77777777" w:rsidR="00826870" w:rsidRPr="00820F7A" w:rsidRDefault="00B21388">
            <w:pPr>
              <w:pStyle w:val="Normal1"/>
              <w:pBdr>
                <w:top w:val="nil"/>
                <w:left w:val="nil"/>
                <w:bottom w:val="nil"/>
                <w:right w:val="nil"/>
                <w:between w:val="nil"/>
              </w:pBdr>
              <w:spacing w:line="360" w:lineRule="auto"/>
              <w:jc w:val="center"/>
              <w:rPr>
                <w:color w:val="000000"/>
                <w:lang w:val="en-GB"/>
              </w:rPr>
            </w:pPr>
            <w:r w:rsidRPr="00820F7A">
              <w:rPr>
                <w:color w:val="000000"/>
                <w:lang w:val="en-GB"/>
              </w:rPr>
              <w:t>Have the authors identified all important confounding factors?</w:t>
            </w:r>
          </w:p>
        </w:tc>
        <w:tc>
          <w:tcPr>
            <w:tcW w:w="998" w:type="dxa"/>
          </w:tcPr>
          <w:p w14:paraId="35A5D5F4" w14:textId="77777777" w:rsidR="00826870" w:rsidRPr="00820F7A" w:rsidRDefault="00B21388">
            <w:pPr>
              <w:pStyle w:val="Normal1"/>
              <w:pBdr>
                <w:top w:val="nil"/>
                <w:left w:val="nil"/>
                <w:bottom w:val="nil"/>
                <w:right w:val="nil"/>
                <w:between w:val="nil"/>
              </w:pBdr>
              <w:spacing w:line="360" w:lineRule="auto"/>
              <w:jc w:val="center"/>
              <w:rPr>
                <w:color w:val="000000"/>
                <w:lang w:val="en-GB"/>
              </w:rPr>
            </w:pPr>
            <w:r w:rsidRPr="00820F7A">
              <w:rPr>
                <w:color w:val="000000"/>
                <w:lang w:val="en-GB"/>
              </w:rPr>
              <w:t>Have they taken account of the confounding factors in the design and/or analysis?</w:t>
            </w:r>
          </w:p>
        </w:tc>
        <w:tc>
          <w:tcPr>
            <w:tcW w:w="798" w:type="dxa"/>
          </w:tcPr>
          <w:p w14:paraId="360DC69C" w14:textId="77777777" w:rsidR="00826870" w:rsidRPr="00820F7A" w:rsidRDefault="00B21388">
            <w:pPr>
              <w:pStyle w:val="Normal1"/>
              <w:pBdr>
                <w:top w:val="nil"/>
                <w:left w:val="nil"/>
                <w:bottom w:val="nil"/>
                <w:right w:val="nil"/>
                <w:between w:val="nil"/>
              </w:pBdr>
              <w:spacing w:line="360" w:lineRule="auto"/>
              <w:jc w:val="center"/>
              <w:rPr>
                <w:color w:val="000000"/>
                <w:lang w:val="en-GB"/>
              </w:rPr>
            </w:pPr>
            <w:r w:rsidRPr="00820F7A">
              <w:rPr>
                <w:color w:val="000000"/>
                <w:lang w:val="en-GB"/>
              </w:rPr>
              <w:t>Was the follow up of subjects complete enough?</w:t>
            </w:r>
          </w:p>
        </w:tc>
        <w:tc>
          <w:tcPr>
            <w:tcW w:w="775" w:type="dxa"/>
          </w:tcPr>
          <w:p w14:paraId="498927C3" w14:textId="77777777" w:rsidR="00826870" w:rsidRPr="00820F7A" w:rsidRDefault="00B21388">
            <w:pPr>
              <w:pStyle w:val="Normal1"/>
              <w:pBdr>
                <w:top w:val="nil"/>
                <w:left w:val="nil"/>
                <w:bottom w:val="nil"/>
                <w:right w:val="nil"/>
                <w:between w:val="nil"/>
              </w:pBdr>
              <w:spacing w:line="360" w:lineRule="auto"/>
              <w:jc w:val="center"/>
              <w:rPr>
                <w:color w:val="000000"/>
                <w:lang w:val="en-GB"/>
              </w:rPr>
            </w:pPr>
            <w:r w:rsidRPr="00820F7A">
              <w:rPr>
                <w:color w:val="000000"/>
                <w:lang w:val="en-GB"/>
              </w:rPr>
              <w:t>Was the follow up of subjects long enough?</w:t>
            </w:r>
          </w:p>
        </w:tc>
        <w:tc>
          <w:tcPr>
            <w:tcW w:w="639" w:type="dxa"/>
          </w:tcPr>
          <w:p w14:paraId="2DC73C8E" w14:textId="77777777" w:rsidR="00826870" w:rsidRPr="00820F7A" w:rsidRDefault="00B21388">
            <w:pPr>
              <w:pStyle w:val="Normal1"/>
              <w:pBdr>
                <w:top w:val="nil"/>
                <w:left w:val="nil"/>
                <w:bottom w:val="nil"/>
                <w:right w:val="nil"/>
                <w:between w:val="nil"/>
              </w:pBdr>
              <w:spacing w:line="360" w:lineRule="auto"/>
              <w:jc w:val="center"/>
              <w:rPr>
                <w:color w:val="000000"/>
                <w:lang w:val="en-GB"/>
              </w:rPr>
            </w:pPr>
            <w:r w:rsidRPr="00820F7A">
              <w:rPr>
                <w:color w:val="000000"/>
                <w:lang w:val="en-GB"/>
              </w:rPr>
              <w:t>What are the results of this study?</w:t>
            </w:r>
          </w:p>
        </w:tc>
        <w:tc>
          <w:tcPr>
            <w:tcW w:w="719" w:type="dxa"/>
          </w:tcPr>
          <w:p w14:paraId="4F6AEFD2" w14:textId="77777777" w:rsidR="00826870" w:rsidRPr="00820F7A" w:rsidRDefault="00B21388">
            <w:pPr>
              <w:pStyle w:val="Normal1"/>
              <w:pBdr>
                <w:top w:val="nil"/>
                <w:left w:val="nil"/>
                <w:bottom w:val="nil"/>
                <w:right w:val="nil"/>
                <w:between w:val="nil"/>
              </w:pBdr>
              <w:spacing w:line="360" w:lineRule="auto"/>
              <w:jc w:val="center"/>
              <w:rPr>
                <w:color w:val="000000"/>
                <w:lang w:val="en-GB"/>
              </w:rPr>
            </w:pPr>
            <w:r w:rsidRPr="00820F7A">
              <w:rPr>
                <w:color w:val="000000"/>
                <w:lang w:val="en-GB"/>
              </w:rPr>
              <w:t>How precise are the results?</w:t>
            </w:r>
          </w:p>
        </w:tc>
      </w:tr>
      <w:tr w:rsidR="00826870" w:rsidRPr="00820F7A" w14:paraId="68721858" w14:textId="77777777">
        <w:trPr>
          <w:cantSplit/>
          <w:tblHeader/>
        </w:trPr>
        <w:tc>
          <w:tcPr>
            <w:tcW w:w="1270" w:type="dxa"/>
          </w:tcPr>
          <w:p w14:paraId="3032ACF5" w14:textId="77777777" w:rsidR="00826870" w:rsidRPr="00820F7A" w:rsidRDefault="00B21388">
            <w:pPr>
              <w:pStyle w:val="Normal1"/>
              <w:pBdr>
                <w:top w:val="nil"/>
                <w:left w:val="nil"/>
                <w:bottom w:val="nil"/>
                <w:right w:val="nil"/>
                <w:between w:val="nil"/>
              </w:pBdr>
              <w:spacing w:line="360" w:lineRule="auto"/>
              <w:rPr>
                <w:color w:val="000000"/>
                <w:lang w:val="en-GB"/>
              </w:rPr>
            </w:pPr>
            <w:r w:rsidRPr="00820F7A">
              <w:rPr>
                <w:color w:val="000000"/>
                <w:lang w:val="en-GB"/>
              </w:rPr>
              <w:t>Yeowell et al. (2024)</w:t>
            </w:r>
          </w:p>
        </w:tc>
        <w:tc>
          <w:tcPr>
            <w:tcW w:w="726" w:type="dxa"/>
          </w:tcPr>
          <w:p w14:paraId="23220D38"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10" w:type="dxa"/>
          </w:tcPr>
          <w:p w14:paraId="6C61EB7E"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70" w:type="dxa"/>
          </w:tcPr>
          <w:p w14:paraId="03942BED"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70" w:type="dxa"/>
          </w:tcPr>
          <w:p w14:paraId="6665CCFB"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98" w:type="dxa"/>
          </w:tcPr>
          <w:p w14:paraId="6A75A7A0"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98" w:type="dxa"/>
          </w:tcPr>
          <w:p w14:paraId="3EAC9B4A"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98" w:type="dxa"/>
          </w:tcPr>
          <w:p w14:paraId="7ECE2A83"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75" w:type="dxa"/>
          </w:tcPr>
          <w:p w14:paraId="4641F27A"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639" w:type="dxa"/>
          </w:tcPr>
          <w:p w14:paraId="6B001B25"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19" w:type="dxa"/>
          </w:tcPr>
          <w:p w14:paraId="7E1E38B3"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r>
      <w:tr w:rsidR="00826870" w:rsidRPr="00820F7A" w14:paraId="03FCCEDF" w14:textId="77777777">
        <w:trPr>
          <w:cantSplit/>
          <w:tblHeader/>
        </w:trPr>
        <w:tc>
          <w:tcPr>
            <w:tcW w:w="1270" w:type="dxa"/>
          </w:tcPr>
          <w:p w14:paraId="7C1CE8C4" w14:textId="77777777" w:rsidR="00826870" w:rsidRPr="00820F7A" w:rsidRDefault="00B21388">
            <w:pPr>
              <w:pStyle w:val="Normal1"/>
              <w:pBdr>
                <w:top w:val="nil"/>
                <w:left w:val="nil"/>
                <w:bottom w:val="nil"/>
                <w:right w:val="nil"/>
                <w:between w:val="nil"/>
              </w:pBdr>
              <w:spacing w:line="360" w:lineRule="auto"/>
              <w:rPr>
                <w:color w:val="000000"/>
                <w:lang w:val="en-GB"/>
              </w:rPr>
            </w:pPr>
            <w:r w:rsidRPr="00820F7A">
              <w:rPr>
                <w:color w:val="000000"/>
                <w:lang w:val="en-GB"/>
              </w:rPr>
              <w:t>Wickramasekera et al. (2024)</w:t>
            </w:r>
          </w:p>
        </w:tc>
        <w:tc>
          <w:tcPr>
            <w:tcW w:w="726" w:type="dxa"/>
          </w:tcPr>
          <w:p w14:paraId="7C1AB09E"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10" w:type="dxa"/>
          </w:tcPr>
          <w:p w14:paraId="26F6A2B3"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70" w:type="dxa"/>
          </w:tcPr>
          <w:p w14:paraId="5ECC65E5"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70" w:type="dxa"/>
          </w:tcPr>
          <w:p w14:paraId="626DFD39"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98" w:type="dxa"/>
          </w:tcPr>
          <w:p w14:paraId="3098574A"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98" w:type="dxa"/>
          </w:tcPr>
          <w:p w14:paraId="5F5974B8"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98" w:type="dxa"/>
          </w:tcPr>
          <w:p w14:paraId="05DF9196"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75" w:type="dxa"/>
          </w:tcPr>
          <w:p w14:paraId="6CE0D9B1"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639" w:type="dxa"/>
          </w:tcPr>
          <w:p w14:paraId="090C4FF8"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19" w:type="dxa"/>
          </w:tcPr>
          <w:p w14:paraId="38648987"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r>
      <w:tr w:rsidR="00826870" w:rsidRPr="00820F7A" w14:paraId="07729A75" w14:textId="77777777">
        <w:trPr>
          <w:cantSplit/>
          <w:tblHeader/>
        </w:trPr>
        <w:tc>
          <w:tcPr>
            <w:tcW w:w="1270" w:type="dxa"/>
          </w:tcPr>
          <w:p w14:paraId="1498F7CA" w14:textId="77777777" w:rsidR="00826870" w:rsidRPr="00820F7A" w:rsidRDefault="00B21388">
            <w:pPr>
              <w:pStyle w:val="Normal1"/>
              <w:pBdr>
                <w:top w:val="nil"/>
                <w:left w:val="nil"/>
                <w:bottom w:val="nil"/>
                <w:right w:val="nil"/>
                <w:between w:val="nil"/>
              </w:pBdr>
              <w:spacing w:line="360" w:lineRule="auto"/>
              <w:rPr>
                <w:color w:val="000000"/>
                <w:lang w:val="en-GB"/>
              </w:rPr>
            </w:pPr>
            <w:r w:rsidRPr="00820F7A">
              <w:rPr>
                <w:color w:val="000000"/>
                <w:lang w:val="en-GB"/>
              </w:rPr>
              <w:t>Scheffer, (2025)</w:t>
            </w:r>
          </w:p>
        </w:tc>
        <w:tc>
          <w:tcPr>
            <w:tcW w:w="726" w:type="dxa"/>
          </w:tcPr>
          <w:p w14:paraId="4B66AB64"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10" w:type="dxa"/>
          </w:tcPr>
          <w:p w14:paraId="3CC9FF35"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70" w:type="dxa"/>
          </w:tcPr>
          <w:p w14:paraId="2C5072F7"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70" w:type="dxa"/>
          </w:tcPr>
          <w:p w14:paraId="255737FD"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98" w:type="dxa"/>
          </w:tcPr>
          <w:p w14:paraId="1E0B989D"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98" w:type="dxa"/>
          </w:tcPr>
          <w:p w14:paraId="3DEA7F40"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98" w:type="dxa"/>
          </w:tcPr>
          <w:p w14:paraId="68208746"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75" w:type="dxa"/>
          </w:tcPr>
          <w:p w14:paraId="42F27E24"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639" w:type="dxa"/>
          </w:tcPr>
          <w:p w14:paraId="6BDE12A0"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19" w:type="dxa"/>
          </w:tcPr>
          <w:p w14:paraId="417D8560"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r>
      <w:tr w:rsidR="00826870" w:rsidRPr="00820F7A" w14:paraId="371D5860" w14:textId="77777777">
        <w:trPr>
          <w:cantSplit/>
          <w:tblHeader/>
        </w:trPr>
        <w:tc>
          <w:tcPr>
            <w:tcW w:w="1270" w:type="dxa"/>
          </w:tcPr>
          <w:p w14:paraId="529C212B" w14:textId="77777777" w:rsidR="00826870" w:rsidRPr="00820F7A" w:rsidRDefault="00B21388">
            <w:pPr>
              <w:pStyle w:val="Normal1"/>
              <w:pBdr>
                <w:top w:val="nil"/>
                <w:left w:val="nil"/>
                <w:bottom w:val="nil"/>
                <w:right w:val="nil"/>
                <w:between w:val="nil"/>
              </w:pBdr>
              <w:spacing w:line="360" w:lineRule="auto"/>
              <w:rPr>
                <w:color w:val="000000"/>
                <w:lang w:val="en-GB"/>
              </w:rPr>
            </w:pPr>
            <w:r w:rsidRPr="00820F7A">
              <w:rPr>
                <w:color w:val="000000"/>
                <w:lang w:val="en-GB"/>
              </w:rPr>
              <w:t>Haoyan et al. (2023)</w:t>
            </w:r>
          </w:p>
        </w:tc>
        <w:tc>
          <w:tcPr>
            <w:tcW w:w="726" w:type="dxa"/>
          </w:tcPr>
          <w:p w14:paraId="4AB13DF8"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10" w:type="dxa"/>
          </w:tcPr>
          <w:p w14:paraId="0CA33AA6"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70" w:type="dxa"/>
          </w:tcPr>
          <w:p w14:paraId="6D0DA6D4"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70" w:type="dxa"/>
          </w:tcPr>
          <w:p w14:paraId="3FC5F985"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98" w:type="dxa"/>
          </w:tcPr>
          <w:p w14:paraId="29022960"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98" w:type="dxa"/>
          </w:tcPr>
          <w:p w14:paraId="52FA1B58"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98" w:type="dxa"/>
          </w:tcPr>
          <w:p w14:paraId="5FF7E625"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75" w:type="dxa"/>
          </w:tcPr>
          <w:p w14:paraId="4444F7DA"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639" w:type="dxa"/>
          </w:tcPr>
          <w:p w14:paraId="24E53AF1"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19" w:type="dxa"/>
          </w:tcPr>
          <w:p w14:paraId="0912F3BD"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r>
      <w:tr w:rsidR="00826870" w:rsidRPr="00820F7A" w14:paraId="4FEAD4D9" w14:textId="77777777">
        <w:trPr>
          <w:cantSplit/>
          <w:tblHeader/>
        </w:trPr>
        <w:tc>
          <w:tcPr>
            <w:tcW w:w="1270" w:type="dxa"/>
          </w:tcPr>
          <w:p w14:paraId="7BD435FC" w14:textId="77777777" w:rsidR="00826870" w:rsidRPr="00820F7A" w:rsidRDefault="00B21388">
            <w:pPr>
              <w:pStyle w:val="Normal1"/>
              <w:pBdr>
                <w:top w:val="nil"/>
                <w:left w:val="nil"/>
                <w:bottom w:val="nil"/>
                <w:right w:val="nil"/>
                <w:between w:val="nil"/>
              </w:pBdr>
              <w:spacing w:line="360" w:lineRule="auto"/>
              <w:rPr>
                <w:color w:val="000000"/>
                <w:lang w:val="en-GB"/>
              </w:rPr>
            </w:pPr>
            <w:r w:rsidRPr="00820F7A">
              <w:rPr>
                <w:color w:val="000000"/>
                <w:lang w:val="en-GB"/>
              </w:rPr>
              <w:t xml:space="preserve">Backman </w:t>
            </w:r>
            <w:r w:rsidRPr="00820F7A">
              <w:rPr>
                <w:i/>
                <w:iCs/>
                <w:color w:val="000000"/>
                <w:lang w:val="en-GB"/>
              </w:rPr>
              <w:t>et al.</w:t>
            </w:r>
            <w:r w:rsidRPr="00820F7A">
              <w:rPr>
                <w:color w:val="000000"/>
                <w:lang w:val="en-GB"/>
              </w:rPr>
              <w:t xml:space="preserve"> (2025)</w:t>
            </w:r>
          </w:p>
        </w:tc>
        <w:tc>
          <w:tcPr>
            <w:tcW w:w="726" w:type="dxa"/>
          </w:tcPr>
          <w:p w14:paraId="1727FFF5"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10" w:type="dxa"/>
          </w:tcPr>
          <w:p w14:paraId="749313C5"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70" w:type="dxa"/>
          </w:tcPr>
          <w:p w14:paraId="496A6E7E"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70" w:type="dxa"/>
          </w:tcPr>
          <w:p w14:paraId="131DB06B"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98" w:type="dxa"/>
          </w:tcPr>
          <w:p w14:paraId="7505A7C6"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98" w:type="dxa"/>
          </w:tcPr>
          <w:p w14:paraId="75024BE4"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98" w:type="dxa"/>
          </w:tcPr>
          <w:p w14:paraId="7426587F"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75" w:type="dxa"/>
          </w:tcPr>
          <w:p w14:paraId="7E1DE4E9"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639" w:type="dxa"/>
          </w:tcPr>
          <w:p w14:paraId="5BE3CAAF"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19" w:type="dxa"/>
          </w:tcPr>
          <w:p w14:paraId="4CE38825"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r>
      <w:tr w:rsidR="00826870" w:rsidRPr="00820F7A" w14:paraId="2F96C91F" w14:textId="77777777">
        <w:trPr>
          <w:cantSplit/>
          <w:tblHeader/>
        </w:trPr>
        <w:tc>
          <w:tcPr>
            <w:tcW w:w="1270" w:type="dxa"/>
          </w:tcPr>
          <w:p w14:paraId="7EF467C3" w14:textId="77777777" w:rsidR="00826870" w:rsidRPr="00820F7A" w:rsidRDefault="00B21388">
            <w:pPr>
              <w:pStyle w:val="Normal1"/>
              <w:pBdr>
                <w:top w:val="nil"/>
                <w:left w:val="nil"/>
                <w:bottom w:val="nil"/>
                <w:right w:val="nil"/>
                <w:between w:val="nil"/>
              </w:pBdr>
              <w:spacing w:line="360" w:lineRule="auto"/>
              <w:rPr>
                <w:color w:val="000000"/>
                <w:lang w:val="en-GB"/>
              </w:rPr>
            </w:pPr>
            <w:r w:rsidRPr="00820F7A">
              <w:rPr>
                <w:color w:val="000000"/>
                <w:lang w:val="en-GB"/>
              </w:rPr>
              <w:t>Alkan et al. (2024)</w:t>
            </w:r>
          </w:p>
        </w:tc>
        <w:tc>
          <w:tcPr>
            <w:tcW w:w="726" w:type="dxa"/>
          </w:tcPr>
          <w:p w14:paraId="013DA95E"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10" w:type="dxa"/>
          </w:tcPr>
          <w:p w14:paraId="359722A3"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70" w:type="dxa"/>
          </w:tcPr>
          <w:p w14:paraId="0218967F"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70" w:type="dxa"/>
          </w:tcPr>
          <w:p w14:paraId="04522576"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98" w:type="dxa"/>
          </w:tcPr>
          <w:p w14:paraId="5E73D07F"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98" w:type="dxa"/>
          </w:tcPr>
          <w:p w14:paraId="1C12848D"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98" w:type="dxa"/>
          </w:tcPr>
          <w:p w14:paraId="0D73D969"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75" w:type="dxa"/>
          </w:tcPr>
          <w:p w14:paraId="30684FDC"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639" w:type="dxa"/>
          </w:tcPr>
          <w:p w14:paraId="2CCC8609"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19" w:type="dxa"/>
          </w:tcPr>
          <w:p w14:paraId="3D3EDC50"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r>
      <w:tr w:rsidR="00826870" w:rsidRPr="00820F7A" w14:paraId="13BE7CE7" w14:textId="77777777">
        <w:trPr>
          <w:cantSplit/>
          <w:tblHeader/>
        </w:trPr>
        <w:tc>
          <w:tcPr>
            <w:tcW w:w="1270" w:type="dxa"/>
          </w:tcPr>
          <w:p w14:paraId="46AE7EDB" w14:textId="77777777" w:rsidR="00826870" w:rsidRPr="00820F7A" w:rsidRDefault="00B21388">
            <w:pPr>
              <w:pStyle w:val="Normal1"/>
              <w:pBdr>
                <w:top w:val="nil"/>
                <w:left w:val="nil"/>
                <w:bottom w:val="nil"/>
                <w:right w:val="nil"/>
                <w:between w:val="nil"/>
              </w:pBdr>
              <w:spacing w:line="360" w:lineRule="auto"/>
              <w:rPr>
                <w:color w:val="000000"/>
                <w:lang w:val="en-GB"/>
              </w:rPr>
            </w:pPr>
            <w:r w:rsidRPr="00820F7A">
              <w:rPr>
                <w:color w:val="000000"/>
                <w:lang w:val="en-GB"/>
              </w:rPr>
              <w:t>Carter et al. (2022)</w:t>
            </w:r>
          </w:p>
        </w:tc>
        <w:tc>
          <w:tcPr>
            <w:tcW w:w="726" w:type="dxa"/>
          </w:tcPr>
          <w:p w14:paraId="2F45742C"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10" w:type="dxa"/>
          </w:tcPr>
          <w:p w14:paraId="168682F2"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70" w:type="dxa"/>
          </w:tcPr>
          <w:p w14:paraId="415A31EA"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70" w:type="dxa"/>
          </w:tcPr>
          <w:p w14:paraId="3C39BA18"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98" w:type="dxa"/>
          </w:tcPr>
          <w:p w14:paraId="0DA50DA1"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98" w:type="dxa"/>
          </w:tcPr>
          <w:p w14:paraId="100883FA"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98" w:type="dxa"/>
          </w:tcPr>
          <w:p w14:paraId="31BBC0EC"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75" w:type="dxa"/>
          </w:tcPr>
          <w:p w14:paraId="0AE4F2EE"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639" w:type="dxa"/>
          </w:tcPr>
          <w:p w14:paraId="0C485C19"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19" w:type="dxa"/>
          </w:tcPr>
          <w:p w14:paraId="4F01D112"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r>
      <w:tr w:rsidR="00826870" w:rsidRPr="00820F7A" w14:paraId="30FF2682" w14:textId="77777777">
        <w:trPr>
          <w:cantSplit/>
          <w:tblHeader/>
        </w:trPr>
        <w:tc>
          <w:tcPr>
            <w:tcW w:w="1270" w:type="dxa"/>
          </w:tcPr>
          <w:p w14:paraId="0DCA69D6" w14:textId="77777777" w:rsidR="00826870" w:rsidRPr="00820F7A" w:rsidRDefault="00B21388">
            <w:pPr>
              <w:pStyle w:val="Normal1"/>
              <w:pBdr>
                <w:top w:val="nil"/>
                <w:left w:val="nil"/>
                <w:bottom w:val="nil"/>
                <w:right w:val="nil"/>
                <w:between w:val="nil"/>
              </w:pBdr>
              <w:spacing w:line="360" w:lineRule="auto"/>
              <w:rPr>
                <w:color w:val="000000"/>
                <w:lang w:val="en-GB"/>
              </w:rPr>
            </w:pPr>
            <w:r w:rsidRPr="00820F7A">
              <w:rPr>
                <w:color w:val="000000"/>
                <w:lang w:val="en-GB"/>
              </w:rPr>
              <w:t>Rowen et al. (2022)</w:t>
            </w:r>
          </w:p>
        </w:tc>
        <w:tc>
          <w:tcPr>
            <w:tcW w:w="726" w:type="dxa"/>
          </w:tcPr>
          <w:p w14:paraId="294AE7E6"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10" w:type="dxa"/>
          </w:tcPr>
          <w:p w14:paraId="39AF1C07"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70" w:type="dxa"/>
          </w:tcPr>
          <w:p w14:paraId="0DD2F83C"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70" w:type="dxa"/>
          </w:tcPr>
          <w:p w14:paraId="7189D868"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98" w:type="dxa"/>
          </w:tcPr>
          <w:p w14:paraId="503FF9FA"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98" w:type="dxa"/>
          </w:tcPr>
          <w:p w14:paraId="4165D0C0"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98" w:type="dxa"/>
          </w:tcPr>
          <w:p w14:paraId="7A0622EC"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75" w:type="dxa"/>
          </w:tcPr>
          <w:p w14:paraId="5876BB62"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639" w:type="dxa"/>
          </w:tcPr>
          <w:p w14:paraId="5DFF7DFC"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19" w:type="dxa"/>
          </w:tcPr>
          <w:p w14:paraId="2D910F27"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r>
      <w:tr w:rsidR="00826870" w:rsidRPr="00820F7A" w14:paraId="68A62D80" w14:textId="77777777">
        <w:trPr>
          <w:cantSplit/>
          <w:tblHeader/>
        </w:trPr>
        <w:tc>
          <w:tcPr>
            <w:tcW w:w="1270" w:type="dxa"/>
          </w:tcPr>
          <w:p w14:paraId="47750CD0" w14:textId="77777777" w:rsidR="00826870" w:rsidRPr="00820F7A" w:rsidRDefault="00B21388">
            <w:pPr>
              <w:pStyle w:val="Normal1"/>
              <w:pBdr>
                <w:top w:val="nil"/>
                <w:left w:val="nil"/>
                <w:bottom w:val="nil"/>
                <w:right w:val="nil"/>
                <w:between w:val="nil"/>
              </w:pBdr>
              <w:spacing w:line="360" w:lineRule="auto"/>
              <w:rPr>
                <w:color w:val="000000"/>
                <w:lang w:val="en-GB"/>
              </w:rPr>
            </w:pPr>
            <w:r w:rsidRPr="00820F7A">
              <w:rPr>
                <w:color w:val="000000"/>
                <w:lang w:val="en-GB"/>
              </w:rPr>
              <w:t>Lorenc et al. (2024)</w:t>
            </w:r>
          </w:p>
        </w:tc>
        <w:tc>
          <w:tcPr>
            <w:tcW w:w="726" w:type="dxa"/>
          </w:tcPr>
          <w:p w14:paraId="70795B41"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10" w:type="dxa"/>
          </w:tcPr>
          <w:p w14:paraId="7AAEC8B1"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70" w:type="dxa"/>
          </w:tcPr>
          <w:p w14:paraId="1E5626B7"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70" w:type="dxa"/>
          </w:tcPr>
          <w:p w14:paraId="6A17EA0F"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98" w:type="dxa"/>
          </w:tcPr>
          <w:p w14:paraId="327B2867"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98" w:type="dxa"/>
          </w:tcPr>
          <w:p w14:paraId="39C9C0EC"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98" w:type="dxa"/>
          </w:tcPr>
          <w:p w14:paraId="0BFAFED8"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75" w:type="dxa"/>
          </w:tcPr>
          <w:p w14:paraId="370F6788"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639" w:type="dxa"/>
          </w:tcPr>
          <w:p w14:paraId="650395AF"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19" w:type="dxa"/>
          </w:tcPr>
          <w:p w14:paraId="55924D23"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r>
      <w:tr w:rsidR="00826870" w:rsidRPr="00820F7A" w14:paraId="3B086CDC" w14:textId="77777777">
        <w:trPr>
          <w:cantSplit/>
          <w:tblHeader/>
        </w:trPr>
        <w:tc>
          <w:tcPr>
            <w:tcW w:w="1270" w:type="dxa"/>
          </w:tcPr>
          <w:p w14:paraId="4A2C7605" w14:textId="77777777" w:rsidR="00826870" w:rsidRPr="00820F7A" w:rsidRDefault="00B21388">
            <w:pPr>
              <w:pStyle w:val="Normal1"/>
              <w:pBdr>
                <w:top w:val="nil"/>
                <w:left w:val="nil"/>
                <w:bottom w:val="nil"/>
                <w:right w:val="nil"/>
                <w:between w:val="nil"/>
              </w:pBdr>
              <w:spacing w:line="360" w:lineRule="auto"/>
              <w:rPr>
                <w:color w:val="000000"/>
                <w:lang w:val="en-GB"/>
              </w:rPr>
            </w:pPr>
            <w:r w:rsidRPr="00820F7A">
              <w:rPr>
                <w:color w:val="000000"/>
                <w:lang w:val="en-GB"/>
              </w:rPr>
              <w:t>Jones et al. (2024)</w:t>
            </w:r>
          </w:p>
        </w:tc>
        <w:tc>
          <w:tcPr>
            <w:tcW w:w="726" w:type="dxa"/>
          </w:tcPr>
          <w:p w14:paraId="26B87496"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10" w:type="dxa"/>
          </w:tcPr>
          <w:p w14:paraId="0D5D5F02"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70" w:type="dxa"/>
          </w:tcPr>
          <w:p w14:paraId="52129243"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70" w:type="dxa"/>
          </w:tcPr>
          <w:p w14:paraId="2D81F992"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98" w:type="dxa"/>
          </w:tcPr>
          <w:p w14:paraId="6E5018B9"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98" w:type="dxa"/>
          </w:tcPr>
          <w:p w14:paraId="11D16460"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98" w:type="dxa"/>
          </w:tcPr>
          <w:p w14:paraId="29047165"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75" w:type="dxa"/>
          </w:tcPr>
          <w:p w14:paraId="2A7F0436"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639" w:type="dxa"/>
          </w:tcPr>
          <w:p w14:paraId="65D16142"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19" w:type="dxa"/>
          </w:tcPr>
          <w:p w14:paraId="2C8D126B"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r>
      <w:tr w:rsidR="00826870" w:rsidRPr="00820F7A" w14:paraId="5C939A8F" w14:textId="77777777">
        <w:trPr>
          <w:cantSplit/>
          <w:tblHeader/>
        </w:trPr>
        <w:tc>
          <w:tcPr>
            <w:tcW w:w="1270" w:type="dxa"/>
          </w:tcPr>
          <w:p w14:paraId="4D451388" w14:textId="77777777" w:rsidR="00826870" w:rsidRPr="00820F7A" w:rsidRDefault="00B21388">
            <w:pPr>
              <w:pStyle w:val="Normal1"/>
              <w:pBdr>
                <w:top w:val="nil"/>
                <w:left w:val="nil"/>
                <w:bottom w:val="nil"/>
                <w:right w:val="nil"/>
                <w:between w:val="nil"/>
              </w:pBdr>
              <w:spacing w:line="360" w:lineRule="auto"/>
              <w:rPr>
                <w:color w:val="000000"/>
                <w:lang w:val="en-GB"/>
              </w:rPr>
            </w:pPr>
            <w:r w:rsidRPr="00820F7A">
              <w:rPr>
                <w:color w:val="000000"/>
                <w:lang w:val="en-GB"/>
              </w:rPr>
              <w:t>Phillipson et al. (2025)</w:t>
            </w:r>
          </w:p>
        </w:tc>
        <w:tc>
          <w:tcPr>
            <w:tcW w:w="726" w:type="dxa"/>
          </w:tcPr>
          <w:p w14:paraId="6E0B198D"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10" w:type="dxa"/>
          </w:tcPr>
          <w:p w14:paraId="3AE02B90"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70" w:type="dxa"/>
          </w:tcPr>
          <w:p w14:paraId="44F3F82C"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70" w:type="dxa"/>
          </w:tcPr>
          <w:p w14:paraId="5E84870D"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98" w:type="dxa"/>
          </w:tcPr>
          <w:p w14:paraId="1D3DDA1D"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98" w:type="dxa"/>
          </w:tcPr>
          <w:p w14:paraId="68E53C96"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98" w:type="dxa"/>
          </w:tcPr>
          <w:p w14:paraId="3D522D38"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75" w:type="dxa"/>
          </w:tcPr>
          <w:p w14:paraId="149D984F"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639" w:type="dxa"/>
          </w:tcPr>
          <w:p w14:paraId="7CE8D5CE"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19" w:type="dxa"/>
          </w:tcPr>
          <w:p w14:paraId="0B5F2824"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r>
      <w:tr w:rsidR="00826870" w:rsidRPr="00820F7A" w14:paraId="41C69508" w14:textId="77777777">
        <w:trPr>
          <w:cantSplit/>
          <w:tblHeader/>
        </w:trPr>
        <w:tc>
          <w:tcPr>
            <w:tcW w:w="1270" w:type="dxa"/>
          </w:tcPr>
          <w:p w14:paraId="259D439B" w14:textId="77777777" w:rsidR="00826870" w:rsidRPr="00820F7A" w:rsidRDefault="00B21388">
            <w:pPr>
              <w:pStyle w:val="Normal1"/>
              <w:pBdr>
                <w:top w:val="nil"/>
                <w:left w:val="nil"/>
                <w:bottom w:val="nil"/>
                <w:right w:val="nil"/>
                <w:between w:val="nil"/>
              </w:pBdr>
              <w:spacing w:line="360" w:lineRule="auto"/>
              <w:rPr>
                <w:color w:val="000000"/>
                <w:lang w:val="en-GB"/>
              </w:rPr>
            </w:pPr>
            <w:r w:rsidRPr="00820F7A">
              <w:rPr>
                <w:color w:val="000000"/>
                <w:lang w:val="en-GB"/>
              </w:rPr>
              <w:t>Antonopoulou et al. (2024)</w:t>
            </w:r>
          </w:p>
        </w:tc>
        <w:tc>
          <w:tcPr>
            <w:tcW w:w="726" w:type="dxa"/>
          </w:tcPr>
          <w:p w14:paraId="1D375B1E"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10" w:type="dxa"/>
          </w:tcPr>
          <w:p w14:paraId="6FAF3E26"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70" w:type="dxa"/>
          </w:tcPr>
          <w:p w14:paraId="30F0371C"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70" w:type="dxa"/>
          </w:tcPr>
          <w:p w14:paraId="0A7EF807"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98" w:type="dxa"/>
          </w:tcPr>
          <w:p w14:paraId="43FDE9A0"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98" w:type="dxa"/>
          </w:tcPr>
          <w:p w14:paraId="7EF88B18"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98" w:type="dxa"/>
          </w:tcPr>
          <w:p w14:paraId="1FFD0E1C"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75" w:type="dxa"/>
          </w:tcPr>
          <w:p w14:paraId="4A12FB59"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639" w:type="dxa"/>
          </w:tcPr>
          <w:p w14:paraId="5541617E"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19" w:type="dxa"/>
          </w:tcPr>
          <w:p w14:paraId="484608A6"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r>
      <w:tr w:rsidR="00826870" w:rsidRPr="00820F7A" w14:paraId="318CD8A1" w14:textId="77777777">
        <w:trPr>
          <w:cantSplit/>
          <w:tblHeader/>
        </w:trPr>
        <w:tc>
          <w:tcPr>
            <w:tcW w:w="1270" w:type="dxa"/>
          </w:tcPr>
          <w:p w14:paraId="7A502DBE" w14:textId="77777777" w:rsidR="00826870" w:rsidRPr="00820F7A" w:rsidRDefault="00B21388">
            <w:pPr>
              <w:pStyle w:val="Normal1"/>
              <w:widowControl w:val="0"/>
              <w:pBdr>
                <w:top w:val="nil"/>
                <w:left w:val="nil"/>
                <w:bottom w:val="nil"/>
                <w:right w:val="nil"/>
                <w:between w:val="nil"/>
              </w:pBdr>
              <w:spacing w:line="360" w:lineRule="auto"/>
              <w:rPr>
                <w:color w:val="000000"/>
                <w:lang w:val="en-GB"/>
              </w:rPr>
            </w:pPr>
            <w:r w:rsidRPr="00820F7A">
              <w:rPr>
                <w:color w:val="000000"/>
                <w:highlight w:val="white"/>
                <w:lang w:val="en-GB"/>
              </w:rPr>
              <w:t xml:space="preserve">Taske </w:t>
            </w:r>
            <w:r w:rsidRPr="00820F7A">
              <w:rPr>
                <w:i/>
                <w:iCs/>
                <w:color w:val="000000"/>
                <w:highlight w:val="white"/>
                <w:lang w:val="en-GB"/>
              </w:rPr>
              <w:t xml:space="preserve">et al. </w:t>
            </w:r>
            <w:r w:rsidRPr="00820F7A">
              <w:rPr>
                <w:color w:val="000000"/>
                <w:highlight w:val="white"/>
                <w:lang w:val="en-GB"/>
              </w:rPr>
              <w:t>(2023)</w:t>
            </w:r>
          </w:p>
        </w:tc>
        <w:tc>
          <w:tcPr>
            <w:tcW w:w="726" w:type="dxa"/>
          </w:tcPr>
          <w:p w14:paraId="70F7CA0E"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10" w:type="dxa"/>
          </w:tcPr>
          <w:p w14:paraId="6D0F7AFC"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70" w:type="dxa"/>
          </w:tcPr>
          <w:p w14:paraId="05EE1827"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70" w:type="dxa"/>
          </w:tcPr>
          <w:p w14:paraId="1A21345C"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98" w:type="dxa"/>
          </w:tcPr>
          <w:p w14:paraId="06E27D00"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98" w:type="dxa"/>
          </w:tcPr>
          <w:p w14:paraId="39E218BB"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98" w:type="dxa"/>
          </w:tcPr>
          <w:p w14:paraId="31DB8C76"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75" w:type="dxa"/>
          </w:tcPr>
          <w:p w14:paraId="4EA84C21"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639" w:type="dxa"/>
          </w:tcPr>
          <w:p w14:paraId="297D6FD9"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19" w:type="dxa"/>
          </w:tcPr>
          <w:p w14:paraId="4C3893D9"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r>
      <w:tr w:rsidR="00826870" w:rsidRPr="00820F7A" w14:paraId="4A6F9D9D" w14:textId="77777777">
        <w:trPr>
          <w:cantSplit/>
          <w:tblHeader/>
        </w:trPr>
        <w:tc>
          <w:tcPr>
            <w:tcW w:w="1270" w:type="dxa"/>
          </w:tcPr>
          <w:p w14:paraId="035F6871" w14:textId="77777777" w:rsidR="00826870" w:rsidRPr="00820F7A" w:rsidRDefault="00B21388">
            <w:pPr>
              <w:pStyle w:val="Normal1"/>
              <w:widowControl w:val="0"/>
              <w:pBdr>
                <w:top w:val="nil"/>
                <w:left w:val="nil"/>
                <w:bottom w:val="nil"/>
                <w:right w:val="nil"/>
                <w:between w:val="nil"/>
              </w:pBdr>
              <w:spacing w:line="360" w:lineRule="auto"/>
              <w:rPr>
                <w:color w:val="000000"/>
                <w:lang w:val="en-GB"/>
              </w:rPr>
            </w:pPr>
            <w:r w:rsidRPr="00820F7A">
              <w:rPr>
                <w:color w:val="000000"/>
                <w:highlight w:val="white"/>
                <w:lang w:val="en-GB"/>
              </w:rPr>
              <w:t xml:space="preserve">Granel-Giménez </w:t>
            </w:r>
            <w:r w:rsidRPr="00820F7A">
              <w:rPr>
                <w:i/>
                <w:iCs/>
                <w:color w:val="000000"/>
                <w:highlight w:val="white"/>
                <w:lang w:val="en-GB"/>
              </w:rPr>
              <w:t xml:space="preserve">et al. </w:t>
            </w:r>
            <w:r w:rsidRPr="00820F7A">
              <w:rPr>
                <w:color w:val="000000"/>
                <w:highlight w:val="white"/>
                <w:lang w:val="en-GB"/>
              </w:rPr>
              <w:t>(2022)</w:t>
            </w:r>
          </w:p>
        </w:tc>
        <w:tc>
          <w:tcPr>
            <w:tcW w:w="726" w:type="dxa"/>
          </w:tcPr>
          <w:p w14:paraId="7E366341"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10" w:type="dxa"/>
          </w:tcPr>
          <w:p w14:paraId="078ABB43"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70" w:type="dxa"/>
          </w:tcPr>
          <w:p w14:paraId="703EBC8C"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70" w:type="dxa"/>
          </w:tcPr>
          <w:p w14:paraId="31D44471"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98" w:type="dxa"/>
          </w:tcPr>
          <w:p w14:paraId="37526703"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98" w:type="dxa"/>
          </w:tcPr>
          <w:p w14:paraId="6F46AE43"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98" w:type="dxa"/>
          </w:tcPr>
          <w:p w14:paraId="059827D2"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75" w:type="dxa"/>
          </w:tcPr>
          <w:p w14:paraId="393C50EC"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639" w:type="dxa"/>
          </w:tcPr>
          <w:p w14:paraId="59F938F6"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19" w:type="dxa"/>
          </w:tcPr>
          <w:p w14:paraId="490B1D4B"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r>
      <w:tr w:rsidR="00826870" w:rsidRPr="00820F7A" w14:paraId="5E206C77" w14:textId="77777777">
        <w:trPr>
          <w:cantSplit/>
          <w:tblHeader/>
        </w:trPr>
        <w:tc>
          <w:tcPr>
            <w:tcW w:w="1270" w:type="dxa"/>
          </w:tcPr>
          <w:p w14:paraId="36FE61EF" w14:textId="77777777" w:rsidR="00826870" w:rsidRPr="00820F7A" w:rsidRDefault="00B21388">
            <w:pPr>
              <w:pStyle w:val="Normal1"/>
              <w:widowControl w:val="0"/>
              <w:pBdr>
                <w:top w:val="nil"/>
                <w:left w:val="nil"/>
                <w:bottom w:val="nil"/>
                <w:right w:val="nil"/>
                <w:between w:val="nil"/>
              </w:pBdr>
              <w:spacing w:line="360" w:lineRule="auto"/>
              <w:rPr>
                <w:color w:val="000000"/>
                <w:lang w:val="en-GB"/>
              </w:rPr>
            </w:pPr>
            <w:r w:rsidRPr="00820F7A">
              <w:rPr>
                <w:color w:val="000000"/>
                <w:highlight w:val="white"/>
                <w:lang w:val="en-GB"/>
              </w:rPr>
              <w:t xml:space="preserve">Mahmoud </w:t>
            </w:r>
            <w:r w:rsidRPr="00820F7A">
              <w:rPr>
                <w:i/>
                <w:iCs/>
                <w:color w:val="000000"/>
                <w:highlight w:val="white"/>
                <w:lang w:val="en-GB"/>
              </w:rPr>
              <w:t xml:space="preserve">et al. </w:t>
            </w:r>
            <w:r w:rsidRPr="00820F7A">
              <w:rPr>
                <w:color w:val="000000"/>
                <w:highlight w:val="white"/>
                <w:lang w:val="en-GB"/>
              </w:rPr>
              <w:t>(2023)</w:t>
            </w:r>
          </w:p>
        </w:tc>
        <w:tc>
          <w:tcPr>
            <w:tcW w:w="726" w:type="dxa"/>
          </w:tcPr>
          <w:p w14:paraId="57FFD5C1"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10" w:type="dxa"/>
          </w:tcPr>
          <w:p w14:paraId="0CB83558"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70" w:type="dxa"/>
          </w:tcPr>
          <w:p w14:paraId="11E3177C"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70" w:type="dxa"/>
          </w:tcPr>
          <w:p w14:paraId="5008B175"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98" w:type="dxa"/>
          </w:tcPr>
          <w:p w14:paraId="788CC54B"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98" w:type="dxa"/>
          </w:tcPr>
          <w:p w14:paraId="4B79CEBF"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98" w:type="dxa"/>
          </w:tcPr>
          <w:p w14:paraId="1AFD6302"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75" w:type="dxa"/>
          </w:tcPr>
          <w:p w14:paraId="05CC139B"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639" w:type="dxa"/>
          </w:tcPr>
          <w:p w14:paraId="0118C68D"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19" w:type="dxa"/>
          </w:tcPr>
          <w:p w14:paraId="2E85CD44"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r>
      <w:tr w:rsidR="00826870" w:rsidRPr="00820F7A" w14:paraId="0FBB2D06" w14:textId="77777777">
        <w:trPr>
          <w:cantSplit/>
          <w:tblHeader/>
        </w:trPr>
        <w:tc>
          <w:tcPr>
            <w:tcW w:w="1270" w:type="dxa"/>
          </w:tcPr>
          <w:p w14:paraId="1CEDF081" w14:textId="77777777" w:rsidR="00826870" w:rsidRPr="00820F7A" w:rsidRDefault="00B21388">
            <w:pPr>
              <w:pStyle w:val="Normal1"/>
              <w:widowControl w:val="0"/>
              <w:pBdr>
                <w:top w:val="nil"/>
                <w:left w:val="nil"/>
                <w:bottom w:val="nil"/>
                <w:right w:val="nil"/>
                <w:between w:val="nil"/>
              </w:pBdr>
              <w:spacing w:line="360" w:lineRule="auto"/>
              <w:rPr>
                <w:color w:val="000000"/>
                <w:lang w:val="en-GB"/>
              </w:rPr>
            </w:pPr>
            <w:r w:rsidRPr="00820F7A">
              <w:rPr>
                <w:color w:val="000000"/>
                <w:highlight w:val="white"/>
                <w:lang w:val="en-GB"/>
              </w:rPr>
              <w:t xml:space="preserve">Alabdaly </w:t>
            </w:r>
            <w:r w:rsidRPr="00820F7A">
              <w:rPr>
                <w:i/>
                <w:iCs/>
                <w:color w:val="000000"/>
                <w:highlight w:val="white"/>
                <w:lang w:val="en-GB"/>
              </w:rPr>
              <w:t xml:space="preserve">et al. </w:t>
            </w:r>
            <w:r w:rsidRPr="00820F7A">
              <w:rPr>
                <w:color w:val="000000"/>
                <w:highlight w:val="white"/>
                <w:lang w:val="en-GB"/>
              </w:rPr>
              <w:t>(2024)</w:t>
            </w:r>
          </w:p>
        </w:tc>
        <w:tc>
          <w:tcPr>
            <w:tcW w:w="726" w:type="dxa"/>
          </w:tcPr>
          <w:p w14:paraId="6F3049CB"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10" w:type="dxa"/>
          </w:tcPr>
          <w:p w14:paraId="2A8BF525"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70" w:type="dxa"/>
          </w:tcPr>
          <w:p w14:paraId="564864C8"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70" w:type="dxa"/>
          </w:tcPr>
          <w:p w14:paraId="324F2C6A"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98" w:type="dxa"/>
          </w:tcPr>
          <w:p w14:paraId="2267BD98"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98" w:type="dxa"/>
          </w:tcPr>
          <w:p w14:paraId="00E136F5"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98" w:type="dxa"/>
          </w:tcPr>
          <w:p w14:paraId="5B05F419"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75" w:type="dxa"/>
          </w:tcPr>
          <w:p w14:paraId="0E724B89"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639" w:type="dxa"/>
          </w:tcPr>
          <w:p w14:paraId="51C88DA7"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19" w:type="dxa"/>
          </w:tcPr>
          <w:p w14:paraId="15EF1311"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r>
      <w:tr w:rsidR="00826870" w:rsidRPr="00820F7A" w14:paraId="38D42054" w14:textId="77777777">
        <w:trPr>
          <w:cantSplit/>
          <w:tblHeader/>
        </w:trPr>
        <w:tc>
          <w:tcPr>
            <w:tcW w:w="1270" w:type="dxa"/>
          </w:tcPr>
          <w:p w14:paraId="1ABAFB5A" w14:textId="77777777" w:rsidR="00826870" w:rsidRPr="00820F7A" w:rsidRDefault="00B21388">
            <w:pPr>
              <w:pStyle w:val="Normal1"/>
              <w:widowControl w:val="0"/>
              <w:pBdr>
                <w:top w:val="nil"/>
                <w:left w:val="nil"/>
                <w:bottom w:val="nil"/>
                <w:right w:val="nil"/>
                <w:between w:val="nil"/>
              </w:pBdr>
              <w:spacing w:line="360" w:lineRule="auto"/>
              <w:rPr>
                <w:color w:val="000000"/>
                <w:lang w:val="en-GB"/>
              </w:rPr>
            </w:pPr>
            <w:r w:rsidRPr="00820F7A">
              <w:rPr>
                <w:color w:val="000000"/>
                <w:highlight w:val="white"/>
                <w:lang w:val="en-GB"/>
              </w:rPr>
              <w:t xml:space="preserve">Tenza </w:t>
            </w:r>
            <w:r w:rsidRPr="00820F7A">
              <w:rPr>
                <w:i/>
                <w:iCs/>
                <w:color w:val="000000"/>
                <w:highlight w:val="white"/>
                <w:lang w:val="en-GB"/>
              </w:rPr>
              <w:t xml:space="preserve">et al. </w:t>
            </w:r>
            <w:r w:rsidRPr="00820F7A">
              <w:rPr>
                <w:color w:val="000000"/>
                <w:highlight w:val="white"/>
                <w:lang w:val="en-GB"/>
              </w:rPr>
              <w:t>(2022)</w:t>
            </w:r>
          </w:p>
        </w:tc>
        <w:tc>
          <w:tcPr>
            <w:tcW w:w="726" w:type="dxa"/>
          </w:tcPr>
          <w:p w14:paraId="124959B4"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10" w:type="dxa"/>
          </w:tcPr>
          <w:p w14:paraId="23031619"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70" w:type="dxa"/>
          </w:tcPr>
          <w:p w14:paraId="48739067"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870" w:type="dxa"/>
          </w:tcPr>
          <w:p w14:paraId="147798A9"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98" w:type="dxa"/>
          </w:tcPr>
          <w:p w14:paraId="4B284BAF"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998" w:type="dxa"/>
          </w:tcPr>
          <w:p w14:paraId="63EC4C91"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98" w:type="dxa"/>
          </w:tcPr>
          <w:p w14:paraId="7B424844"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75" w:type="dxa"/>
          </w:tcPr>
          <w:p w14:paraId="38DB40A1"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639" w:type="dxa"/>
          </w:tcPr>
          <w:p w14:paraId="4E4B37EE"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c>
          <w:tcPr>
            <w:tcW w:w="719" w:type="dxa"/>
          </w:tcPr>
          <w:p w14:paraId="36AD7E54"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w:t>
            </w:r>
          </w:p>
        </w:tc>
      </w:tr>
    </w:tbl>
    <w:p w14:paraId="3CE8F8C1" w14:textId="77777777" w:rsidR="00826870" w:rsidRPr="00820F7A" w:rsidRDefault="00826870">
      <w:pPr>
        <w:pStyle w:val="Normal1"/>
        <w:pBdr>
          <w:top w:val="nil"/>
          <w:left w:val="nil"/>
          <w:bottom w:val="nil"/>
          <w:right w:val="nil"/>
          <w:between w:val="nil"/>
        </w:pBdr>
        <w:rPr>
          <w:color w:val="000000"/>
          <w:lang w:val="en-GB"/>
        </w:rPr>
      </w:pPr>
    </w:p>
    <w:p w14:paraId="509BCD78" w14:textId="77777777" w:rsidR="00826870" w:rsidRPr="00820F7A" w:rsidRDefault="00B21388">
      <w:pPr>
        <w:pStyle w:val="Normal1"/>
        <w:pBdr>
          <w:top w:val="nil"/>
          <w:left w:val="nil"/>
          <w:bottom w:val="nil"/>
          <w:right w:val="nil"/>
          <w:between w:val="nil"/>
        </w:pBdr>
        <w:rPr>
          <w:color w:val="000000"/>
          <w:lang w:val="en-GB"/>
        </w:rPr>
      </w:pPr>
      <w:r w:rsidRPr="00820F7A">
        <w:rPr>
          <w:b/>
          <w:bCs/>
          <w:color w:val="000000"/>
          <w:highlight w:val="white"/>
          <w:lang w:val="en-GB"/>
        </w:rPr>
        <w:t xml:space="preserve">Table 3.2: </w:t>
      </w:r>
      <w:r w:rsidRPr="00820F7A">
        <w:rPr>
          <w:color w:val="000000"/>
          <w:lang w:val="en-GB"/>
        </w:rPr>
        <w:t>Quality Assessment of included cross-sectional studies using JBI critical appraisal tool</w:t>
      </w:r>
      <w:r w:rsidRPr="00820F7A">
        <w:rPr>
          <w:color w:val="000000"/>
          <w:vertAlign w:val="superscript"/>
          <w:lang w:val="en-GB"/>
        </w:rPr>
        <w:t> </w:t>
      </w:r>
    </w:p>
    <w:tbl>
      <w:tblPr>
        <w:tblStyle w:val="afffa"/>
        <w:tblW w:w="9572" w:type="dxa"/>
        <w:tblInd w:w="-108"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00" w:firstRow="0" w:lastRow="0" w:firstColumn="0" w:lastColumn="0" w:noHBand="0" w:noVBand="1"/>
      </w:tblPr>
      <w:tblGrid>
        <w:gridCol w:w="1269"/>
        <w:gridCol w:w="726"/>
        <w:gridCol w:w="910"/>
        <w:gridCol w:w="870"/>
        <w:gridCol w:w="870"/>
        <w:gridCol w:w="998"/>
        <w:gridCol w:w="998"/>
        <w:gridCol w:w="798"/>
        <w:gridCol w:w="775"/>
        <w:gridCol w:w="639"/>
        <w:gridCol w:w="719"/>
      </w:tblGrid>
      <w:tr w:rsidR="00826870" w:rsidRPr="00820F7A" w14:paraId="0615F129" w14:textId="77777777">
        <w:trPr>
          <w:cantSplit/>
          <w:tblHeader/>
        </w:trPr>
        <w:tc>
          <w:tcPr>
            <w:tcW w:w="1270" w:type="dxa"/>
          </w:tcPr>
          <w:p w14:paraId="042647C5" w14:textId="77777777" w:rsidR="00826870" w:rsidRPr="00820F7A" w:rsidRDefault="00B21388">
            <w:pPr>
              <w:pStyle w:val="Normal1"/>
              <w:pBdr>
                <w:top w:val="nil"/>
                <w:left w:val="nil"/>
                <w:bottom w:val="nil"/>
                <w:right w:val="nil"/>
                <w:between w:val="nil"/>
              </w:pBdr>
              <w:spacing w:line="360" w:lineRule="auto"/>
              <w:jc w:val="center"/>
              <w:rPr>
                <w:color w:val="000000"/>
                <w:lang w:val="en-GB"/>
              </w:rPr>
            </w:pPr>
            <w:r w:rsidRPr="00820F7A">
              <w:rPr>
                <w:color w:val="000000"/>
                <w:lang w:val="en-GB"/>
              </w:rPr>
              <w:t>Reference</w:t>
            </w:r>
          </w:p>
        </w:tc>
        <w:tc>
          <w:tcPr>
            <w:tcW w:w="726" w:type="dxa"/>
          </w:tcPr>
          <w:p w14:paraId="4B9BF581" w14:textId="77777777" w:rsidR="00826870" w:rsidRPr="00820F7A" w:rsidRDefault="00B21388">
            <w:pPr>
              <w:pStyle w:val="Normal1"/>
              <w:pBdr>
                <w:top w:val="nil"/>
                <w:left w:val="nil"/>
                <w:bottom w:val="nil"/>
                <w:right w:val="nil"/>
                <w:between w:val="nil"/>
              </w:pBdr>
              <w:spacing w:line="360" w:lineRule="auto"/>
              <w:jc w:val="center"/>
              <w:rPr>
                <w:color w:val="000000"/>
                <w:lang w:val="en-GB"/>
              </w:rPr>
            </w:pPr>
            <w:r w:rsidRPr="00820F7A">
              <w:rPr>
                <w:color w:val="000000"/>
                <w:lang w:val="en-GB"/>
              </w:rPr>
              <w:t>Did the study address a clearly focused issue?</w:t>
            </w:r>
          </w:p>
        </w:tc>
        <w:tc>
          <w:tcPr>
            <w:tcW w:w="910" w:type="dxa"/>
          </w:tcPr>
          <w:p w14:paraId="392644C2" w14:textId="77777777" w:rsidR="00826870" w:rsidRPr="00820F7A" w:rsidRDefault="00B21388">
            <w:pPr>
              <w:pStyle w:val="Normal1"/>
              <w:pBdr>
                <w:top w:val="nil"/>
                <w:left w:val="nil"/>
                <w:bottom w:val="nil"/>
                <w:right w:val="nil"/>
                <w:between w:val="nil"/>
              </w:pBdr>
              <w:spacing w:line="360" w:lineRule="auto"/>
              <w:jc w:val="center"/>
              <w:rPr>
                <w:color w:val="000000"/>
                <w:lang w:val="en-GB"/>
              </w:rPr>
            </w:pPr>
            <w:r w:rsidRPr="00820F7A">
              <w:rPr>
                <w:color w:val="000000"/>
                <w:lang w:val="en-GB"/>
              </w:rPr>
              <w:t>Was the cohort recruited in an acceptable way?</w:t>
            </w:r>
          </w:p>
        </w:tc>
        <w:tc>
          <w:tcPr>
            <w:tcW w:w="870" w:type="dxa"/>
          </w:tcPr>
          <w:p w14:paraId="0C2899BA" w14:textId="77777777" w:rsidR="00826870" w:rsidRPr="00820F7A" w:rsidRDefault="00B21388">
            <w:pPr>
              <w:pStyle w:val="Normal1"/>
              <w:pBdr>
                <w:top w:val="nil"/>
                <w:left w:val="nil"/>
                <w:bottom w:val="nil"/>
                <w:right w:val="nil"/>
                <w:between w:val="nil"/>
              </w:pBdr>
              <w:spacing w:line="360" w:lineRule="auto"/>
              <w:jc w:val="center"/>
              <w:rPr>
                <w:color w:val="000000"/>
                <w:lang w:val="en-GB"/>
              </w:rPr>
            </w:pPr>
            <w:r w:rsidRPr="00820F7A">
              <w:rPr>
                <w:color w:val="000000"/>
                <w:lang w:val="en-GB"/>
              </w:rPr>
              <w:t>Was the exposure accurately measured to minimise bias?</w:t>
            </w:r>
          </w:p>
        </w:tc>
        <w:tc>
          <w:tcPr>
            <w:tcW w:w="870" w:type="dxa"/>
          </w:tcPr>
          <w:p w14:paraId="0C9E207B" w14:textId="77777777" w:rsidR="00826870" w:rsidRPr="00820F7A" w:rsidRDefault="00B21388">
            <w:pPr>
              <w:pStyle w:val="Normal1"/>
              <w:pBdr>
                <w:top w:val="nil"/>
                <w:left w:val="nil"/>
                <w:bottom w:val="nil"/>
                <w:right w:val="nil"/>
                <w:between w:val="nil"/>
              </w:pBdr>
              <w:spacing w:line="360" w:lineRule="auto"/>
              <w:jc w:val="center"/>
              <w:rPr>
                <w:color w:val="000000"/>
                <w:lang w:val="en-GB"/>
              </w:rPr>
            </w:pPr>
            <w:r w:rsidRPr="00820F7A">
              <w:rPr>
                <w:color w:val="000000"/>
                <w:lang w:val="en-GB"/>
              </w:rPr>
              <w:t>Was the outcome accurately measured to minimise bias?</w:t>
            </w:r>
          </w:p>
        </w:tc>
        <w:tc>
          <w:tcPr>
            <w:tcW w:w="998" w:type="dxa"/>
          </w:tcPr>
          <w:p w14:paraId="2950D318" w14:textId="77777777" w:rsidR="00826870" w:rsidRPr="00820F7A" w:rsidRDefault="00B21388">
            <w:pPr>
              <w:pStyle w:val="Normal1"/>
              <w:pBdr>
                <w:top w:val="nil"/>
                <w:left w:val="nil"/>
                <w:bottom w:val="nil"/>
                <w:right w:val="nil"/>
                <w:between w:val="nil"/>
              </w:pBdr>
              <w:spacing w:line="360" w:lineRule="auto"/>
              <w:jc w:val="center"/>
              <w:rPr>
                <w:color w:val="000000"/>
                <w:lang w:val="en-GB"/>
              </w:rPr>
            </w:pPr>
            <w:r w:rsidRPr="00820F7A">
              <w:rPr>
                <w:color w:val="000000"/>
                <w:lang w:val="en-GB"/>
              </w:rPr>
              <w:t>Have the authors identified all important confounding factors?</w:t>
            </w:r>
          </w:p>
        </w:tc>
        <w:tc>
          <w:tcPr>
            <w:tcW w:w="998" w:type="dxa"/>
          </w:tcPr>
          <w:p w14:paraId="1CBF1357" w14:textId="77777777" w:rsidR="00826870" w:rsidRPr="00820F7A" w:rsidRDefault="00B21388">
            <w:pPr>
              <w:pStyle w:val="Normal1"/>
              <w:pBdr>
                <w:top w:val="nil"/>
                <w:left w:val="nil"/>
                <w:bottom w:val="nil"/>
                <w:right w:val="nil"/>
                <w:between w:val="nil"/>
              </w:pBdr>
              <w:spacing w:line="360" w:lineRule="auto"/>
              <w:jc w:val="center"/>
              <w:rPr>
                <w:color w:val="000000"/>
                <w:lang w:val="en-GB"/>
              </w:rPr>
            </w:pPr>
            <w:r w:rsidRPr="00820F7A">
              <w:rPr>
                <w:color w:val="000000"/>
                <w:lang w:val="en-GB"/>
              </w:rPr>
              <w:t>Have they taken account of the confounding factors in the design and/or analysis?</w:t>
            </w:r>
          </w:p>
        </w:tc>
        <w:tc>
          <w:tcPr>
            <w:tcW w:w="798" w:type="dxa"/>
          </w:tcPr>
          <w:p w14:paraId="6955BF5A" w14:textId="77777777" w:rsidR="00826870" w:rsidRPr="00820F7A" w:rsidRDefault="00B21388">
            <w:pPr>
              <w:pStyle w:val="Normal1"/>
              <w:pBdr>
                <w:top w:val="nil"/>
                <w:left w:val="nil"/>
                <w:bottom w:val="nil"/>
                <w:right w:val="nil"/>
                <w:between w:val="nil"/>
              </w:pBdr>
              <w:spacing w:line="360" w:lineRule="auto"/>
              <w:jc w:val="center"/>
              <w:rPr>
                <w:color w:val="000000"/>
                <w:lang w:val="en-GB"/>
              </w:rPr>
            </w:pPr>
            <w:r w:rsidRPr="00820F7A">
              <w:rPr>
                <w:color w:val="000000"/>
                <w:lang w:val="en-GB"/>
              </w:rPr>
              <w:t>Was the follow up of subjects complete enough?</w:t>
            </w:r>
          </w:p>
        </w:tc>
        <w:tc>
          <w:tcPr>
            <w:tcW w:w="775" w:type="dxa"/>
          </w:tcPr>
          <w:p w14:paraId="199ADC3B" w14:textId="77777777" w:rsidR="00826870" w:rsidRPr="00820F7A" w:rsidRDefault="00B21388">
            <w:pPr>
              <w:pStyle w:val="Normal1"/>
              <w:pBdr>
                <w:top w:val="nil"/>
                <w:left w:val="nil"/>
                <w:bottom w:val="nil"/>
                <w:right w:val="nil"/>
                <w:between w:val="nil"/>
              </w:pBdr>
              <w:spacing w:line="360" w:lineRule="auto"/>
              <w:jc w:val="center"/>
              <w:rPr>
                <w:color w:val="000000"/>
                <w:lang w:val="en-GB"/>
              </w:rPr>
            </w:pPr>
            <w:r w:rsidRPr="00820F7A">
              <w:rPr>
                <w:color w:val="000000"/>
                <w:lang w:val="en-GB"/>
              </w:rPr>
              <w:t>Was the follow up of subjects long enough?</w:t>
            </w:r>
          </w:p>
        </w:tc>
        <w:tc>
          <w:tcPr>
            <w:tcW w:w="639" w:type="dxa"/>
          </w:tcPr>
          <w:p w14:paraId="64FF7290" w14:textId="77777777" w:rsidR="00826870" w:rsidRPr="00820F7A" w:rsidRDefault="00B21388">
            <w:pPr>
              <w:pStyle w:val="Normal1"/>
              <w:pBdr>
                <w:top w:val="nil"/>
                <w:left w:val="nil"/>
                <w:bottom w:val="nil"/>
                <w:right w:val="nil"/>
                <w:between w:val="nil"/>
              </w:pBdr>
              <w:spacing w:line="360" w:lineRule="auto"/>
              <w:jc w:val="center"/>
              <w:rPr>
                <w:color w:val="000000"/>
                <w:lang w:val="en-GB"/>
              </w:rPr>
            </w:pPr>
            <w:r w:rsidRPr="00820F7A">
              <w:rPr>
                <w:color w:val="000000"/>
                <w:lang w:val="en-GB"/>
              </w:rPr>
              <w:t>What are the results of this study?</w:t>
            </w:r>
          </w:p>
        </w:tc>
        <w:tc>
          <w:tcPr>
            <w:tcW w:w="719" w:type="dxa"/>
          </w:tcPr>
          <w:p w14:paraId="36DAE1D1" w14:textId="77777777" w:rsidR="00826870" w:rsidRPr="00820F7A" w:rsidRDefault="00B21388">
            <w:pPr>
              <w:pStyle w:val="Normal1"/>
              <w:pBdr>
                <w:top w:val="nil"/>
                <w:left w:val="nil"/>
                <w:bottom w:val="nil"/>
                <w:right w:val="nil"/>
                <w:between w:val="nil"/>
              </w:pBdr>
              <w:spacing w:line="360" w:lineRule="auto"/>
              <w:jc w:val="center"/>
              <w:rPr>
                <w:color w:val="000000"/>
                <w:lang w:val="en-GB"/>
              </w:rPr>
            </w:pPr>
            <w:r w:rsidRPr="00820F7A">
              <w:rPr>
                <w:color w:val="000000"/>
                <w:lang w:val="en-GB"/>
              </w:rPr>
              <w:t>How precise are the results?</w:t>
            </w:r>
          </w:p>
        </w:tc>
      </w:tr>
      <w:tr w:rsidR="00826870" w:rsidRPr="00820F7A" w14:paraId="4FF99F56" w14:textId="77777777">
        <w:trPr>
          <w:cantSplit/>
          <w:tblHeader/>
        </w:trPr>
        <w:tc>
          <w:tcPr>
            <w:tcW w:w="1270" w:type="dxa"/>
          </w:tcPr>
          <w:p w14:paraId="12D16A65" w14:textId="77777777" w:rsidR="00826870" w:rsidRPr="00820F7A" w:rsidRDefault="00B21388">
            <w:pPr>
              <w:pStyle w:val="Normal1"/>
              <w:pBdr>
                <w:top w:val="nil"/>
                <w:left w:val="nil"/>
                <w:bottom w:val="nil"/>
                <w:right w:val="nil"/>
                <w:between w:val="nil"/>
              </w:pBdr>
              <w:spacing w:line="360" w:lineRule="auto"/>
              <w:rPr>
                <w:color w:val="000000"/>
                <w:lang w:val="en-GB"/>
              </w:rPr>
            </w:pPr>
            <w:r w:rsidRPr="00820F7A">
              <w:rPr>
                <w:color w:val="000000"/>
                <w:lang w:val="en-GB"/>
              </w:rPr>
              <w:t>Yeowell et al. (2024)</w:t>
            </w:r>
          </w:p>
        </w:tc>
        <w:tc>
          <w:tcPr>
            <w:tcW w:w="726" w:type="dxa"/>
          </w:tcPr>
          <w:p w14:paraId="06EB5686"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910" w:type="dxa"/>
          </w:tcPr>
          <w:p w14:paraId="0D62FE24"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870" w:type="dxa"/>
          </w:tcPr>
          <w:p w14:paraId="29BC6C0B"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870" w:type="dxa"/>
          </w:tcPr>
          <w:p w14:paraId="3C89A7FB"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998" w:type="dxa"/>
          </w:tcPr>
          <w:p w14:paraId="07FE14B0"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998" w:type="dxa"/>
          </w:tcPr>
          <w:p w14:paraId="396C68DF"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798" w:type="dxa"/>
          </w:tcPr>
          <w:p w14:paraId="0F00110D"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775" w:type="dxa"/>
          </w:tcPr>
          <w:p w14:paraId="109AD1A1"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639" w:type="dxa"/>
          </w:tcPr>
          <w:p w14:paraId="1E68BFEB"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719" w:type="dxa"/>
          </w:tcPr>
          <w:p w14:paraId="33975737"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r>
      <w:tr w:rsidR="00826870" w:rsidRPr="00820F7A" w14:paraId="0C377F72" w14:textId="77777777">
        <w:trPr>
          <w:cantSplit/>
          <w:tblHeader/>
        </w:trPr>
        <w:tc>
          <w:tcPr>
            <w:tcW w:w="1270" w:type="dxa"/>
          </w:tcPr>
          <w:p w14:paraId="36629596" w14:textId="77777777" w:rsidR="00826870" w:rsidRPr="00820F7A" w:rsidRDefault="00B21388">
            <w:pPr>
              <w:pStyle w:val="Normal1"/>
              <w:pBdr>
                <w:top w:val="nil"/>
                <w:left w:val="nil"/>
                <w:bottom w:val="nil"/>
                <w:right w:val="nil"/>
                <w:between w:val="nil"/>
              </w:pBdr>
              <w:spacing w:line="360" w:lineRule="auto"/>
              <w:rPr>
                <w:color w:val="000000"/>
                <w:lang w:val="en-GB"/>
              </w:rPr>
            </w:pPr>
            <w:r w:rsidRPr="00820F7A">
              <w:rPr>
                <w:color w:val="000000"/>
                <w:lang w:val="en-GB"/>
              </w:rPr>
              <w:t>Wickramasekera et al. (2024)</w:t>
            </w:r>
          </w:p>
        </w:tc>
        <w:tc>
          <w:tcPr>
            <w:tcW w:w="726" w:type="dxa"/>
          </w:tcPr>
          <w:p w14:paraId="7F11722E"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No</w:t>
            </w:r>
          </w:p>
        </w:tc>
        <w:tc>
          <w:tcPr>
            <w:tcW w:w="910" w:type="dxa"/>
          </w:tcPr>
          <w:p w14:paraId="5B5654FB"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870" w:type="dxa"/>
          </w:tcPr>
          <w:p w14:paraId="1A070E35"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870" w:type="dxa"/>
          </w:tcPr>
          <w:p w14:paraId="1BB8C5BF"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998" w:type="dxa"/>
          </w:tcPr>
          <w:p w14:paraId="1A86F699"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998" w:type="dxa"/>
          </w:tcPr>
          <w:p w14:paraId="46AF06A0"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798" w:type="dxa"/>
          </w:tcPr>
          <w:p w14:paraId="439E070F"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775" w:type="dxa"/>
          </w:tcPr>
          <w:p w14:paraId="2081A99C"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639" w:type="dxa"/>
          </w:tcPr>
          <w:p w14:paraId="29549360"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719" w:type="dxa"/>
          </w:tcPr>
          <w:p w14:paraId="2CA68B37"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r>
      <w:tr w:rsidR="00826870" w:rsidRPr="00820F7A" w14:paraId="12991507" w14:textId="77777777">
        <w:trPr>
          <w:cantSplit/>
          <w:tblHeader/>
        </w:trPr>
        <w:tc>
          <w:tcPr>
            <w:tcW w:w="1270" w:type="dxa"/>
          </w:tcPr>
          <w:p w14:paraId="4820F04F" w14:textId="77777777" w:rsidR="00826870" w:rsidRPr="00820F7A" w:rsidRDefault="00B21388">
            <w:pPr>
              <w:pStyle w:val="Normal1"/>
              <w:pBdr>
                <w:top w:val="nil"/>
                <w:left w:val="nil"/>
                <w:bottom w:val="nil"/>
                <w:right w:val="nil"/>
                <w:between w:val="nil"/>
              </w:pBdr>
              <w:spacing w:line="360" w:lineRule="auto"/>
              <w:rPr>
                <w:color w:val="000000"/>
                <w:lang w:val="en-GB"/>
              </w:rPr>
            </w:pPr>
            <w:r w:rsidRPr="00820F7A">
              <w:rPr>
                <w:color w:val="000000"/>
                <w:lang w:val="en-GB"/>
              </w:rPr>
              <w:t>Scheffer, (2025)</w:t>
            </w:r>
          </w:p>
        </w:tc>
        <w:tc>
          <w:tcPr>
            <w:tcW w:w="726" w:type="dxa"/>
          </w:tcPr>
          <w:p w14:paraId="32AFF3DF"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910" w:type="dxa"/>
          </w:tcPr>
          <w:p w14:paraId="232B7E71"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870" w:type="dxa"/>
          </w:tcPr>
          <w:p w14:paraId="569E7304"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No</w:t>
            </w:r>
          </w:p>
        </w:tc>
        <w:tc>
          <w:tcPr>
            <w:tcW w:w="870" w:type="dxa"/>
          </w:tcPr>
          <w:p w14:paraId="17AF429D"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No</w:t>
            </w:r>
          </w:p>
        </w:tc>
        <w:tc>
          <w:tcPr>
            <w:tcW w:w="998" w:type="dxa"/>
          </w:tcPr>
          <w:p w14:paraId="399B3290"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No</w:t>
            </w:r>
          </w:p>
        </w:tc>
        <w:tc>
          <w:tcPr>
            <w:tcW w:w="998" w:type="dxa"/>
          </w:tcPr>
          <w:p w14:paraId="11EF9AA1"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No</w:t>
            </w:r>
          </w:p>
        </w:tc>
        <w:tc>
          <w:tcPr>
            <w:tcW w:w="798" w:type="dxa"/>
          </w:tcPr>
          <w:p w14:paraId="300BBD93"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No</w:t>
            </w:r>
          </w:p>
        </w:tc>
        <w:tc>
          <w:tcPr>
            <w:tcW w:w="775" w:type="dxa"/>
          </w:tcPr>
          <w:p w14:paraId="4D7474E3"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No</w:t>
            </w:r>
          </w:p>
        </w:tc>
        <w:tc>
          <w:tcPr>
            <w:tcW w:w="639" w:type="dxa"/>
          </w:tcPr>
          <w:p w14:paraId="07B5030F"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No</w:t>
            </w:r>
          </w:p>
        </w:tc>
        <w:tc>
          <w:tcPr>
            <w:tcW w:w="719" w:type="dxa"/>
          </w:tcPr>
          <w:p w14:paraId="4642FAB7"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No</w:t>
            </w:r>
          </w:p>
        </w:tc>
      </w:tr>
      <w:tr w:rsidR="00826870" w:rsidRPr="00820F7A" w14:paraId="62076CF8" w14:textId="77777777">
        <w:trPr>
          <w:cantSplit/>
          <w:tblHeader/>
        </w:trPr>
        <w:tc>
          <w:tcPr>
            <w:tcW w:w="1270" w:type="dxa"/>
          </w:tcPr>
          <w:p w14:paraId="15C85927" w14:textId="77777777" w:rsidR="00826870" w:rsidRPr="00820F7A" w:rsidRDefault="00B21388">
            <w:pPr>
              <w:pStyle w:val="Normal1"/>
              <w:pBdr>
                <w:top w:val="nil"/>
                <w:left w:val="nil"/>
                <w:bottom w:val="nil"/>
                <w:right w:val="nil"/>
                <w:between w:val="nil"/>
              </w:pBdr>
              <w:spacing w:line="360" w:lineRule="auto"/>
              <w:rPr>
                <w:color w:val="000000"/>
                <w:lang w:val="en-GB"/>
              </w:rPr>
            </w:pPr>
            <w:r w:rsidRPr="00820F7A">
              <w:rPr>
                <w:color w:val="000000"/>
                <w:lang w:val="en-GB"/>
              </w:rPr>
              <w:t>Haoyan et al. (2023)</w:t>
            </w:r>
          </w:p>
        </w:tc>
        <w:tc>
          <w:tcPr>
            <w:tcW w:w="726" w:type="dxa"/>
          </w:tcPr>
          <w:p w14:paraId="4210FC11"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910" w:type="dxa"/>
          </w:tcPr>
          <w:p w14:paraId="20A2FC48"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870" w:type="dxa"/>
          </w:tcPr>
          <w:p w14:paraId="27B52369"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870" w:type="dxa"/>
          </w:tcPr>
          <w:p w14:paraId="6B1C3108"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998" w:type="dxa"/>
          </w:tcPr>
          <w:p w14:paraId="33920175"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No</w:t>
            </w:r>
          </w:p>
        </w:tc>
        <w:tc>
          <w:tcPr>
            <w:tcW w:w="998" w:type="dxa"/>
          </w:tcPr>
          <w:p w14:paraId="034EC198"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798" w:type="dxa"/>
          </w:tcPr>
          <w:p w14:paraId="7F65A0C2"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775" w:type="dxa"/>
          </w:tcPr>
          <w:p w14:paraId="78D529B0"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639" w:type="dxa"/>
          </w:tcPr>
          <w:p w14:paraId="24AD3568"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719" w:type="dxa"/>
          </w:tcPr>
          <w:p w14:paraId="23E6A2FC"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r>
      <w:tr w:rsidR="00826870" w:rsidRPr="00820F7A" w14:paraId="2003F8FA" w14:textId="77777777">
        <w:trPr>
          <w:cantSplit/>
          <w:tblHeader/>
        </w:trPr>
        <w:tc>
          <w:tcPr>
            <w:tcW w:w="1270" w:type="dxa"/>
          </w:tcPr>
          <w:p w14:paraId="51EC549D" w14:textId="77777777" w:rsidR="00826870" w:rsidRPr="00820F7A" w:rsidRDefault="00B21388">
            <w:pPr>
              <w:pStyle w:val="Normal1"/>
              <w:pBdr>
                <w:top w:val="nil"/>
                <w:left w:val="nil"/>
                <w:bottom w:val="nil"/>
                <w:right w:val="nil"/>
                <w:between w:val="nil"/>
              </w:pBdr>
              <w:spacing w:line="360" w:lineRule="auto"/>
              <w:rPr>
                <w:color w:val="000000"/>
                <w:lang w:val="en-GB"/>
              </w:rPr>
            </w:pPr>
            <w:r w:rsidRPr="00820F7A">
              <w:rPr>
                <w:color w:val="000000"/>
                <w:lang w:val="en-GB"/>
              </w:rPr>
              <w:t xml:space="preserve">Backman </w:t>
            </w:r>
            <w:r w:rsidRPr="00820F7A">
              <w:rPr>
                <w:i/>
                <w:iCs/>
                <w:color w:val="000000"/>
                <w:lang w:val="en-GB"/>
              </w:rPr>
              <w:t>et al.</w:t>
            </w:r>
            <w:r w:rsidRPr="00820F7A">
              <w:rPr>
                <w:color w:val="000000"/>
                <w:lang w:val="en-GB"/>
              </w:rPr>
              <w:t xml:space="preserve"> (2025)</w:t>
            </w:r>
          </w:p>
        </w:tc>
        <w:tc>
          <w:tcPr>
            <w:tcW w:w="726" w:type="dxa"/>
          </w:tcPr>
          <w:p w14:paraId="7276E1CD"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910" w:type="dxa"/>
          </w:tcPr>
          <w:p w14:paraId="55C15C59"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870" w:type="dxa"/>
          </w:tcPr>
          <w:p w14:paraId="7600AB4E"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870" w:type="dxa"/>
          </w:tcPr>
          <w:p w14:paraId="12B8BB89"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998" w:type="dxa"/>
          </w:tcPr>
          <w:p w14:paraId="53FF3555"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998" w:type="dxa"/>
          </w:tcPr>
          <w:p w14:paraId="00ADF16C"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No</w:t>
            </w:r>
          </w:p>
        </w:tc>
        <w:tc>
          <w:tcPr>
            <w:tcW w:w="798" w:type="dxa"/>
          </w:tcPr>
          <w:p w14:paraId="2C137329"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775" w:type="dxa"/>
          </w:tcPr>
          <w:p w14:paraId="0135A4D8"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639" w:type="dxa"/>
          </w:tcPr>
          <w:p w14:paraId="0201B340"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719" w:type="dxa"/>
          </w:tcPr>
          <w:p w14:paraId="16463FA2"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r>
      <w:tr w:rsidR="00826870" w:rsidRPr="00820F7A" w14:paraId="4D9C4991" w14:textId="77777777">
        <w:trPr>
          <w:cantSplit/>
          <w:tblHeader/>
        </w:trPr>
        <w:tc>
          <w:tcPr>
            <w:tcW w:w="1270" w:type="dxa"/>
          </w:tcPr>
          <w:p w14:paraId="53734A76" w14:textId="77777777" w:rsidR="00826870" w:rsidRPr="00820F7A" w:rsidRDefault="00B21388">
            <w:pPr>
              <w:pStyle w:val="Normal1"/>
              <w:pBdr>
                <w:top w:val="nil"/>
                <w:left w:val="nil"/>
                <w:bottom w:val="nil"/>
                <w:right w:val="nil"/>
                <w:between w:val="nil"/>
              </w:pBdr>
              <w:spacing w:line="360" w:lineRule="auto"/>
              <w:rPr>
                <w:color w:val="000000"/>
                <w:lang w:val="en-GB"/>
              </w:rPr>
            </w:pPr>
            <w:r w:rsidRPr="00820F7A">
              <w:rPr>
                <w:color w:val="000000"/>
                <w:lang w:val="en-GB"/>
              </w:rPr>
              <w:t>Alkan et al. (2024)</w:t>
            </w:r>
          </w:p>
        </w:tc>
        <w:tc>
          <w:tcPr>
            <w:tcW w:w="726" w:type="dxa"/>
          </w:tcPr>
          <w:p w14:paraId="08FC8130"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910" w:type="dxa"/>
          </w:tcPr>
          <w:p w14:paraId="59F4CCA0"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870" w:type="dxa"/>
          </w:tcPr>
          <w:p w14:paraId="1F5B0D30"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870" w:type="dxa"/>
          </w:tcPr>
          <w:p w14:paraId="0315B5F8"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No</w:t>
            </w:r>
          </w:p>
        </w:tc>
        <w:tc>
          <w:tcPr>
            <w:tcW w:w="998" w:type="dxa"/>
          </w:tcPr>
          <w:p w14:paraId="72F2A22A"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998" w:type="dxa"/>
          </w:tcPr>
          <w:p w14:paraId="61441281"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No</w:t>
            </w:r>
          </w:p>
        </w:tc>
        <w:tc>
          <w:tcPr>
            <w:tcW w:w="798" w:type="dxa"/>
          </w:tcPr>
          <w:p w14:paraId="0B86C957"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No</w:t>
            </w:r>
          </w:p>
        </w:tc>
        <w:tc>
          <w:tcPr>
            <w:tcW w:w="775" w:type="dxa"/>
          </w:tcPr>
          <w:p w14:paraId="4CE6C65A"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639" w:type="dxa"/>
          </w:tcPr>
          <w:p w14:paraId="4C5449EE"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719" w:type="dxa"/>
          </w:tcPr>
          <w:p w14:paraId="58A50421"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r>
      <w:tr w:rsidR="00826870" w:rsidRPr="00820F7A" w14:paraId="08D84A4E" w14:textId="77777777">
        <w:trPr>
          <w:cantSplit/>
          <w:tblHeader/>
        </w:trPr>
        <w:tc>
          <w:tcPr>
            <w:tcW w:w="1270" w:type="dxa"/>
          </w:tcPr>
          <w:p w14:paraId="7FBF28DF" w14:textId="77777777" w:rsidR="00826870" w:rsidRPr="00820F7A" w:rsidRDefault="00B21388">
            <w:pPr>
              <w:pStyle w:val="Normal1"/>
              <w:pBdr>
                <w:top w:val="nil"/>
                <w:left w:val="nil"/>
                <w:bottom w:val="nil"/>
                <w:right w:val="nil"/>
                <w:between w:val="nil"/>
              </w:pBdr>
              <w:spacing w:line="360" w:lineRule="auto"/>
              <w:rPr>
                <w:color w:val="000000"/>
                <w:lang w:val="en-GB"/>
              </w:rPr>
            </w:pPr>
            <w:r w:rsidRPr="00820F7A">
              <w:rPr>
                <w:color w:val="000000"/>
                <w:lang w:val="en-GB"/>
              </w:rPr>
              <w:t>Carter et al. (2022)</w:t>
            </w:r>
          </w:p>
        </w:tc>
        <w:tc>
          <w:tcPr>
            <w:tcW w:w="726" w:type="dxa"/>
          </w:tcPr>
          <w:p w14:paraId="638FF41C"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910" w:type="dxa"/>
          </w:tcPr>
          <w:p w14:paraId="2494D52D"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870" w:type="dxa"/>
          </w:tcPr>
          <w:p w14:paraId="7CC2F49D"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870" w:type="dxa"/>
          </w:tcPr>
          <w:p w14:paraId="5E2F1FFF"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No</w:t>
            </w:r>
          </w:p>
        </w:tc>
        <w:tc>
          <w:tcPr>
            <w:tcW w:w="998" w:type="dxa"/>
          </w:tcPr>
          <w:p w14:paraId="50EB684E"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No</w:t>
            </w:r>
          </w:p>
        </w:tc>
        <w:tc>
          <w:tcPr>
            <w:tcW w:w="998" w:type="dxa"/>
          </w:tcPr>
          <w:p w14:paraId="720D5D09"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No</w:t>
            </w:r>
          </w:p>
        </w:tc>
        <w:tc>
          <w:tcPr>
            <w:tcW w:w="798" w:type="dxa"/>
          </w:tcPr>
          <w:p w14:paraId="05B72745"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775" w:type="dxa"/>
          </w:tcPr>
          <w:p w14:paraId="5E6A456D"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No</w:t>
            </w:r>
          </w:p>
        </w:tc>
        <w:tc>
          <w:tcPr>
            <w:tcW w:w="639" w:type="dxa"/>
          </w:tcPr>
          <w:p w14:paraId="2DF64BC1"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No</w:t>
            </w:r>
          </w:p>
        </w:tc>
        <w:tc>
          <w:tcPr>
            <w:tcW w:w="719" w:type="dxa"/>
          </w:tcPr>
          <w:p w14:paraId="5CC4E6D4"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No</w:t>
            </w:r>
          </w:p>
        </w:tc>
      </w:tr>
      <w:tr w:rsidR="00826870" w:rsidRPr="00820F7A" w14:paraId="2B28926F" w14:textId="77777777">
        <w:trPr>
          <w:cantSplit/>
          <w:tblHeader/>
        </w:trPr>
        <w:tc>
          <w:tcPr>
            <w:tcW w:w="1270" w:type="dxa"/>
          </w:tcPr>
          <w:p w14:paraId="6CA74C67" w14:textId="77777777" w:rsidR="00826870" w:rsidRPr="00820F7A" w:rsidRDefault="00B21388">
            <w:pPr>
              <w:pStyle w:val="Normal1"/>
              <w:pBdr>
                <w:top w:val="nil"/>
                <w:left w:val="nil"/>
                <w:bottom w:val="nil"/>
                <w:right w:val="nil"/>
                <w:between w:val="nil"/>
              </w:pBdr>
              <w:spacing w:line="360" w:lineRule="auto"/>
              <w:rPr>
                <w:color w:val="000000"/>
                <w:lang w:val="en-GB"/>
              </w:rPr>
            </w:pPr>
            <w:r w:rsidRPr="00820F7A">
              <w:rPr>
                <w:color w:val="000000"/>
                <w:lang w:val="en-GB"/>
              </w:rPr>
              <w:t>Rowen et al. (2022)</w:t>
            </w:r>
          </w:p>
        </w:tc>
        <w:tc>
          <w:tcPr>
            <w:tcW w:w="726" w:type="dxa"/>
          </w:tcPr>
          <w:p w14:paraId="692B02DA"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910" w:type="dxa"/>
          </w:tcPr>
          <w:p w14:paraId="321953B7"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870" w:type="dxa"/>
          </w:tcPr>
          <w:p w14:paraId="10AD6A40"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870" w:type="dxa"/>
          </w:tcPr>
          <w:p w14:paraId="67D1D9C3"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998" w:type="dxa"/>
          </w:tcPr>
          <w:p w14:paraId="789BF6BC"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No</w:t>
            </w:r>
          </w:p>
        </w:tc>
        <w:tc>
          <w:tcPr>
            <w:tcW w:w="998" w:type="dxa"/>
          </w:tcPr>
          <w:p w14:paraId="125595E4"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798" w:type="dxa"/>
          </w:tcPr>
          <w:p w14:paraId="78640E96"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No</w:t>
            </w:r>
          </w:p>
        </w:tc>
        <w:tc>
          <w:tcPr>
            <w:tcW w:w="775" w:type="dxa"/>
          </w:tcPr>
          <w:p w14:paraId="31908AA0"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639" w:type="dxa"/>
          </w:tcPr>
          <w:p w14:paraId="1122F8F7"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719" w:type="dxa"/>
          </w:tcPr>
          <w:p w14:paraId="05B5D13C"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r>
      <w:tr w:rsidR="00826870" w:rsidRPr="00820F7A" w14:paraId="55333FA3" w14:textId="77777777">
        <w:trPr>
          <w:cantSplit/>
          <w:tblHeader/>
        </w:trPr>
        <w:tc>
          <w:tcPr>
            <w:tcW w:w="1270" w:type="dxa"/>
          </w:tcPr>
          <w:p w14:paraId="4E868989" w14:textId="77777777" w:rsidR="00826870" w:rsidRPr="00820F7A" w:rsidRDefault="00B21388">
            <w:pPr>
              <w:pStyle w:val="Normal1"/>
              <w:pBdr>
                <w:top w:val="nil"/>
                <w:left w:val="nil"/>
                <w:bottom w:val="nil"/>
                <w:right w:val="nil"/>
                <w:between w:val="nil"/>
              </w:pBdr>
              <w:spacing w:line="360" w:lineRule="auto"/>
              <w:rPr>
                <w:color w:val="000000"/>
                <w:lang w:val="en-GB"/>
              </w:rPr>
            </w:pPr>
            <w:r w:rsidRPr="00820F7A">
              <w:rPr>
                <w:color w:val="000000"/>
                <w:lang w:val="en-GB"/>
              </w:rPr>
              <w:t>Lorenc et al. (2024)</w:t>
            </w:r>
          </w:p>
        </w:tc>
        <w:tc>
          <w:tcPr>
            <w:tcW w:w="726" w:type="dxa"/>
          </w:tcPr>
          <w:p w14:paraId="1A57251D"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910" w:type="dxa"/>
          </w:tcPr>
          <w:p w14:paraId="1C3782EF"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870" w:type="dxa"/>
          </w:tcPr>
          <w:p w14:paraId="18A6C38C"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870" w:type="dxa"/>
          </w:tcPr>
          <w:p w14:paraId="50A89897"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No</w:t>
            </w:r>
          </w:p>
        </w:tc>
        <w:tc>
          <w:tcPr>
            <w:tcW w:w="998" w:type="dxa"/>
          </w:tcPr>
          <w:p w14:paraId="6EF2C4AD"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998" w:type="dxa"/>
          </w:tcPr>
          <w:p w14:paraId="7270094C"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798" w:type="dxa"/>
          </w:tcPr>
          <w:p w14:paraId="4F218A8A"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775" w:type="dxa"/>
          </w:tcPr>
          <w:p w14:paraId="54CCB98E"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639" w:type="dxa"/>
          </w:tcPr>
          <w:p w14:paraId="4CF76C3B"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719" w:type="dxa"/>
          </w:tcPr>
          <w:p w14:paraId="4AFFDFA3"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r>
      <w:tr w:rsidR="00826870" w:rsidRPr="00820F7A" w14:paraId="7764E129" w14:textId="77777777">
        <w:trPr>
          <w:cantSplit/>
          <w:tblHeader/>
        </w:trPr>
        <w:tc>
          <w:tcPr>
            <w:tcW w:w="1270" w:type="dxa"/>
          </w:tcPr>
          <w:p w14:paraId="2A1D3EBC" w14:textId="77777777" w:rsidR="00826870" w:rsidRPr="00820F7A" w:rsidRDefault="00B21388">
            <w:pPr>
              <w:pStyle w:val="Normal1"/>
              <w:pBdr>
                <w:top w:val="nil"/>
                <w:left w:val="nil"/>
                <w:bottom w:val="nil"/>
                <w:right w:val="nil"/>
                <w:between w:val="nil"/>
              </w:pBdr>
              <w:spacing w:line="360" w:lineRule="auto"/>
              <w:rPr>
                <w:color w:val="000000"/>
                <w:lang w:val="en-GB"/>
              </w:rPr>
            </w:pPr>
            <w:r w:rsidRPr="00820F7A">
              <w:rPr>
                <w:color w:val="000000"/>
                <w:lang w:val="en-GB"/>
              </w:rPr>
              <w:t>Jones et al. (2024)</w:t>
            </w:r>
          </w:p>
        </w:tc>
        <w:tc>
          <w:tcPr>
            <w:tcW w:w="726" w:type="dxa"/>
          </w:tcPr>
          <w:p w14:paraId="3EFC8910"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910" w:type="dxa"/>
          </w:tcPr>
          <w:p w14:paraId="792311B0"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870" w:type="dxa"/>
          </w:tcPr>
          <w:p w14:paraId="516A75D6"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870" w:type="dxa"/>
          </w:tcPr>
          <w:p w14:paraId="7C3777F8"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998" w:type="dxa"/>
          </w:tcPr>
          <w:p w14:paraId="77024E24"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998" w:type="dxa"/>
          </w:tcPr>
          <w:p w14:paraId="2E7CAE65"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No</w:t>
            </w:r>
          </w:p>
        </w:tc>
        <w:tc>
          <w:tcPr>
            <w:tcW w:w="798" w:type="dxa"/>
          </w:tcPr>
          <w:p w14:paraId="003B2127"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No</w:t>
            </w:r>
          </w:p>
        </w:tc>
        <w:tc>
          <w:tcPr>
            <w:tcW w:w="775" w:type="dxa"/>
          </w:tcPr>
          <w:p w14:paraId="77737B14"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639" w:type="dxa"/>
          </w:tcPr>
          <w:p w14:paraId="2445AB06"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719" w:type="dxa"/>
          </w:tcPr>
          <w:p w14:paraId="1FBED7AE"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r>
      <w:tr w:rsidR="00826870" w:rsidRPr="00820F7A" w14:paraId="7C05BEB2" w14:textId="77777777">
        <w:trPr>
          <w:cantSplit/>
          <w:tblHeader/>
        </w:trPr>
        <w:tc>
          <w:tcPr>
            <w:tcW w:w="1270" w:type="dxa"/>
          </w:tcPr>
          <w:p w14:paraId="741ECF83" w14:textId="77777777" w:rsidR="00826870" w:rsidRPr="00820F7A" w:rsidRDefault="00B21388">
            <w:pPr>
              <w:pStyle w:val="Normal1"/>
              <w:pBdr>
                <w:top w:val="nil"/>
                <w:left w:val="nil"/>
                <w:bottom w:val="nil"/>
                <w:right w:val="nil"/>
                <w:between w:val="nil"/>
              </w:pBdr>
              <w:spacing w:line="360" w:lineRule="auto"/>
              <w:rPr>
                <w:color w:val="000000"/>
                <w:lang w:val="en-GB"/>
              </w:rPr>
            </w:pPr>
            <w:r w:rsidRPr="00820F7A">
              <w:rPr>
                <w:color w:val="000000"/>
                <w:lang w:val="en-GB"/>
              </w:rPr>
              <w:t>Phillipson et al. (2025)</w:t>
            </w:r>
          </w:p>
        </w:tc>
        <w:tc>
          <w:tcPr>
            <w:tcW w:w="726" w:type="dxa"/>
          </w:tcPr>
          <w:p w14:paraId="5D0BCAE6"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910" w:type="dxa"/>
          </w:tcPr>
          <w:p w14:paraId="2873D291"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No</w:t>
            </w:r>
          </w:p>
        </w:tc>
        <w:tc>
          <w:tcPr>
            <w:tcW w:w="870" w:type="dxa"/>
          </w:tcPr>
          <w:p w14:paraId="7E61C58F"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No</w:t>
            </w:r>
          </w:p>
        </w:tc>
        <w:tc>
          <w:tcPr>
            <w:tcW w:w="870" w:type="dxa"/>
          </w:tcPr>
          <w:p w14:paraId="07E50AB2"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998" w:type="dxa"/>
          </w:tcPr>
          <w:p w14:paraId="78D7F8FF"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No</w:t>
            </w:r>
          </w:p>
        </w:tc>
        <w:tc>
          <w:tcPr>
            <w:tcW w:w="998" w:type="dxa"/>
          </w:tcPr>
          <w:p w14:paraId="10784088"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No</w:t>
            </w:r>
          </w:p>
        </w:tc>
        <w:tc>
          <w:tcPr>
            <w:tcW w:w="798" w:type="dxa"/>
          </w:tcPr>
          <w:p w14:paraId="7050587A"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775" w:type="dxa"/>
          </w:tcPr>
          <w:p w14:paraId="555F2D91"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639" w:type="dxa"/>
          </w:tcPr>
          <w:p w14:paraId="3F63E739"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No</w:t>
            </w:r>
          </w:p>
        </w:tc>
        <w:tc>
          <w:tcPr>
            <w:tcW w:w="719" w:type="dxa"/>
          </w:tcPr>
          <w:p w14:paraId="76AA3D7C"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r>
      <w:tr w:rsidR="00826870" w:rsidRPr="00820F7A" w14:paraId="535AE711" w14:textId="77777777">
        <w:trPr>
          <w:cantSplit/>
          <w:tblHeader/>
        </w:trPr>
        <w:tc>
          <w:tcPr>
            <w:tcW w:w="1270" w:type="dxa"/>
          </w:tcPr>
          <w:p w14:paraId="0371AE3A" w14:textId="77777777" w:rsidR="00826870" w:rsidRPr="00820F7A" w:rsidRDefault="00B21388">
            <w:pPr>
              <w:pStyle w:val="Normal1"/>
              <w:pBdr>
                <w:top w:val="nil"/>
                <w:left w:val="nil"/>
                <w:bottom w:val="nil"/>
                <w:right w:val="nil"/>
                <w:between w:val="nil"/>
              </w:pBdr>
              <w:spacing w:line="360" w:lineRule="auto"/>
              <w:rPr>
                <w:color w:val="000000"/>
                <w:lang w:val="en-GB"/>
              </w:rPr>
            </w:pPr>
            <w:r w:rsidRPr="00820F7A">
              <w:rPr>
                <w:color w:val="000000"/>
                <w:lang w:val="en-GB"/>
              </w:rPr>
              <w:t>Antonopoulou et al. (2024)</w:t>
            </w:r>
          </w:p>
        </w:tc>
        <w:tc>
          <w:tcPr>
            <w:tcW w:w="726" w:type="dxa"/>
          </w:tcPr>
          <w:p w14:paraId="3B35886A"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No</w:t>
            </w:r>
          </w:p>
        </w:tc>
        <w:tc>
          <w:tcPr>
            <w:tcW w:w="910" w:type="dxa"/>
          </w:tcPr>
          <w:p w14:paraId="0FBF1DD5"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870" w:type="dxa"/>
          </w:tcPr>
          <w:p w14:paraId="31E82742"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No</w:t>
            </w:r>
          </w:p>
        </w:tc>
        <w:tc>
          <w:tcPr>
            <w:tcW w:w="870" w:type="dxa"/>
          </w:tcPr>
          <w:p w14:paraId="3236CF44"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998" w:type="dxa"/>
          </w:tcPr>
          <w:p w14:paraId="7BBA37B2"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No</w:t>
            </w:r>
          </w:p>
        </w:tc>
        <w:tc>
          <w:tcPr>
            <w:tcW w:w="998" w:type="dxa"/>
          </w:tcPr>
          <w:p w14:paraId="31F79942"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798" w:type="dxa"/>
          </w:tcPr>
          <w:p w14:paraId="02BF3A8B"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No</w:t>
            </w:r>
          </w:p>
        </w:tc>
        <w:tc>
          <w:tcPr>
            <w:tcW w:w="775" w:type="dxa"/>
          </w:tcPr>
          <w:p w14:paraId="7D35977F"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639" w:type="dxa"/>
          </w:tcPr>
          <w:p w14:paraId="0C01DB67"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No</w:t>
            </w:r>
          </w:p>
        </w:tc>
        <w:tc>
          <w:tcPr>
            <w:tcW w:w="719" w:type="dxa"/>
          </w:tcPr>
          <w:p w14:paraId="3E4AB6FD"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r>
      <w:tr w:rsidR="00826870" w:rsidRPr="00820F7A" w14:paraId="2A089BD2" w14:textId="77777777">
        <w:trPr>
          <w:cantSplit/>
          <w:tblHeader/>
        </w:trPr>
        <w:tc>
          <w:tcPr>
            <w:tcW w:w="1270" w:type="dxa"/>
          </w:tcPr>
          <w:p w14:paraId="615F6B3D" w14:textId="77777777" w:rsidR="00826870" w:rsidRPr="00820F7A" w:rsidRDefault="00B21388">
            <w:pPr>
              <w:pStyle w:val="Normal1"/>
              <w:widowControl w:val="0"/>
              <w:pBdr>
                <w:top w:val="nil"/>
                <w:left w:val="nil"/>
                <w:bottom w:val="nil"/>
                <w:right w:val="nil"/>
                <w:between w:val="nil"/>
              </w:pBdr>
              <w:spacing w:line="360" w:lineRule="auto"/>
              <w:rPr>
                <w:color w:val="000000"/>
                <w:lang w:val="en-GB"/>
              </w:rPr>
            </w:pPr>
            <w:r w:rsidRPr="00820F7A">
              <w:rPr>
                <w:color w:val="000000"/>
                <w:highlight w:val="white"/>
                <w:lang w:val="en-GB"/>
              </w:rPr>
              <w:t xml:space="preserve">Taske </w:t>
            </w:r>
            <w:r w:rsidRPr="00820F7A">
              <w:rPr>
                <w:i/>
                <w:iCs/>
                <w:color w:val="000000"/>
                <w:highlight w:val="white"/>
                <w:lang w:val="en-GB"/>
              </w:rPr>
              <w:t xml:space="preserve">et al. </w:t>
            </w:r>
            <w:r w:rsidRPr="00820F7A">
              <w:rPr>
                <w:color w:val="000000"/>
                <w:highlight w:val="white"/>
                <w:lang w:val="en-GB"/>
              </w:rPr>
              <w:t>(2023)</w:t>
            </w:r>
          </w:p>
        </w:tc>
        <w:tc>
          <w:tcPr>
            <w:tcW w:w="726" w:type="dxa"/>
          </w:tcPr>
          <w:p w14:paraId="24A1EADD"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910" w:type="dxa"/>
          </w:tcPr>
          <w:p w14:paraId="72BBE2BE"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870" w:type="dxa"/>
          </w:tcPr>
          <w:p w14:paraId="2CF697A6"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870" w:type="dxa"/>
          </w:tcPr>
          <w:p w14:paraId="0B248244"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No</w:t>
            </w:r>
          </w:p>
        </w:tc>
        <w:tc>
          <w:tcPr>
            <w:tcW w:w="998" w:type="dxa"/>
          </w:tcPr>
          <w:p w14:paraId="12A61EB5"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998" w:type="dxa"/>
          </w:tcPr>
          <w:p w14:paraId="09F4BB7B"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No</w:t>
            </w:r>
          </w:p>
        </w:tc>
        <w:tc>
          <w:tcPr>
            <w:tcW w:w="798" w:type="dxa"/>
          </w:tcPr>
          <w:p w14:paraId="0CC91A3B"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No</w:t>
            </w:r>
          </w:p>
        </w:tc>
        <w:tc>
          <w:tcPr>
            <w:tcW w:w="775" w:type="dxa"/>
          </w:tcPr>
          <w:p w14:paraId="19FFF3EC"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639" w:type="dxa"/>
          </w:tcPr>
          <w:p w14:paraId="0B3D57D7"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719" w:type="dxa"/>
          </w:tcPr>
          <w:p w14:paraId="4B5F81EF"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r>
      <w:tr w:rsidR="00826870" w:rsidRPr="00820F7A" w14:paraId="1450B032" w14:textId="77777777">
        <w:trPr>
          <w:cantSplit/>
          <w:tblHeader/>
        </w:trPr>
        <w:tc>
          <w:tcPr>
            <w:tcW w:w="1270" w:type="dxa"/>
          </w:tcPr>
          <w:p w14:paraId="274E93A5" w14:textId="77777777" w:rsidR="00826870" w:rsidRPr="00820F7A" w:rsidRDefault="00B21388">
            <w:pPr>
              <w:pStyle w:val="Normal1"/>
              <w:widowControl w:val="0"/>
              <w:pBdr>
                <w:top w:val="nil"/>
                <w:left w:val="nil"/>
                <w:bottom w:val="nil"/>
                <w:right w:val="nil"/>
                <w:between w:val="nil"/>
              </w:pBdr>
              <w:spacing w:line="360" w:lineRule="auto"/>
              <w:rPr>
                <w:color w:val="000000"/>
                <w:lang w:val="en-GB"/>
              </w:rPr>
            </w:pPr>
            <w:r w:rsidRPr="00820F7A">
              <w:rPr>
                <w:color w:val="000000"/>
                <w:highlight w:val="white"/>
                <w:lang w:val="en-GB"/>
              </w:rPr>
              <w:t xml:space="preserve">Granel-Giménez </w:t>
            </w:r>
            <w:r w:rsidRPr="00820F7A">
              <w:rPr>
                <w:i/>
                <w:iCs/>
                <w:color w:val="000000"/>
                <w:highlight w:val="white"/>
                <w:lang w:val="en-GB"/>
              </w:rPr>
              <w:t xml:space="preserve">et al. </w:t>
            </w:r>
            <w:r w:rsidRPr="00820F7A">
              <w:rPr>
                <w:color w:val="000000"/>
                <w:highlight w:val="white"/>
                <w:lang w:val="en-GB"/>
              </w:rPr>
              <w:t>(2022)</w:t>
            </w:r>
          </w:p>
        </w:tc>
        <w:tc>
          <w:tcPr>
            <w:tcW w:w="726" w:type="dxa"/>
          </w:tcPr>
          <w:p w14:paraId="0C82D7F1"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910" w:type="dxa"/>
          </w:tcPr>
          <w:p w14:paraId="12A2F878"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870" w:type="dxa"/>
          </w:tcPr>
          <w:p w14:paraId="1122C4C0"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870" w:type="dxa"/>
          </w:tcPr>
          <w:p w14:paraId="7DE2B337"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No</w:t>
            </w:r>
          </w:p>
        </w:tc>
        <w:tc>
          <w:tcPr>
            <w:tcW w:w="998" w:type="dxa"/>
          </w:tcPr>
          <w:p w14:paraId="7D025165"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No</w:t>
            </w:r>
          </w:p>
        </w:tc>
        <w:tc>
          <w:tcPr>
            <w:tcW w:w="998" w:type="dxa"/>
          </w:tcPr>
          <w:p w14:paraId="5CF978D0"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No</w:t>
            </w:r>
          </w:p>
        </w:tc>
        <w:tc>
          <w:tcPr>
            <w:tcW w:w="798" w:type="dxa"/>
          </w:tcPr>
          <w:p w14:paraId="699CBDC5"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775" w:type="dxa"/>
          </w:tcPr>
          <w:p w14:paraId="3D291239"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No</w:t>
            </w:r>
          </w:p>
        </w:tc>
        <w:tc>
          <w:tcPr>
            <w:tcW w:w="639" w:type="dxa"/>
          </w:tcPr>
          <w:p w14:paraId="6BACDE82"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No</w:t>
            </w:r>
          </w:p>
        </w:tc>
        <w:tc>
          <w:tcPr>
            <w:tcW w:w="719" w:type="dxa"/>
          </w:tcPr>
          <w:p w14:paraId="61E11E35"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No</w:t>
            </w:r>
          </w:p>
        </w:tc>
      </w:tr>
      <w:tr w:rsidR="00826870" w:rsidRPr="00820F7A" w14:paraId="6ED47803" w14:textId="77777777">
        <w:trPr>
          <w:cantSplit/>
          <w:tblHeader/>
        </w:trPr>
        <w:tc>
          <w:tcPr>
            <w:tcW w:w="1270" w:type="dxa"/>
          </w:tcPr>
          <w:p w14:paraId="768438F1" w14:textId="77777777" w:rsidR="00826870" w:rsidRPr="00820F7A" w:rsidRDefault="00B21388">
            <w:pPr>
              <w:pStyle w:val="Normal1"/>
              <w:widowControl w:val="0"/>
              <w:pBdr>
                <w:top w:val="nil"/>
                <w:left w:val="nil"/>
                <w:bottom w:val="nil"/>
                <w:right w:val="nil"/>
                <w:between w:val="nil"/>
              </w:pBdr>
              <w:spacing w:line="360" w:lineRule="auto"/>
              <w:rPr>
                <w:color w:val="000000"/>
                <w:lang w:val="en-GB"/>
              </w:rPr>
            </w:pPr>
            <w:r w:rsidRPr="00820F7A">
              <w:rPr>
                <w:color w:val="000000"/>
                <w:highlight w:val="white"/>
                <w:lang w:val="en-GB"/>
              </w:rPr>
              <w:t xml:space="preserve">Mahmoud </w:t>
            </w:r>
            <w:r w:rsidRPr="00820F7A">
              <w:rPr>
                <w:i/>
                <w:iCs/>
                <w:color w:val="000000"/>
                <w:highlight w:val="white"/>
                <w:lang w:val="en-GB"/>
              </w:rPr>
              <w:t xml:space="preserve">et al. </w:t>
            </w:r>
            <w:r w:rsidRPr="00820F7A">
              <w:rPr>
                <w:color w:val="000000"/>
                <w:highlight w:val="white"/>
                <w:lang w:val="en-GB"/>
              </w:rPr>
              <w:t>(2023)</w:t>
            </w:r>
          </w:p>
        </w:tc>
        <w:tc>
          <w:tcPr>
            <w:tcW w:w="726" w:type="dxa"/>
          </w:tcPr>
          <w:p w14:paraId="49895A08"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910" w:type="dxa"/>
          </w:tcPr>
          <w:p w14:paraId="354FAEB6"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870" w:type="dxa"/>
          </w:tcPr>
          <w:p w14:paraId="4CEE52BC"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870" w:type="dxa"/>
          </w:tcPr>
          <w:p w14:paraId="6DE8CF3C"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998" w:type="dxa"/>
          </w:tcPr>
          <w:p w14:paraId="176321F1"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No</w:t>
            </w:r>
          </w:p>
        </w:tc>
        <w:tc>
          <w:tcPr>
            <w:tcW w:w="998" w:type="dxa"/>
          </w:tcPr>
          <w:p w14:paraId="5119D8D1"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798" w:type="dxa"/>
          </w:tcPr>
          <w:p w14:paraId="679FA197"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No</w:t>
            </w:r>
          </w:p>
        </w:tc>
        <w:tc>
          <w:tcPr>
            <w:tcW w:w="775" w:type="dxa"/>
          </w:tcPr>
          <w:p w14:paraId="72070B9F"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639" w:type="dxa"/>
          </w:tcPr>
          <w:p w14:paraId="1355D6F0"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719" w:type="dxa"/>
          </w:tcPr>
          <w:p w14:paraId="5F23788C"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r>
      <w:tr w:rsidR="00826870" w:rsidRPr="00820F7A" w14:paraId="3FED5D87" w14:textId="77777777">
        <w:trPr>
          <w:cantSplit/>
          <w:tblHeader/>
        </w:trPr>
        <w:tc>
          <w:tcPr>
            <w:tcW w:w="1270" w:type="dxa"/>
          </w:tcPr>
          <w:p w14:paraId="680CED2B" w14:textId="77777777" w:rsidR="00826870" w:rsidRPr="00820F7A" w:rsidRDefault="00B21388">
            <w:pPr>
              <w:pStyle w:val="Normal1"/>
              <w:widowControl w:val="0"/>
              <w:pBdr>
                <w:top w:val="nil"/>
                <w:left w:val="nil"/>
                <w:bottom w:val="nil"/>
                <w:right w:val="nil"/>
                <w:between w:val="nil"/>
              </w:pBdr>
              <w:spacing w:line="360" w:lineRule="auto"/>
              <w:rPr>
                <w:color w:val="000000"/>
                <w:lang w:val="en-GB"/>
              </w:rPr>
            </w:pPr>
            <w:r w:rsidRPr="00820F7A">
              <w:rPr>
                <w:color w:val="000000"/>
                <w:highlight w:val="white"/>
                <w:lang w:val="en-GB"/>
              </w:rPr>
              <w:t xml:space="preserve">Alabdaly </w:t>
            </w:r>
            <w:r w:rsidRPr="00820F7A">
              <w:rPr>
                <w:i/>
                <w:iCs/>
                <w:color w:val="000000"/>
                <w:highlight w:val="white"/>
                <w:lang w:val="en-GB"/>
              </w:rPr>
              <w:t xml:space="preserve">et al. </w:t>
            </w:r>
            <w:r w:rsidRPr="00820F7A">
              <w:rPr>
                <w:color w:val="000000"/>
                <w:highlight w:val="white"/>
                <w:lang w:val="en-GB"/>
              </w:rPr>
              <w:t>(2024)</w:t>
            </w:r>
          </w:p>
        </w:tc>
        <w:tc>
          <w:tcPr>
            <w:tcW w:w="726" w:type="dxa"/>
          </w:tcPr>
          <w:p w14:paraId="52F381FB"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910" w:type="dxa"/>
          </w:tcPr>
          <w:p w14:paraId="62CE6195"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870" w:type="dxa"/>
          </w:tcPr>
          <w:p w14:paraId="22828472"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870" w:type="dxa"/>
          </w:tcPr>
          <w:p w14:paraId="041FD1CC"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No</w:t>
            </w:r>
          </w:p>
        </w:tc>
        <w:tc>
          <w:tcPr>
            <w:tcW w:w="998" w:type="dxa"/>
          </w:tcPr>
          <w:p w14:paraId="53C0446B"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998" w:type="dxa"/>
          </w:tcPr>
          <w:p w14:paraId="120D9763"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798" w:type="dxa"/>
          </w:tcPr>
          <w:p w14:paraId="2E7574A0"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775" w:type="dxa"/>
          </w:tcPr>
          <w:p w14:paraId="6B07F8C9"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639" w:type="dxa"/>
          </w:tcPr>
          <w:p w14:paraId="2BE02EFB"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719" w:type="dxa"/>
          </w:tcPr>
          <w:p w14:paraId="527725AE"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r>
      <w:tr w:rsidR="00826870" w:rsidRPr="00820F7A" w14:paraId="2FA0C469" w14:textId="77777777">
        <w:trPr>
          <w:cantSplit/>
          <w:tblHeader/>
        </w:trPr>
        <w:tc>
          <w:tcPr>
            <w:tcW w:w="1270" w:type="dxa"/>
          </w:tcPr>
          <w:p w14:paraId="1029CB4E" w14:textId="77777777" w:rsidR="00826870" w:rsidRPr="00820F7A" w:rsidRDefault="00B21388">
            <w:pPr>
              <w:pStyle w:val="Normal1"/>
              <w:widowControl w:val="0"/>
              <w:pBdr>
                <w:top w:val="nil"/>
                <w:left w:val="nil"/>
                <w:bottom w:val="nil"/>
                <w:right w:val="nil"/>
                <w:between w:val="nil"/>
              </w:pBdr>
              <w:spacing w:line="360" w:lineRule="auto"/>
              <w:rPr>
                <w:color w:val="000000"/>
                <w:lang w:val="en-GB"/>
              </w:rPr>
            </w:pPr>
            <w:r w:rsidRPr="00820F7A">
              <w:rPr>
                <w:color w:val="000000"/>
                <w:highlight w:val="white"/>
                <w:lang w:val="en-GB"/>
              </w:rPr>
              <w:t xml:space="preserve">Tenza </w:t>
            </w:r>
            <w:r w:rsidRPr="00820F7A">
              <w:rPr>
                <w:i/>
                <w:iCs/>
                <w:color w:val="000000"/>
                <w:highlight w:val="white"/>
                <w:lang w:val="en-GB"/>
              </w:rPr>
              <w:t xml:space="preserve">et al. </w:t>
            </w:r>
            <w:r w:rsidRPr="00820F7A">
              <w:rPr>
                <w:color w:val="000000"/>
                <w:highlight w:val="white"/>
                <w:lang w:val="en-GB"/>
              </w:rPr>
              <w:t>(2022)</w:t>
            </w:r>
          </w:p>
        </w:tc>
        <w:tc>
          <w:tcPr>
            <w:tcW w:w="726" w:type="dxa"/>
          </w:tcPr>
          <w:p w14:paraId="2E6918D9"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910" w:type="dxa"/>
          </w:tcPr>
          <w:p w14:paraId="10EB0870"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870" w:type="dxa"/>
          </w:tcPr>
          <w:p w14:paraId="23AF6EBB"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870" w:type="dxa"/>
          </w:tcPr>
          <w:p w14:paraId="1C37BEB2"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998" w:type="dxa"/>
          </w:tcPr>
          <w:p w14:paraId="219B8670"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998" w:type="dxa"/>
          </w:tcPr>
          <w:p w14:paraId="66812D02"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No</w:t>
            </w:r>
          </w:p>
        </w:tc>
        <w:tc>
          <w:tcPr>
            <w:tcW w:w="798" w:type="dxa"/>
          </w:tcPr>
          <w:p w14:paraId="04A89A05"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No</w:t>
            </w:r>
          </w:p>
        </w:tc>
        <w:tc>
          <w:tcPr>
            <w:tcW w:w="775" w:type="dxa"/>
          </w:tcPr>
          <w:p w14:paraId="532961B2"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639" w:type="dxa"/>
          </w:tcPr>
          <w:p w14:paraId="7595C61F"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c>
          <w:tcPr>
            <w:tcW w:w="719" w:type="dxa"/>
          </w:tcPr>
          <w:p w14:paraId="0DDE9903" w14:textId="77777777" w:rsidR="00826870" w:rsidRPr="00820F7A" w:rsidRDefault="00B21388">
            <w:pPr>
              <w:pStyle w:val="Normal1"/>
              <w:pBdr>
                <w:top w:val="nil"/>
                <w:left w:val="nil"/>
                <w:bottom w:val="nil"/>
                <w:right w:val="nil"/>
                <w:between w:val="nil"/>
              </w:pBdr>
              <w:spacing w:line="360" w:lineRule="auto"/>
              <w:jc w:val="left"/>
              <w:rPr>
                <w:color w:val="000000"/>
                <w:lang w:val="en-GB"/>
              </w:rPr>
            </w:pPr>
            <w:r w:rsidRPr="00820F7A">
              <w:rPr>
                <w:color w:val="000000"/>
                <w:lang w:val="en-GB"/>
              </w:rPr>
              <w:t>Yes</w:t>
            </w:r>
          </w:p>
        </w:tc>
      </w:tr>
    </w:tbl>
    <w:p w14:paraId="459BAC16" w14:textId="77777777" w:rsidR="00826870" w:rsidRPr="00820F7A" w:rsidRDefault="00826870">
      <w:pPr>
        <w:pStyle w:val="Normal1"/>
        <w:pBdr>
          <w:top w:val="nil"/>
          <w:left w:val="nil"/>
          <w:bottom w:val="nil"/>
          <w:right w:val="nil"/>
          <w:between w:val="nil"/>
        </w:pBdr>
        <w:rPr>
          <w:color w:val="000000"/>
          <w:lang w:val="en-GB"/>
        </w:rPr>
      </w:pPr>
    </w:p>
    <w:p w14:paraId="0025ADD3" w14:textId="77777777" w:rsidR="00826870" w:rsidRPr="00820F7A" w:rsidRDefault="00B21388">
      <w:pPr>
        <w:pStyle w:val="Normal1"/>
        <w:pBdr>
          <w:top w:val="nil"/>
          <w:left w:val="nil"/>
          <w:bottom w:val="nil"/>
          <w:right w:val="nil"/>
          <w:between w:val="nil"/>
        </w:pBdr>
        <w:jc w:val="center"/>
        <w:rPr>
          <w:color w:val="000000"/>
          <w:lang w:val="en-GB"/>
        </w:rPr>
      </w:pPr>
      <w:r w:rsidRPr="00820F7A">
        <w:rPr>
          <w:color w:val="000000"/>
          <w:lang w:val="en-GB"/>
        </w:rPr>
        <w:t>(Source: CASP)</w:t>
      </w:r>
    </w:p>
    <w:p w14:paraId="408A255C" w14:textId="77777777" w:rsidR="00826870" w:rsidRPr="00820F7A" w:rsidRDefault="00B21388">
      <w:pPr>
        <w:pStyle w:val="Heading2"/>
        <w:rPr>
          <w:highlight w:val="white"/>
          <w:lang w:val="en-GB"/>
        </w:rPr>
        <w:sectPr w:rsidR="00826870" w:rsidRPr="00820F7A">
          <w:pgSz w:w="12240" w:h="15840"/>
          <w:pgMar w:top="1440" w:right="1440" w:bottom="1440" w:left="1440" w:header="720" w:footer="720" w:gutter="0"/>
          <w:cols w:space="720"/>
        </w:sectPr>
      </w:pPr>
      <w:bookmarkStart w:id="103" w:name="_Toc220759538"/>
      <w:r w:rsidRPr="00820F7A">
        <w:rPr>
          <w:highlight w:val="white"/>
          <w:lang w:val="en-GB"/>
        </w:rPr>
        <w:t>Appendix</w:t>
      </w:r>
      <w:r w:rsidRPr="00820F7A">
        <w:rPr>
          <w:lang w:val="en-GB"/>
        </w:rPr>
        <w:t xml:space="preserve"> 2- Quantitative study</w:t>
      </w:r>
      <w:bookmarkEnd w:id="103"/>
    </w:p>
    <w:p w14:paraId="0EC80C9F" w14:textId="77777777" w:rsidR="00826870" w:rsidRPr="00820F7A" w:rsidRDefault="00826870">
      <w:pPr>
        <w:pStyle w:val="Normal1"/>
        <w:widowControl w:val="0"/>
        <w:pBdr>
          <w:top w:val="nil"/>
          <w:left w:val="nil"/>
          <w:bottom w:val="nil"/>
          <w:right w:val="nil"/>
          <w:between w:val="nil"/>
        </w:pBdr>
        <w:spacing w:line="276" w:lineRule="auto"/>
        <w:jc w:val="left"/>
        <w:rPr>
          <w:color w:val="000000"/>
          <w:highlight w:val="white"/>
          <w:lang w:val="en-GB"/>
        </w:rPr>
      </w:pPr>
    </w:p>
    <w:tbl>
      <w:tblPr>
        <w:tblStyle w:val="afffb"/>
        <w:tblW w:w="13615" w:type="dxa"/>
        <w:tblInd w:w="-1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74"/>
        <w:gridCol w:w="1144"/>
        <w:gridCol w:w="1867"/>
        <w:gridCol w:w="1620"/>
        <w:gridCol w:w="1620"/>
        <w:gridCol w:w="1980"/>
        <w:gridCol w:w="1260"/>
        <w:gridCol w:w="1530"/>
        <w:gridCol w:w="1620"/>
      </w:tblGrid>
      <w:tr w:rsidR="00826870" w:rsidRPr="00820F7A" w14:paraId="0B1B17F9" w14:textId="77777777">
        <w:trPr>
          <w:cantSplit/>
          <w:tblHeader/>
        </w:trPr>
        <w:tc>
          <w:tcPr>
            <w:tcW w:w="974" w:type="dxa"/>
          </w:tcPr>
          <w:p w14:paraId="2B98FB97" w14:textId="77777777" w:rsidR="00826870" w:rsidRPr="00820F7A" w:rsidRDefault="00B21388">
            <w:pPr>
              <w:pStyle w:val="Normal1"/>
              <w:pBdr>
                <w:top w:val="nil"/>
                <w:left w:val="nil"/>
                <w:bottom w:val="nil"/>
                <w:right w:val="nil"/>
                <w:between w:val="nil"/>
              </w:pBdr>
              <w:rPr>
                <w:b/>
                <w:bCs/>
                <w:color w:val="000000"/>
                <w:sz w:val="20"/>
                <w:szCs w:val="20"/>
                <w:lang w:val="en-GB"/>
              </w:rPr>
            </w:pPr>
            <w:r w:rsidRPr="00820F7A">
              <w:rPr>
                <w:b/>
                <w:bCs/>
                <w:color w:val="000000"/>
                <w:sz w:val="20"/>
                <w:szCs w:val="20"/>
                <w:lang w:val="en-GB"/>
              </w:rPr>
              <w:t>Details of study</w:t>
            </w:r>
          </w:p>
        </w:tc>
        <w:tc>
          <w:tcPr>
            <w:tcW w:w="1144" w:type="dxa"/>
          </w:tcPr>
          <w:p w14:paraId="26F8A2CE" w14:textId="77777777" w:rsidR="00826870" w:rsidRPr="00820F7A" w:rsidRDefault="00B21388">
            <w:pPr>
              <w:pStyle w:val="Normal1"/>
              <w:pBdr>
                <w:top w:val="nil"/>
                <w:left w:val="nil"/>
                <w:bottom w:val="nil"/>
                <w:right w:val="nil"/>
                <w:between w:val="nil"/>
              </w:pBdr>
              <w:rPr>
                <w:b/>
                <w:bCs/>
                <w:color w:val="000000"/>
                <w:sz w:val="20"/>
                <w:szCs w:val="20"/>
                <w:lang w:val="en-GB"/>
              </w:rPr>
            </w:pPr>
            <w:r w:rsidRPr="00820F7A">
              <w:rPr>
                <w:b/>
                <w:bCs/>
                <w:color w:val="000000"/>
                <w:sz w:val="20"/>
                <w:szCs w:val="20"/>
                <w:lang w:val="en-GB"/>
              </w:rPr>
              <w:t>Study 1</w:t>
            </w:r>
          </w:p>
        </w:tc>
        <w:tc>
          <w:tcPr>
            <w:tcW w:w="1867" w:type="dxa"/>
          </w:tcPr>
          <w:p w14:paraId="2B8A6F3C" w14:textId="77777777" w:rsidR="00826870" w:rsidRPr="00820F7A" w:rsidRDefault="00B21388">
            <w:pPr>
              <w:pStyle w:val="Normal1"/>
              <w:pBdr>
                <w:top w:val="nil"/>
                <w:left w:val="nil"/>
                <w:bottom w:val="nil"/>
                <w:right w:val="nil"/>
                <w:between w:val="nil"/>
              </w:pBdr>
              <w:rPr>
                <w:b/>
                <w:bCs/>
                <w:color w:val="000000"/>
                <w:sz w:val="20"/>
                <w:szCs w:val="20"/>
                <w:lang w:val="en-GB"/>
              </w:rPr>
            </w:pPr>
            <w:r w:rsidRPr="00820F7A">
              <w:rPr>
                <w:b/>
                <w:bCs/>
                <w:color w:val="000000"/>
                <w:sz w:val="20"/>
                <w:szCs w:val="20"/>
                <w:lang w:val="en-GB"/>
              </w:rPr>
              <w:t xml:space="preserve">Study 2 </w:t>
            </w:r>
          </w:p>
        </w:tc>
        <w:tc>
          <w:tcPr>
            <w:tcW w:w="1620" w:type="dxa"/>
          </w:tcPr>
          <w:p w14:paraId="78DA25B0" w14:textId="77777777" w:rsidR="00826870" w:rsidRPr="00820F7A" w:rsidRDefault="00B21388">
            <w:pPr>
              <w:pStyle w:val="Normal1"/>
              <w:pBdr>
                <w:top w:val="nil"/>
                <w:left w:val="nil"/>
                <w:bottom w:val="nil"/>
                <w:right w:val="nil"/>
                <w:between w:val="nil"/>
              </w:pBdr>
              <w:rPr>
                <w:b/>
                <w:bCs/>
                <w:color w:val="000000"/>
                <w:sz w:val="20"/>
                <w:szCs w:val="20"/>
                <w:lang w:val="en-GB"/>
              </w:rPr>
            </w:pPr>
            <w:r w:rsidRPr="00820F7A">
              <w:rPr>
                <w:b/>
                <w:bCs/>
                <w:color w:val="000000"/>
                <w:sz w:val="20"/>
                <w:szCs w:val="20"/>
                <w:lang w:val="en-GB"/>
              </w:rPr>
              <w:t>Study 3</w:t>
            </w:r>
          </w:p>
        </w:tc>
        <w:tc>
          <w:tcPr>
            <w:tcW w:w="1620" w:type="dxa"/>
          </w:tcPr>
          <w:p w14:paraId="63E4C96C" w14:textId="77777777" w:rsidR="00826870" w:rsidRPr="00820F7A" w:rsidRDefault="00B21388">
            <w:pPr>
              <w:pStyle w:val="Normal1"/>
              <w:pBdr>
                <w:top w:val="nil"/>
                <w:left w:val="nil"/>
                <w:bottom w:val="nil"/>
                <w:right w:val="nil"/>
                <w:between w:val="nil"/>
              </w:pBdr>
              <w:rPr>
                <w:b/>
                <w:bCs/>
                <w:color w:val="000000"/>
                <w:sz w:val="20"/>
                <w:szCs w:val="20"/>
                <w:lang w:val="en-GB"/>
              </w:rPr>
            </w:pPr>
            <w:r w:rsidRPr="00820F7A">
              <w:rPr>
                <w:b/>
                <w:bCs/>
                <w:color w:val="000000"/>
                <w:sz w:val="20"/>
                <w:szCs w:val="20"/>
                <w:lang w:val="en-GB"/>
              </w:rPr>
              <w:t>Study 4</w:t>
            </w:r>
          </w:p>
        </w:tc>
        <w:tc>
          <w:tcPr>
            <w:tcW w:w="1980" w:type="dxa"/>
          </w:tcPr>
          <w:p w14:paraId="5B101112" w14:textId="77777777" w:rsidR="00826870" w:rsidRPr="00820F7A" w:rsidRDefault="00B21388">
            <w:pPr>
              <w:pStyle w:val="Normal1"/>
              <w:pBdr>
                <w:top w:val="nil"/>
                <w:left w:val="nil"/>
                <w:bottom w:val="nil"/>
                <w:right w:val="nil"/>
                <w:between w:val="nil"/>
              </w:pBdr>
              <w:rPr>
                <w:b/>
                <w:bCs/>
                <w:color w:val="000000"/>
                <w:sz w:val="20"/>
                <w:szCs w:val="20"/>
                <w:lang w:val="en-GB"/>
              </w:rPr>
            </w:pPr>
            <w:r w:rsidRPr="00820F7A">
              <w:rPr>
                <w:b/>
                <w:bCs/>
                <w:color w:val="000000"/>
                <w:sz w:val="20"/>
                <w:szCs w:val="20"/>
                <w:lang w:val="en-GB"/>
              </w:rPr>
              <w:t>Study 5</w:t>
            </w:r>
          </w:p>
        </w:tc>
        <w:tc>
          <w:tcPr>
            <w:tcW w:w="1260" w:type="dxa"/>
          </w:tcPr>
          <w:p w14:paraId="126BBB67" w14:textId="77777777" w:rsidR="00826870" w:rsidRPr="00820F7A" w:rsidRDefault="00B21388">
            <w:pPr>
              <w:pStyle w:val="Normal1"/>
              <w:pBdr>
                <w:top w:val="nil"/>
                <w:left w:val="nil"/>
                <w:bottom w:val="nil"/>
                <w:right w:val="nil"/>
                <w:between w:val="nil"/>
              </w:pBdr>
              <w:rPr>
                <w:b/>
                <w:bCs/>
                <w:color w:val="000000"/>
                <w:sz w:val="20"/>
                <w:szCs w:val="20"/>
                <w:lang w:val="en-GB"/>
              </w:rPr>
            </w:pPr>
            <w:r w:rsidRPr="00820F7A">
              <w:rPr>
                <w:b/>
                <w:bCs/>
                <w:color w:val="000000"/>
                <w:sz w:val="20"/>
                <w:szCs w:val="20"/>
                <w:lang w:val="en-GB"/>
              </w:rPr>
              <w:t>Study 6</w:t>
            </w:r>
          </w:p>
        </w:tc>
        <w:tc>
          <w:tcPr>
            <w:tcW w:w="1530" w:type="dxa"/>
          </w:tcPr>
          <w:p w14:paraId="4A012C6B" w14:textId="77777777" w:rsidR="00826870" w:rsidRPr="00820F7A" w:rsidRDefault="00B21388">
            <w:pPr>
              <w:pStyle w:val="Normal1"/>
              <w:pBdr>
                <w:top w:val="nil"/>
                <w:left w:val="nil"/>
                <w:bottom w:val="nil"/>
                <w:right w:val="nil"/>
                <w:between w:val="nil"/>
              </w:pBdr>
              <w:rPr>
                <w:b/>
                <w:bCs/>
                <w:color w:val="000000"/>
                <w:sz w:val="20"/>
                <w:szCs w:val="20"/>
                <w:lang w:val="en-GB"/>
              </w:rPr>
            </w:pPr>
            <w:r w:rsidRPr="00820F7A">
              <w:rPr>
                <w:b/>
                <w:bCs/>
                <w:color w:val="000000"/>
                <w:sz w:val="20"/>
                <w:szCs w:val="20"/>
                <w:lang w:val="en-GB"/>
              </w:rPr>
              <w:t>Study 7</w:t>
            </w:r>
          </w:p>
        </w:tc>
        <w:tc>
          <w:tcPr>
            <w:tcW w:w="1620" w:type="dxa"/>
          </w:tcPr>
          <w:p w14:paraId="2A11E215" w14:textId="77777777" w:rsidR="00826870" w:rsidRPr="00820F7A" w:rsidRDefault="00B21388">
            <w:pPr>
              <w:pStyle w:val="Normal1"/>
              <w:pBdr>
                <w:top w:val="nil"/>
                <w:left w:val="nil"/>
                <w:bottom w:val="nil"/>
                <w:right w:val="nil"/>
                <w:between w:val="nil"/>
              </w:pBdr>
              <w:rPr>
                <w:b/>
                <w:bCs/>
                <w:color w:val="000000"/>
                <w:sz w:val="20"/>
                <w:szCs w:val="20"/>
                <w:lang w:val="en-GB"/>
              </w:rPr>
            </w:pPr>
            <w:r w:rsidRPr="00820F7A">
              <w:rPr>
                <w:b/>
                <w:bCs/>
                <w:color w:val="000000"/>
                <w:sz w:val="20"/>
                <w:szCs w:val="20"/>
                <w:lang w:val="en-GB"/>
              </w:rPr>
              <w:t>Study 8</w:t>
            </w:r>
          </w:p>
        </w:tc>
      </w:tr>
      <w:tr w:rsidR="00826870" w:rsidRPr="00820F7A" w14:paraId="7B2AB0EE" w14:textId="77777777">
        <w:trPr>
          <w:cantSplit/>
          <w:trHeight w:val="38"/>
          <w:tblHeader/>
        </w:trPr>
        <w:tc>
          <w:tcPr>
            <w:tcW w:w="974" w:type="dxa"/>
          </w:tcPr>
          <w:p w14:paraId="297364DB"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Date of data extraction</w:t>
            </w:r>
          </w:p>
        </w:tc>
        <w:tc>
          <w:tcPr>
            <w:tcW w:w="1144" w:type="dxa"/>
          </w:tcPr>
          <w:p w14:paraId="4AF0DE47"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25 December, 2025</w:t>
            </w:r>
          </w:p>
        </w:tc>
        <w:tc>
          <w:tcPr>
            <w:tcW w:w="1867" w:type="dxa"/>
          </w:tcPr>
          <w:p w14:paraId="158C36E4"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25 December, 2025</w:t>
            </w:r>
          </w:p>
        </w:tc>
        <w:tc>
          <w:tcPr>
            <w:tcW w:w="1620" w:type="dxa"/>
          </w:tcPr>
          <w:p w14:paraId="3F228E49"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27 December, 2025</w:t>
            </w:r>
          </w:p>
        </w:tc>
        <w:tc>
          <w:tcPr>
            <w:tcW w:w="1620" w:type="dxa"/>
          </w:tcPr>
          <w:p w14:paraId="2BB96EF9"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28 December, 2025</w:t>
            </w:r>
          </w:p>
        </w:tc>
        <w:tc>
          <w:tcPr>
            <w:tcW w:w="1980" w:type="dxa"/>
          </w:tcPr>
          <w:p w14:paraId="03E301E1"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29 December, 2025</w:t>
            </w:r>
          </w:p>
        </w:tc>
        <w:tc>
          <w:tcPr>
            <w:tcW w:w="1260" w:type="dxa"/>
          </w:tcPr>
          <w:p w14:paraId="36CBC9CA"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30 December, 2025</w:t>
            </w:r>
          </w:p>
        </w:tc>
        <w:tc>
          <w:tcPr>
            <w:tcW w:w="1530" w:type="dxa"/>
          </w:tcPr>
          <w:p w14:paraId="430914F0"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30 December, 2025</w:t>
            </w:r>
          </w:p>
        </w:tc>
        <w:tc>
          <w:tcPr>
            <w:tcW w:w="1620" w:type="dxa"/>
          </w:tcPr>
          <w:p w14:paraId="4E750AC3"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9 January 2026</w:t>
            </w:r>
          </w:p>
        </w:tc>
      </w:tr>
      <w:tr w:rsidR="00826870" w:rsidRPr="00820F7A" w14:paraId="603E7529" w14:textId="77777777">
        <w:trPr>
          <w:cantSplit/>
          <w:tblHeader/>
        </w:trPr>
        <w:tc>
          <w:tcPr>
            <w:tcW w:w="974" w:type="dxa"/>
          </w:tcPr>
          <w:p w14:paraId="2FD28F5A"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Title:</w:t>
            </w:r>
          </w:p>
        </w:tc>
        <w:tc>
          <w:tcPr>
            <w:tcW w:w="1144" w:type="dxa"/>
          </w:tcPr>
          <w:p w14:paraId="3BD230F5"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Clinical negligence and physiotherapy: UK survey of physiotherapists’ experiences of litigation.</w:t>
            </w:r>
          </w:p>
        </w:tc>
        <w:tc>
          <w:tcPr>
            <w:tcW w:w="1867" w:type="dxa"/>
          </w:tcPr>
          <w:p w14:paraId="09AD08DD"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Exploring the factors that drive clinical negligence claims: stated preferences of those who have experienced unintended harm.</w:t>
            </w:r>
          </w:p>
        </w:tc>
        <w:tc>
          <w:tcPr>
            <w:tcW w:w="1620" w:type="dxa"/>
          </w:tcPr>
          <w:p w14:paraId="4E39C24D"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Clinical leadership development in the NHS–a study in urgent and emergency care (UEC).</w:t>
            </w:r>
          </w:p>
        </w:tc>
        <w:tc>
          <w:tcPr>
            <w:tcW w:w="1620" w:type="dxa"/>
          </w:tcPr>
          <w:p w14:paraId="18DFF0C5"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Quantitative systematic review of the transformational leadership style as a driver of nurses' organisational commitment.</w:t>
            </w:r>
          </w:p>
        </w:tc>
        <w:tc>
          <w:tcPr>
            <w:tcW w:w="1980" w:type="dxa"/>
          </w:tcPr>
          <w:p w14:paraId="62248583"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Framing Person-Centred Leadership in Residential Care: A Cross-Cultural Adaptation of the Aged-Care Clinical Leadership Qualities Framework</w:t>
            </w:r>
          </w:p>
        </w:tc>
        <w:tc>
          <w:tcPr>
            <w:tcW w:w="1260" w:type="dxa"/>
          </w:tcPr>
          <w:p w14:paraId="2E22EB87"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 xml:space="preserve">Investigating healthcare workforce recruitment and retention: a mixed-methods study protocol. </w:t>
            </w:r>
          </w:p>
        </w:tc>
        <w:tc>
          <w:tcPr>
            <w:tcW w:w="1530" w:type="dxa"/>
          </w:tcPr>
          <w:p w14:paraId="0CB253F7"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 xml:space="preserve">A discrete choice experiment to elicit general population preferences around the factors influencing the choice to make clinical negligence claims. </w:t>
            </w:r>
          </w:p>
        </w:tc>
        <w:tc>
          <w:tcPr>
            <w:tcW w:w="1620" w:type="dxa"/>
          </w:tcPr>
          <w:p w14:paraId="304BEDDE"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Relationship between patient safety culture</w:t>
            </w:r>
          </w:p>
          <w:p w14:paraId="6BF12DE5"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and patient experience in hospital settings:</w:t>
            </w:r>
          </w:p>
          <w:p w14:paraId="1E7A98A3"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a scoping review</w:t>
            </w:r>
          </w:p>
        </w:tc>
      </w:tr>
      <w:tr w:rsidR="00826870" w:rsidRPr="00820F7A" w14:paraId="68021D0B" w14:textId="77777777">
        <w:trPr>
          <w:cantSplit/>
          <w:tblHeader/>
        </w:trPr>
        <w:tc>
          <w:tcPr>
            <w:tcW w:w="974" w:type="dxa"/>
          </w:tcPr>
          <w:p w14:paraId="57219ED4"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 xml:space="preserve">Source: </w:t>
            </w:r>
          </w:p>
        </w:tc>
        <w:tc>
          <w:tcPr>
            <w:tcW w:w="1144" w:type="dxa"/>
          </w:tcPr>
          <w:p w14:paraId="3FD70B4C"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 xml:space="preserve">Google Scholar </w:t>
            </w:r>
          </w:p>
        </w:tc>
        <w:tc>
          <w:tcPr>
            <w:tcW w:w="1867" w:type="dxa"/>
          </w:tcPr>
          <w:p w14:paraId="37D94C1C"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 xml:space="preserve">Google Scholar </w:t>
            </w:r>
          </w:p>
        </w:tc>
        <w:tc>
          <w:tcPr>
            <w:tcW w:w="1620" w:type="dxa"/>
          </w:tcPr>
          <w:p w14:paraId="26499E6C"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PubMed</w:t>
            </w:r>
          </w:p>
        </w:tc>
        <w:tc>
          <w:tcPr>
            <w:tcW w:w="1620" w:type="dxa"/>
          </w:tcPr>
          <w:p w14:paraId="714F5D50"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Proquest</w:t>
            </w:r>
          </w:p>
        </w:tc>
        <w:tc>
          <w:tcPr>
            <w:tcW w:w="1980" w:type="dxa"/>
          </w:tcPr>
          <w:p w14:paraId="0CBBBC3A"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 xml:space="preserve">Google Scholar </w:t>
            </w:r>
          </w:p>
        </w:tc>
        <w:tc>
          <w:tcPr>
            <w:tcW w:w="1260" w:type="dxa"/>
          </w:tcPr>
          <w:p w14:paraId="1930C1C8"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 xml:space="preserve">Google Scholar </w:t>
            </w:r>
          </w:p>
        </w:tc>
        <w:tc>
          <w:tcPr>
            <w:tcW w:w="1530" w:type="dxa"/>
          </w:tcPr>
          <w:p w14:paraId="7E86DEC8"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 xml:space="preserve">Google Scholar </w:t>
            </w:r>
          </w:p>
        </w:tc>
        <w:tc>
          <w:tcPr>
            <w:tcW w:w="1620" w:type="dxa"/>
          </w:tcPr>
          <w:p w14:paraId="171DA9A7"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Google Scholar</w:t>
            </w:r>
          </w:p>
        </w:tc>
      </w:tr>
      <w:tr w:rsidR="00826870" w:rsidRPr="00820F7A" w14:paraId="4BA4DDD0" w14:textId="77777777">
        <w:trPr>
          <w:cantSplit/>
          <w:tblHeader/>
        </w:trPr>
        <w:tc>
          <w:tcPr>
            <w:tcW w:w="974" w:type="dxa"/>
          </w:tcPr>
          <w:p w14:paraId="342123BC"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Purpose of study</w:t>
            </w:r>
          </w:p>
        </w:tc>
        <w:tc>
          <w:tcPr>
            <w:tcW w:w="1144" w:type="dxa"/>
          </w:tcPr>
          <w:p w14:paraId="7664BCFC"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To investigate the extent and impact of litigation on the UK physiotherapy profession.</w:t>
            </w:r>
          </w:p>
        </w:tc>
        <w:tc>
          <w:tcPr>
            <w:tcW w:w="1867" w:type="dxa"/>
          </w:tcPr>
          <w:p w14:paraId="11B2F9A6"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To assess the relative influence of factors impacting people experienced a patient safety incident (PSI).</w:t>
            </w:r>
          </w:p>
        </w:tc>
        <w:tc>
          <w:tcPr>
            <w:tcW w:w="1620" w:type="dxa"/>
          </w:tcPr>
          <w:p w14:paraId="1A201093"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To explore why clinicians in an emergency department (ED) become leaders, their experiences of leadership and their future developmental needs.</w:t>
            </w:r>
          </w:p>
        </w:tc>
        <w:tc>
          <w:tcPr>
            <w:tcW w:w="1620" w:type="dxa"/>
          </w:tcPr>
          <w:p w14:paraId="5B28A4E0"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To explore the association between nurses' perceptions of transformational leadership style.</w:t>
            </w:r>
          </w:p>
        </w:tc>
        <w:tc>
          <w:tcPr>
            <w:tcW w:w="1980" w:type="dxa"/>
          </w:tcPr>
          <w:p w14:paraId="414A1E89"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Purpose, confidentiality procedures, and their right to withdraw from the study at any time without having to justify the reason.</w:t>
            </w:r>
          </w:p>
        </w:tc>
        <w:tc>
          <w:tcPr>
            <w:tcW w:w="1260" w:type="dxa"/>
          </w:tcPr>
          <w:p w14:paraId="53823C98"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To examine the relationship between turnover intention and organisational practice environment.</w:t>
            </w:r>
          </w:p>
        </w:tc>
        <w:tc>
          <w:tcPr>
            <w:tcW w:w="1530" w:type="dxa"/>
          </w:tcPr>
          <w:p w14:paraId="465B705B"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To determine public's stated preferences around different factors that influence the choice to make clinical negligence</w:t>
            </w:r>
          </w:p>
        </w:tc>
        <w:tc>
          <w:tcPr>
            <w:tcW w:w="1620" w:type="dxa"/>
          </w:tcPr>
          <w:p w14:paraId="3CF2246E"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The desire for objective measurements of care delivery for the purposes of</w:t>
            </w:r>
          </w:p>
          <w:p w14:paraId="306C73D7"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comparison and evaluation of health services</w:t>
            </w:r>
          </w:p>
        </w:tc>
      </w:tr>
      <w:tr w:rsidR="00826870" w:rsidRPr="00820F7A" w14:paraId="1EE7957F" w14:textId="77777777">
        <w:trPr>
          <w:cantSplit/>
          <w:tblHeader/>
        </w:trPr>
        <w:tc>
          <w:tcPr>
            <w:tcW w:w="974" w:type="dxa"/>
          </w:tcPr>
          <w:p w14:paraId="0EDE652F"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Study design</w:t>
            </w:r>
          </w:p>
        </w:tc>
        <w:tc>
          <w:tcPr>
            <w:tcW w:w="1144" w:type="dxa"/>
          </w:tcPr>
          <w:p w14:paraId="04DC6FC7"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Cross-sectional questionnaire survey</w:t>
            </w:r>
          </w:p>
        </w:tc>
        <w:tc>
          <w:tcPr>
            <w:tcW w:w="1867" w:type="dxa"/>
          </w:tcPr>
          <w:p w14:paraId="17B8E582"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Survey using a discrete choice experiment (DCE) methodology. Fractional factorial, single profile design</w:t>
            </w:r>
          </w:p>
        </w:tc>
        <w:tc>
          <w:tcPr>
            <w:tcW w:w="1620" w:type="dxa"/>
          </w:tcPr>
          <w:p w14:paraId="2B497941"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Surveys and semi-structured interviews.</w:t>
            </w:r>
          </w:p>
        </w:tc>
        <w:tc>
          <w:tcPr>
            <w:tcW w:w="1620" w:type="dxa"/>
          </w:tcPr>
          <w:p w14:paraId="3CBD81F6"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Narrative quantitative systematic review.</w:t>
            </w:r>
          </w:p>
        </w:tc>
        <w:tc>
          <w:tcPr>
            <w:tcW w:w="1980" w:type="dxa"/>
          </w:tcPr>
          <w:p w14:paraId="4D2FA1EB"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Study has an exploratory and descriptive design</w:t>
            </w:r>
          </w:p>
        </w:tc>
        <w:tc>
          <w:tcPr>
            <w:tcW w:w="1260" w:type="dxa"/>
          </w:tcPr>
          <w:p w14:paraId="37638F43"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Sequential explanatory mixed-methods design</w:t>
            </w:r>
          </w:p>
        </w:tc>
        <w:tc>
          <w:tcPr>
            <w:tcW w:w="1530" w:type="dxa"/>
          </w:tcPr>
          <w:p w14:paraId="017BBD7C"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DCE survey</w:t>
            </w:r>
          </w:p>
        </w:tc>
        <w:tc>
          <w:tcPr>
            <w:tcW w:w="1620" w:type="dxa"/>
          </w:tcPr>
          <w:p w14:paraId="0320DDBF"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 xml:space="preserve">Quantitative study </w:t>
            </w:r>
          </w:p>
        </w:tc>
      </w:tr>
      <w:tr w:rsidR="00826870" w:rsidRPr="00820F7A" w14:paraId="11D9FA54" w14:textId="77777777">
        <w:trPr>
          <w:cantSplit/>
          <w:tblHeader/>
        </w:trPr>
        <w:tc>
          <w:tcPr>
            <w:tcW w:w="974" w:type="dxa"/>
          </w:tcPr>
          <w:p w14:paraId="355EF573"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Population:</w:t>
            </w:r>
          </w:p>
        </w:tc>
        <w:tc>
          <w:tcPr>
            <w:tcW w:w="1144" w:type="dxa"/>
          </w:tcPr>
          <w:p w14:paraId="16FB12D6"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 xml:space="preserve">Physiotherapists </w:t>
            </w:r>
          </w:p>
        </w:tc>
        <w:tc>
          <w:tcPr>
            <w:tcW w:w="1867" w:type="dxa"/>
          </w:tcPr>
          <w:p w14:paraId="390E539A"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UK residents</w:t>
            </w:r>
          </w:p>
        </w:tc>
        <w:tc>
          <w:tcPr>
            <w:tcW w:w="1620" w:type="dxa"/>
          </w:tcPr>
          <w:p w14:paraId="75AA1172"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 xml:space="preserve">NHS staff </w:t>
            </w:r>
          </w:p>
        </w:tc>
        <w:tc>
          <w:tcPr>
            <w:tcW w:w="1620" w:type="dxa"/>
          </w:tcPr>
          <w:p w14:paraId="186C4A7D"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Nurses</w:t>
            </w:r>
          </w:p>
        </w:tc>
        <w:tc>
          <w:tcPr>
            <w:tcW w:w="1980" w:type="dxa"/>
          </w:tcPr>
          <w:p w14:paraId="0D724B7F"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Residential care</w:t>
            </w:r>
          </w:p>
        </w:tc>
        <w:tc>
          <w:tcPr>
            <w:tcW w:w="1260" w:type="dxa"/>
          </w:tcPr>
          <w:p w14:paraId="74C6EF72"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Nurses and allied health professionals in the East Anglia region</w:t>
            </w:r>
          </w:p>
        </w:tc>
        <w:tc>
          <w:tcPr>
            <w:tcW w:w="1530" w:type="dxa"/>
          </w:tcPr>
          <w:p w14:paraId="0EDCDDFB"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UK adults (male, female and non-academic)</w:t>
            </w:r>
          </w:p>
        </w:tc>
        <w:tc>
          <w:tcPr>
            <w:tcW w:w="1620" w:type="dxa"/>
          </w:tcPr>
          <w:p w14:paraId="4A3C9982"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Managers and clinicians</w:t>
            </w:r>
          </w:p>
        </w:tc>
      </w:tr>
      <w:tr w:rsidR="00826870" w:rsidRPr="00820F7A" w14:paraId="79032AB0" w14:textId="77777777">
        <w:trPr>
          <w:cantSplit/>
          <w:tblHeader/>
        </w:trPr>
        <w:tc>
          <w:tcPr>
            <w:tcW w:w="974" w:type="dxa"/>
          </w:tcPr>
          <w:p w14:paraId="726523C8"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Sample size</w:t>
            </w:r>
          </w:p>
        </w:tc>
        <w:tc>
          <w:tcPr>
            <w:tcW w:w="1144" w:type="dxa"/>
          </w:tcPr>
          <w:p w14:paraId="2D1AA37F"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688</w:t>
            </w:r>
          </w:p>
        </w:tc>
        <w:tc>
          <w:tcPr>
            <w:tcW w:w="1867" w:type="dxa"/>
          </w:tcPr>
          <w:p w14:paraId="71FF1214"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1029</w:t>
            </w:r>
          </w:p>
        </w:tc>
        <w:tc>
          <w:tcPr>
            <w:tcW w:w="1620" w:type="dxa"/>
          </w:tcPr>
          <w:p w14:paraId="61658C63"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235 for survey and 12 for interview.</w:t>
            </w:r>
          </w:p>
        </w:tc>
        <w:tc>
          <w:tcPr>
            <w:tcW w:w="1620" w:type="dxa"/>
          </w:tcPr>
          <w:p w14:paraId="0FC7AD60"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2885 participants, six studies</w:t>
            </w:r>
          </w:p>
        </w:tc>
        <w:tc>
          <w:tcPr>
            <w:tcW w:w="1980" w:type="dxa"/>
          </w:tcPr>
          <w:p w14:paraId="7A52F591"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34</w:t>
            </w:r>
          </w:p>
        </w:tc>
        <w:tc>
          <w:tcPr>
            <w:tcW w:w="1260" w:type="dxa"/>
          </w:tcPr>
          <w:p w14:paraId="5BA3B6A2"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373</w:t>
            </w:r>
          </w:p>
        </w:tc>
        <w:tc>
          <w:tcPr>
            <w:tcW w:w="1530" w:type="dxa"/>
          </w:tcPr>
          <w:p w14:paraId="32A2418A"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10</w:t>
            </w:r>
          </w:p>
        </w:tc>
        <w:tc>
          <w:tcPr>
            <w:tcW w:w="1620" w:type="dxa"/>
          </w:tcPr>
          <w:p w14:paraId="15B91910"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4512 studies</w:t>
            </w:r>
          </w:p>
        </w:tc>
      </w:tr>
      <w:tr w:rsidR="00826870" w:rsidRPr="00820F7A" w14:paraId="6B2E36EE" w14:textId="77777777">
        <w:trPr>
          <w:cantSplit/>
          <w:tblHeader/>
        </w:trPr>
        <w:tc>
          <w:tcPr>
            <w:tcW w:w="974" w:type="dxa"/>
          </w:tcPr>
          <w:p w14:paraId="0989A4C4"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Criteria for diagnosis, illness type, etc</w:t>
            </w:r>
          </w:p>
        </w:tc>
        <w:tc>
          <w:tcPr>
            <w:tcW w:w="1144" w:type="dxa"/>
          </w:tcPr>
          <w:p w14:paraId="0082AC61"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NA</w:t>
            </w:r>
          </w:p>
        </w:tc>
        <w:tc>
          <w:tcPr>
            <w:tcW w:w="1867" w:type="dxa"/>
          </w:tcPr>
          <w:p w14:paraId="301BA90E"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NA</w:t>
            </w:r>
          </w:p>
        </w:tc>
        <w:tc>
          <w:tcPr>
            <w:tcW w:w="1620" w:type="dxa"/>
          </w:tcPr>
          <w:p w14:paraId="3031512F"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NA</w:t>
            </w:r>
          </w:p>
        </w:tc>
        <w:tc>
          <w:tcPr>
            <w:tcW w:w="1620" w:type="dxa"/>
          </w:tcPr>
          <w:p w14:paraId="6F0447E8"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NA</w:t>
            </w:r>
          </w:p>
        </w:tc>
        <w:tc>
          <w:tcPr>
            <w:tcW w:w="1980" w:type="dxa"/>
          </w:tcPr>
          <w:p w14:paraId="124790F3"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NA</w:t>
            </w:r>
          </w:p>
        </w:tc>
        <w:tc>
          <w:tcPr>
            <w:tcW w:w="1260" w:type="dxa"/>
          </w:tcPr>
          <w:p w14:paraId="5E90674F"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NA</w:t>
            </w:r>
          </w:p>
        </w:tc>
        <w:tc>
          <w:tcPr>
            <w:tcW w:w="1530" w:type="dxa"/>
          </w:tcPr>
          <w:p w14:paraId="64D821E8"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NA</w:t>
            </w:r>
          </w:p>
        </w:tc>
        <w:tc>
          <w:tcPr>
            <w:tcW w:w="1620" w:type="dxa"/>
          </w:tcPr>
          <w:p w14:paraId="5299A3D0"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NA</w:t>
            </w:r>
          </w:p>
        </w:tc>
      </w:tr>
      <w:tr w:rsidR="00826870" w:rsidRPr="00820F7A" w14:paraId="28708972" w14:textId="77777777">
        <w:trPr>
          <w:cantSplit/>
          <w:tblHeader/>
        </w:trPr>
        <w:tc>
          <w:tcPr>
            <w:tcW w:w="974" w:type="dxa"/>
          </w:tcPr>
          <w:p w14:paraId="66FE3687"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Any secondary characteristics, such as diagnosis</w:t>
            </w:r>
          </w:p>
        </w:tc>
        <w:tc>
          <w:tcPr>
            <w:tcW w:w="1144" w:type="dxa"/>
          </w:tcPr>
          <w:p w14:paraId="417ED2CD"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10% of respondents involved in litigation. 128 claims were reported as being involved in more than 1 case.</w:t>
            </w:r>
          </w:p>
        </w:tc>
        <w:tc>
          <w:tcPr>
            <w:tcW w:w="1867" w:type="dxa"/>
          </w:tcPr>
          <w:p w14:paraId="3969E2AE"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 xml:space="preserve">Age, ethnicity, income, and employment. </w:t>
            </w:r>
          </w:p>
        </w:tc>
        <w:tc>
          <w:tcPr>
            <w:tcW w:w="1620" w:type="dxa"/>
          </w:tcPr>
          <w:p w14:paraId="2E2A0FBE"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Experiences of NHS staff (doctors, nurses and caregivers)</w:t>
            </w:r>
          </w:p>
        </w:tc>
        <w:tc>
          <w:tcPr>
            <w:tcW w:w="1620" w:type="dxa"/>
          </w:tcPr>
          <w:p w14:paraId="1EAAC065"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 xml:space="preserve">NA </w:t>
            </w:r>
          </w:p>
        </w:tc>
        <w:tc>
          <w:tcPr>
            <w:tcW w:w="1980" w:type="dxa"/>
          </w:tcPr>
          <w:p w14:paraId="17A3AA67"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Optimise quality aged care</w:t>
            </w:r>
          </w:p>
        </w:tc>
        <w:tc>
          <w:tcPr>
            <w:tcW w:w="1260" w:type="dxa"/>
          </w:tcPr>
          <w:p w14:paraId="7CCCDE5F"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Age, gender, ethnicity, qualification, area of practice and geographical location</w:t>
            </w:r>
          </w:p>
        </w:tc>
        <w:tc>
          <w:tcPr>
            <w:tcW w:w="1530" w:type="dxa"/>
          </w:tcPr>
          <w:p w14:paraId="5A7BE21D"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Age, gender, employment status, and household income</w:t>
            </w:r>
          </w:p>
        </w:tc>
        <w:tc>
          <w:tcPr>
            <w:tcW w:w="1620" w:type="dxa"/>
          </w:tcPr>
          <w:p w14:paraId="5D9E5943"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HSOPS and SAQ offer a quantitative</w:t>
            </w:r>
          </w:p>
          <w:p w14:paraId="1ED33A4E"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measure of patient safety culture</w:t>
            </w:r>
          </w:p>
        </w:tc>
      </w:tr>
      <w:tr w:rsidR="00826870" w:rsidRPr="00820F7A" w14:paraId="4435426A" w14:textId="77777777">
        <w:trPr>
          <w:cantSplit/>
          <w:tblHeader/>
        </w:trPr>
        <w:tc>
          <w:tcPr>
            <w:tcW w:w="974" w:type="dxa"/>
          </w:tcPr>
          <w:p w14:paraId="00559C5B"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Exclusion criteria</w:t>
            </w:r>
          </w:p>
        </w:tc>
        <w:tc>
          <w:tcPr>
            <w:tcW w:w="1144" w:type="dxa"/>
          </w:tcPr>
          <w:p w14:paraId="6F5BFC8A"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 xml:space="preserve">Non-UK unqualified clinicians </w:t>
            </w:r>
          </w:p>
        </w:tc>
        <w:tc>
          <w:tcPr>
            <w:tcW w:w="1867" w:type="dxa"/>
          </w:tcPr>
          <w:p w14:paraId="36F41DCA"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Non-UK residents aged less than 18 years</w:t>
            </w:r>
          </w:p>
        </w:tc>
        <w:tc>
          <w:tcPr>
            <w:tcW w:w="1620" w:type="dxa"/>
          </w:tcPr>
          <w:p w14:paraId="4E27A693"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Non-NHS staff</w:t>
            </w:r>
          </w:p>
        </w:tc>
        <w:tc>
          <w:tcPr>
            <w:tcW w:w="1620" w:type="dxa"/>
          </w:tcPr>
          <w:p w14:paraId="622E2739"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Non-nursing populations</w:t>
            </w:r>
          </w:p>
        </w:tc>
        <w:tc>
          <w:tcPr>
            <w:tcW w:w="1980" w:type="dxa"/>
          </w:tcPr>
          <w:p w14:paraId="1FA39D09"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 xml:space="preserve">Non-residential care </w:t>
            </w:r>
          </w:p>
        </w:tc>
        <w:tc>
          <w:tcPr>
            <w:tcW w:w="1260" w:type="dxa"/>
          </w:tcPr>
          <w:p w14:paraId="62CC2840"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Non-UK, non-healthcare staff</w:t>
            </w:r>
          </w:p>
        </w:tc>
        <w:tc>
          <w:tcPr>
            <w:tcW w:w="1530" w:type="dxa"/>
          </w:tcPr>
          <w:p w14:paraId="4D31121D"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Non-UK adults</w:t>
            </w:r>
          </w:p>
        </w:tc>
        <w:tc>
          <w:tcPr>
            <w:tcW w:w="1620" w:type="dxa"/>
          </w:tcPr>
          <w:p w14:paraId="6E90CDD4"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Non-Managers and clinicians</w:t>
            </w:r>
          </w:p>
        </w:tc>
      </w:tr>
      <w:tr w:rsidR="00826870" w:rsidRPr="00820F7A" w14:paraId="1778DD08" w14:textId="77777777">
        <w:trPr>
          <w:cantSplit/>
          <w:tblHeader/>
        </w:trPr>
        <w:tc>
          <w:tcPr>
            <w:tcW w:w="974" w:type="dxa"/>
          </w:tcPr>
          <w:p w14:paraId="4A41B4D9"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Inclusion criteria</w:t>
            </w:r>
          </w:p>
        </w:tc>
        <w:tc>
          <w:tcPr>
            <w:tcW w:w="1144" w:type="dxa"/>
          </w:tcPr>
          <w:p w14:paraId="55C3C897"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Qualified UK-based clinicians</w:t>
            </w:r>
          </w:p>
        </w:tc>
        <w:tc>
          <w:tcPr>
            <w:tcW w:w="1867" w:type="dxa"/>
          </w:tcPr>
          <w:p w14:paraId="52F327F0"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UK residents aged 18 years or more.</w:t>
            </w:r>
          </w:p>
        </w:tc>
        <w:tc>
          <w:tcPr>
            <w:tcW w:w="1620" w:type="dxa"/>
          </w:tcPr>
          <w:p w14:paraId="55500F48"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 xml:space="preserve">NHS staff are included in urgent and emergency care. </w:t>
            </w:r>
          </w:p>
        </w:tc>
        <w:tc>
          <w:tcPr>
            <w:tcW w:w="1620" w:type="dxa"/>
          </w:tcPr>
          <w:p w14:paraId="7B6728FA"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Participants from nursing background.</w:t>
            </w:r>
          </w:p>
        </w:tc>
        <w:tc>
          <w:tcPr>
            <w:tcW w:w="1980" w:type="dxa"/>
          </w:tcPr>
          <w:p w14:paraId="3F9BE745"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 xml:space="preserve">Sweden residential care </w:t>
            </w:r>
          </w:p>
        </w:tc>
        <w:tc>
          <w:tcPr>
            <w:tcW w:w="1260" w:type="dxa"/>
          </w:tcPr>
          <w:p w14:paraId="5B0423FF"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UK-based healthcare staff</w:t>
            </w:r>
          </w:p>
        </w:tc>
        <w:tc>
          <w:tcPr>
            <w:tcW w:w="1530" w:type="dxa"/>
          </w:tcPr>
          <w:p w14:paraId="48E5D6FC"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UK adults</w:t>
            </w:r>
          </w:p>
        </w:tc>
        <w:tc>
          <w:tcPr>
            <w:tcW w:w="1620" w:type="dxa"/>
          </w:tcPr>
          <w:p w14:paraId="34756A39"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Managers and clinicians UK adults</w:t>
            </w:r>
          </w:p>
        </w:tc>
      </w:tr>
      <w:tr w:rsidR="00826870" w:rsidRPr="00820F7A" w14:paraId="32FE005F" w14:textId="77777777">
        <w:trPr>
          <w:cantSplit/>
          <w:tblHeader/>
        </w:trPr>
        <w:tc>
          <w:tcPr>
            <w:tcW w:w="974" w:type="dxa"/>
          </w:tcPr>
          <w:p w14:paraId="12C44AF5"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Setting</w:t>
            </w:r>
          </w:p>
        </w:tc>
        <w:tc>
          <w:tcPr>
            <w:tcW w:w="1144" w:type="dxa"/>
          </w:tcPr>
          <w:p w14:paraId="0F7C64AF"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Clinical setting in the UK</w:t>
            </w:r>
          </w:p>
        </w:tc>
        <w:tc>
          <w:tcPr>
            <w:tcW w:w="1867" w:type="dxa"/>
          </w:tcPr>
          <w:p w14:paraId="322F5296"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Clinical setting in the UK</w:t>
            </w:r>
          </w:p>
        </w:tc>
        <w:tc>
          <w:tcPr>
            <w:tcW w:w="1620" w:type="dxa"/>
          </w:tcPr>
          <w:p w14:paraId="5C800321"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Clinical setting in the UK</w:t>
            </w:r>
          </w:p>
        </w:tc>
        <w:tc>
          <w:tcPr>
            <w:tcW w:w="1620" w:type="dxa"/>
          </w:tcPr>
          <w:p w14:paraId="3605037F"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Clinical setting in the UK</w:t>
            </w:r>
          </w:p>
        </w:tc>
        <w:tc>
          <w:tcPr>
            <w:tcW w:w="1980" w:type="dxa"/>
          </w:tcPr>
          <w:p w14:paraId="7963F84C"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conceptual and semantic equivalence</w:t>
            </w:r>
          </w:p>
        </w:tc>
        <w:tc>
          <w:tcPr>
            <w:tcW w:w="1260" w:type="dxa"/>
          </w:tcPr>
          <w:p w14:paraId="0B3981A9"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Clinical setting in the UK</w:t>
            </w:r>
          </w:p>
        </w:tc>
        <w:tc>
          <w:tcPr>
            <w:tcW w:w="1530" w:type="dxa"/>
          </w:tcPr>
          <w:p w14:paraId="382FE239"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Online (UK-wide)</w:t>
            </w:r>
          </w:p>
        </w:tc>
        <w:tc>
          <w:tcPr>
            <w:tcW w:w="1620" w:type="dxa"/>
          </w:tcPr>
          <w:p w14:paraId="20067688"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UK clinic</w:t>
            </w:r>
          </w:p>
        </w:tc>
      </w:tr>
      <w:tr w:rsidR="00826870" w:rsidRPr="00820F7A" w14:paraId="179698A5" w14:textId="77777777">
        <w:trPr>
          <w:cantSplit/>
          <w:tblHeader/>
        </w:trPr>
        <w:tc>
          <w:tcPr>
            <w:tcW w:w="974" w:type="dxa"/>
          </w:tcPr>
          <w:p w14:paraId="5561027E"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Intervention</w:t>
            </w:r>
          </w:p>
        </w:tc>
        <w:tc>
          <w:tcPr>
            <w:tcW w:w="1144" w:type="dxa"/>
          </w:tcPr>
          <w:p w14:paraId="05A98EA4"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Online survey questionnaire</w:t>
            </w:r>
          </w:p>
        </w:tc>
        <w:tc>
          <w:tcPr>
            <w:tcW w:w="1867" w:type="dxa"/>
          </w:tcPr>
          <w:p w14:paraId="54D1EE83"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Hypothetical Patient Safety Incident (PSI) scenarios.</w:t>
            </w:r>
          </w:p>
        </w:tc>
        <w:tc>
          <w:tcPr>
            <w:tcW w:w="1620" w:type="dxa"/>
          </w:tcPr>
          <w:p w14:paraId="14B7F5A1"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Training, development and observed leadership behaviours.</w:t>
            </w:r>
          </w:p>
        </w:tc>
        <w:tc>
          <w:tcPr>
            <w:tcW w:w="1620" w:type="dxa"/>
          </w:tcPr>
          <w:p w14:paraId="7056D363"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Exposure to transformational leadership style.</w:t>
            </w:r>
          </w:p>
        </w:tc>
        <w:tc>
          <w:tcPr>
            <w:tcW w:w="1980" w:type="dxa"/>
          </w:tcPr>
          <w:p w14:paraId="4DF87C1E"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 xml:space="preserve">Controlled trial intervention for Clinical Leadership in Aged Care (CLiAC) </w:t>
            </w:r>
          </w:p>
        </w:tc>
        <w:tc>
          <w:tcPr>
            <w:tcW w:w="1260" w:type="dxa"/>
          </w:tcPr>
          <w:p w14:paraId="50BE6E2D"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Online survey questionnaire</w:t>
            </w:r>
          </w:p>
        </w:tc>
        <w:tc>
          <w:tcPr>
            <w:tcW w:w="1530" w:type="dxa"/>
          </w:tcPr>
          <w:p w14:paraId="3495A80A"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Online survey</w:t>
            </w:r>
          </w:p>
        </w:tc>
        <w:tc>
          <w:tcPr>
            <w:tcW w:w="1620" w:type="dxa"/>
          </w:tcPr>
          <w:p w14:paraId="6C5C4C7D"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CINAHL, Cochrane Library, ProQuest, MEDLINE, PsycINFO, SciELO</w:t>
            </w:r>
          </w:p>
          <w:p w14:paraId="2BEF54D7"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and Scopus databases</w:t>
            </w:r>
          </w:p>
        </w:tc>
      </w:tr>
      <w:tr w:rsidR="00826870" w:rsidRPr="00820F7A" w14:paraId="696CC4D2" w14:textId="77777777">
        <w:trPr>
          <w:cantSplit/>
          <w:tblHeader/>
        </w:trPr>
        <w:tc>
          <w:tcPr>
            <w:tcW w:w="974" w:type="dxa"/>
          </w:tcPr>
          <w:p w14:paraId="076AB1EF"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Comparator</w:t>
            </w:r>
          </w:p>
        </w:tc>
        <w:tc>
          <w:tcPr>
            <w:tcW w:w="1144" w:type="dxa"/>
          </w:tcPr>
          <w:p w14:paraId="2338D5F3"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 xml:space="preserve">Descriptive group comparison </w:t>
            </w:r>
          </w:p>
        </w:tc>
        <w:tc>
          <w:tcPr>
            <w:tcW w:w="1867" w:type="dxa"/>
          </w:tcPr>
          <w:p w14:paraId="567480A0"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Diverse claimed attributes and results found through DCE.</w:t>
            </w:r>
          </w:p>
        </w:tc>
        <w:tc>
          <w:tcPr>
            <w:tcW w:w="1620" w:type="dxa"/>
          </w:tcPr>
          <w:p w14:paraId="4E77608D"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Leadership behaviour, style and abilities.</w:t>
            </w:r>
          </w:p>
        </w:tc>
        <w:tc>
          <w:tcPr>
            <w:tcW w:w="1620" w:type="dxa"/>
          </w:tcPr>
          <w:p w14:paraId="54BFE6AD"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 xml:space="preserve">Transformational leadership style and organisational commitment. </w:t>
            </w:r>
          </w:p>
        </w:tc>
        <w:tc>
          <w:tcPr>
            <w:tcW w:w="1980" w:type="dxa"/>
          </w:tcPr>
          <w:p w14:paraId="61015270"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The targeted Swedish and the new English version of the framework compared with the original version by the authors.</w:t>
            </w:r>
          </w:p>
        </w:tc>
        <w:tc>
          <w:tcPr>
            <w:tcW w:w="1260" w:type="dxa"/>
          </w:tcPr>
          <w:p w14:paraId="0AC4797E"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Across workforce groups</w:t>
            </w:r>
          </w:p>
        </w:tc>
        <w:tc>
          <w:tcPr>
            <w:tcW w:w="1530" w:type="dxa"/>
          </w:tcPr>
          <w:p w14:paraId="2E759258"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Diversity in claims</w:t>
            </w:r>
          </w:p>
        </w:tc>
        <w:tc>
          <w:tcPr>
            <w:tcW w:w="1620" w:type="dxa"/>
          </w:tcPr>
          <w:p w14:paraId="6F7BFCF4"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To compare the different items of</w:t>
            </w:r>
          </w:p>
          <w:p w14:paraId="02A40552"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research, and results in variations in the findings</w:t>
            </w:r>
          </w:p>
        </w:tc>
      </w:tr>
      <w:tr w:rsidR="00826870" w:rsidRPr="00820F7A" w14:paraId="55680544" w14:textId="77777777">
        <w:trPr>
          <w:cantSplit/>
          <w:tblHeader/>
        </w:trPr>
        <w:tc>
          <w:tcPr>
            <w:tcW w:w="974" w:type="dxa"/>
          </w:tcPr>
          <w:p w14:paraId="0CC7A8AD"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Outcomes</w:t>
            </w:r>
          </w:p>
        </w:tc>
        <w:tc>
          <w:tcPr>
            <w:tcW w:w="1144" w:type="dxa"/>
          </w:tcPr>
          <w:p w14:paraId="629EAD0B"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Litigation caused the participants anxiety and stress.</w:t>
            </w:r>
          </w:p>
        </w:tc>
        <w:tc>
          <w:tcPr>
            <w:tcW w:w="1867" w:type="dxa"/>
          </w:tcPr>
          <w:p w14:paraId="7C6161AC"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Results show the importance of giving an appropriate apology and conducting a satisfactory investigation.</w:t>
            </w:r>
          </w:p>
        </w:tc>
        <w:tc>
          <w:tcPr>
            <w:tcW w:w="1620" w:type="dxa"/>
          </w:tcPr>
          <w:p w14:paraId="3EED0C27"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Insufficient training is hampering organisational leadership.</w:t>
            </w:r>
          </w:p>
        </w:tc>
        <w:tc>
          <w:tcPr>
            <w:tcW w:w="1620" w:type="dxa"/>
          </w:tcPr>
          <w:p w14:paraId="26F819FF"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Transformational leadership style is positively related to nurses' organisational commitment.</w:t>
            </w:r>
          </w:p>
        </w:tc>
        <w:tc>
          <w:tcPr>
            <w:tcW w:w="1980" w:type="dxa"/>
          </w:tcPr>
          <w:p w14:paraId="170A1FB6"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 xml:space="preserve">The translation procedure resulted in two minor changes related to the wording in two descriptors. </w:t>
            </w:r>
          </w:p>
        </w:tc>
        <w:tc>
          <w:tcPr>
            <w:tcW w:w="1260" w:type="dxa"/>
          </w:tcPr>
          <w:p w14:paraId="7A6F34F2"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 xml:space="preserve">Recruitment and retention depend on job satisfaction </w:t>
            </w:r>
          </w:p>
        </w:tc>
        <w:tc>
          <w:tcPr>
            <w:tcW w:w="1530" w:type="dxa"/>
          </w:tcPr>
          <w:p w14:paraId="174F3216"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 xml:space="preserve">Apology, compensation, transparency and timeliness influence claim decisions. </w:t>
            </w:r>
          </w:p>
        </w:tc>
        <w:tc>
          <w:tcPr>
            <w:tcW w:w="1620" w:type="dxa"/>
          </w:tcPr>
          <w:p w14:paraId="5441275E"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The outcomes</w:t>
            </w:r>
          </w:p>
          <w:p w14:paraId="629035E3"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of the survey are not reflective of the perceptions of the</w:t>
            </w:r>
          </w:p>
          <w:p w14:paraId="51701F27"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general global population</w:t>
            </w:r>
          </w:p>
        </w:tc>
      </w:tr>
      <w:tr w:rsidR="00826870" w:rsidRPr="00820F7A" w14:paraId="39A41D69" w14:textId="77777777">
        <w:trPr>
          <w:cantSplit/>
          <w:tblHeader/>
        </w:trPr>
        <w:tc>
          <w:tcPr>
            <w:tcW w:w="974" w:type="dxa"/>
          </w:tcPr>
          <w:p w14:paraId="129EE356"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 xml:space="preserve">Adverse effects </w:t>
            </w:r>
          </w:p>
        </w:tc>
        <w:tc>
          <w:tcPr>
            <w:tcW w:w="1144" w:type="dxa"/>
          </w:tcPr>
          <w:p w14:paraId="748427B7"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Clinicians started to feel physically unwell.</w:t>
            </w:r>
          </w:p>
        </w:tc>
        <w:tc>
          <w:tcPr>
            <w:tcW w:w="1867" w:type="dxa"/>
          </w:tcPr>
          <w:p w14:paraId="0CF490A5"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 xml:space="preserve">A few participants reported emotional stress, however, of meagre impact. </w:t>
            </w:r>
          </w:p>
        </w:tc>
        <w:tc>
          <w:tcPr>
            <w:tcW w:w="1620" w:type="dxa"/>
          </w:tcPr>
          <w:p w14:paraId="1D5DB27B"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Reported challenges regarding understaffing, workload pressures.</w:t>
            </w:r>
          </w:p>
        </w:tc>
        <w:tc>
          <w:tcPr>
            <w:tcW w:w="1620" w:type="dxa"/>
          </w:tcPr>
          <w:p w14:paraId="2E94D66D"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Nurse shortage issue</w:t>
            </w:r>
          </w:p>
        </w:tc>
        <w:tc>
          <w:tcPr>
            <w:tcW w:w="1980" w:type="dxa"/>
          </w:tcPr>
          <w:p w14:paraId="1EF2E0DA"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There is a risk of potential negative effects on residents in the absence of personalised care services.</w:t>
            </w:r>
          </w:p>
        </w:tc>
        <w:tc>
          <w:tcPr>
            <w:tcW w:w="1260" w:type="dxa"/>
          </w:tcPr>
          <w:p w14:paraId="66A8C916"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Lack of motivation is causing turnover</w:t>
            </w:r>
          </w:p>
        </w:tc>
        <w:tc>
          <w:tcPr>
            <w:tcW w:w="1530" w:type="dxa"/>
          </w:tcPr>
          <w:p w14:paraId="74372C2D"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No issues found</w:t>
            </w:r>
          </w:p>
        </w:tc>
        <w:tc>
          <w:tcPr>
            <w:tcW w:w="1620" w:type="dxa"/>
          </w:tcPr>
          <w:p w14:paraId="03A6BCBA"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Safety-related issues that the hospital team may</w:t>
            </w:r>
          </w:p>
          <w:p w14:paraId="2EA2E125" w14:textId="77777777" w:rsidR="00826870" w:rsidRPr="00820F7A" w:rsidRDefault="00B21388">
            <w:pPr>
              <w:pStyle w:val="Normal1"/>
              <w:pBdr>
                <w:top w:val="nil"/>
                <w:left w:val="nil"/>
                <w:bottom w:val="nil"/>
                <w:right w:val="nil"/>
                <w:between w:val="nil"/>
              </w:pBdr>
              <w:rPr>
                <w:color w:val="000000"/>
                <w:sz w:val="20"/>
                <w:szCs w:val="20"/>
                <w:lang w:val="en-GB"/>
              </w:rPr>
            </w:pPr>
            <w:r w:rsidRPr="00820F7A">
              <w:rPr>
                <w:color w:val="000000"/>
                <w:sz w:val="20"/>
                <w:szCs w:val="20"/>
                <w:lang w:val="en-GB"/>
              </w:rPr>
              <w:t>miss. However, studies mostly measured staff perspectives on patient safety culture</w:t>
            </w:r>
          </w:p>
        </w:tc>
      </w:tr>
    </w:tbl>
    <w:p w14:paraId="68091E3B" w14:textId="77777777" w:rsidR="00826870" w:rsidRPr="00820F7A" w:rsidRDefault="00826870">
      <w:pPr>
        <w:pStyle w:val="Heading2"/>
        <w:rPr>
          <w:i/>
          <w:iCs/>
          <w:lang w:val="en-GB"/>
        </w:rPr>
        <w:sectPr w:rsidR="00826870" w:rsidRPr="00820F7A">
          <w:pgSz w:w="15840" w:h="12240" w:orient="landscape"/>
          <w:pgMar w:top="1440" w:right="1440" w:bottom="1440" w:left="1440" w:header="720" w:footer="720" w:gutter="0"/>
          <w:cols w:space="720"/>
        </w:sectPr>
      </w:pPr>
    </w:p>
    <w:p w14:paraId="40D9BC83" w14:textId="77777777" w:rsidR="00826870" w:rsidRPr="00820F7A" w:rsidRDefault="00B21388">
      <w:pPr>
        <w:pStyle w:val="Heading2"/>
        <w:rPr>
          <w:lang w:val="en-GB"/>
        </w:rPr>
        <w:sectPr w:rsidR="00826870" w:rsidRPr="00820F7A">
          <w:pgSz w:w="12240" w:h="15840"/>
          <w:pgMar w:top="1440" w:right="1440" w:bottom="1440" w:left="1440" w:header="720" w:footer="720" w:gutter="0"/>
          <w:cols w:space="720"/>
        </w:sectPr>
      </w:pPr>
      <w:bookmarkStart w:id="104" w:name="_Toc220759539"/>
      <w:r w:rsidRPr="00820F7A">
        <w:rPr>
          <w:i/>
          <w:iCs/>
          <w:lang w:val="en-GB"/>
        </w:rPr>
        <w:t xml:space="preserve">Appendix 3: </w:t>
      </w:r>
      <w:r w:rsidRPr="00820F7A">
        <w:rPr>
          <w:lang w:val="en-GB"/>
        </w:rPr>
        <w:t>Qualitative study</w:t>
      </w:r>
      <w:bookmarkEnd w:id="104"/>
    </w:p>
    <w:p w14:paraId="7C21C9D3" w14:textId="77777777" w:rsidR="00826870" w:rsidRPr="00820F7A" w:rsidRDefault="00826870">
      <w:pPr>
        <w:pStyle w:val="Normal1"/>
        <w:pBdr>
          <w:top w:val="nil"/>
          <w:left w:val="nil"/>
          <w:bottom w:val="nil"/>
          <w:right w:val="nil"/>
          <w:between w:val="nil"/>
        </w:pBdr>
        <w:rPr>
          <w:b/>
          <w:bCs/>
          <w:color w:val="000000"/>
          <w:sz w:val="20"/>
          <w:szCs w:val="20"/>
          <w:lang w:val="en-GB"/>
        </w:rPr>
      </w:pPr>
    </w:p>
    <w:p w14:paraId="3748947F" w14:textId="77777777" w:rsidR="00826870" w:rsidRPr="00820F7A" w:rsidRDefault="00826870">
      <w:pPr>
        <w:pStyle w:val="Normal1"/>
        <w:rPr>
          <w:lang w:val="en-GB"/>
        </w:rPr>
      </w:pPr>
    </w:p>
    <w:p w14:paraId="767594E4" w14:textId="77777777" w:rsidR="00826870" w:rsidRPr="00820F7A" w:rsidRDefault="00826870">
      <w:pPr>
        <w:pStyle w:val="Normal1"/>
        <w:rPr>
          <w:lang w:val="en-GB"/>
        </w:rPr>
      </w:pPr>
    </w:p>
    <w:tbl>
      <w:tblPr>
        <w:tblStyle w:val="afffc"/>
        <w:tblW w:w="13698"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98"/>
        <w:gridCol w:w="1350"/>
        <w:gridCol w:w="1038"/>
        <w:gridCol w:w="932"/>
        <w:gridCol w:w="1810"/>
        <w:gridCol w:w="1530"/>
        <w:gridCol w:w="1890"/>
        <w:gridCol w:w="1170"/>
        <w:gridCol w:w="1620"/>
        <w:gridCol w:w="1260"/>
      </w:tblGrid>
      <w:tr w:rsidR="00826870" w:rsidRPr="00820F7A" w14:paraId="15A3EB1A" w14:textId="77777777">
        <w:trPr>
          <w:cantSplit/>
          <w:tblHeader/>
        </w:trPr>
        <w:tc>
          <w:tcPr>
            <w:tcW w:w="1098" w:type="dxa"/>
          </w:tcPr>
          <w:p w14:paraId="17DDD6FB" w14:textId="77777777" w:rsidR="00826870" w:rsidRPr="00820F7A" w:rsidRDefault="00B21388">
            <w:pPr>
              <w:pStyle w:val="Normal1"/>
              <w:pBdr>
                <w:top w:val="nil"/>
                <w:left w:val="nil"/>
                <w:bottom w:val="nil"/>
                <w:right w:val="nil"/>
                <w:between w:val="nil"/>
              </w:pBdr>
              <w:spacing w:line="360" w:lineRule="auto"/>
              <w:rPr>
                <w:b/>
                <w:bCs/>
                <w:color w:val="000000"/>
                <w:sz w:val="20"/>
                <w:szCs w:val="20"/>
                <w:lang w:val="en-GB"/>
              </w:rPr>
            </w:pPr>
            <w:r w:rsidRPr="00820F7A">
              <w:rPr>
                <w:b/>
                <w:bCs/>
                <w:color w:val="000000"/>
                <w:lang w:val="en-GB"/>
              </w:rPr>
              <w:t>D</w:t>
            </w:r>
            <w:r w:rsidRPr="00820F7A">
              <w:rPr>
                <w:b/>
                <w:bCs/>
                <w:color w:val="000000"/>
                <w:sz w:val="20"/>
                <w:szCs w:val="20"/>
                <w:lang w:val="en-GB"/>
              </w:rPr>
              <w:t>etails of study</w:t>
            </w:r>
          </w:p>
        </w:tc>
        <w:tc>
          <w:tcPr>
            <w:tcW w:w="1350" w:type="dxa"/>
          </w:tcPr>
          <w:p w14:paraId="348D213E" w14:textId="77777777" w:rsidR="00826870" w:rsidRPr="00820F7A" w:rsidRDefault="00B21388">
            <w:pPr>
              <w:pStyle w:val="Normal1"/>
              <w:pBdr>
                <w:top w:val="nil"/>
                <w:left w:val="nil"/>
                <w:bottom w:val="nil"/>
                <w:right w:val="nil"/>
                <w:between w:val="nil"/>
              </w:pBdr>
              <w:spacing w:line="360" w:lineRule="auto"/>
              <w:rPr>
                <w:b/>
                <w:bCs/>
                <w:color w:val="000000"/>
                <w:sz w:val="20"/>
                <w:szCs w:val="20"/>
                <w:lang w:val="en-GB"/>
              </w:rPr>
            </w:pPr>
            <w:r w:rsidRPr="00820F7A">
              <w:rPr>
                <w:b/>
                <w:bCs/>
                <w:color w:val="000000"/>
                <w:sz w:val="20"/>
                <w:szCs w:val="20"/>
                <w:lang w:val="en-GB"/>
              </w:rPr>
              <w:t>Study 1</w:t>
            </w:r>
          </w:p>
        </w:tc>
        <w:tc>
          <w:tcPr>
            <w:tcW w:w="1038" w:type="dxa"/>
          </w:tcPr>
          <w:p w14:paraId="25411AFF" w14:textId="77777777" w:rsidR="00826870" w:rsidRPr="00820F7A" w:rsidRDefault="00B21388">
            <w:pPr>
              <w:pStyle w:val="Normal1"/>
              <w:pBdr>
                <w:top w:val="nil"/>
                <w:left w:val="nil"/>
                <w:bottom w:val="nil"/>
                <w:right w:val="nil"/>
                <w:between w:val="nil"/>
              </w:pBdr>
              <w:spacing w:line="360" w:lineRule="auto"/>
              <w:rPr>
                <w:b/>
                <w:bCs/>
                <w:color w:val="000000"/>
                <w:sz w:val="20"/>
                <w:szCs w:val="20"/>
                <w:lang w:val="en-GB"/>
              </w:rPr>
            </w:pPr>
            <w:r w:rsidRPr="00820F7A">
              <w:rPr>
                <w:b/>
                <w:bCs/>
                <w:color w:val="000000"/>
                <w:sz w:val="20"/>
                <w:szCs w:val="20"/>
                <w:lang w:val="en-GB"/>
              </w:rPr>
              <w:t xml:space="preserve">Study 2 </w:t>
            </w:r>
          </w:p>
        </w:tc>
        <w:tc>
          <w:tcPr>
            <w:tcW w:w="932" w:type="dxa"/>
          </w:tcPr>
          <w:p w14:paraId="4DB56973" w14:textId="77777777" w:rsidR="00826870" w:rsidRPr="00820F7A" w:rsidRDefault="00B21388">
            <w:pPr>
              <w:pStyle w:val="Normal1"/>
              <w:pBdr>
                <w:top w:val="nil"/>
                <w:left w:val="nil"/>
                <w:bottom w:val="nil"/>
                <w:right w:val="nil"/>
                <w:between w:val="nil"/>
              </w:pBdr>
              <w:spacing w:line="360" w:lineRule="auto"/>
              <w:rPr>
                <w:b/>
                <w:bCs/>
                <w:color w:val="000000"/>
                <w:sz w:val="20"/>
                <w:szCs w:val="20"/>
                <w:lang w:val="en-GB"/>
              </w:rPr>
            </w:pPr>
            <w:r w:rsidRPr="00820F7A">
              <w:rPr>
                <w:b/>
                <w:bCs/>
                <w:color w:val="000000"/>
                <w:sz w:val="20"/>
                <w:szCs w:val="20"/>
                <w:lang w:val="en-GB"/>
              </w:rPr>
              <w:t>Study 3</w:t>
            </w:r>
          </w:p>
        </w:tc>
        <w:tc>
          <w:tcPr>
            <w:tcW w:w="1810" w:type="dxa"/>
          </w:tcPr>
          <w:p w14:paraId="439B3F30" w14:textId="77777777" w:rsidR="00826870" w:rsidRPr="00820F7A" w:rsidRDefault="00B21388">
            <w:pPr>
              <w:pStyle w:val="Normal1"/>
              <w:pBdr>
                <w:top w:val="nil"/>
                <w:left w:val="nil"/>
                <w:bottom w:val="nil"/>
                <w:right w:val="nil"/>
                <w:between w:val="nil"/>
              </w:pBdr>
              <w:spacing w:line="360" w:lineRule="auto"/>
              <w:rPr>
                <w:b/>
                <w:bCs/>
                <w:color w:val="000000"/>
                <w:sz w:val="20"/>
                <w:szCs w:val="20"/>
                <w:lang w:val="en-GB"/>
              </w:rPr>
            </w:pPr>
            <w:r w:rsidRPr="00820F7A">
              <w:rPr>
                <w:b/>
                <w:bCs/>
                <w:color w:val="000000"/>
                <w:sz w:val="20"/>
                <w:szCs w:val="20"/>
                <w:lang w:val="en-GB"/>
              </w:rPr>
              <w:t>Study 4</w:t>
            </w:r>
          </w:p>
        </w:tc>
        <w:tc>
          <w:tcPr>
            <w:tcW w:w="1530" w:type="dxa"/>
          </w:tcPr>
          <w:p w14:paraId="35D3E92F" w14:textId="77777777" w:rsidR="00826870" w:rsidRPr="00820F7A" w:rsidRDefault="00B21388">
            <w:pPr>
              <w:pStyle w:val="Normal1"/>
              <w:pBdr>
                <w:top w:val="nil"/>
                <w:left w:val="nil"/>
                <w:bottom w:val="nil"/>
                <w:right w:val="nil"/>
                <w:between w:val="nil"/>
              </w:pBdr>
              <w:spacing w:line="360" w:lineRule="auto"/>
              <w:rPr>
                <w:b/>
                <w:bCs/>
                <w:color w:val="000000"/>
                <w:sz w:val="20"/>
                <w:szCs w:val="20"/>
                <w:lang w:val="en-GB"/>
              </w:rPr>
            </w:pPr>
            <w:r w:rsidRPr="00820F7A">
              <w:rPr>
                <w:b/>
                <w:bCs/>
                <w:color w:val="000000"/>
                <w:sz w:val="20"/>
                <w:szCs w:val="20"/>
                <w:lang w:val="en-GB"/>
              </w:rPr>
              <w:t>Study 5</w:t>
            </w:r>
          </w:p>
        </w:tc>
        <w:tc>
          <w:tcPr>
            <w:tcW w:w="1890" w:type="dxa"/>
          </w:tcPr>
          <w:p w14:paraId="1DA57443" w14:textId="77777777" w:rsidR="00826870" w:rsidRPr="00820F7A" w:rsidRDefault="00B21388">
            <w:pPr>
              <w:pStyle w:val="Normal1"/>
              <w:pBdr>
                <w:top w:val="nil"/>
                <w:left w:val="nil"/>
                <w:bottom w:val="nil"/>
                <w:right w:val="nil"/>
                <w:between w:val="nil"/>
              </w:pBdr>
              <w:spacing w:line="360" w:lineRule="auto"/>
              <w:rPr>
                <w:b/>
                <w:bCs/>
                <w:color w:val="000000"/>
                <w:sz w:val="20"/>
                <w:szCs w:val="20"/>
                <w:lang w:val="en-GB"/>
              </w:rPr>
            </w:pPr>
            <w:r w:rsidRPr="00820F7A">
              <w:rPr>
                <w:b/>
                <w:bCs/>
                <w:color w:val="000000"/>
                <w:sz w:val="20"/>
                <w:szCs w:val="20"/>
                <w:lang w:val="en-GB"/>
              </w:rPr>
              <w:t>Study 6</w:t>
            </w:r>
          </w:p>
        </w:tc>
        <w:tc>
          <w:tcPr>
            <w:tcW w:w="1170" w:type="dxa"/>
          </w:tcPr>
          <w:p w14:paraId="6F69ED0D" w14:textId="77777777" w:rsidR="00826870" w:rsidRPr="00820F7A" w:rsidRDefault="00B21388">
            <w:pPr>
              <w:pStyle w:val="Normal1"/>
              <w:pBdr>
                <w:top w:val="nil"/>
                <w:left w:val="nil"/>
                <w:bottom w:val="nil"/>
                <w:right w:val="nil"/>
                <w:between w:val="nil"/>
              </w:pBdr>
              <w:spacing w:line="360" w:lineRule="auto"/>
              <w:rPr>
                <w:b/>
                <w:bCs/>
                <w:color w:val="000000"/>
                <w:sz w:val="20"/>
                <w:szCs w:val="20"/>
                <w:lang w:val="en-GB"/>
              </w:rPr>
            </w:pPr>
            <w:r w:rsidRPr="00820F7A">
              <w:rPr>
                <w:b/>
                <w:bCs/>
                <w:color w:val="000000"/>
                <w:sz w:val="20"/>
                <w:szCs w:val="20"/>
                <w:lang w:val="en-GB"/>
              </w:rPr>
              <w:t>Study 7</w:t>
            </w:r>
          </w:p>
        </w:tc>
        <w:tc>
          <w:tcPr>
            <w:tcW w:w="1620" w:type="dxa"/>
          </w:tcPr>
          <w:p w14:paraId="4DB80D33" w14:textId="77777777" w:rsidR="00826870" w:rsidRPr="00820F7A" w:rsidRDefault="00B21388">
            <w:pPr>
              <w:pStyle w:val="Normal1"/>
              <w:pBdr>
                <w:top w:val="nil"/>
                <w:left w:val="nil"/>
                <w:bottom w:val="nil"/>
                <w:right w:val="nil"/>
                <w:between w:val="nil"/>
              </w:pBdr>
              <w:spacing w:line="360" w:lineRule="auto"/>
              <w:rPr>
                <w:b/>
                <w:bCs/>
                <w:color w:val="000000"/>
                <w:sz w:val="20"/>
                <w:szCs w:val="20"/>
                <w:lang w:val="en-GB"/>
              </w:rPr>
            </w:pPr>
            <w:r w:rsidRPr="00820F7A">
              <w:rPr>
                <w:b/>
                <w:bCs/>
                <w:color w:val="000000"/>
                <w:sz w:val="20"/>
                <w:szCs w:val="20"/>
                <w:lang w:val="en-GB"/>
              </w:rPr>
              <w:t>Study 8</w:t>
            </w:r>
          </w:p>
        </w:tc>
        <w:tc>
          <w:tcPr>
            <w:tcW w:w="1260" w:type="dxa"/>
          </w:tcPr>
          <w:p w14:paraId="28DF3293" w14:textId="77777777" w:rsidR="00826870" w:rsidRPr="00820F7A" w:rsidRDefault="00B21388">
            <w:pPr>
              <w:pStyle w:val="Normal1"/>
              <w:pBdr>
                <w:top w:val="nil"/>
                <w:left w:val="nil"/>
                <w:bottom w:val="nil"/>
                <w:right w:val="nil"/>
                <w:between w:val="nil"/>
              </w:pBdr>
              <w:spacing w:line="360" w:lineRule="auto"/>
              <w:rPr>
                <w:b/>
                <w:bCs/>
                <w:color w:val="000000"/>
                <w:sz w:val="20"/>
                <w:szCs w:val="20"/>
                <w:lang w:val="en-GB"/>
              </w:rPr>
            </w:pPr>
            <w:r w:rsidRPr="00820F7A">
              <w:rPr>
                <w:b/>
                <w:bCs/>
                <w:color w:val="000000"/>
                <w:sz w:val="20"/>
                <w:szCs w:val="20"/>
                <w:lang w:val="en-GB"/>
              </w:rPr>
              <w:t>Study 9</w:t>
            </w:r>
          </w:p>
        </w:tc>
      </w:tr>
      <w:tr w:rsidR="00826870" w:rsidRPr="00820F7A" w14:paraId="7221A833" w14:textId="77777777">
        <w:trPr>
          <w:cantSplit/>
          <w:trHeight w:val="259"/>
          <w:tblHeader/>
        </w:trPr>
        <w:tc>
          <w:tcPr>
            <w:tcW w:w="1098" w:type="dxa"/>
          </w:tcPr>
          <w:p w14:paraId="4C7EF2AD"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Date of data extraction</w:t>
            </w:r>
          </w:p>
        </w:tc>
        <w:tc>
          <w:tcPr>
            <w:tcW w:w="1350" w:type="dxa"/>
          </w:tcPr>
          <w:p w14:paraId="3D30B376"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24 December, 2025</w:t>
            </w:r>
          </w:p>
        </w:tc>
        <w:tc>
          <w:tcPr>
            <w:tcW w:w="1038" w:type="dxa"/>
          </w:tcPr>
          <w:p w14:paraId="10617CD4"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24 December, 2025</w:t>
            </w:r>
          </w:p>
        </w:tc>
        <w:tc>
          <w:tcPr>
            <w:tcW w:w="932" w:type="dxa"/>
          </w:tcPr>
          <w:p w14:paraId="06FE8505"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25 December, 2025</w:t>
            </w:r>
          </w:p>
        </w:tc>
        <w:tc>
          <w:tcPr>
            <w:tcW w:w="1810" w:type="dxa"/>
          </w:tcPr>
          <w:p w14:paraId="6D41C68A"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25 December, 2025</w:t>
            </w:r>
          </w:p>
        </w:tc>
        <w:tc>
          <w:tcPr>
            <w:tcW w:w="1530" w:type="dxa"/>
          </w:tcPr>
          <w:p w14:paraId="0F6A7F0B"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27 December, 2025</w:t>
            </w:r>
          </w:p>
        </w:tc>
        <w:tc>
          <w:tcPr>
            <w:tcW w:w="1890" w:type="dxa"/>
          </w:tcPr>
          <w:p w14:paraId="0398737C"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9 January 2026</w:t>
            </w:r>
          </w:p>
        </w:tc>
        <w:tc>
          <w:tcPr>
            <w:tcW w:w="1170" w:type="dxa"/>
          </w:tcPr>
          <w:p w14:paraId="0A930F27"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9 January 2026</w:t>
            </w:r>
          </w:p>
        </w:tc>
        <w:tc>
          <w:tcPr>
            <w:tcW w:w="1620" w:type="dxa"/>
          </w:tcPr>
          <w:p w14:paraId="46B8FA00"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9 January 2026</w:t>
            </w:r>
          </w:p>
        </w:tc>
        <w:tc>
          <w:tcPr>
            <w:tcW w:w="1260" w:type="dxa"/>
          </w:tcPr>
          <w:p w14:paraId="415B99A2"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9 January 2026</w:t>
            </w:r>
          </w:p>
        </w:tc>
      </w:tr>
      <w:tr w:rsidR="00826870" w:rsidRPr="00820F7A" w14:paraId="3A7A94C7" w14:textId="77777777">
        <w:trPr>
          <w:cantSplit/>
          <w:tblHeader/>
        </w:trPr>
        <w:tc>
          <w:tcPr>
            <w:tcW w:w="1098" w:type="dxa"/>
          </w:tcPr>
          <w:p w14:paraId="103EB041"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Title:</w:t>
            </w:r>
          </w:p>
        </w:tc>
        <w:tc>
          <w:tcPr>
            <w:tcW w:w="1350" w:type="dxa"/>
          </w:tcPr>
          <w:p w14:paraId="4FFC6DAD"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Clinical negligence cases in the English NHS: uncertainty in evidence as a driver of settlement costs and societal outcomes.</w:t>
            </w:r>
          </w:p>
        </w:tc>
        <w:tc>
          <w:tcPr>
            <w:tcW w:w="1038" w:type="dxa"/>
          </w:tcPr>
          <w:p w14:paraId="22086B4D"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Defensive healthcare practice: systematic review of qualitative evidence.</w:t>
            </w:r>
          </w:p>
        </w:tc>
        <w:tc>
          <w:tcPr>
            <w:tcW w:w="932" w:type="dxa"/>
          </w:tcPr>
          <w:p w14:paraId="38094091"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Strengthening clinical leadership and management. Health Foundation.</w:t>
            </w:r>
          </w:p>
        </w:tc>
        <w:tc>
          <w:tcPr>
            <w:tcW w:w="1810" w:type="dxa"/>
          </w:tcPr>
          <w:p w14:paraId="55FEBB1D"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Fostering leadership and innovation in UK healthcare: insights from the NHS clinical entrepreneur programme and application of clinical leadership models–a systematic review and reflective analysis.</w:t>
            </w:r>
          </w:p>
        </w:tc>
        <w:tc>
          <w:tcPr>
            <w:tcW w:w="1530" w:type="dxa"/>
          </w:tcPr>
          <w:p w14:paraId="285D2978"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Understanding healthcare professionals’ responses to patient complaints in secondary and tertiary care in the UK: A systematic review and behavioural analysis using the Theoretical Domains Framework. </w:t>
            </w:r>
          </w:p>
        </w:tc>
        <w:tc>
          <w:tcPr>
            <w:tcW w:w="1890" w:type="dxa"/>
          </w:tcPr>
          <w:p w14:paraId="190CA395"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How effectively has a Just Culture been adopted? A qualitative study to analyse the attitudes and behaviours of clinicians and managers to clinical incident management within an NHS Hospital Trust and identify enablers and barriers to achieving a Just Culture</w:t>
            </w:r>
          </w:p>
        </w:tc>
        <w:tc>
          <w:tcPr>
            <w:tcW w:w="1170" w:type="dxa"/>
          </w:tcPr>
          <w:p w14:paraId="14EC4D72"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Patient safety culture in European hospitals: A comparative mixed methods study.</w:t>
            </w:r>
          </w:p>
        </w:tc>
        <w:tc>
          <w:tcPr>
            <w:tcW w:w="1620" w:type="dxa"/>
          </w:tcPr>
          <w:p w14:paraId="4863B860"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Barriers and facilitators to improving patient safety learning systems: a systematic review of qualitative studies and meta-synthesis.</w:t>
            </w:r>
          </w:p>
        </w:tc>
        <w:tc>
          <w:tcPr>
            <w:tcW w:w="1260" w:type="dxa"/>
          </w:tcPr>
          <w:p w14:paraId="34A509ED"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Hospital managers’ views on the state of patient safety culture across three regions in Ghana.</w:t>
            </w:r>
          </w:p>
        </w:tc>
      </w:tr>
      <w:tr w:rsidR="00826870" w:rsidRPr="00820F7A" w14:paraId="1AF5BADC" w14:textId="77777777">
        <w:trPr>
          <w:cantSplit/>
          <w:tblHeader/>
        </w:trPr>
        <w:tc>
          <w:tcPr>
            <w:tcW w:w="1098" w:type="dxa"/>
          </w:tcPr>
          <w:p w14:paraId="0BAA5B4E"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Source: </w:t>
            </w:r>
          </w:p>
        </w:tc>
        <w:tc>
          <w:tcPr>
            <w:tcW w:w="1350" w:type="dxa"/>
          </w:tcPr>
          <w:p w14:paraId="217D7DFA"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Google scholar</w:t>
            </w:r>
          </w:p>
        </w:tc>
        <w:tc>
          <w:tcPr>
            <w:tcW w:w="1038" w:type="dxa"/>
          </w:tcPr>
          <w:p w14:paraId="6656B3F6"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Proquest</w:t>
            </w:r>
          </w:p>
        </w:tc>
        <w:tc>
          <w:tcPr>
            <w:tcW w:w="932" w:type="dxa"/>
          </w:tcPr>
          <w:p w14:paraId="2742E3E6"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Pubmed</w:t>
            </w:r>
          </w:p>
        </w:tc>
        <w:tc>
          <w:tcPr>
            <w:tcW w:w="1810" w:type="dxa"/>
          </w:tcPr>
          <w:p w14:paraId="4C2DA7E0"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Google scholar</w:t>
            </w:r>
          </w:p>
        </w:tc>
        <w:tc>
          <w:tcPr>
            <w:tcW w:w="1530" w:type="dxa"/>
          </w:tcPr>
          <w:p w14:paraId="0E8E147E"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Proquest</w:t>
            </w:r>
          </w:p>
        </w:tc>
        <w:tc>
          <w:tcPr>
            <w:tcW w:w="1890" w:type="dxa"/>
          </w:tcPr>
          <w:p w14:paraId="7BB4F0A0"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Google scholar</w:t>
            </w:r>
          </w:p>
        </w:tc>
        <w:tc>
          <w:tcPr>
            <w:tcW w:w="1170" w:type="dxa"/>
          </w:tcPr>
          <w:p w14:paraId="67801592"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Google scholar</w:t>
            </w:r>
          </w:p>
        </w:tc>
        <w:tc>
          <w:tcPr>
            <w:tcW w:w="1620" w:type="dxa"/>
          </w:tcPr>
          <w:p w14:paraId="37C86E29"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Google scholar</w:t>
            </w:r>
          </w:p>
        </w:tc>
        <w:tc>
          <w:tcPr>
            <w:tcW w:w="1260" w:type="dxa"/>
          </w:tcPr>
          <w:p w14:paraId="1F36F8DB"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Google scholar</w:t>
            </w:r>
          </w:p>
        </w:tc>
      </w:tr>
      <w:tr w:rsidR="00826870" w:rsidRPr="00820F7A" w14:paraId="5A57472B" w14:textId="77777777">
        <w:trPr>
          <w:cantSplit/>
          <w:tblHeader/>
        </w:trPr>
        <w:tc>
          <w:tcPr>
            <w:tcW w:w="1098" w:type="dxa"/>
          </w:tcPr>
          <w:p w14:paraId="600E4078"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Purpose of study</w:t>
            </w:r>
          </w:p>
        </w:tc>
        <w:tc>
          <w:tcPr>
            <w:tcW w:w="1350" w:type="dxa"/>
          </w:tcPr>
          <w:p w14:paraId="1DCC1E6D"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To assess the level of uncertainties in medical outcomes. </w:t>
            </w:r>
          </w:p>
        </w:tc>
        <w:tc>
          <w:tcPr>
            <w:tcW w:w="1038" w:type="dxa"/>
          </w:tcPr>
          <w:p w14:paraId="3AB8057A"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To synthesise qualitative evidence on clinicians’ views and experiences of defensive practice.</w:t>
            </w:r>
          </w:p>
        </w:tc>
        <w:tc>
          <w:tcPr>
            <w:tcW w:w="932" w:type="dxa"/>
          </w:tcPr>
          <w:p w14:paraId="40B6F6E8"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Core clinical duties as something that allows them to defend the interests of their profession and co-opt the management apparatus available to them for this purpose.</w:t>
            </w:r>
          </w:p>
        </w:tc>
        <w:tc>
          <w:tcPr>
            <w:tcW w:w="1810" w:type="dxa"/>
          </w:tcPr>
          <w:p w14:paraId="462AF71A"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Purpose of this review, we adopted Blake’s broad definition of leadership as “Achieving results with and through others”</w:t>
            </w:r>
          </w:p>
        </w:tc>
        <w:tc>
          <w:tcPr>
            <w:tcW w:w="1530" w:type="dxa"/>
          </w:tcPr>
          <w:p w14:paraId="79566B98"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Deviating from good practice for the purpose of protecting oneself </w:t>
            </w:r>
          </w:p>
        </w:tc>
        <w:tc>
          <w:tcPr>
            <w:tcW w:w="1890" w:type="dxa"/>
          </w:tcPr>
          <w:p w14:paraId="036AAD8B"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Just Culture aims to improve patient safety</w:t>
            </w:r>
          </w:p>
          <w:p w14:paraId="2E9062C6"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by examining the organisational and individual factors thatcontribute to adverse events, enabling corrective action so thaterrors are not repeated. </w:t>
            </w:r>
          </w:p>
        </w:tc>
        <w:tc>
          <w:tcPr>
            <w:tcW w:w="1170" w:type="dxa"/>
          </w:tcPr>
          <w:p w14:paraId="7429FF06"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This study compared the safety culture of hospitals from the perspective of nurses in four European countries, including Croatia, Hungary, Spain, and Sweden.</w:t>
            </w:r>
          </w:p>
        </w:tc>
        <w:tc>
          <w:tcPr>
            <w:tcW w:w="1620" w:type="dxa"/>
          </w:tcPr>
          <w:p w14:paraId="0A2972C2"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The purpose of assessing methodological quality for qualitative research is to describe the overall robustness and</w:t>
            </w:r>
          </w:p>
          <w:p w14:paraId="73242D67"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Validity of the findings.</w:t>
            </w:r>
          </w:p>
        </w:tc>
        <w:tc>
          <w:tcPr>
            <w:tcW w:w="1260" w:type="dxa"/>
          </w:tcPr>
          <w:p w14:paraId="4DEEB9B6"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Improving patient safety culture in healthcare organisations contributes positively to the quality ofcare and patients’ attitudes toward care.</w:t>
            </w:r>
          </w:p>
        </w:tc>
      </w:tr>
      <w:tr w:rsidR="00826870" w:rsidRPr="00820F7A" w14:paraId="0047478B" w14:textId="77777777">
        <w:trPr>
          <w:cantSplit/>
          <w:tblHeader/>
        </w:trPr>
        <w:tc>
          <w:tcPr>
            <w:tcW w:w="1098" w:type="dxa"/>
          </w:tcPr>
          <w:p w14:paraId="61522478"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Study design</w:t>
            </w:r>
          </w:p>
        </w:tc>
        <w:tc>
          <w:tcPr>
            <w:tcW w:w="1350" w:type="dxa"/>
          </w:tcPr>
          <w:p w14:paraId="274E065B"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Case assessment and policy review </w:t>
            </w:r>
          </w:p>
        </w:tc>
        <w:tc>
          <w:tcPr>
            <w:tcW w:w="1038" w:type="dxa"/>
          </w:tcPr>
          <w:p w14:paraId="7756A713"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Systematic review (PRISMA)</w:t>
            </w:r>
          </w:p>
        </w:tc>
        <w:tc>
          <w:tcPr>
            <w:tcW w:w="932" w:type="dxa"/>
          </w:tcPr>
          <w:p w14:paraId="525471D2"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Case study </w:t>
            </w:r>
          </w:p>
        </w:tc>
        <w:tc>
          <w:tcPr>
            <w:tcW w:w="1810" w:type="dxa"/>
          </w:tcPr>
          <w:p w14:paraId="0C9F711D"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Pre-intervention/post-intervention designs</w:t>
            </w:r>
          </w:p>
        </w:tc>
        <w:tc>
          <w:tcPr>
            <w:tcW w:w="1530" w:type="dxa"/>
          </w:tcPr>
          <w:p w14:paraId="5BC3279F"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Behaviours at the individual, community and population level can improve the design of policies</w:t>
            </w:r>
          </w:p>
        </w:tc>
        <w:tc>
          <w:tcPr>
            <w:tcW w:w="1890" w:type="dxa"/>
          </w:tcPr>
          <w:p w14:paraId="68D3E08A"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Qualitative study</w:t>
            </w:r>
          </w:p>
        </w:tc>
        <w:tc>
          <w:tcPr>
            <w:tcW w:w="1170" w:type="dxa"/>
          </w:tcPr>
          <w:p w14:paraId="235A0FE9"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Comparative mixed methods</w:t>
            </w:r>
          </w:p>
        </w:tc>
        <w:tc>
          <w:tcPr>
            <w:tcW w:w="1620" w:type="dxa"/>
          </w:tcPr>
          <w:p w14:paraId="51212833"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Qualitative studies</w:t>
            </w:r>
          </w:p>
        </w:tc>
        <w:tc>
          <w:tcPr>
            <w:tcW w:w="1260" w:type="dxa"/>
          </w:tcPr>
          <w:p w14:paraId="000FFC1B"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Qualitative exploratory</w:t>
            </w:r>
          </w:p>
        </w:tc>
      </w:tr>
      <w:tr w:rsidR="00826870" w:rsidRPr="00820F7A" w14:paraId="2E7F29EB" w14:textId="77777777">
        <w:trPr>
          <w:cantSplit/>
          <w:tblHeader/>
        </w:trPr>
        <w:tc>
          <w:tcPr>
            <w:tcW w:w="1098" w:type="dxa"/>
          </w:tcPr>
          <w:p w14:paraId="499047A9"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Population:</w:t>
            </w:r>
          </w:p>
        </w:tc>
        <w:tc>
          <w:tcPr>
            <w:tcW w:w="1350" w:type="dxa"/>
          </w:tcPr>
          <w:p w14:paraId="3F19ED50"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NHS cases</w:t>
            </w:r>
          </w:p>
        </w:tc>
        <w:tc>
          <w:tcPr>
            <w:tcW w:w="1038" w:type="dxa"/>
          </w:tcPr>
          <w:p w14:paraId="60B1EF73"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UK clinicians </w:t>
            </w:r>
          </w:p>
        </w:tc>
        <w:tc>
          <w:tcPr>
            <w:tcW w:w="932" w:type="dxa"/>
          </w:tcPr>
          <w:p w14:paraId="253C035E"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NHS case </w:t>
            </w:r>
          </w:p>
        </w:tc>
        <w:tc>
          <w:tcPr>
            <w:tcW w:w="1810" w:type="dxa"/>
          </w:tcPr>
          <w:p w14:paraId="0A59F8E8"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UK healthcare professionals </w:t>
            </w:r>
          </w:p>
        </w:tc>
        <w:tc>
          <w:tcPr>
            <w:tcW w:w="1530" w:type="dxa"/>
          </w:tcPr>
          <w:p w14:paraId="38AE81E5"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UK HCPs </w:t>
            </w:r>
          </w:p>
        </w:tc>
        <w:tc>
          <w:tcPr>
            <w:tcW w:w="1890" w:type="dxa"/>
          </w:tcPr>
          <w:p w14:paraId="19BA0F14"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NHS Hospitals </w:t>
            </w:r>
          </w:p>
        </w:tc>
        <w:tc>
          <w:tcPr>
            <w:tcW w:w="1170" w:type="dxa"/>
          </w:tcPr>
          <w:p w14:paraId="11E1206D"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Sweden, Spain, Hungary, and Croatia nurse-to-patient</w:t>
            </w:r>
          </w:p>
        </w:tc>
        <w:tc>
          <w:tcPr>
            <w:tcW w:w="1620" w:type="dxa"/>
          </w:tcPr>
          <w:p w14:paraId="04A5A4E2"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PSLS</w:t>
            </w:r>
          </w:p>
        </w:tc>
        <w:tc>
          <w:tcPr>
            <w:tcW w:w="1260" w:type="dxa"/>
          </w:tcPr>
          <w:p w14:paraId="61B316D1"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Ghana’s hospital managers’</w:t>
            </w:r>
          </w:p>
        </w:tc>
      </w:tr>
      <w:tr w:rsidR="00826870" w:rsidRPr="00820F7A" w14:paraId="115C4B64" w14:textId="77777777">
        <w:trPr>
          <w:cantSplit/>
          <w:tblHeader/>
        </w:trPr>
        <w:tc>
          <w:tcPr>
            <w:tcW w:w="1098" w:type="dxa"/>
          </w:tcPr>
          <w:p w14:paraId="5F77D59D"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Sample selection</w:t>
            </w:r>
          </w:p>
        </w:tc>
        <w:tc>
          <w:tcPr>
            <w:tcW w:w="1350" w:type="dxa"/>
          </w:tcPr>
          <w:p w14:paraId="134ADF8D"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Non-consecutive sampling</w:t>
            </w:r>
          </w:p>
        </w:tc>
        <w:tc>
          <w:tcPr>
            <w:tcW w:w="1038" w:type="dxa"/>
          </w:tcPr>
          <w:p w14:paraId="3A6ECCD6"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Quantitative studies meeting the inclusion criteria </w:t>
            </w:r>
          </w:p>
        </w:tc>
        <w:tc>
          <w:tcPr>
            <w:tcW w:w="932" w:type="dxa"/>
          </w:tcPr>
          <w:p w14:paraId="47B4F274"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NA</w:t>
            </w:r>
          </w:p>
        </w:tc>
        <w:tc>
          <w:tcPr>
            <w:tcW w:w="1810" w:type="dxa"/>
          </w:tcPr>
          <w:p w14:paraId="03C61546" w14:textId="77777777" w:rsidR="00826870" w:rsidRPr="00820F7A" w:rsidRDefault="00B21388">
            <w:pPr>
              <w:pStyle w:val="Normal1"/>
              <w:pBdr>
                <w:top w:val="nil"/>
                <w:left w:val="nil"/>
                <w:bottom w:val="nil"/>
                <w:right w:val="nil"/>
                <w:between w:val="nil"/>
              </w:pBdr>
              <w:spacing w:line="360" w:lineRule="auto"/>
              <w:jc w:val="left"/>
              <w:rPr>
                <w:color w:val="000000"/>
                <w:sz w:val="20"/>
                <w:szCs w:val="20"/>
                <w:lang w:val="en-GB"/>
              </w:rPr>
            </w:pPr>
            <w:r w:rsidRPr="00820F7A">
              <w:rPr>
                <w:color w:val="000000"/>
                <w:sz w:val="20"/>
                <w:szCs w:val="20"/>
                <w:lang w:val="en-GB"/>
              </w:rPr>
              <w:t xml:space="preserve">Systematic and non-systematic reviews </w:t>
            </w:r>
          </w:p>
        </w:tc>
        <w:tc>
          <w:tcPr>
            <w:tcW w:w="1530" w:type="dxa"/>
          </w:tcPr>
          <w:p w14:paraId="612ADCB2"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Systematic literature review </w:t>
            </w:r>
          </w:p>
        </w:tc>
        <w:tc>
          <w:tcPr>
            <w:tcW w:w="1890" w:type="dxa"/>
          </w:tcPr>
          <w:p w14:paraId="44617055"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Semi-structured interviews</w:t>
            </w:r>
          </w:p>
        </w:tc>
        <w:tc>
          <w:tcPr>
            <w:tcW w:w="1170" w:type="dxa"/>
          </w:tcPr>
          <w:p w14:paraId="691F3449"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Survey, participant interviews, and workplace observations</w:t>
            </w:r>
          </w:p>
        </w:tc>
        <w:tc>
          <w:tcPr>
            <w:tcW w:w="1620" w:type="dxa"/>
          </w:tcPr>
          <w:p w14:paraId="6D25B254"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Systematic review and meta synthesis</w:t>
            </w:r>
          </w:p>
        </w:tc>
        <w:tc>
          <w:tcPr>
            <w:tcW w:w="1260" w:type="dxa"/>
          </w:tcPr>
          <w:p w14:paraId="5A372A3D"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Purposive sampling of all hospital managers</w:t>
            </w:r>
          </w:p>
        </w:tc>
      </w:tr>
      <w:tr w:rsidR="00826870" w:rsidRPr="00820F7A" w14:paraId="0AED7092" w14:textId="77777777">
        <w:trPr>
          <w:cantSplit/>
          <w:tblHeader/>
        </w:trPr>
        <w:tc>
          <w:tcPr>
            <w:tcW w:w="1098" w:type="dxa"/>
          </w:tcPr>
          <w:p w14:paraId="1CC4FE04"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Sample size (number)</w:t>
            </w:r>
          </w:p>
        </w:tc>
        <w:tc>
          <w:tcPr>
            <w:tcW w:w="1350" w:type="dxa"/>
          </w:tcPr>
          <w:p w14:paraId="4C51AC41"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15</w:t>
            </w:r>
          </w:p>
        </w:tc>
        <w:tc>
          <w:tcPr>
            <w:tcW w:w="1038" w:type="dxa"/>
          </w:tcPr>
          <w:p w14:paraId="744A1A6B"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17</w:t>
            </w:r>
          </w:p>
        </w:tc>
        <w:tc>
          <w:tcPr>
            <w:tcW w:w="932" w:type="dxa"/>
          </w:tcPr>
          <w:p w14:paraId="59E46EC9"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30</w:t>
            </w:r>
          </w:p>
        </w:tc>
        <w:tc>
          <w:tcPr>
            <w:tcW w:w="1810" w:type="dxa"/>
          </w:tcPr>
          <w:p w14:paraId="2B7AEEDC"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86</w:t>
            </w:r>
          </w:p>
        </w:tc>
        <w:tc>
          <w:tcPr>
            <w:tcW w:w="1530" w:type="dxa"/>
          </w:tcPr>
          <w:p w14:paraId="262A3F98"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22 articles and three reports</w:t>
            </w:r>
          </w:p>
        </w:tc>
        <w:tc>
          <w:tcPr>
            <w:tcW w:w="1890" w:type="dxa"/>
          </w:tcPr>
          <w:p w14:paraId="3DD6839C"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13 doctors of all grades, 5 medical</w:t>
            </w:r>
          </w:p>
          <w:p w14:paraId="6983C5E5"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students and 2 managers</w:t>
            </w:r>
          </w:p>
        </w:tc>
        <w:tc>
          <w:tcPr>
            <w:tcW w:w="1170" w:type="dxa"/>
          </w:tcPr>
          <w:p w14:paraId="7F4BD44E"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538</w:t>
            </w:r>
          </w:p>
        </w:tc>
        <w:tc>
          <w:tcPr>
            <w:tcW w:w="1620" w:type="dxa"/>
          </w:tcPr>
          <w:p w14:paraId="1B1CA6AE"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22 studies</w:t>
            </w:r>
          </w:p>
        </w:tc>
        <w:tc>
          <w:tcPr>
            <w:tcW w:w="1260" w:type="dxa"/>
          </w:tcPr>
          <w:p w14:paraId="35331BE1"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12 </w:t>
            </w:r>
          </w:p>
          <w:p w14:paraId="04C16933"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focus group discussions</w:t>
            </w:r>
          </w:p>
        </w:tc>
      </w:tr>
      <w:tr w:rsidR="00826870" w:rsidRPr="00820F7A" w14:paraId="754AACD3" w14:textId="77777777">
        <w:trPr>
          <w:cantSplit/>
          <w:tblHeader/>
        </w:trPr>
        <w:tc>
          <w:tcPr>
            <w:tcW w:w="1098" w:type="dxa"/>
          </w:tcPr>
          <w:p w14:paraId="52043681"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Age</w:t>
            </w:r>
          </w:p>
        </w:tc>
        <w:tc>
          <w:tcPr>
            <w:tcW w:w="1350" w:type="dxa"/>
          </w:tcPr>
          <w:p w14:paraId="06ABC5D0"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NA</w:t>
            </w:r>
          </w:p>
        </w:tc>
        <w:tc>
          <w:tcPr>
            <w:tcW w:w="1038" w:type="dxa"/>
          </w:tcPr>
          <w:p w14:paraId="06D072F7"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NA</w:t>
            </w:r>
          </w:p>
        </w:tc>
        <w:tc>
          <w:tcPr>
            <w:tcW w:w="932" w:type="dxa"/>
          </w:tcPr>
          <w:p w14:paraId="05D71C44"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NA</w:t>
            </w:r>
          </w:p>
        </w:tc>
        <w:tc>
          <w:tcPr>
            <w:tcW w:w="1810" w:type="dxa"/>
          </w:tcPr>
          <w:p w14:paraId="28640877"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NA</w:t>
            </w:r>
          </w:p>
        </w:tc>
        <w:tc>
          <w:tcPr>
            <w:tcW w:w="1530" w:type="dxa"/>
          </w:tcPr>
          <w:p w14:paraId="20A573B5"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NA</w:t>
            </w:r>
          </w:p>
        </w:tc>
        <w:tc>
          <w:tcPr>
            <w:tcW w:w="1890" w:type="dxa"/>
          </w:tcPr>
          <w:p w14:paraId="06549C42"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NA</w:t>
            </w:r>
          </w:p>
        </w:tc>
        <w:tc>
          <w:tcPr>
            <w:tcW w:w="1170" w:type="dxa"/>
          </w:tcPr>
          <w:p w14:paraId="76FB379C"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NA</w:t>
            </w:r>
          </w:p>
        </w:tc>
        <w:tc>
          <w:tcPr>
            <w:tcW w:w="1620" w:type="dxa"/>
          </w:tcPr>
          <w:p w14:paraId="1E915F40"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NA</w:t>
            </w:r>
          </w:p>
        </w:tc>
        <w:tc>
          <w:tcPr>
            <w:tcW w:w="1260" w:type="dxa"/>
          </w:tcPr>
          <w:p w14:paraId="49FFCC3A"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NA</w:t>
            </w:r>
          </w:p>
        </w:tc>
      </w:tr>
      <w:tr w:rsidR="00826870" w:rsidRPr="00820F7A" w14:paraId="7E8EF296" w14:textId="77777777">
        <w:trPr>
          <w:cantSplit/>
          <w:tblHeader/>
        </w:trPr>
        <w:tc>
          <w:tcPr>
            <w:tcW w:w="1098" w:type="dxa"/>
          </w:tcPr>
          <w:p w14:paraId="4CD52019"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Education, years </w:t>
            </w:r>
          </w:p>
        </w:tc>
        <w:tc>
          <w:tcPr>
            <w:tcW w:w="1350" w:type="dxa"/>
          </w:tcPr>
          <w:p w14:paraId="273D4C41"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NA</w:t>
            </w:r>
          </w:p>
        </w:tc>
        <w:tc>
          <w:tcPr>
            <w:tcW w:w="1038" w:type="dxa"/>
          </w:tcPr>
          <w:p w14:paraId="75A3260A"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NA</w:t>
            </w:r>
          </w:p>
        </w:tc>
        <w:tc>
          <w:tcPr>
            <w:tcW w:w="932" w:type="dxa"/>
          </w:tcPr>
          <w:p w14:paraId="0EF731F7"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NA</w:t>
            </w:r>
          </w:p>
        </w:tc>
        <w:tc>
          <w:tcPr>
            <w:tcW w:w="1810" w:type="dxa"/>
          </w:tcPr>
          <w:p w14:paraId="3C448C99"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NA</w:t>
            </w:r>
          </w:p>
        </w:tc>
        <w:tc>
          <w:tcPr>
            <w:tcW w:w="1530" w:type="dxa"/>
          </w:tcPr>
          <w:p w14:paraId="2CD2A871"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NA</w:t>
            </w:r>
          </w:p>
        </w:tc>
        <w:tc>
          <w:tcPr>
            <w:tcW w:w="1890" w:type="dxa"/>
          </w:tcPr>
          <w:p w14:paraId="2894CF3E"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NA</w:t>
            </w:r>
          </w:p>
        </w:tc>
        <w:tc>
          <w:tcPr>
            <w:tcW w:w="1170" w:type="dxa"/>
          </w:tcPr>
          <w:p w14:paraId="6FDF4F58"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NA</w:t>
            </w:r>
          </w:p>
        </w:tc>
        <w:tc>
          <w:tcPr>
            <w:tcW w:w="1620" w:type="dxa"/>
          </w:tcPr>
          <w:p w14:paraId="64F3CA4B"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NA</w:t>
            </w:r>
          </w:p>
        </w:tc>
        <w:tc>
          <w:tcPr>
            <w:tcW w:w="1260" w:type="dxa"/>
          </w:tcPr>
          <w:p w14:paraId="77A48BAA"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NA</w:t>
            </w:r>
          </w:p>
        </w:tc>
      </w:tr>
      <w:tr w:rsidR="00826870" w:rsidRPr="00820F7A" w14:paraId="77EAEC1C" w14:textId="77777777">
        <w:trPr>
          <w:cantSplit/>
          <w:tblHeader/>
        </w:trPr>
        <w:tc>
          <w:tcPr>
            <w:tcW w:w="1098" w:type="dxa"/>
          </w:tcPr>
          <w:p w14:paraId="4CFD722E"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Ethnicity/race</w:t>
            </w:r>
          </w:p>
        </w:tc>
        <w:tc>
          <w:tcPr>
            <w:tcW w:w="1350" w:type="dxa"/>
          </w:tcPr>
          <w:p w14:paraId="32123B22"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NA</w:t>
            </w:r>
          </w:p>
        </w:tc>
        <w:tc>
          <w:tcPr>
            <w:tcW w:w="1038" w:type="dxa"/>
          </w:tcPr>
          <w:p w14:paraId="00735AD3"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NA</w:t>
            </w:r>
          </w:p>
        </w:tc>
        <w:tc>
          <w:tcPr>
            <w:tcW w:w="932" w:type="dxa"/>
          </w:tcPr>
          <w:p w14:paraId="64701177"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NA</w:t>
            </w:r>
          </w:p>
        </w:tc>
        <w:tc>
          <w:tcPr>
            <w:tcW w:w="1810" w:type="dxa"/>
          </w:tcPr>
          <w:p w14:paraId="3A5AE0A4"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NA</w:t>
            </w:r>
          </w:p>
        </w:tc>
        <w:tc>
          <w:tcPr>
            <w:tcW w:w="1530" w:type="dxa"/>
          </w:tcPr>
          <w:p w14:paraId="4B68D3C9"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NA</w:t>
            </w:r>
          </w:p>
        </w:tc>
        <w:tc>
          <w:tcPr>
            <w:tcW w:w="1890" w:type="dxa"/>
          </w:tcPr>
          <w:p w14:paraId="0F91A88E"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NA</w:t>
            </w:r>
          </w:p>
        </w:tc>
        <w:tc>
          <w:tcPr>
            <w:tcW w:w="1170" w:type="dxa"/>
          </w:tcPr>
          <w:p w14:paraId="61FBFD97"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NA</w:t>
            </w:r>
          </w:p>
        </w:tc>
        <w:tc>
          <w:tcPr>
            <w:tcW w:w="1620" w:type="dxa"/>
          </w:tcPr>
          <w:p w14:paraId="1B3C77ED"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NA</w:t>
            </w:r>
          </w:p>
        </w:tc>
        <w:tc>
          <w:tcPr>
            <w:tcW w:w="1260" w:type="dxa"/>
          </w:tcPr>
          <w:p w14:paraId="79D1926A"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NA</w:t>
            </w:r>
          </w:p>
        </w:tc>
      </w:tr>
      <w:tr w:rsidR="00826870" w:rsidRPr="00820F7A" w14:paraId="13E3C69A" w14:textId="77777777">
        <w:trPr>
          <w:cantSplit/>
          <w:tblHeader/>
        </w:trPr>
        <w:tc>
          <w:tcPr>
            <w:tcW w:w="1098" w:type="dxa"/>
          </w:tcPr>
          <w:p w14:paraId="0A70D4E7"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religion</w:t>
            </w:r>
          </w:p>
        </w:tc>
        <w:tc>
          <w:tcPr>
            <w:tcW w:w="1350" w:type="dxa"/>
          </w:tcPr>
          <w:p w14:paraId="25A45698"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NA</w:t>
            </w:r>
          </w:p>
        </w:tc>
        <w:tc>
          <w:tcPr>
            <w:tcW w:w="1038" w:type="dxa"/>
          </w:tcPr>
          <w:p w14:paraId="2C9AD34C"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NA</w:t>
            </w:r>
          </w:p>
        </w:tc>
        <w:tc>
          <w:tcPr>
            <w:tcW w:w="932" w:type="dxa"/>
          </w:tcPr>
          <w:p w14:paraId="4AA8C86D"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NA</w:t>
            </w:r>
          </w:p>
        </w:tc>
        <w:tc>
          <w:tcPr>
            <w:tcW w:w="1810" w:type="dxa"/>
          </w:tcPr>
          <w:p w14:paraId="481DD1D1"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NA</w:t>
            </w:r>
          </w:p>
        </w:tc>
        <w:tc>
          <w:tcPr>
            <w:tcW w:w="1530" w:type="dxa"/>
          </w:tcPr>
          <w:p w14:paraId="3B071F0F"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NA</w:t>
            </w:r>
          </w:p>
        </w:tc>
        <w:tc>
          <w:tcPr>
            <w:tcW w:w="1890" w:type="dxa"/>
          </w:tcPr>
          <w:p w14:paraId="1B3F5E04"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NA</w:t>
            </w:r>
          </w:p>
        </w:tc>
        <w:tc>
          <w:tcPr>
            <w:tcW w:w="1170" w:type="dxa"/>
          </w:tcPr>
          <w:p w14:paraId="69067194"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NA</w:t>
            </w:r>
          </w:p>
        </w:tc>
        <w:tc>
          <w:tcPr>
            <w:tcW w:w="1620" w:type="dxa"/>
          </w:tcPr>
          <w:p w14:paraId="37402876"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NA</w:t>
            </w:r>
          </w:p>
        </w:tc>
        <w:tc>
          <w:tcPr>
            <w:tcW w:w="1260" w:type="dxa"/>
          </w:tcPr>
          <w:p w14:paraId="335D0DB6"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NA</w:t>
            </w:r>
          </w:p>
        </w:tc>
      </w:tr>
      <w:tr w:rsidR="00826870" w:rsidRPr="00820F7A" w14:paraId="2344DAFA" w14:textId="77777777">
        <w:trPr>
          <w:cantSplit/>
          <w:tblHeader/>
        </w:trPr>
        <w:tc>
          <w:tcPr>
            <w:tcW w:w="1098" w:type="dxa"/>
          </w:tcPr>
          <w:p w14:paraId="2446C05D"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Setting</w:t>
            </w:r>
          </w:p>
        </w:tc>
        <w:tc>
          <w:tcPr>
            <w:tcW w:w="1350" w:type="dxa"/>
          </w:tcPr>
          <w:p w14:paraId="494E6F06"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UK clinical setting</w:t>
            </w:r>
          </w:p>
        </w:tc>
        <w:tc>
          <w:tcPr>
            <w:tcW w:w="1038" w:type="dxa"/>
          </w:tcPr>
          <w:p w14:paraId="61061EB5"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UK clinical setting</w:t>
            </w:r>
          </w:p>
        </w:tc>
        <w:tc>
          <w:tcPr>
            <w:tcW w:w="932" w:type="dxa"/>
          </w:tcPr>
          <w:p w14:paraId="42D4E450"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UK</w:t>
            </w:r>
          </w:p>
        </w:tc>
        <w:tc>
          <w:tcPr>
            <w:tcW w:w="1810" w:type="dxa"/>
          </w:tcPr>
          <w:p w14:paraId="7C47B3BD"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UK</w:t>
            </w:r>
          </w:p>
        </w:tc>
        <w:tc>
          <w:tcPr>
            <w:tcW w:w="1530" w:type="dxa"/>
          </w:tcPr>
          <w:p w14:paraId="65C76254"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UK</w:t>
            </w:r>
          </w:p>
        </w:tc>
        <w:tc>
          <w:tcPr>
            <w:tcW w:w="1890" w:type="dxa"/>
          </w:tcPr>
          <w:p w14:paraId="2D141658"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UK</w:t>
            </w:r>
          </w:p>
        </w:tc>
        <w:tc>
          <w:tcPr>
            <w:tcW w:w="1170" w:type="dxa"/>
          </w:tcPr>
          <w:p w14:paraId="76AA0209"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Croatia, Hungary, Spain, and Sweden</w:t>
            </w:r>
          </w:p>
        </w:tc>
        <w:tc>
          <w:tcPr>
            <w:tcW w:w="1620" w:type="dxa"/>
          </w:tcPr>
          <w:p w14:paraId="731D0BD4"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UK</w:t>
            </w:r>
          </w:p>
        </w:tc>
        <w:tc>
          <w:tcPr>
            <w:tcW w:w="1260" w:type="dxa"/>
          </w:tcPr>
          <w:p w14:paraId="3C5BA7E5"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Ghana</w:t>
            </w:r>
          </w:p>
        </w:tc>
      </w:tr>
      <w:tr w:rsidR="00826870" w:rsidRPr="00820F7A" w14:paraId="54B4119A" w14:textId="77777777">
        <w:trPr>
          <w:cantSplit/>
          <w:tblHeader/>
        </w:trPr>
        <w:tc>
          <w:tcPr>
            <w:tcW w:w="1098" w:type="dxa"/>
          </w:tcPr>
          <w:p w14:paraId="23917A0B"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Primary diagnosis at time of event</w:t>
            </w:r>
          </w:p>
        </w:tc>
        <w:tc>
          <w:tcPr>
            <w:tcW w:w="1350" w:type="dxa"/>
          </w:tcPr>
          <w:p w14:paraId="1F03CDF1"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NA</w:t>
            </w:r>
          </w:p>
        </w:tc>
        <w:tc>
          <w:tcPr>
            <w:tcW w:w="1038" w:type="dxa"/>
          </w:tcPr>
          <w:p w14:paraId="70005723"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NA</w:t>
            </w:r>
          </w:p>
        </w:tc>
        <w:tc>
          <w:tcPr>
            <w:tcW w:w="932" w:type="dxa"/>
          </w:tcPr>
          <w:p w14:paraId="581BC995"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NA</w:t>
            </w:r>
          </w:p>
        </w:tc>
        <w:tc>
          <w:tcPr>
            <w:tcW w:w="1810" w:type="dxa"/>
          </w:tcPr>
          <w:p w14:paraId="3D113A50"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NA</w:t>
            </w:r>
          </w:p>
        </w:tc>
        <w:tc>
          <w:tcPr>
            <w:tcW w:w="1530" w:type="dxa"/>
          </w:tcPr>
          <w:p w14:paraId="58F6D917"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N A</w:t>
            </w:r>
          </w:p>
        </w:tc>
        <w:tc>
          <w:tcPr>
            <w:tcW w:w="1890" w:type="dxa"/>
          </w:tcPr>
          <w:p w14:paraId="10F332E1"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NA</w:t>
            </w:r>
          </w:p>
        </w:tc>
        <w:tc>
          <w:tcPr>
            <w:tcW w:w="1170" w:type="dxa"/>
          </w:tcPr>
          <w:p w14:paraId="5CF3AE50"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NA</w:t>
            </w:r>
          </w:p>
        </w:tc>
        <w:tc>
          <w:tcPr>
            <w:tcW w:w="1620" w:type="dxa"/>
          </w:tcPr>
          <w:p w14:paraId="0B732555"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NA</w:t>
            </w:r>
          </w:p>
        </w:tc>
        <w:tc>
          <w:tcPr>
            <w:tcW w:w="1260" w:type="dxa"/>
          </w:tcPr>
          <w:p w14:paraId="5B6BE16E"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NA</w:t>
            </w:r>
          </w:p>
        </w:tc>
      </w:tr>
      <w:tr w:rsidR="00826870" w:rsidRPr="00820F7A" w14:paraId="1761EB85" w14:textId="77777777">
        <w:trPr>
          <w:cantSplit/>
          <w:tblHeader/>
        </w:trPr>
        <w:tc>
          <w:tcPr>
            <w:tcW w:w="1098" w:type="dxa"/>
          </w:tcPr>
          <w:p w14:paraId="1B141637"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Exposure</w:t>
            </w:r>
          </w:p>
        </w:tc>
        <w:tc>
          <w:tcPr>
            <w:tcW w:w="1350" w:type="dxa"/>
          </w:tcPr>
          <w:p w14:paraId="6CA50A94"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Litigation and settlement process</w:t>
            </w:r>
          </w:p>
        </w:tc>
        <w:tc>
          <w:tcPr>
            <w:tcW w:w="1038" w:type="dxa"/>
          </w:tcPr>
          <w:p w14:paraId="1293BE5D"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Exposure to defensive healthcare practice</w:t>
            </w:r>
          </w:p>
        </w:tc>
        <w:tc>
          <w:tcPr>
            <w:tcW w:w="932" w:type="dxa"/>
          </w:tcPr>
          <w:p w14:paraId="48FAAD28"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Large teaching and district general hospital-based NHS </w:t>
            </w:r>
          </w:p>
        </w:tc>
        <w:tc>
          <w:tcPr>
            <w:tcW w:w="1810" w:type="dxa"/>
          </w:tcPr>
          <w:p w14:paraId="53D1BA49"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Reflecting the pluralistic nature</w:t>
            </w:r>
          </w:p>
        </w:tc>
        <w:tc>
          <w:tcPr>
            <w:tcW w:w="1530" w:type="dxa"/>
          </w:tcPr>
          <w:p w14:paraId="2FE46BCC"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This systematic review aimed to (1) identify the key actors, behaviours and factors influencing HCPs’ responses to complaints, and</w:t>
            </w:r>
          </w:p>
        </w:tc>
        <w:tc>
          <w:tcPr>
            <w:tcW w:w="1890" w:type="dxa"/>
          </w:tcPr>
          <w:p w14:paraId="69082C73"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Clinical error and perceptions of how their</w:t>
            </w:r>
          </w:p>
          <w:p w14:paraId="799E3295"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regulatory bodies</w:t>
            </w:r>
          </w:p>
        </w:tc>
        <w:tc>
          <w:tcPr>
            <w:tcW w:w="1170" w:type="dxa"/>
          </w:tcPr>
          <w:p w14:paraId="4507732B"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A hidden patient safety crisis</w:t>
            </w:r>
          </w:p>
        </w:tc>
        <w:tc>
          <w:tcPr>
            <w:tcW w:w="1620" w:type="dxa"/>
          </w:tcPr>
          <w:p w14:paraId="49DA07F8"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Focused on reporting aspects of the PSLS.</w:t>
            </w:r>
          </w:p>
        </w:tc>
        <w:tc>
          <w:tcPr>
            <w:tcW w:w="1260" w:type="dxa"/>
          </w:tcPr>
          <w:p w14:paraId="4C709CA5"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Positive patient safety culture behaviours such as open communication, organisational learning, and</w:t>
            </w:r>
          </w:p>
          <w:p w14:paraId="173640D5"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Strong teamwork.</w:t>
            </w:r>
          </w:p>
        </w:tc>
      </w:tr>
      <w:tr w:rsidR="00826870" w:rsidRPr="00820F7A" w14:paraId="62188F1C" w14:textId="77777777">
        <w:trPr>
          <w:cantSplit/>
          <w:tblHeader/>
        </w:trPr>
        <w:tc>
          <w:tcPr>
            <w:tcW w:w="1098" w:type="dxa"/>
          </w:tcPr>
          <w:p w14:paraId="22951360"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Outcomes</w:t>
            </w:r>
          </w:p>
        </w:tc>
        <w:tc>
          <w:tcPr>
            <w:tcW w:w="1350" w:type="dxa"/>
          </w:tcPr>
          <w:p w14:paraId="4C151D58"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Settlement costs, societal impact on claims against the NHS’s negligence.</w:t>
            </w:r>
          </w:p>
        </w:tc>
        <w:tc>
          <w:tcPr>
            <w:tcW w:w="1038" w:type="dxa"/>
          </w:tcPr>
          <w:p w14:paraId="6113A025"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Defensive healthcare practice reduces health risks</w:t>
            </w:r>
          </w:p>
        </w:tc>
        <w:tc>
          <w:tcPr>
            <w:tcW w:w="932" w:type="dxa"/>
          </w:tcPr>
          <w:p w14:paraId="48F389DA"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NHS to improve quality outcomes and boost operational productivity and efficiency.</w:t>
            </w:r>
          </w:p>
        </w:tc>
        <w:tc>
          <w:tcPr>
            <w:tcW w:w="1810" w:type="dxa"/>
          </w:tcPr>
          <w:p w14:paraId="41FC44F0"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identify and synthesise reviews of leadership development programmes for healthcare professionals. </w:t>
            </w:r>
          </w:p>
        </w:tc>
        <w:tc>
          <w:tcPr>
            <w:tcW w:w="1530" w:type="dxa"/>
          </w:tcPr>
          <w:p w14:paraId="05ED95BD"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Themes mapped onto nine TDF domains: knowledge, skills, environmental context and resources, social/professional role and identity, social </w:t>
            </w:r>
          </w:p>
        </w:tc>
        <w:tc>
          <w:tcPr>
            <w:tcW w:w="1890" w:type="dxa"/>
          </w:tcPr>
          <w:p w14:paraId="06963261"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Increase face-to-face communication</w:t>
            </w:r>
          </w:p>
          <w:p w14:paraId="4B1767FD"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of outcomes</w:t>
            </w:r>
          </w:p>
        </w:tc>
        <w:tc>
          <w:tcPr>
            <w:tcW w:w="1170" w:type="dxa"/>
          </w:tcPr>
          <w:p w14:paraId="5BFD29F4"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The main outcome for this study was the level of positive perception.</w:t>
            </w:r>
          </w:p>
        </w:tc>
        <w:tc>
          <w:tcPr>
            <w:tcW w:w="1620" w:type="dxa"/>
          </w:tcPr>
          <w:p w14:paraId="1A3F55B4"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Patient safety learning systems (PSLSs) are viewed</w:t>
            </w:r>
          </w:p>
          <w:p w14:paraId="0AC788A0"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as an important tool for improving the quality and</w:t>
            </w:r>
          </w:p>
          <w:p w14:paraId="23D11860"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Outcomes of hospital-based care.</w:t>
            </w:r>
          </w:p>
        </w:tc>
        <w:tc>
          <w:tcPr>
            <w:tcW w:w="1260" w:type="dxa"/>
          </w:tcPr>
          <w:p w14:paraId="27A0E1D5"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Prompt and appropriate responses by managers to medical errors require improvements in staffing and</w:t>
            </w:r>
          </w:p>
          <w:p w14:paraId="620482BE"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Material resources.</w:t>
            </w:r>
          </w:p>
        </w:tc>
      </w:tr>
      <w:tr w:rsidR="00826870" w:rsidRPr="00820F7A" w14:paraId="623A672C" w14:textId="77777777">
        <w:trPr>
          <w:cantSplit/>
          <w:tblHeader/>
        </w:trPr>
        <w:tc>
          <w:tcPr>
            <w:tcW w:w="1098" w:type="dxa"/>
          </w:tcPr>
          <w:p w14:paraId="63370813"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Adverse effects </w:t>
            </w:r>
          </w:p>
        </w:tc>
        <w:tc>
          <w:tcPr>
            <w:tcW w:w="1350" w:type="dxa"/>
          </w:tcPr>
          <w:p w14:paraId="513DB81D"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Increased costs</w:t>
            </w:r>
          </w:p>
        </w:tc>
        <w:tc>
          <w:tcPr>
            <w:tcW w:w="1038" w:type="dxa"/>
          </w:tcPr>
          <w:p w14:paraId="47CD0A00"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Mistrust and disempowerment</w:t>
            </w:r>
          </w:p>
        </w:tc>
        <w:tc>
          <w:tcPr>
            <w:tcW w:w="932" w:type="dxa"/>
          </w:tcPr>
          <w:p w14:paraId="20057732"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Collaborative issue </w:t>
            </w:r>
          </w:p>
        </w:tc>
        <w:tc>
          <w:tcPr>
            <w:tcW w:w="1810" w:type="dxa"/>
          </w:tcPr>
          <w:p w14:paraId="0CBA80CD"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 xml:space="preserve">Leadership issues </w:t>
            </w:r>
          </w:p>
        </w:tc>
        <w:tc>
          <w:tcPr>
            <w:tcW w:w="1530" w:type="dxa"/>
          </w:tcPr>
          <w:p w14:paraId="69EBDE76"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Organizational commitment and resources, while addressing various other challenges post-coronavirus disease 2019</w:t>
            </w:r>
          </w:p>
        </w:tc>
        <w:tc>
          <w:tcPr>
            <w:tcW w:w="1890" w:type="dxa"/>
          </w:tcPr>
          <w:p w14:paraId="18C2323B"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Inclusion of a</w:t>
            </w:r>
          </w:p>
          <w:p w14:paraId="6D0DC158"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peer who was not involved may generate its own challenges</w:t>
            </w:r>
          </w:p>
        </w:tc>
        <w:tc>
          <w:tcPr>
            <w:tcW w:w="1170" w:type="dxa"/>
          </w:tcPr>
          <w:p w14:paraId="43BF4AD9"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Complexity of the study design did not result</w:t>
            </w:r>
          </w:p>
        </w:tc>
        <w:tc>
          <w:tcPr>
            <w:tcW w:w="1620" w:type="dxa"/>
          </w:tcPr>
          <w:p w14:paraId="1CA746AB"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Limits the generality of each study’s conclusions.</w:t>
            </w:r>
          </w:p>
        </w:tc>
        <w:tc>
          <w:tcPr>
            <w:tcW w:w="1260" w:type="dxa"/>
          </w:tcPr>
          <w:p w14:paraId="584ECDCF" w14:textId="77777777" w:rsidR="00826870" w:rsidRPr="00820F7A" w:rsidRDefault="00B21388">
            <w:pPr>
              <w:pStyle w:val="Normal1"/>
              <w:pBdr>
                <w:top w:val="nil"/>
                <w:left w:val="nil"/>
                <w:bottom w:val="nil"/>
                <w:right w:val="nil"/>
                <w:between w:val="nil"/>
              </w:pBdr>
              <w:spacing w:line="360" w:lineRule="auto"/>
              <w:rPr>
                <w:color w:val="000000"/>
                <w:sz w:val="20"/>
                <w:szCs w:val="20"/>
                <w:lang w:val="en-GB"/>
              </w:rPr>
            </w:pPr>
            <w:r w:rsidRPr="00820F7A">
              <w:rPr>
                <w:color w:val="000000"/>
                <w:sz w:val="20"/>
                <w:szCs w:val="20"/>
                <w:lang w:val="en-GB"/>
              </w:rPr>
              <w:t>Most participants lamented the health system challenges,</w:t>
            </w:r>
          </w:p>
        </w:tc>
      </w:tr>
    </w:tbl>
    <w:p w14:paraId="7594EF2E" w14:textId="77777777" w:rsidR="00826870" w:rsidRPr="00820F7A" w:rsidRDefault="00826870">
      <w:pPr>
        <w:pStyle w:val="Normal1"/>
        <w:pBdr>
          <w:top w:val="nil"/>
          <w:left w:val="nil"/>
          <w:bottom w:val="nil"/>
          <w:right w:val="nil"/>
          <w:between w:val="nil"/>
        </w:pBdr>
        <w:rPr>
          <w:color w:val="000000"/>
          <w:lang w:val="en-GB"/>
        </w:rPr>
      </w:pPr>
    </w:p>
    <w:sectPr w:rsidR="00826870" w:rsidRPr="00820F7A" w:rsidSect="00826870">
      <w:pgSz w:w="15840" w:h="12240" w:orient="landscape"/>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4E878A" w14:textId="77777777" w:rsidR="00C13F5D" w:rsidRDefault="00C13F5D" w:rsidP="00826870">
      <w:pPr>
        <w:spacing w:line="240" w:lineRule="auto"/>
      </w:pPr>
      <w:r>
        <w:separator/>
      </w:r>
    </w:p>
  </w:endnote>
  <w:endnote w:type="continuationSeparator" w:id="0">
    <w:p w14:paraId="1D014F7A" w14:textId="77777777" w:rsidR="00C13F5D" w:rsidRDefault="00C13F5D" w:rsidP="0082687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4D4BF97D-42AD-4E71-9F1A-868C18AE549D}"/>
  </w:font>
  <w:font w:name="Calibri">
    <w:panose1 w:val="020F0502020204030204"/>
    <w:charset w:val="00"/>
    <w:family w:val="swiss"/>
    <w:pitch w:val="variable"/>
    <w:sig w:usb0="E4002EFF" w:usb1="C200ACFF" w:usb2="00000009" w:usb3="00000000" w:csb0="000001FF" w:csb1="00000000"/>
    <w:embedRegular r:id="rId2" w:fontKey="{8EA14BDF-838B-4693-8A76-B3FDA31D5E1D}"/>
    <w:embedBold r:id="rId3" w:fontKey="{1372B1AC-27B8-4998-A9D4-76B15DB98801}"/>
  </w:font>
  <w:font w:name="Cambria">
    <w:panose1 w:val="02040503050406030204"/>
    <w:charset w:val="00"/>
    <w:family w:val="roman"/>
    <w:pitch w:val="variable"/>
    <w:sig w:usb0="E00006FF" w:usb1="420024FF" w:usb2="02000000" w:usb3="00000000" w:csb0="0000019F" w:csb1="00000000"/>
    <w:embedRegular r:id="rId4" w:fontKey="{5EA76E5B-30FE-4ED3-83F1-E69C50606F0C}"/>
  </w:font>
  <w:font w:name="Cambria Math">
    <w:panose1 w:val="02040503050406030204"/>
    <w:charset w:val="00"/>
    <w:family w:val="roman"/>
    <w:pitch w:val="variable"/>
    <w:sig w:usb0="E00006FF" w:usb1="420024FF" w:usb2="02000000" w:usb3="00000000" w:csb0="0000019F" w:csb1="00000000"/>
    <w:embedRegular r:id="rId5" w:fontKey="{CAC9FBAF-CFD2-4C56-B1B6-2F50BEB6BC8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D753EB" w14:textId="77777777" w:rsidR="00826870" w:rsidRDefault="00B35016">
    <w:pPr>
      <w:pStyle w:val="Normal1"/>
      <w:pBdr>
        <w:top w:val="nil"/>
        <w:left w:val="nil"/>
        <w:bottom w:val="nil"/>
        <w:right w:val="nil"/>
        <w:between w:val="nil"/>
      </w:pBdr>
      <w:tabs>
        <w:tab w:val="center" w:pos="4680"/>
        <w:tab w:val="right" w:pos="9360"/>
      </w:tabs>
      <w:spacing w:line="240" w:lineRule="auto"/>
      <w:jc w:val="right"/>
      <w:rPr>
        <w:color w:val="000000"/>
      </w:rPr>
    </w:pPr>
    <w:r>
      <w:rPr>
        <w:color w:val="000000"/>
        <w:sz w:val="20"/>
        <w:szCs w:val="20"/>
      </w:rPr>
      <w:fldChar w:fldCharType="begin"/>
    </w:r>
    <w:r w:rsidR="00B21388">
      <w:rPr>
        <w:color w:val="000000"/>
        <w:sz w:val="20"/>
        <w:szCs w:val="20"/>
      </w:rPr>
      <w:instrText>PAGE</w:instrText>
    </w:r>
    <w:r>
      <w:rPr>
        <w:color w:val="000000"/>
        <w:sz w:val="20"/>
        <w:szCs w:val="20"/>
      </w:rPr>
      <w:fldChar w:fldCharType="separate"/>
    </w:r>
    <w:r w:rsidR="005534B7">
      <w:rPr>
        <w:noProof/>
        <w:color w:val="000000"/>
        <w:sz w:val="20"/>
        <w:szCs w:val="20"/>
      </w:rPr>
      <w:t>4</w:t>
    </w:r>
    <w:r>
      <w:rPr>
        <w:color w:val="000000"/>
        <w:sz w:val="20"/>
        <w:szCs w:val="20"/>
      </w:rPr>
      <w:fldChar w:fldCharType="end"/>
    </w:r>
  </w:p>
  <w:p w14:paraId="1FBB439A" w14:textId="77777777" w:rsidR="00826870" w:rsidRDefault="00826870">
    <w:pPr>
      <w:pStyle w:val="Normal1"/>
      <w:pBdr>
        <w:top w:val="nil"/>
        <w:left w:val="nil"/>
        <w:bottom w:val="nil"/>
        <w:right w:val="nil"/>
        <w:between w:val="nil"/>
      </w:pBdr>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C303FB" w14:textId="77777777" w:rsidR="00C13F5D" w:rsidRDefault="00C13F5D" w:rsidP="00826870">
      <w:pPr>
        <w:spacing w:line="240" w:lineRule="auto"/>
      </w:pPr>
      <w:r>
        <w:separator/>
      </w:r>
    </w:p>
  </w:footnote>
  <w:footnote w:type="continuationSeparator" w:id="0">
    <w:p w14:paraId="787F119D" w14:textId="77777777" w:rsidR="00C13F5D" w:rsidRDefault="00C13F5D" w:rsidP="0082687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A611D2"/>
    <w:multiLevelType w:val="multilevel"/>
    <w:tmpl w:val="D07A4F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0AE1BF6"/>
    <w:multiLevelType w:val="multilevel"/>
    <w:tmpl w:val="B51EEF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6451877"/>
    <w:multiLevelType w:val="multilevel"/>
    <w:tmpl w:val="38C2F4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BB34B89"/>
    <w:multiLevelType w:val="multilevel"/>
    <w:tmpl w:val="048837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35354230">
    <w:abstractNumId w:val="2"/>
  </w:num>
  <w:num w:numId="2" w16cid:durableId="260259231">
    <w:abstractNumId w:val="1"/>
  </w:num>
  <w:num w:numId="3" w16cid:durableId="1473788412">
    <w:abstractNumId w:val="0"/>
  </w:num>
  <w:num w:numId="4" w16cid:durableId="175539515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6870"/>
    <w:rsid w:val="00062AED"/>
    <w:rsid w:val="001759D9"/>
    <w:rsid w:val="001E06B6"/>
    <w:rsid w:val="002745C2"/>
    <w:rsid w:val="002D4042"/>
    <w:rsid w:val="00383BCD"/>
    <w:rsid w:val="00504D93"/>
    <w:rsid w:val="005534B7"/>
    <w:rsid w:val="00607040"/>
    <w:rsid w:val="006B65C3"/>
    <w:rsid w:val="00705727"/>
    <w:rsid w:val="00743D45"/>
    <w:rsid w:val="00794A3D"/>
    <w:rsid w:val="00820F7A"/>
    <w:rsid w:val="00826870"/>
    <w:rsid w:val="00827326"/>
    <w:rsid w:val="009547B9"/>
    <w:rsid w:val="00B21388"/>
    <w:rsid w:val="00B35016"/>
    <w:rsid w:val="00BD5FE6"/>
    <w:rsid w:val="00C13F5D"/>
    <w:rsid w:val="00C70513"/>
    <w:rsid w:val="00CE2F07"/>
    <w:rsid w:val="00EC4A28"/>
    <w:rsid w:val="00FB74BE"/>
    <w:rsid w:val="00FE54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7D0DACD0"/>
  <w15:docId w15:val="{BA42BB77-8ABD-4DFF-8285-8EA46DAEDA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3BCD"/>
  </w:style>
  <w:style w:type="paragraph" w:styleId="Heading1">
    <w:name w:val="heading 1"/>
    <w:basedOn w:val="Normal1"/>
    <w:next w:val="Normal1"/>
    <w:rsid w:val="00826870"/>
    <w:pPr>
      <w:keepNext/>
      <w:keepLines/>
      <w:pBdr>
        <w:top w:val="nil"/>
        <w:left w:val="nil"/>
        <w:bottom w:val="nil"/>
        <w:right w:val="nil"/>
        <w:between w:val="nil"/>
      </w:pBdr>
      <w:outlineLvl w:val="0"/>
    </w:pPr>
    <w:rPr>
      <w:b/>
      <w:bCs/>
      <w:color w:val="000000"/>
    </w:rPr>
  </w:style>
  <w:style w:type="paragraph" w:styleId="Heading2">
    <w:name w:val="heading 2"/>
    <w:basedOn w:val="Normal1"/>
    <w:next w:val="Normal1"/>
    <w:link w:val="Heading2Char"/>
    <w:rsid w:val="00826870"/>
    <w:pPr>
      <w:keepNext/>
      <w:keepLines/>
      <w:pBdr>
        <w:top w:val="nil"/>
        <w:left w:val="nil"/>
        <w:bottom w:val="nil"/>
        <w:right w:val="nil"/>
        <w:between w:val="nil"/>
      </w:pBdr>
      <w:outlineLvl w:val="1"/>
    </w:pPr>
    <w:rPr>
      <w:b/>
      <w:bCs/>
      <w:color w:val="000000"/>
    </w:rPr>
  </w:style>
  <w:style w:type="paragraph" w:styleId="Heading3">
    <w:name w:val="heading 3"/>
    <w:basedOn w:val="Normal1"/>
    <w:next w:val="Normal1"/>
    <w:rsid w:val="00826870"/>
    <w:pPr>
      <w:keepNext/>
      <w:keepLines/>
      <w:pBdr>
        <w:top w:val="nil"/>
        <w:left w:val="nil"/>
        <w:bottom w:val="nil"/>
        <w:right w:val="nil"/>
        <w:between w:val="nil"/>
      </w:pBdr>
      <w:spacing w:before="320" w:after="80"/>
      <w:outlineLvl w:val="2"/>
    </w:pPr>
    <w:rPr>
      <w:b/>
      <w:bCs/>
      <w:i/>
      <w:iCs/>
      <w:color w:val="000000"/>
    </w:rPr>
  </w:style>
  <w:style w:type="paragraph" w:styleId="Heading4">
    <w:name w:val="heading 4"/>
    <w:basedOn w:val="Normal1"/>
    <w:next w:val="Normal1"/>
    <w:rsid w:val="00826870"/>
    <w:pPr>
      <w:pBdr>
        <w:top w:val="nil"/>
        <w:left w:val="nil"/>
        <w:bottom w:val="nil"/>
        <w:right w:val="nil"/>
        <w:between w:val="nil"/>
      </w:pBdr>
      <w:jc w:val="center"/>
      <w:outlineLvl w:val="3"/>
    </w:pPr>
    <w:rPr>
      <w:b/>
      <w:bCs/>
      <w:color w:val="000000"/>
    </w:rPr>
  </w:style>
  <w:style w:type="paragraph" w:styleId="Heading5">
    <w:name w:val="heading 5"/>
    <w:basedOn w:val="Normal1"/>
    <w:next w:val="Normal1"/>
    <w:rsid w:val="00826870"/>
    <w:pPr>
      <w:pBdr>
        <w:top w:val="nil"/>
        <w:left w:val="nil"/>
        <w:bottom w:val="nil"/>
        <w:right w:val="nil"/>
        <w:between w:val="nil"/>
      </w:pBdr>
      <w:jc w:val="center"/>
      <w:outlineLvl w:val="4"/>
    </w:pPr>
    <w:rPr>
      <w:b/>
      <w:bCs/>
      <w:color w:val="000000"/>
    </w:rPr>
  </w:style>
  <w:style w:type="paragraph" w:styleId="Heading6">
    <w:name w:val="heading 6"/>
    <w:basedOn w:val="Normal1"/>
    <w:next w:val="Normal1"/>
    <w:rsid w:val="00826870"/>
    <w:pPr>
      <w:keepNext/>
      <w:keepLines/>
      <w:pBdr>
        <w:top w:val="nil"/>
        <w:left w:val="nil"/>
        <w:bottom w:val="nil"/>
        <w:right w:val="nil"/>
        <w:between w:val="nil"/>
      </w:pBdr>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826870"/>
    <w:tblPr>
      <w:tblCellMar>
        <w:top w:w="100" w:type="dxa"/>
        <w:left w:w="100" w:type="dxa"/>
        <w:bottom w:w="100" w:type="dxa"/>
        <w:right w:w="100" w:type="dxa"/>
      </w:tblCellMar>
    </w:tblPr>
  </w:style>
  <w:style w:type="paragraph" w:customStyle="1" w:styleId="Normal1">
    <w:name w:val="Normal1"/>
    <w:rsid w:val="00826870"/>
  </w:style>
  <w:style w:type="paragraph" w:styleId="Title">
    <w:name w:val="Title"/>
    <w:basedOn w:val="Normal1"/>
    <w:next w:val="Normal1"/>
    <w:rsid w:val="00826870"/>
    <w:pPr>
      <w:keepNext/>
      <w:keepLines/>
      <w:pBdr>
        <w:top w:val="nil"/>
        <w:left w:val="nil"/>
        <w:bottom w:val="nil"/>
        <w:right w:val="nil"/>
        <w:between w:val="nil"/>
      </w:pBdr>
      <w:spacing w:after="60"/>
    </w:pPr>
    <w:rPr>
      <w:color w:val="000000"/>
      <w:sz w:val="52"/>
      <w:szCs w:val="52"/>
    </w:rPr>
  </w:style>
  <w:style w:type="table" w:customStyle="1" w:styleId="TableNormal1">
    <w:name w:val="TableNormal"/>
    <w:rsid w:val="0098488E"/>
    <w:tblPr>
      <w:tblCellMar>
        <w:top w:w="100" w:type="dxa"/>
        <w:left w:w="100" w:type="dxa"/>
        <w:bottom w:w="100" w:type="dxa"/>
        <w:right w:w="100" w:type="dxa"/>
      </w:tblCellMar>
    </w:tblPr>
  </w:style>
  <w:style w:type="paragraph" w:customStyle="1" w:styleId="Normal10">
    <w:name w:val="Normal1"/>
    <w:rsid w:val="0098488E"/>
  </w:style>
  <w:style w:type="table" w:customStyle="1" w:styleId="TableNormal2">
    <w:name w:val="TableNormal"/>
    <w:rsid w:val="00040A42"/>
    <w:tblPr>
      <w:tblCellMar>
        <w:top w:w="100" w:type="dxa"/>
        <w:left w:w="100" w:type="dxa"/>
        <w:bottom w:w="100" w:type="dxa"/>
        <w:right w:w="100" w:type="dxa"/>
      </w:tblCellMar>
    </w:tblPr>
  </w:style>
  <w:style w:type="paragraph" w:customStyle="1" w:styleId="Normal2">
    <w:name w:val="Normal2"/>
    <w:rsid w:val="00040A42"/>
  </w:style>
  <w:style w:type="table" w:customStyle="1" w:styleId="TableNormal3">
    <w:name w:val="TableNormal"/>
    <w:rsid w:val="00150B1D"/>
    <w:tblPr>
      <w:tblCellMar>
        <w:top w:w="100" w:type="dxa"/>
        <w:left w:w="100" w:type="dxa"/>
        <w:bottom w:w="100" w:type="dxa"/>
        <w:right w:w="100" w:type="dxa"/>
      </w:tblCellMar>
    </w:tblPr>
  </w:style>
  <w:style w:type="paragraph" w:customStyle="1" w:styleId="Normal11">
    <w:name w:val="Normal1"/>
    <w:rsid w:val="00150B1D"/>
  </w:style>
  <w:style w:type="table" w:customStyle="1" w:styleId="TableNormal4">
    <w:name w:val="TableNormal"/>
    <w:rsid w:val="000C162C"/>
    <w:tblPr>
      <w:tblCellMar>
        <w:top w:w="100" w:type="dxa"/>
        <w:left w:w="100" w:type="dxa"/>
        <w:bottom w:w="100" w:type="dxa"/>
        <w:right w:w="100" w:type="dxa"/>
      </w:tblCellMar>
    </w:tblPr>
  </w:style>
  <w:style w:type="paragraph" w:customStyle="1" w:styleId="Normal12">
    <w:name w:val="Normal1"/>
    <w:rsid w:val="000C162C"/>
  </w:style>
  <w:style w:type="table" w:customStyle="1" w:styleId="TableNormal5">
    <w:name w:val="TableNormal"/>
    <w:rsid w:val="000C162C"/>
    <w:tblPr>
      <w:tblCellMar>
        <w:top w:w="100" w:type="dxa"/>
        <w:left w:w="100" w:type="dxa"/>
        <w:bottom w:w="100" w:type="dxa"/>
        <w:right w:w="100" w:type="dxa"/>
      </w:tblCellMar>
    </w:tblPr>
  </w:style>
  <w:style w:type="table" w:customStyle="1" w:styleId="TableNormal6">
    <w:name w:val="TableNormal"/>
    <w:rsid w:val="00130390"/>
    <w:tblPr>
      <w:tblCellMar>
        <w:top w:w="100" w:type="dxa"/>
        <w:left w:w="100" w:type="dxa"/>
        <w:bottom w:w="100" w:type="dxa"/>
        <w:right w:w="100" w:type="dxa"/>
      </w:tblCellMar>
    </w:tblPr>
  </w:style>
  <w:style w:type="paragraph" w:customStyle="1" w:styleId="Normal13">
    <w:name w:val="Normal1"/>
    <w:rsid w:val="00130390"/>
  </w:style>
  <w:style w:type="table" w:customStyle="1" w:styleId="TableNormal7">
    <w:name w:val="TableNormal"/>
    <w:rsid w:val="00D42AD6"/>
    <w:tblPr>
      <w:tblCellMar>
        <w:top w:w="100" w:type="dxa"/>
        <w:left w:w="100" w:type="dxa"/>
        <w:bottom w:w="100" w:type="dxa"/>
        <w:right w:w="100" w:type="dxa"/>
      </w:tblCellMar>
    </w:tblPr>
  </w:style>
  <w:style w:type="paragraph" w:customStyle="1" w:styleId="Normal14">
    <w:name w:val="Normal1"/>
    <w:rsid w:val="00D42AD6"/>
  </w:style>
  <w:style w:type="paragraph" w:styleId="CommentText">
    <w:name w:val="annotation text"/>
    <w:basedOn w:val="Normal13"/>
    <w:link w:val="CommentTextChar"/>
    <w:uiPriority w:val="99"/>
    <w:semiHidden/>
    <w:unhideWhenUsed/>
    <w:rsid w:val="00D42AD6"/>
    <w:pPr>
      <w:spacing w:line="240" w:lineRule="auto"/>
    </w:pPr>
    <w:rPr>
      <w:sz w:val="20"/>
      <w:szCs w:val="20"/>
    </w:rPr>
  </w:style>
  <w:style w:type="character" w:customStyle="1" w:styleId="CommentTextChar">
    <w:name w:val="Comment Text Char"/>
    <w:basedOn w:val="DefaultParagraphFont"/>
    <w:link w:val="CommentText"/>
    <w:uiPriority w:val="99"/>
    <w:semiHidden/>
    <w:rsid w:val="00D42AD6"/>
    <w:rPr>
      <w:sz w:val="20"/>
      <w:szCs w:val="20"/>
    </w:rPr>
  </w:style>
  <w:style w:type="character" w:styleId="CommentReference">
    <w:name w:val="annotation reference"/>
    <w:basedOn w:val="DefaultParagraphFont"/>
    <w:uiPriority w:val="99"/>
    <w:semiHidden/>
    <w:unhideWhenUsed/>
    <w:rsid w:val="00D42AD6"/>
    <w:rPr>
      <w:sz w:val="16"/>
      <w:szCs w:val="16"/>
    </w:rPr>
  </w:style>
  <w:style w:type="paragraph" w:styleId="BalloonText">
    <w:name w:val="Balloon Text"/>
    <w:basedOn w:val="Normal13"/>
    <w:link w:val="BalloonTextChar"/>
    <w:uiPriority w:val="99"/>
    <w:semiHidden/>
    <w:unhideWhenUsed/>
    <w:rsid w:val="00C0647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0647D"/>
    <w:rPr>
      <w:rFonts w:ascii="Tahoma" w:hAnsi="Tahoma" w:cs="Tahoma"/>
      <w:sz w:val="16"/>
      <w:szCs w:val="16"/>
    </w:rPr>
  </w:style>
  <w:style w:type="paragraph" w:styleId="TOCHeading">
    <w:name w:val="TOC Heading"/>
    <w:basedOn w:val="Heading1"/>
    <w:next w:val="Normal13"/>
    <w:uiPriority w:val="39"/>
    <w:semiHidden/>
    <w:unhideWhenUsed/>
    <w:qFormat/>
    <w:rsid w:val="00455DDC"/>
    <w:pPr>
      <w:spacing w:before="480" w:line="276" w:lineRule="auto"/>
      <w:jc w:val="left"/>
      <w:outlineLvl w:val="9"/>
    </w:pPr>
    <w:rPr>
      <w:rFonts w:asciiTheme="majorHAnsi" w:eastAsiaTheme="majorEastAsia" w:hAnsiTheme="majorHAnsi" w:cstheme="majorBidi"/>
      <w:color w:val="365F91" w:themeColor="accent1" w:themeShade="BF"/>
      <w:sz w:val="28"/>
      <w:szCs w:val="28"/>
    </w:rPr>
  </w:style>
  <w:style w:type="paragraph" w:styleId="TOC1">
    <w:name w:val="toc 1"/>
    <w:basedOn w:val="Normal13"/>
    <w:next w:val="Normal13"/>
    <w:autoRedefine/>
    <w:uiPriority w:val="39"/>
    <w:unhideWhenUsed/>
    <w:rsid w:val="00455DDC"/>
    <w:pPr>
      <w:spacing w:after="100"/>
    </w:pPr>
  </w:style>
  <w:style w:type="paragraph" w:styleId="TOC2">
    <w:name w:val="toc 2"/>
    <w:basedOn w:val="Normal13"/>
    <w:next w:val="Normal13"/>
    <w:autoRedefine/>
    <w:uiPriority w:val="39"/>
    <w:unhideWhenUsed/>
    <w:rsid w:val="00455DDC"/>
    <w:pPr>
      <w:spacing w:after="100"/>
      <w:ind w:left="220"/>
    </w:pPr>
  </w:style>
  <w:style w:type="character" w:styleId="Hyperlink">
    <w:name w:val="Hyperlink"/>
    <w:basedOn w:val="DefaultParagraphFont"/>
    <w:uiPriority w:val="99"/>
    <w:unhideWhenUsed/>
    <w:rsid w:val="00455DDC"/>
    <w:rPr>
      <w:color w:val="0000FF" w:themeColor="hyperlink"/>
      <w:u w:val="single"/>
    </w:rPr>
  </w:style>
  <w:style w:type="paragraph" w:styleId="Header">
    <w:name w:val="header"/>
    <w:basedOn w:val="Normal13"/>
    <w:link w:val="HeaderChar"/>
    <w:uiPriority w:val="99"/>
    <w:unhideWhenUsed/>
    <w:rsid w:val="0036401F"/>
    <w:pPr>
      <w:tabs>
        <w:tab w:val="center" w:pos="4680"/>
        <w:tab w:val="right" w:pos="9360"/>
      </w:tabs>
      <w:spacing w:line="240" w:lineRule="auto"/>
    </w:pPr>
  </w:style>
  <w:style w:type="character" w:customStyle="1" w:styleId="HeaderChar">
    <w:name w:val="Header Char"/>
    <w:basedOn w:val="DefaultParagraphFont"/>
    <w:link w:val="Header"/>
    <w:uiPriority w:val="99"/>
    <w:rsid w:val="0036401F"/>
  </w:style>
  <w:style w:type="paragraph" w:styleId="Footer">
    <w:name w:val="footer"/>
    <w:basedOn w:val="Normal13"/>
    <w:link w:val="FooterChar"/>
    <w:uiPriority w:val="99"/>
    <w:unhideWhenUsed/>
    <w:rsid w:val="0036401F"/>
    <w:pPr>
      <w:tabs>
        <w:tab w:val="center" w:pos="4680"/>
        <w:tab w:val="right" w:pos="9360"/>
      </w:tabs>
      <w:spacing w:line="240" w:lineRule="auto"/>
    </w:pPr>
  </w:style>
  <w:style w:type="character" w:customStyle="1" w:styleId="FooterChar">
    <w:name w:val="Footer Char"/>
    <w:basedOn w:val="DefaultParagraphFont"/>
    <w:link w:val="Footer"/>
    <w:uiPriority w:val="99"/>
    <w:rsid w:val="0036401F"/>
  </w:style>
  <w:style w:type="paragraph" w:styleId="TableofFigures">
    <w:name w:val="table of figures"/>
    <w:basedOn w:val="Normal13"/>
    <w:next w:val="Normal13"/>
    <w:uiPriority w:val="99"/>
    <w:unhideWhenUsed/>
    <w:rsid w:val="0014156D"/>
  </w:style>
  <w:style w:type="character" w:customStyle="1" w:styleId="Heading2Char">
    <w:name w:val="Heading 2 Char"/>
    <w:basedOn w:val="DefaultParagraphFont"/>
    <w:link w:val="Heading2"/>
    <w:uiPriority w:val="9"/>
    <w:rsid w:val="00F35F06"/>
    <w:rPr>
      <w:b/>
    </w:rPr>
  </w:style>
  <w:style w:type="paragraph" w:styleId="NormalWeb">
    <w:name w:val="Normal (Web)"/>
    <w:basedOn w:val="Normal13"/>
    <w:uiPriority w:val="99"/>
    <w:unhideWhenUsed/>
    <w:rsid w:val="002149FB"/>
    <w:pPr>
      <w:spacing w:before="100" w:beforeAutospacing="1" w:after="100" w:afterAutospacing="1" w:line="240" w:lineRule="auto"/>
      <w:jc w:val="left"/>
    </w:pPr>
    <w:rPr>
      <w:rFonts w:ascii="Times New Roman" w:eastAsia="Times New Roman" w:hAnsi="Times New Roman" w:cs="Times New Roman"/>
      <w:sz w:val="24"/>
      <w:szCs w:val="24"/>
    </w:rPr>
  </w:style>
  <w:style w:type="paragraph" w:styleId="TOC3">
    <w:name w:val="toc 3"/>
    <w:basedOn w:val="Normal13"/>
    <w:next w:val="Normal13"/>
    <w:autoRedefine/>
    <w:uiPriority w:val="39"/>
    <w:unhideWhenUsed/>
    <w:rsid w:val="007F780C"/>
    <w:pPr>
      <w:spacing w:after="100"/>
      <w:ind w:left="440"/>
    </w:pPr>
  </w:style>
  <w:style w:type="paragraph" w:customStyle="1" w:styleId="Normal20">
    <w:name w:val="Normal2"/>
    <w:rsid w:val="006E0495"/>
  </w:style>
  <w:style w:type="table" w:customStyle="1" w:styleId="4">
    <w:name w:val="4"/>
    <w:basedOn w:val="TableNormal6"/>
    <w:rsid w:val="00AE743C"/>
    <w:rPr>
      <w:rFonts w:ascii="Times New Roman" w:eastAsia="Times New Roman" w:hAnsi="Times New Roman" w:cs="Times New Roman"/>
      <w:sz w:val="24"/>
      <w:szCs w:val="24"/>
    </w:rPr>
    <w:tblPr>
      <w:tblStyleRowBandSize w:val="1"/>
      <w:tblStyleColBandSize w:val="1"/>
    </w:tblPr>
  </w:style>
  <w:style w:type="table" w:customStyle="1" w:styleId="3">
    <w:name w:val="3"/>
    <w:basedOn w:val="TableNormal6"/>
    <w:rsid w:val="00AE743C"/>
    <w:rPr>
      <w:rFonts w:ascii="Times New Roman" w:eastAsia="Times New Roman" w:hAnsi="Times New Roman" w:cs="Times New Roman"/>
      <w:sz w:val="24"/>
      <w:szCs w:val="24"/>
    </w:rPr>
    <w:tblPr>
      <w:tblStyleRowBandSize w:val="1"/>
      <w:tblStyleColBandSize w:val="1"/>
    </w:tblPr>
  </w:style>
  <w:style w:type="table" w:customStyle="1" w:styleId="2">
    <w:name w:val="2"/>
    <w:basedOn w:val="TableNormal6"/>
    <w:rsid w:val="00AE743C"/>
    <w:rPr>
      <w:rFonts w:ascii="Times New Roman" w:eastAsia="Times New Roman" w:hAnsi="Times New Roman" w:cs="Times New Roman"/>
      <w:sz w:val="24"/>
      <w:szCs w:val="24"/>
    </w:rPr>
    <w:tblPr>
      <w:tblStyleRowBandSize w:val="1"/>
      <w:tblStyleColBandSize w:val="1"/>
    </w:tblPr>
  </w:style>
  <w:style w:type="table" w:customStyle="1" w:styleId="1">
    <w:name w:val="1"/>
    <w:basedOn w:val="TableNormal6"/>
    <w:rsid w:val="00AE743C"/>
    <w:rPr>
      <w:rFonts w:ascii="Times New Roman" w:eastAsia="Times New Roman" w:hAnsi="Times New Roman" w:cs="Times New Roman"/>
      <w:sz w:val="24"/>
      <w:szCs w:val="24"/>
    </w:rPr>
    <w:tblPr>
      <w:tblStyleRowBandSize w:val="1"/>
      <w:tblStyleColBandSize w:val="1"/>
    </w:tblPr>
  </w:style>
  <w:style w:type="table" w:customStyle="1" w:styleId="a">
    <w:basedOn w:val="TableNormal"/>
    <w:rsid w:val="000C162C"/>
    <w:rPr>
      <w:rFonts w:ascii="Times New Roman" w:eastAsia="Times New Roman" w:hAnsi="Times New Roman" w:cs="Times New Roman"/>
      <w:sz w:val="24"/>
      <w:szCs w:val="24"/>
    </w:rPr>
    <w:tblPr>
      <w:tblStyleRowBandSize w:val="1"/>
      <w:tblStyleColBandSize w:val="1"/>
    </w:tblPr>
  </w:style>
  <w:style w:type="table" w:customStyle="1" w:styleId="a0">
    <w:basedOn w:val="TableNormal"/>
    <w:rsid w:val="000C162C"/>
    <w:tblPr>
      <w:tblStyleRowBandSize w:val="1"/>
      <w:tblStyleColBandSize w:val="1"/>
      <w:tblCellMar>
        <w:left w:w="115" w:type="dxa"/>
        <w:right w:w="115" w:type="dxa"/>
      </w:tblCellMar>
    </w:tblPr>
  </w:style>
  <w:style w:type="table" w:customStyle="1" w:styleId="a1">
    <w:basedOn w:val="TableNormal"/>
    <w:rsid w:val="000C162C"/>
    <w:rPr>
      <w:rFonts w:ascii="Times New Roman" w:eastAsia="Times New Roman" w:hAnsi="Times New Roman" w:cs="Times New Roman"/>
      <w:sz w:val="24"/>
      <w:szCs w:val="24"/>
    </w:rPr>
    <w:tblPr>
      <w:tblStyleRowBandSize w:val="1"/>
      <w:tblStyleColBandSize w:val="1"/>
    </w:tblPr>
  </w:style>
  <w:style w:type="table" w:customStyle="1" w:styleId="a2">
    <w:basedOn w:val="TableNormal"/>
    <w:rsid w:val="000C162C"/>
    <w:rPr>
      <w:rFonts w:ascii="Times New Roman" w:eastAsia="Times New Roman" w:hAnsi="Times New Roman" w:cs="Times New Roman"/>
      <w:sz w:val="24"/>
      <w:szCs w:val="24"/>
    </w:rPr>
    <w:tblPr>
      <w:tblStyleRowBandSize w:val="1"/>
      <w:tblStyleColBandSize w:val="1"/>
    </w:tblPr>
  </w:style>
  <w:style w:type="table" w:customStyle="1" w:styleId="a3">
    <w:basedOn w:val="TableNormal"/>
    <w:rsid w:val="000C162C"/>
    <w:rPr>
      <w:rFonts w:ascii="Times New Roman" w:eastAsia="Times New Roman" w:hAnsi="Times New Roman" w:cs="Times New Roman"/>
      <w:sz w:val="24"/>
      <w:szCs w:val="24"/>
    </w:rPr>
    <w:tblPr>
      <w:tblStyleRowBandSize w:val="1"/>
      <w:tblStyleColBandSize w:val="1"/>
      <w:tblCellMar>
        <w:top w:w="100" w:type="dxa"/>
        <w:left w:w="100" w:type="dxa"/>
        <w:bottom w:w="100" w:type="dxa"/>
        <w:right w:w="100" w:type="dxa"/>
      </w:tblCellMar>
    </w:tblPr>
  </w:style>
  <w:style w:type="table" w:customStyle="1" w:styleId="a4">
    <w:basedOn w:val="TableNormal"/>
    <w:rsid w:val="000C162C"/>
    <w:rPr>
      <w:rFonts w:ascii="Times New Roman" w:eastAsia="Times New Roman" w:hAnsi="Times New Roman" w:cs="Times New Roman"/>
      <w:sz w:val="24"/>
      <w:szCs w:val="24"/>
    </w:rPr>
    <w:tblPr>
      <w:tblStyleRowBandSize w:val="1"/>
      <w:tblStyleColBandSize w:val="1"/>
    </w:tblPr>
  </w:style>
  <w:style w:type="table" w:customStyle="1" w:styleId="a5">
    <w:basedOn w:val="TableNormal"/>
    <w:rsid w:val="000C162C"/>
    <w:tblPr>
      <w:tblStyleRowBandSize w:val="1"/>
      <w:tblStyleColBandSize w:val="1"/>
      <w:tblCellMar>
        <w:left w:w="115" w:type="dxa"/>
        <w:right w:w="115" w:type="dxa"/>
      </w:tblCellMar>
    </w:tblPr>
  </w:style>
  <w:style w:type="table" w:customStyle="1" w:styleId="a6">
    <w:basedOn w:val="TableNormal"/>
    <w:rsid w:val="000C162C"/>
    <w:rPr>
      <w:rFonts w:ascii="Times New Roman" w:eastAsia="Times New Roman" w:hAnsi="Times New Roman" w:cs="Times New Roman"/>
      <w:sz w:val="24"/>
      <w:szCs w:val="24"/>
    </w:rPr>
    <w:tblPr>
      <w:tblStyleRowBandSize w:val="1"/>
      <w:tblStyleColBandSize w:val="1"/>
    </w:tblPr>
  </w:style>
  <w:style w:type="table" w:customStyle="1" w:styleId="a7">
    <w:basedOn w:val="TableNormal"/>
    <w:rsid w:val="000C162C"/>
    <w:rPr>
      <w:rFonts w:ascii="Times New Roman" w:eastAsia="Times New Roman" w:hAnsi="Times New Roman" w:cs="Times New Roman"/>
      <w:sz w:val="24"/>
      <w:szCs w:val="24"/>
    </w:rPr>
    <w:tblPr>
      <w:tblStyleRowBandSize w:val="1"/>
      <w:tblStyleColBandSize w:val="1"/>
    </w:tblPr>
  </w:style>
  <w:style w:type="table" w:customStyle="1" w:styleId="a8">
    <w:basedOn w:val="TableNormal"/>
    <w:rsid w:val="000C162C"/>
    <w:rPr>
      <w:rFonts w:ascii="Times New Roman" w:eastAsia="Times New Roman" w:hAnsi="Times New Roman" w:cs="Times New Roman"/>
      <w:sz w:val="24"/>
      <w:szCs w:val="24"/>
    </w:rPr>
    <w:tblPr>
      <w:tblStyleRowBandSize w:val="1"/>
      <w:tblStyleColBandSize w:val="1"/>
      <w:tblCellMar>
        <w:top w:w="100" w:type="dxa"/>
        <w:left w:w="100" w:type="dxa"/>
        <w:bottom w:w="100" w:type="dxa"/>
        <w:right w:w="100" w:type="dxa"/>
      </w:tblCellMar>
    </w:tblPr>
  </w:style>
  <w:style w:type="table" w:styleId="TableGrid">
    <w:name w:val="Table Grid"/>
    <w:basedOn w:val="TableNormal"/>
    <w:uiPriority w:val="59"/>
    <w:rsid w:val="00C01C01"/>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rmal3">
    <w:name w:val="Normal3"/>
    <w:rsid w:val="006D0F7F"/>
    <w:pPr>
      <w:spacing w:line="276" w:lineRule="auto"/>
      <w:jc w:val="left"/>
    </w:pPr>
  </w:style>
  <w:style w:type="paragraph" w:styleId="ListParagraph">
    <w:name w:val="List Paragraph"/>
    <w:basedOn w:val="Normal11"/>
    <w:uiPriority w:val="34"/>
    <w:qFormat/>
    <w:rsid w:val="005E7737"/>
    <w:pPr>
      <w:ind w:left="720"/>
      <w:contextualSpacing/>
    </w:pPr>
  </w:style>
  <w:style w:type="table" w:customStyle="1" w:styleId="a9">
    <w:basedOn w:val="TableNormal"/>
    <w:rsid w:val="00150B1D"/>
    <w:rPr>
      <w:rFonts w:ascii="Times New Roman" w:eastAsia="Times New Roman" w:hAnsi="Times New Roman" w:cs="Times New Roman"/>
      <w:sz w:val="24"/>
      <w:szCs w:val="24"/>
    </w:rPr>
    <w:tblPr>
      <w:tblStyleRowBandSize w:val="1"/>
      <w:tblStyleColBandSize w:val="1"/>
    </w:tblPr>
  </w:style>
  <w:style w:type="table" w:customStyle="1" w:styleId="aa">
    <w:basedOn w:val="TableNormal"/>
    <w:rsid w:val="00150B1D"/>
    <w:tblPr>
      <w:tblStyleRowBandSize w:val="1"/>
      <w:tblStyleColBandSize w:val="1"/>
      <w:tblCellMar>
        <w:left w:w="115" w:type="dxa"/>
        <w:right w:w="115" w:type="dxa"/>
      </w:tblCellMar>
    </w:tblPr>
  </w:style>
  <w:style w:type="table" w:customStyle="1" w:styleId="ab">
    <w:basedOn w:val="TableNormal"/>
    <w:rsid w:val="00150B1D"/>
    <w:rPr>
      <w:rFonts w:ascii="Times New Roman" w:eastAsia="Times New Roman" w:hAnsi="Times New Roman" w:cs="Times New Roman"/>
      <w:sz w:val="24"/>
      <w:szCs w:val="24"/>
    </w:rPr>
    <w:tblPr>
      <w:tblStyleRowBandSize w:val="1"/>
      <w:tblStyleColBandSize w:val="1"/>
    </w:tblPr>
  </w:style>
  <w:style w:type="table" w:customStyle="1" w:styleId="ac">
    <w:basedOn w:val="TableNormal"/>
    <w:rsid w:val="00150B1D"/>
    <w:rPr>
      <w:rFonts w:ascii="Times New Roman" w:eastAsia="Times New Roman" w:hAnsi="Times New Roman" w:cs="Times New Roman"/>
      <w:sz w:val="24"/>
      <w:szCs w:val="24"/>
    </w:rPr>
    <w:tblPr>
      <w:tblStyleRowBandSize w:val="1"/>
      <w:tblStyleColBandSize w:val="1"/>
    </w:tblPr>
  </w:style>
  <w:style w:type="table" w:customStyle="1" w:styleId="ad">
    <w:basedOn w:val="TableNormal"/>
    <w:rsid w:val="00150B1D"/>
    <w:rPr>
      <w:rFonts w:ascii="Times New Roman" w:eastAsia="Times New Roman" w:hAnsi="Times New Roman" w:cs="Times New Roman"/>
      <w:sz w:val="24"/>
      <w:szCs w:val="24"/>
    </w:rPr>
    <w:tblPr>
      <w:tblStyleRowBandSize w:val="1"/>
      <w:tblStyleColBandSize w:val="1"/>
      <w:tblCellMar>
        <w:top w:w="100" w:type="dxa"/>
        <w:left w:w="100" w:type="dxa"/>
        <w:bottom w:w="100" w:type="dxa"/>
        <w:right w:w="100" w:type="dxa"/>
      </w:tblCellMar>
    </w:tblPr>
  </w:style>
  <w:style w:type="table" w:customStyle="1" w:styleId="ae">
    <w:basedOn w:val="TableNormal"/>
    <w:rsid w:val="00150B1D"/>
    <w:tblPr>
      <w:tblStyleRowBandSize w:val="1"/>
      <w:tblStyleColBandSize w:val="1"/>
      <w:tblCellMar>
        <w:left w:w="115" w:type="dxa"/>
        <w:right w:w="115" w:type="dxa"/>
      </w:tblCellMar>
    </w:tblPr>
  </w:style>
  <w:style w:type="table" w:customStyle="1" w:styleId="af">
    <w:basedOn w:val="TableNormal"/>
    <w:rsid w:val="00150B1D"/>
    <w:tblPr>
      <w:tblStyleRowBandSize w:val="1"/>
      <w:tblStyleColBandSize w:val="1"/>
      <w:tblCellMar>
        <w:left w:w="115" w:type="dxa"/>
        <w:right w:w="115" w:type="dxa"/>
      </w:tblCellMar>
    </w:tblPr>
  </w:style>
  <w:style w:type="table" w:customStyle="1" w:styleId="af0">
    <w:basedOn w:val="TableNormal"/>
    <w:rsid w:val="00150B1D"/>
    <w:tblPr>
      <w:tblStyleRowBandSize w:val="1"/>
      <w:tblStyleColBandSize w:val="1"/>
      <w:tblCellMar>
        <w:left w:w="115" w:type="dxa"/>
        <w:right w:w="115" w:type="dxa"/>
      </w:tblCellMar>
    </w:tblPr>
  </w:style>
  <w:style w:type="table" w:customStyle="1" w:styleId="af1">
    <w:basedOn w:val="TableNormal"/>
    <w:rsid w:val="00150B1D"/>
    <w:tblPr>
      <w:tblStyleRowBandSize w:val="1"/>
      <w:tblStyleColBandSize w:val="1"/>
      <w:tblCellMar>
        <w:left w:w="115" w:type="dxa"/>
        <w:right w:w="115" w:type="dxa"/>
      </w:tblCellMar>
    </w:tblPr>
  </w:style>
  <w:style w:type="table" w:customStyle="1" w:styleId="af2">
    <w:basedOn w:val="TableNormal"/>
    <w:rsid w:val="00150B1D"/>
    <w:tblPr>
      <w:tblStyleRowBandSize w:val="1"/>
      <w:tblStyleColBandSize w:val="1"/>
      <w:tblCellMar>
        <w:left w:w="115" w:type="dxa"/>
        <w:right w:w="115" w:type="dxa"/>
      </w:tblCellMar>
    </w:tblPr>
  </w:style>
  <w:style w:type="table" w:customStyle="1" w:styleId="af3">
    <w:basedOn w:val="TableNormal"/>
    <w:rsid w:val="00150B1D"/>
    <w:tblPr>
      <w:tblStyleRowBandSize w:val="1"/>
      <w:tblStyleColBandSize w:val="1"/>
      <w:tblCellMar>
        <w:top w:w="15" w:type="dxa"/>
        <w:left w:w="15" w:type="dxa"/>
        <w:bottom w:w="15" w:type="dxa"/>
        <w:right w:w="15" w:type="dxa"/>
      </w:tblCellMar>
    </w:tblPr>
  </w:style>
  <w:style w:type="table" w:customStyle="1" w:styleId="af4">
    <w:basedOn w:val="TableNormal"/>
    <w:rsid w:val="00150B1D"/>
    <w:tblPr>
      <w:tblStyleRowBandSize w:val="1"/>
      <w:tblStyleColBandSize w:val="1"/>
      <w:tblCellMar>
        <w:top w:w="15" w:type="dxa"/>
        <w:left w:w="15" w:type="dxa"/>
        <w:bottom w:w="15" w:type="dxa"/>
        <w:right w:w="15" w:type="dxa"/>
      </w:tblCellMar>
    </w:tblPr>
  </w:style>
  <w:style w:type="table" w:customStyle="1" w:styleId="af5">
    <w:basedOn w:val="TableNormal"/>
    <w:rsid w:val="00150B1D"/>
    <w:tblPr>
      <w:tblStyleRowBandSize w:val="1"/>
      <w:tblStyleColBandSize w:val="1"/>
      <w:tblCellMar>
        <w:top w:w="15" w:type="dxa"/>
        <w:left w:w="15" w:type="dxa"/>
        <w:bottom w:w="15" w:type="dxa"/>
        <w:right w:w="15" w:type="dxa"/>
      </w:tblCellMar>
    </w:tblPr>
  </w:style>
  <w:style w:type="table" w:customStyle="1" w:styleId="af6">
    <w:basedOn w:val="TableNormal"/>
    <w:rsid w:val="00040A42"/>
    <w:rPr>
      <w:rFonts w:ascii="Times New Roman" w:eastAsia="Times New Roman" w:hAnsi="Times New Roman" w:cs="Times New Roman"/>
      <w:sz w:val="24"/>
      <w:szCs w:val="24"/>
    </w:rPr>
    <w:tblPr>
      <w:tblStyleRowBandSize w:val="1"/>
      <w:tblStyleColBandSize w:val="1"/>
    </w:tblPr>
  </w:style>
  <w:style w:type="table" w:customStyle="1" w:styleId="af7">
    <w:basedOn w:val="TableNormal"/>
    <w:rsid w:val="00040A42"/>
    <w:tblPr>
      <w:tblStyleRowBandSize w:val="1"/>
      <w:tblStyleColBandSize w:val="1"/>
      <w:tblCellMar>
        <w:left w:w="115" w:type="dxa"/>
        <w:right w:w="115" w:type="dxa"/>
      </w:tblCellMar>
    </w:tblPr>
  </w:style>
  <w:style w:type="table" w:customStyle="1" w:styleId="af8">
    <w:basedOn w:val="TableNormal"/>
    <w:rsid w:val="00040A42"/>
    <w:rPr>
      <w:rFonts w:ascii="Times New Roman" w:eastAsia="Times New Roman" w:hAnsi="Times New Roman" w:cs="Times New Roman"/>
      <w:sz w:val="24"/>
      <w:szCs w:val="24"/>
    </w:rPr>
    <w:tblPr>
      <w:tblStyleRowBandSize w:val="1"/>
      <w:tblStyleColBandSize w:val="1"/>
    </w:tblPr>
  </w:style>
  <w:style w:type="table" w:customStyle="1" w:styleId="af9">
    <w:basedOn w:val="TableNormal"/>
    <w:rsid w:val="00040A42"/>
    <w:rPr>
      <w:rFonts w:ascii="Times New Roman" w:eastAsia="Times New Roman" w:hAnsi="Times New Roman" w:cs="Times New Roman"/>
      <w:sz w:val="24"/>
      <w:szCs w:val="24"/>
    </w:rPr>
    <w:tblPr>
      <w:tblStyleRowBandSize w:val="1"/>
      <w:tblStyleColBandSize w:val="1"/>
    </w:tblPr>
  </w:style>
  <w:style w:type="table" w:customStyle="1" w:styleId="afa">
    <w:basedOn w:val="TableNormal"/>
    <w:rsid w:val="00040A42"/>
    <w:rPr>
      <w:rFonts w:ascii="Times New Roman" w:eastAsia="Times New Roman" w:hAnsi="Times New Roman" w:cs="Times New Roman"/>
      <w:sz w:val="24"/>
      <w:szCs w:val="24"/>
    </w:rPr>
    <w:tblPr>
      <w:tblStyleRowBandSize w:val="1"/>
      <w:tblStyleColBandSize w:val="1"/>
      <w:tblCellMar>
        <w:top w:w="100" w:type="dxa"/>
        <w:left w:w="100" w:type="dxa"/>
        <w:bottom w:w="100" w:type="dxa"/>
        <w:right w:w="100" w:type="dxa"/>
      </w:tblCellMar>
    </w:tblPr>
  </w:style>
  <w:style w:type="table" w:customStyle="1" w:styleId="afb">
    <w:basedOn w:val="TableNormal"/>
    <w:rsid w:val="00040A42"/>
    <w:tblPr>
      <w:tblStyleRowBandSize w:val="1"/>
      <w:tblStyleColBandSize w:val="1"/>
      <w:tblCellMar>
        <w:left w:w="115" w:type="dxa"/>
        <w:right w:w="115" w:type="dxa"/>
      </w:tblCellMar>
    </w:tblPr>
  </w:style>
  <w:style w:type="table" w:customStyle="1" w:styleId="afc">
    <w:basedOn w:val="TableNormal"/>
    <w:rsid w:val="00040A42"/>
    <w:tblPr>
      <w:tblStyleRowBandSize w:val="1"/>
      <w:tblStyleColBandSize w:val="1"/>
      <w:tblCellMar>
        <w:left w:w="115" w:type="dxa"/>
        <w:right w:w="115" w:type="dxa"/>
      </w:tblCellMar>
    </w:tblPr>
  </w:style>
  <w:style w:type="table" w:customStyle="1" w:styleId="afd">
    <w:basedOn w:val="TableNormal"/>
    <w:rsid w:val="00040A42"/>
    <w:tblPr>
      <w:tblStyleRowBandSize w:val="1"/>
      <w:tblStyleColBandSize w:val="1"/>
      <w:tblCellMar>
        <w:left w:w="115" w:type="dxa"/>
        <w:right w:w="115" w:type="dxa"/>
      </w:tblCellMar>
    </w:tblPr>
  </w:style>
  <w:style w:type="table" w:customStyle="1" w:styleId="afe">
    <w:basedOn w:val="TableNormal"/>
    <w:rsid w:val="00040A42"/>
    <w:tblPr>
      <w:tblStyleRowBandSize w:val="1"/>
      <w:tblStyleColBandSize w:val="1"/>
      <w:tblCellMar>
        <w:left w:w="115" w:type="dxa"/>
        <w:right w:w="115" w:type="dxa"/>
      </w:tblCellMar>
    </w:tblPr>
  </w:style>
  <w:style w:type="table" w:customStyle="1" w:styleId="aff">
    <w:basedOn w:val="TableNormal"/>
    <w:rsid w:val="00040A42"/>
    <w:tblPr>
      <w:tblStyleRowBandSize w:val="1"/>
      <w:tblStyleColBandSize w:val="1"/>
      <w:tblCellMar>
        <w:left w:w="115" w:type="dxa"/>
        <w:right w:w="115" w:type="dxa"/>
      </w:tblCellMar>
    </w:tblPr>
  </w:style>
  <w:style w:type="table" w:customStyle="1" w:styleId="aff0">
    <w:basedOn w:val="TableNormal"/>
    <w:rsid w:val="00040A42"/>
    <w:tblPr>
      <w:tblStyleRowBandSize w:val="1"/>
      <w:tblStyleColBandSize w:val="1"/>
      <w:tblCellMar>
        <w:top w:w="15" w:type="dxa"/>
        <w:left w:w="15" w:type="dxa"/>
        <w:bottom w:w="15" w:type="dxa"/>
        <w:right w:w="15" w:type="dxa"/>
      </w:tblCellMar>
    </w:tblPr>
  </w:style>
  <w:style w:type="table" w:customStyle="1" w:styleId="aff1">
    <w:basedOn w:val="TableNormal"/>
    <w:rsid w:val="00040A42"/>
    <w:tblPr>
      <w:tblStyleRowBandSize w:val="1"/>
      <w:tblStyleColBandSize w:val="1"/>
      <w:tblCellMar>
        <w:top w:w="15" w:type="dxa"/>
        <w:left w:w="15" w:type="dxa"/>
        <w:bottom w:w="15" w:type="dxa"/>
        <w:right w:w="15" w:type="dxa"/>
      </w:tblCellMar>
    </w:tblPr>
  </w:style>
  <w:style w:type="table" w:customStyle="1" w:styleId="aff2">
    <w:basedOn w:val="TableNormal"/>
    <w:rsid w:val="00040A42"/>
    <w:tblPr>
      <w:tblStyleRowBandSize w:val="1"/>
      <w:tblStyleColBandSize w:val="1"/>
      <w:tblCellMar>
        <w:top w:w="15" w:type="dxa"/>
        <w:left w:w="15" w:type="dxa"/>
        <w:bottom w:w="15" w:type="dxa"/>
        <w:right w:w="15" w:type="dxa"/>
      </w:tblCellMar>
    </w:tblPr>
  </w:style>
  <w:style w:type="table" w:customStyle="1" w:styleId="aff3">
    <w:basedOn w:val="TableNormal"/>
    <w:rsid w:val="0098488E"/>
    <w:rPr>
      <w:rFonts w:ascii="Times New Roman" w:eastAsia="Times New Roman" w:hAnsi="Times New Roman" w:cs="Times New Roman"/>
      <w:sz w:val="24"/>
      <w:szCs w:val="24"/>
    </w:rPr>
    <w:tblPr>
      <w:tblStyleRowBandSize w:val="1"/>
      <w:tblStyleColBandSize w:val="1"/>
    </w:tblPr>
  </w:style>
  <w:style w:type="table" w:customStyle="1" w:styleId="aff4">
    <w:basedOn w:val="TableNormal"/>
    <w:rsid w:val="0098488E"/>
    <w:tblPr>
      <w:tblStyleRowBandSize w:val="1"/>
      <w:tblStyleColBandSize w:val="1"/>
      <w:tblCellMar>
        <w:left w:w="115" w:type="dxa"/>
        <w:right w:w="115" w:type="dxa"/>
      </w:tblCellMar>
    </w:tblPr>
  </w:style>
  <w:style w:type="table" w:customStyle="1" w:styleId="aff5">
    <w:basedOn w:val="TableNormal"/>
    <w:rsid w:val="0098488E"/>
    <w:rPr>
      <w:rFonts w:ascii="Times New Roman" w:eastAsia="Times New Roman" w:hAnsi="Times New Roman" w:cs="Times New Roman"/>
      <w:sz w:val="24"/>
      <w:szCs w:val="24"/>
    </w:rPr>
    <w:tblPr>
      <w:tblStyleRowBandSize w:val="1"/>
      <w:tblStyleColBandSize w:val="1"/>
    </w:tblPr>
  </w:style>
  <w:style w:type="table" w:customStyle="1" w:styleId="aff6">
    <w:basedOn w:val="TableNormal"/>
    <w:rsid w:val="0098488E"/>
    <w:rPr>
      <w:rFonts w:ascii="Times New Roman" w:eastAsia="Times New Roman" w:hAnsi="Times New Roman" w:cs="Times New Roman"/>
      <w:sz w:val="24"/>
      <w:szCs w:val="24"/>
    </w:rPr>
    <w:tblPr>
      <w:tblStyleRowBandSize w:val="1"/>
      <w:tblStyleColBandSize w:val="1"/>
    </w:tblPr>
  </w:style>
  <w:style w:type="table" w:customStyle="1" w:styleId="aff7">
    <w:basedOn w:val="TableNormal"/>
    <w:rsid w:val="0098488E"/>
    <w:rPr>
      <w:rFonts w:ascii="Times New Roman" w:eastAsia="Times New Roman" w:hAnsi="Times New Roman" w:cs="Times New Roman"/>
      <w:sz w:val="24"/>
      <w:szCs w:val="24"/>
    </w:rPr>
    <w:tblPr>
      <w:tblStyleRowBandSize w:val="1"/>
      <w:tblStyleColBandSize w:val="1"/>
      <w:tblCellMar>
        <w:top w:w="100" w:type="dxa"/>
        <w:left w:w="100" w:type="dxa"/>
        <w:bottom w:w="100" w:type="dxa"/>
        <w:right w:w="100" w:type="dxa"/>
      </w:tblCellMar>
    </w:tblPr>
  </w:style>
  <w:style w:type="table" w:customStyle="1" w:styleId="aff8">
    <w:basedOn w:val="TableNormal"/>
    <w:rsid w:val="0098488E"/>
    <w:tblPr>
      <w:tblStyleRowBandSize w:val="1"/>
      <w:tblStyleColBandSize w:val="1"/>
      <w:tblCellMar>
        <w:left w:w="115" w:type="dxa"/>
        <w:right w:w="115" w:type="dxa"/>
      </w:tblCellMar>
    </w:tblPr>
  </w:style>
  <w:style w:type="table" w:customStyle="1" w:styleId="aff9">
    <w:basedOn w:val="TableNormal"/>
    <w:rsid w:val="0098488E"/>
    <w:tblPr>
      <w:tblStyleRowBandSize w:val="1"/>
      <w:tblStyleColBandSize w:val="1"/>
      <w:tblCellMar>
        <w:left w:w="115" w:type="dxa"/>
        <w:right w:w="115" w:type="dxa"/>
      </w:tblCellMar>
    </w:tblPr>
  </w:style>
  <w:style w:type="table" w:customStyle="1" w:styleId="affa">
    <w:basedOn w:val="TableNormal"/>
    <w:rsid w:val="0098488E"/>
    <w:tblPr>
      <w:tblStyleRowBandSize w:val="1"/>
      <w:tblStyleColBandSize w:val="1"/>
      <w:tblCellMar>
        <w:left w:w="115" w:type="dxa"/>
        <w:right w:w="115" w:type="dxa"/>
      </w:tblCellMar>
    </w:tblPr>
  </w:style>
  <w:style w:type="table" w:customStyle="1" w:styleId="affb">
    <w:basedOn w:val="TableNormal"/>
    <w:rsid w:val="0098488E"/>
    <w:tblPr>
      <w:tblStyleRowBandSize w:val="1"/>
      <w:tblStyleColBandSize w:val="1"/>
      <w:tblCellMar>
        <w:left w:w="115" w:type="dxa"/>
        <w:right w:w="115" w:type="dxa"/>
      </w:tblCellMar>
    </w:tblPr>
  </w:style>
  <w:style w:type="table" w:customStyle="1" w:styleId="affc">
    <w:basedOn w:val="TableNormal"/>
    <w:rsid w:val="0098488E"/>
    <w:tblPr>
      <w:tblStyleRowBandSize w:val="1"/>
      <w:tblStyleColBandSize w:val="1"/>
      <w:tblCellMar>
        <w:left w:w="115" w:type="dxa"/>
        <w:right w:w="115" w:type="dxa"/>
      </w:tblCellMar>
    </w:tblPr>
  </w:style>
  <w:style w:type="table" w:customStyle="1" w:styleId="affd">
    <w:basedOn w:val="TableNormal"/>
    <w:rsid w:val="0098488E"/>
    <w:tblPr>
      <w:tblStyleRowBandSize w:val="1"/>
      <w:tblStyleColBandSize w:val="1"/>
      <w:tblCellMar>
        <w:top w:w="15" w:type="dxa"/>
        <w:left w:w="15" w:type="dxa"/>
        <w:bottom w:w="15" w:type="dxa"/>
        <w:right w:w="15" w:type="dxa"/>
      </w:tblCellMar>
    </w:tblPr>
  </w:style>
  <w:style w:type="table" w:customStyle="1" w:styleId="affe">
    <w:basedOn w:val="TableNormal"/>
    <w:rsid w:val="0098488E"/>
    <w:tblPr>
      <w:tblStyleRowBandSize w:val="1"/>
      <w:tblStyleColBandSize w:val="1"/>
      <w:tblCellMar>
        <w:top w:w="15" w:type="dxa"/>
        <w:left w:w="15" w:type="dxa"/>
        <w:bottom w:w="15" w:type="dxa"/>
        <w:right w:w="15" w:type="dxa"/>
      </w:tblCellMar>
    </w:tblPr>
  </w:style>
  <w:style w:type="table" w:customStyle="1" w:styleId="afff">
    <w:basedOn w:val="TableNormal"/>
    <w:rsid w:val="0098488E"/>
    <w:tblPr>
      <w:tblStyleRowBandSize w:val="1"/>
      <w:tblStyleColBandSize w:val="1"/>
      <w:tblCellMar>
        <w:top w:w="15" w:type="dxa"/>
        <w:left w:w="15" w:type="dxa"/>
        <w:bottom w:w="15" w:type="dxa"/>
        <w:right w:w="15" w:type="dxa"/>
      </w:tblCellMar>
    </w:tblPr>
  </w:style>
  <w:style w:type="table" w:customStyle="1" w:styleId="TableGridLight1">
    <w:name w:val="Table Grid Light1"/>
    <w:basedOn w:val="TableNormal"/>
    <w:uiPriority w:val="40"/>
    <w:rsid w:val="00C225BC"/>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Subtitle">
    <w:name w:val="Subtitle"/>
    <w:basedOn w:val="Normal1"/>
    <w:next w:val="Normal1"/>
    <w:rsid w:val="00826870"/>
    <w:pPr>
      <w:keepNext/>
      <w:keepLines/>
      <w:pBdr>
        <w:top w:val="nil"/>
        <w:left w:val="nil"/>
        <w:bottom w:val="nil"/>
        <w:right w:val="nil"/>
        <w:between w:val="nil"/>
      </w:pBdr>
      <w:spacing w:after="320"/>
    </w:pPr>
    <w:rPr>
      <w:color w:val="666666"/>
      <w:sz w:val="30"/>
      <w:szCs w:val="30"/>
    </w:rPr>
  </w:style>
  <w:style w:type="table" w:customStyle="1" w:styleId="afff0">
    <w:basedOn w:val="TableNormal"/>
    <w:rsid w:val="00826870"/>
    <w:rPr>
      <w:rFonts w:ascii="Times New Roman" w:eastAsia="Times New Roman" w:hAnsi="Times New Roman" w:cs="Times New Roman"/>
      <w:sz w:val="24"/>
      <w:szCs w:val="24"/>
    </w:rPr>
    <w:tblPr>
      <w:tblStyleRowBandSize w:val="1"/>
      <w:tblStyleColBandSize w:val="1"/>
    </w:tblPr>
  </w:style>
  <w:style w:type="table" w:customStyle="1" w:styleId="afff1">
    <w:basedOn w:val="TableNormal"/>
    <w:rsid w:val="00826870"/>
    <w:tblPr>
      <w:tblStyleRowBandSize w:val="1"/>
      <w:tblStyleColBandSize w:val="1"/>
      <w:tblCellMar>
        <w:left w:w="115" w:type="dxa"/>
        <w:right w:w="115" w:type="dxa"/>
      </w:tblCellMar>
    </w:tblPr>
  </w:style>
  <w:style w:type="table" w:customStyle="1" w:styleId="afff2">
    <w:basedOn w:val="TableNormal"/>
    <w:rsid w:val="00826870"/>
    <w:rPr>
      <w:rFonts w:ascii="Times New Roman" w:eastAsia="Times New Roman" w:hAnsi="Times New Roman" w:cs="Times New Roman"/>
      <w:sz w:val="24"/>
      <w:szCs w:val="24"/>
    </w:rPr>
    <w:tblPr>
      <w:tblStyleRowBandSize w:val="1"/>
      <w:tblStyleColBandSize w:val="1"/>
    </w:tblPr>
  </w:style>
  <w:style w:type="table" w:customStyle="1" w:styleId="afff3">
    <w:basedOn w:val="TableNormal"/>
    <w:rsid w:val="00826870"/>
    <w:rPr>
      <w:rFonts w:ascii="Times New Roman" w:eastAsia="Times New Roman" w:hAnsi="Times New Roman" w:cs="Times New Roman"/>
      <w:sz w:val="24"/>
      <w:szCs w:val="24"/>
    </w:rPr>
    <w:tblPr>
      <w:tblStyleRowBandSize w:val="1"/>
      <w:tblStyleColBandSize w:val="1"/>
    </w:tblPr>
  </w:style>
  <w:style w:type="table" w:customStyle="1" w:styleId="afff4">
    <w:basedOn w:val="TableNormal"/>
    <w:rsid w:val="00826870"/>
    <w:rPr>
      <w:rFonts w:ascii="Times New Roman" w:eastAsia="Times New Roman" w:hAnsi="Times New Roman" w:cs="Times New Roman"/>
      <w:sz w:val="24"/>
      <w:szCs w:val="24"/>
    </w:rPr>
    <w:tblPr>
      <w:tblStyleRowBandSize w:val="1"/>
      <w:tblStyleColBandSize w:val="1"/>
      <w:tblCellMar>
        <w:top w:w="100" w:type="dxa"/>
        <w:left w:w="100" w:type="dxa"/>
        <w:bottom w:w="100" w:type="dxa"/>
        <w:right w:w="100" w:type="dxa"/>
      </w:tblCellMar>
    </w:tblPr>
  </w:style>
  <w:style w:type="table" w:customStyle="1" w:styleId="afff5">
    <w:basedOn w:val="TableNormal"/>
    <w:rsid w:val="00826870"/>
    <w:pPr>
      <w:spacing w:line="240" w:lineRule="auto"/>
    </w:pPr>
    <w:tblPr>
      <w:tblStyleRowBandSize w:val="1"/>
      <w:tblStyleColBandSize w:val="1"/>
    </w:tblPr>
  </w:style>
  <w:style w:type="table" w:customStyle="1" w:styleId="afff6">
    <w:basedOn w:val="TableNormal"/>
    <w:rsid w:val="00826870"/>
    <w:tblPr>
      <w:tblStyleRowBandSize w:val="1"/>
      <w:tblStyleColBandSize w:val="1"/>
      <w:tblCellMar>
        <w:left w:w="115" w:type="dxa"/>
        <w:right w:w="115" w:type="dxa"/>
      </w:tblCellMar>
    </w:tblPr>
  </w:style>
  <w:style w:type="table" w:customStyle="1" w:styleId="afff7">
    <w:basedOn w:val="TableNormal"/>
    <w:rsid w:val="00826870"/>
    <w:tblPr>
      <w:tblStyleRowBandSize w:val="1"/>
      <w:tblStyleColBandSize w:val="1"/>
      <w:tblCellMar>
        <w:left w:w="115" w:type="dxa"/>
        <w:right w:w="115" w:type="dxa"/>
      </w:tblCellMar>
    </w:tblPr>
  </w:style>
  <w:style w:type="table" w:customStyle="1" w:styleId="afff8">
    <w:basedOn w:val="TableNormal"/>
    <w:rsid w:val="00826870"/>
    <w:pPr>
      <w:spacing w:line="240" w:lineRule="auto"/>
    </w:pPr>
    <w:tblPr>
      <w:tblStyleRowBandSize w:val="1"/>
      <w:tblStyleColBandSize w:val="1"/>
    </w:tblPr>
  </w:style>
  <w:style w:type="table" w:customStyle="1" w:styleId="afff9">
    <w:basedOn w:val="TableNormal"/>
    <w:rsid w:val="00826870"/>
    <w:pPr>
      <w:spacing w:line="240" w:lineRule="auto"/>
    </w:pPr>
    <w:tblPr>
      <w:tblStyleRowBandSize w:val="1"/>
      <w:tblStyleColBandSize w:val="1"/>
    </w:tblPr>
  </w:style>
  <w:style w:type="table" w:customStyle="1" w:styleId="afffa">
    <w:basedOn w:val="TableNormal"/>
    <w:rsid w:val="00826870"/>
    <w:pPr>
      <w:spacing w:line="240" w:lineRule="auto"/>
    </w:pPr>
    <w:tblPr>
      <w:tblStyleRowBandSize w:val="1"/>
      <w:tblStyleColBandSize w:val="1"/>
    </w:tblPr>
  </w:style>
  <w:style w:type="table" w:customStyle="1" w:styleId="afffb">
    <w:basedOn w:val="TableNormal"/>
    <w:rsid w:val="00826870"/>
    <w:tblPr>
      <w:tblStyleRowBandSize w:val="1"/>
      <w:tblStyleColBandSize w:val="1"/>
      <w:tblCellMar>
        <w:left w:w="115" w:type="dxa"/>
        <w:right w:w="115" w:type="dxa"/>
      </w:tblCellMar>
    </w:tblPr>
  </w:style>
  <w:style w:type="table" w:customStyle="1" w:styleId="afffc">
    <w:basedOn w:val="TableNormal"/>
    <w:rsid w:val="00826870"/>
    <w:pPr>
      <w:spacing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assets.publishing.service.gov.uk/media/66f42ae630536cb92748271f/Lord-Darzi-Independent-Investigation-of-the-National-Health-Service-in-England-Updated-25-September.pdf" TargetMode="External"/><Relationship Id="rId39" Type="http://schemas.openxmlformats.org/officeDocument/2006/relationships/fontTable" Target="fontTable.xml"/><Relationship Id="rId21" Type="http://schemas.openxmlformats.org/officeDocument/2006/relationships/image" Target="media/image14.png"/><Relationship Id="rId34" Type="http://schemas.openxmlformats.org/officeDocument/2006/relationships/hyperlink" Target="https://www.rcp.ac.uk/policy-and-campaigns/policy-documents/a-snapshot-of-uk-doctors-experiences-of-health-inequalitie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theguardian.com/society/2025/may/14/nhs-medical-negligence-liabilities-hit-582bn-amid-calls-to-improve-patient-safety" TargetMode="External"/><Relationship Id="rId33" Type="http://schemas.openxmlformats.org/officeDocument/2006/relationships/hyperlink" Target="https://resolution.nhs.uk/resources/demographics-professions-and-concerns-what-are-the-patterns-in-practitioner-performance-advice-cases/" TargetMode="External"/><Relationship Id="rId38" Type="http://schemas.openxmlformats.org/officeDocument/2006/relationships/hyperlink" Target="https://www.who.int/news-room/fact-sheets/detail/patient-safety"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england.nhs.uk/long-read/monthly-operational-statistics-may-202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theguardian.com/society/2024/dec/12/nhs-spends-147bn-a-year-treating-patients-in-england-hurt-by-care-mistakes-says-report" TargetMode="External"/><Relationship Id="rId32" Type="http://schemas.openxmlformats.org/officeDocument/2006/relationships/hyperlink" Target="https://www.england.nhs.uk/patient-safety/patient-safety-improvement-programmes/" TargetMode="External"/><Relationship Id="rId37" Type="http://schemas.openxmlformats.org/officeDocument/2006/relationships/hyperlink" Target="https://committees.parliament.uk/writtenevidence/131266/html/"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hyperlink" Target="https://www.england.nhs.uk/north-west/wp-content/uploads/sites/48/2022/09/One-to-One-Final-Report-Appendices-August-2022-post-Final-1.pdf" TargetMode="External"/><Relationship Id="rId36" Type="http://schemas.openxmlformats.org/officeDocument/2006/relationships/hyperlink" Target="https://assets.publishing.service.gov.uk/media/66a0c996fc8e12ac3edb0374/nhs-resolution-annual-report-and-accounts-2023-to-2024-web-accessible.pdf"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nhsemployers.org/articles/beating-burnout-nh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 Id="rId27" Type="http://schemas.openxmlformats.org/officeDocument/2006/relationships/hyperlink" Target="https://www.gmc-uk.org/-/media/documents/national-training-survey-2025-results-report-111657596.pdf" TargetMode="External"/><Relationship Id="rId30" Type="http://schemas.openxmlformats.org/officeDocument/2006/relationships/hyperlink" Target="https://resolution.nhs.uk/2025/07/17/nhs-resolution-resolves-record-numbers-of-compensation-claims-through-collaboration/" TargetMode="External"/><Relationship Id="rId35" Type="http://schemas.openxmlformats.org/officeDocument/2006/relationships/hyperlink" Target="https://www.rcp.ac.uk/news-and-media/news-and-opinion/nearly-90-of-doctors-warn-that-health-inequalities-are-harming-patients/" TargetMode="External"/><Relationship Id="rId8" Type="http://schemas.openxmlformats.org/officeDocument/2006/relationships/image" Target="media/image1.png"/><Relationship Id="rId3" Type="http://schemas.openxmlformats.org/officeDocument/2006/relationships/styles" Target="styl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vScvb8VFd0H09A3X0/IAcWsm+Q==">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26113</Words>
  <Characters>148848</Characters>
  <Application>Microsoft Office Word</Application>
  <DocSecurity>0</DocSecurity>
  <Lines>1240</Lines>
  <Paragraphs>349</Paragraphs>
  <ScaleCrop>false</ScaleCrop>
  <Company/>
  <LinksUpToDate>false</LinksUpToDate>
  <CharactersWithSpaces>174612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mustakimbhad1@gmail.com</cp:lastModifiedBy>
  <cp:revision>2</cp:revision>
  <dcterms:created xsi:type="dcterms:W3CDTF">2026-02-01T23:41:00Z</dcterms:created>
  <dcterms:modified xsi:type="dcterms:W3CDTF">2026-02-01T23:41:00Z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aa1696c7-e2ab-4864-afe2-65b21e5269a7</vt:lpwstr>
  </property>
</Properties>
</file>