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3C66A" w14:textId="77777777" w:rsidR="00E36DD8" w:rsidRDefault="00E36DD8" w:rsidP="00E36DD8">
      <w:r w:rsidRPr="00E97AE5">
        <w:rPr>
          <w:noProof/>
        </w:rPr>
        <w:drawing>
          <wp:anchor distT="0" distB="0" distL="114300" distR="114300" simplePos="0" relativeHeight="251659264" behindDoc="0" locked="0" layoutInCell="1" allowOverlap="1" wp14:anchorId="36FEF2D0" wp14:editId="6DB5EDFA">
            <wp:simplePos x="0" y="0"/>
            <wp:positionH relativeFrom="column">
              <wp:posOffset>-361507</wp:posOffset>
            </wp:positionH>
            <wp:positionV relativeFrom="paragraph">
              <wp:posOffset>-499730</wp:posOffset>
            </wp:positionV>
            <wp:extent cx="2063865" cy="80807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063865" cy="808074"/>
                    </a:xfrm>
                    <a:prstGeom prst="rect">
                      <a:avLst/>
                    </a:prstGeom>
                  </pic:spPr>
                </pic:pic>
              </a:graphicData>
            </a:graphic>
          </wp:anchor>
        </w:drawing>
      </w:r>
    </w:p>
    <w:p w14:paraId="7DDFBEA6" w14:textId="77777777" w:rsidR="00E36DD8" w:rsidRDefault="00E36DD8" w:rsidP="00E36DD8"/>
    <w:p w14:paraId="0BA1E71C" w14:textId="77777777" w:rsidR="00E36DD8" w:rsidRDefault="00E36DD8" w:rsidP="00E36DD8">
      <w:pPr>
        <w:jc w:val="center"/>
      </w:pPr>
    </w:p>
    <w:p w14:paraId="5D2BD9F0" w14:textId="77777777" w:rsidR="00E36DD8" w:rsidRPr="00EE17E9" w:rsidRDefault="00E36DD8" w:rsidP="00E36DD8">
      <w:pPr>
        <w:jc w:val="center"/>
        <w:rPr>
          <w:b/>
          <w:bCs/>
          <w:sz w:val="30"/>
          <w:szCs w:val="30"/>
        </w:rPr>
      </w:pPr>
      <w:r w:rsidRPr="00EE17E9">
        <w:rPr>
          <w:b/>
          <w:bCs/>
          <w:sz w:val="30"/>
          <w:szCs w:val="30"/>
        </w:rPr>
        <w:t>MSc Mechanical Engineering, Engineering Project Management, Industrial Engineering, Lean &amp; Agile Operations</w:t>
      </w:r>
    </w:p>
    <w:p w14:paraId="7654B1F0" w14:textId="77777777" w:rsidR="00E36DD8" w:rsidRPr="00EE17E9" w:rsidRDefault="00E36DD8" w:rsidP="00E36DD8">
      <w:pPr>
        <w:jc w:val="center"/>
        <w:rPr>
          <w:b/>
          <w:bCs/>
          <w:sz w:val="30"/>
          <w:szCs w:val="30"/>
        </w:rPr>
      </w:pPr>
      <w:r w:rsidRPr="00EE17E9">
        <w:rPr>
          <w:b/>
          <w:bCs/>
          <w:sz w:val="30"/>
          <w:szCs w:val="30"/>
        </w:rPr>
        <w:t>Module: Research Methods</w:t>
      </w:r>
    </w:p>
    <w:p w14:paraId="2A3B37A7" w14:textId="77777777" w:rsidR="00E36DD8" w:rsidRPr="00EE17E9" w:rsidRDefault="00E36DD8" w:rsidP="00E36DD8">
      <w:pPr>
        <w:jc w:val="center"/>
        <w:rPr>
          <w:b/>
          <w:bCs/>
          <w:sz w:val="30"/>
          <w:szCs w:val="30"/>
        </w:rPr>
      </w:pPr>
      <w:r w:rsidRPr="00EE17E9">
        <w:rPr>
          <w:b/>
          <w:bCs/>
          <w:sz w:val="30"/>
          <w:szCs w:val="30"/>
        </w:rPr>
        <w:t>Module Code: ACHA7027</w:t>
      </w:r>
    </w:p>
    <w:p w14:paraId="3CD2D810" w14:textId="77777777" w:rsidR="00E36DD8" w:rsidRDefault="00E36DD8" w:rsidP="00E36DD8">
      <w:pPr>
        <w:jc w:val="center"/>
        <w:rPr>
          <w:b/>
          <w:bCs/>
          <w:sz w:val="30"/>
          <w:szCs w:val="30"/>
        </w:rPr>
      </w:pPr>
      <w:r w:rsidRPr="00EE17E9">
        <w:rPr>
          <w:b/>
          <w:bCs/>
          <w:sz w:val="30"/>
          <w:szCs w:val="30"/>
        </w:rPr>
        <w:t>Assignment Title: Research Proposal &amp; Presentation</w:t>
      </w:r>
    </w:p>
    <w:p w14:paraId="43F1B34D" w14:textId="77777777" w:rsidR="00E36DD8" w:rsidRDefault="00E36DD8" w:rsidP="00E36DD8">
      <w:pPr>
        <w:jc w:val="center"/>
        <w:rPr>
          <w:b/>
          <w:bCs/>
          <w:sz w:val="30"/>
          <w:szCs w:val="30"/>
        </w:rPr>
      </w:pPr>
    </w:p>
    <w:p w14:paraId="7FB7A1D8" w14:textId="40D22CBE" w:rsidR="00E36DD8" w:rsidRDefault="00E36DD8" w:rsidP="00E36DD8">
      <w:pPr>
        <w:jc w:val="center"/>
        <w:rPr>
          <w:b/>
          <w:bCs/>
          <w:sz w:val="30"/>
          <w:szCs w:val="30"/>
        </w:rPr>
      </w:pPr>
      <w:r>
        <w:rPr>
          <w:b/>
          <w:bCs/>
          <w:sz w:val="30"/>
          <w:szCs w:val="30"/>
        </w:rPr>
        <w:t>Topic: ‘</w:t>
      </w:r>
      <w:r w:rsidRPr="00E36DD8">
        <w:rPr>
          <w:i/>
          <w:iCs/>
          <w:sz w:val="30"/>
          <w:szCs w:val="30"/>
        </w:rPr>
        <w:t>Improving the Correlation Between Accelerated Corrosion Test Methods and Real-World Atmospheric Corrosion: An Evaluation of ASTM B117, ISO 9227, and Cyclic Corrosion Testing</w:t>
      </w:r>
      <w:r>
        <w:rPr>
          <w:b/>
          <w:bCs/>
          <w:sz w:val="30"/>
          <w:szCs w:val="30"/>
        </w:rPr>
        <w:t>’</w:t>
      </w:r>
    </w:p>
    <w:p w14:paraId="42C8D8F9" w14:textId="77777777" w:rsidR="00E36DD8" w:rsidRDefault="00E36DD8" w:rsidP="00E36DD8">
      <w:pPr>
        <w:jc w:val="center"/>
        <w:rPr>
          <w:b/>
          <w:bCs/>
          <w:sz w:val="30"/>
          <w:szCs w:val="30"/>
        </w:rPr>
      </w:pPr>
    </w:p>
    <w:p w14:paraId="76DFE109" w14:textId="05579F49" w:rsidR="00E36DD8" w:rsidRDefault="00E36DD8" w:rsidP="00E36DD8">
      <w:pPr>
        <w:jc w:val="center"/>
      </w:pPr>
      <w:r w:rsidRPr="00EE17E9">
        <w:t>Lecturer: Jordan</w:t>
      </w:r>
      <w:r w:rsidR="008A5232">
        <w:t xml:space="preserve"> R</w:t>
      </w:r>
      <w:r w:rsidRPr="00EE17E9">
        <w:t xml:space="preserve"> Jenkins </w:t>
      </w:r>
    </w:p>
    <w:p w14:paraId="0DC37977" w14:textId="77777777" w:rsidR="00E36DD8" w:rsidRDefault="00E36DD8" w:rsidP="00E36DD8"/>
    <w:p w14:paraId="1F179550" w14:textId="77777777" w:rsidR="00E36DD8" w:rsidRDefault="00E36DD8" w:rsidP="00E36DD8">
      <w:pPr>
        <w:jc w:val="center"/>
      </w:pPr>
    </w:p>
    <w:p w14:paraId="66C7D1B0" w14:textId="6416F04B" w:rsidR="00E36DD8" w:rsidRDefault="00E36DD8" w:rsidP="00E36DD8">
      <w:pPr>
        <w:jc w:val="center"/>
      </w:pPr>
      <w:r>
        <w:t xml:space="preserve">Student Name: </w:t>
      </w:r>
      <w:r>
        <w:rPr>
          <w:sz w:val="22"/>
          <w:szCs w:val="22"/>
        </w:rPr>
        <w:t>MD Tuhidul Islam Tuhin</w:t>
      </w:r>
    </w:p>
    <w:p w14:paraId="1AC42C8C" w14:textId="3890E849" w:rsidR="00E36DD8" w:rsidRDefault="00E36DD8" w:rsidP="00E36DD8">
      <w:pPr>
        <w:jc w:val="center"/>
      </w:pPr>
      <w:r>
        <w:t xml:space="preserve">Student ID: </w:t>
      </w:r>
      <w:r>
        <w:rPr>
          <w:sz w:val="22"/>
          <w:szCs w:val="22"/>
        </w:rPr>
        <w:t>2425623</w:t>
      </w:r>
    </w:p>
    <w:p w14:paraId="72EDC801" w14:textId="77777777" w:rsidR="00E36DD8" w:rsidRDefault="00E36DD8" w:rsidP="00E36DD8">
      <w:pPr>
        <w:jc w:val="center"/>
      </w:pPr>
    </w:p>
    <w:p w14:paraId="271EC3B4" w14:textId="77777777" w:rsidR="00E36DD8" w:rsidRDefault="00E36DD8" w:rsidP="00E36DD8">
      <w:pPr>
        <w:jc w:val="center"/>
      </w:pPr>
    </w:p>
    <w:p w14:paraId="6246953F" w14:textId="77777777" w:rsidR="00E36DD8" w:rsidRDefault="00E36DD8" w:rsidP="00E36DD8">
      <w:pPr>
        <w:jc w:val="center"/>
      </w:pPr>
    </w:p>
    <w:p w14:paraId="14376FFC" w14:textId="0473EF77" w:rsidR="00E36DD8" w:rsidRDefault="00E36DD8" w:rsidP="00E36DD8">
      <w:pPr>
        <w:spacing w:line="278" w:lineRule="auto"/>
        <w:jc w:val="center"/>
        <w:rPr>
          <w:rFonts w:eastAsiaTheme="majorEastAsia" w:cstheme="majorBidi"/>
          <w:b/>
          <w:sz w:val="30"/>
          <w:szCs w:val="40"/>
        </w:rPr>
      </w:pPr>
      <w:r>
        <w:br w:type="page"/>
      </w:r>
    </w:p>
    <w:p w14:paraId="5871BAAB" w14:textId="4E5B00B8" w:rsidR="005E2384" w:rsidRDefault="005E2384" w:rsidP="00A556DA">
      <w:pPr>
        <w:pStyle w:val="Heading1"/>
      </w:pPr>
      <w:r>
        <w:lastRenderedPageBreak/>
        <w:t>Abstract</w:t>
      </w:r>
    </w:p>
    <w:p w14:paraId="7FD228DD" w14:textId="1E130A04" w:rsidR="005E2384" w:rsidRPr="00A556DA" w:rsidRDefault="005E2384" w:rsidP="005E2384">
      <w:pPr>
        <w:rPr>
          <w:i/>
          <w:iCs/>
        </w:rPr>
      </w:pPr>
      <w:r w:rsidRPr="00A556DA">
        <w:rPr>
          <w:i/>
          <w:iCs/>
        </w:rPr>
        <w:t>In spite of worldwide standardization in accelerated tests like ASTM B117 and ISO 9227, there is not a definite unequivocal correlation with actual atmospheric corrosion performances and there are evidences that they overestimate the atmospheric corrosion capabilities. The primary issue is that of the mechanism, and that in real corrosion behaviour the phenomena of wet-dry cycling, changing temperature as well as the presence of pollutants are removed by continuous exposure to salt spray. Cyclic Corrosion Testing (CCT) has demonstrated significantly better correlation to actual results in the field for numerous industries, alternated between salt spray, high humidity, and ambient drying cycles. This research aims to compare, quantify and overview that correlation enhancement for carbon and organic-coated steel samples, through gravimetric study and surface characterisation along with comparing to published outdoor long-term-build-up data. Results are designed to supplement and/or supplant continuous salt spray testing in the industrial testing world with the quantitative, statistically valid evidence to support its use as the accelerated screening protocol.</w:t>
      </w:r>
      <w:r w:rsidRPr="00A556DA">
        <w:rPr>
          <w:i/>
          <w:iCs/>
        </w:rPr>
        <w:br w:type="page"/>
      </w:r>
    </w:p>
    <w:p w14:paraId="061E7495" w14:textId="642F2603" w:rsidR="0033266F" w:rsidRDefault="0033266F" w:rsidP="00A556DA">
      <w:pPr>
        <w:pStyle w:val="Heading1"/>
      </w:pPr>
      <w:r>
        <w:lastRenderedPageBreak/>
        <w:t>1. Introduction</w:t>
      </w:r>
    </w:p>
    <w:p w14:paraId="596B3292" w14:textId="0902F289" w:rsidR="0033266F" w:rsidRDefault="00A556DA" w:rsidP="0033266F">
      <w:r>
        <w:t>Worldwide</w:t>
      </w:r>
      <w:r w:rsidR="0033266F">
        <w:t xml:space="preserve"> GDP is estimated to lose 3.4% to corrosion, at an annual cost of USD 2.5 trillion, out of which, the majority of the expenditure is being accounted for by structural steel, automotive parts, aerospace assemblies, marine structures, etc. (NACE, 2016). One of the most important things during both product development and on-going asset integrity management is to be able to predict, within the context of a shortened time period, the performance of the material or protective coating system when it comes to atmospheric exposure over many years. To satisfy this requirement, accelerated corrosion tests are used to present the specimens to a more severe regime of corrosive exposure in a controlled laboratory environment that has the potential to mimic degradation that occurs after extended service life in a more realistic service environment. The most widely used standards are ASTM B117 in the USA, and its international link ISO 9227, both calling for neutral salt fog (5% NaCl) and 100% relative humidity for 24 hours a day at 35°C. The tests are intrinsic to the procurement specifications, supplier qualification practices and regulations in many sectors worldwide. Despite all their use, there was always a number of well documented proofs that the standards don't actually display whether they have a good predictability of atmospheric corrosion (misrepresentation of its morphology, failure mechanism and ranking of the coating systems) (Schmid, 2024; Peltier and Thierry, 2024).</w:t>
      </w:r>
    </w:p>
    <w:p w14:paraId="007FFEF5" w14:textId="77777777" w:rsidR="0033266F" w:rsidRDefault="0033266F" w:rsidP="0033266F">
      <w:r>
        <w:t>To address these shortcomings in approach, Cyclic Corrosion Testing was developed, and involves specifying environmental cycling in the laboratory cabinet by cycling the salt spray and the high humidity/drying phases periodically to simulate the environment under which the product is employed. Despite its better predictive capabilities, CCT is not the industry standard for adoption, particularly because of the higher equipment costs, complexity of the protocol and the proliferation of contractual and regulatory requirements for laboratory procedures meeting ASTM B117 and ISO 9227. Technical basis for this transition would be provided by a well-documented, statistically sound comparison of all three methods when applied to actual field exposure data to speed this transition.</w:t>
      </w:r>
    </w:p>
    <w:p w14:paraId="4964B068" w14:textId="304266DF" w:rsidR="0033266F" w:rsidRDefault="0033266F" w:rsidP="0033266F">
      <w:r w:rsidRPr="00A556DA">
        <w:t xml:space="preserve">Research </w:t>
      </w:r>
      <w:r w:rsidR="00A556DA" w:rsidRPr="00A556DA">
        <w:t>Aims</w:t>
      </w:r>
      <w:r w:rsidRPr="00A556DA">
        <w:t>: To</w:t>
      </w:r>
      <w:r>
        <w:t xml:space="preserve"> assess the relative merits of ASTM B117, ISO 9227 and Cyclic Corrosion Testing to real-world atmospheric corrosion and to determine the degree of improvement in the correlation of these methods with real-world corrosion in carbon steel and coated steel systems.</w:t>
      </w:r>
    </w:p>
    <w:p w14:paraId="36D0507D" w14:textId="77777777" w:rsidR="0033266F" w:rsidRDefault="0033266F" w:rsidP="0033266F">
      <w:r>
        <w:lastRenderedPageBreak/>
        <w:t>The question under investigation is: How effectively does CCT correlate accelerated laboratory test results with a realistic atmospheric corrosion test and what are the implications of the performance for materials testing of products used in industry?</w:t>
      </w:r>
    </w:p>
    <w:p w14:paraId="70AC8E05" w14:textId="20F0F849" w:rsidR="0033266F" w:rsidRDefault="0033266F" w:rsidP="0033266F">
      <w:r>
        <w:t xml:space="preserve">The study </w:t>
      </w:r>
      <w:r w:rsidR="00A556DA">
        <w:t>objects</w:t>
      </w:r>
      <w:r>
        <w:t xml:space="preserve"> are to: (1) compare the principles and protocols used in ASTM B117, ISO 9227 and CCT testing; (2) critically evaluate the drawbacks of continuous salt spray testing that does not replicate actual cyclic atmospheric exposure; (3) evaluate the extent to which CCT </w:t>
      </w:r>
      <w:proofErr w:type="spellStart"/>
      <w:r>
        <w:t>endeavors</w:t>
      </w:r>
      <w:proofErr w:type="spellEnd"/>
      <w:r>
        <w:t xml:space="preserve"> to replicate actual cyclic atmospheric exposure; (4) quantify the degree of correlation between the laboratory test results and published long-term exposure data from the field; and (5) evaluate practical implementation of transitioning to cyclic testing protocols.</w:t>
      </w:r>
    </w:p>
    <w:p w14:paraId="44DE5205" w14:textId="77777777" w:rsidR="0033266F" w:rsidRDefault="0033266F" w:rsidP="00A556DA">
      <w:pPr>
        <w:pStyle w:val="Heading1"/>
      </w:pPr>
      <w:r>
        <w:t>2. Literature Review</w:t>
      </w:r>
    </w:p>
    <w:p w14:paraId="1FFD56FF" w14:textId="77777777" w:rsidR="0033266F" w:rsidRDefault="0033266F" w:rsidP="00A556DA">
      <w:pPr>
        <w:pStyle w:val="Heading2"/>
      </w:pPr>
      <w:r>
        <w:t>2.1 Salt Spray Testing: ASTM B117 and ISO 9227</w:t>
      </w:r>
    </w:p>
    <w:p w14:paraId="54FF2B8F" w14:textId="4F528270" w:rsidR="0033266F" w:rsidRDefault="0033266F" w:rsidP="0033266F">
      <w:r>
        <w:t xml:space="preserve">Both ASTM B117 and ISO 9227 recommend a steady state test condition in a neutral salt spray with salinity of 5% NaCl at a pH range of 6.5-7.2 and at 100%RH (ASTM, 2019, ISO, 2017). The very ease of operation combined with low equipment costs and the ease of replicating results represented by the protocols enjoyed widespread acceptance in the industry. Schmid (2024), however, did a systematic comparison between all different anticorrosive coatings that were exposed to neutral salt spray and outdoor weather and full-immersion tests, and found that even the ranking of the best coatings in salt spray was not necessarily the same as the ranking of the best coatings in the outdoor and full-immersion settings, thus showing a fundamental validity failure. High </w:t>
      </w:r>
      <w:r w:rsidR="00541739">
        <w:t>720-hour</w:t>
      </w:r>
      <w:r>
        <w:t xml:space="preserve"> salt-spray rating coatings generally had lower correlations in the outdoor tests (Spearman ranges, r = 0.12 to 0.61, depending on the chemistry of each test coating). Also, salt spray failed to accurately anticipate any blistering or </w:t>
      </w:r>
      <w:proofErr w:type="spellStart"/>
      <w:r>
        <w:t>underfilm</w:t>
      </w:r>
      <w:proofErr w:type="spellEnd"/>
      <w:r>
        <w:t xml:space="preserve"> corrosion propagation in aerospace aluminium alloy coatings following exposure to the coastal environment, as reported by Peltier and Thierry (2024) where no dry phases occurred; they are vital for the cathodic delamination mechanism which is responsible for the coating failure during real service environment. In terms of mechanisms, there is no wet-dry transitions and the cathodic reaction mechanism when oxygen is reduced consumes oxygen continuously, so the oxygen-reduction cathodic reaction is inhibited</w:t>
      </w:r>
      <w:r w:rsidR="00541739">
        <w:t xml:space="preserve"> (</w:t>
      </w:r>
      <w:proofErr w:type="spellStart"/>
      <w:r w:rsidR="00541739" w:rsidRPr="00541739">
        <w:rPr>
          <w:lang w:val="en-US"/>
        </w:rPr>
        <w:t>Szklarek</w:t>
      </w:r>
      <w:proofErr w:type="spellEnd"/>
      <w:r w:rsidR="00541739">
        <w:rPr>
          <w:lang w:val="en-US"/>
        </w:rPr>
        <w:t xml:space="preserve"> et al.</w:t>
      </w:r>
      <w:r w:rsidR="00541739" w:rsidRPr="00541739">
        <w:rPr>
          <w:lang w:val="en-US"/>
        </w:rPr>
        <w:t>, 2022</w:t>
      </w:r>
      <w:r w:rsidR="00541739">
        <w:t>)</w:t>
      </w:r>
      <w:r>
        <w:t>.</w:t>
      </w:r>
    </w:p>
    <w:p w14:paraId="5C36EC42" w14:textId="1E238029" w:rsidR="0033266F" w:rsidRDefault="00A556DA" w:rsidP="00A556DA">
      <w:pPr>
        <w:pStyle w:val="Heading2"/>
      </w:pPr>
      <w:r>
        <w:t>2.2 Real Atmospheric Corrosion Mechanisms</w:t>
      </w:r>
    </w:p>
    <w:p w14:paraId="527E014F" w14:textId="42127B9D" w:rsidR="00CF6FC5" w:rsidRDefault="0033266F" w:rsidP="0033266F">
      <w:r>
        <w:t xml:space="preserve">Atmospheric corrosion is an electrochemical process that is influenced by a variety of factors and controlled by the cycling of thin electrolyte films on metal surfaces. According to Katona </w:t>
      </w:r>
      <w:r>
        <w:lastRenderedPageBreak/>
        <w:t>et al. (2023), there are four most significant factors that influence the atmospheric corrosion rate and mechanism: time of wetness, chloride deposition rate, SO₂ concentration and other temperature cycles. The cumulative fraction of time that a surface is covered by a persistent film of electrolyte (TOW) largely varies depending on location and from year to year. In wet conditions, ionic conductivity is high; in drying conditions the electrolyte film thins, increases the diffusion of oxygen to metal surface, and allows the formation of corrosion product phases—such as lepidocrocite, goethite, magnetite, etc.—which are quite different from the amorphous iron hydroxide films characteristic of continuous salt spray. The resulting corrosion morphology is more likely to produce localised pitting and crevice attack as seen in salt spray chambers, with uniform red rusting being produced. The industrial pollutants (SO₂, NO₂) were shown to alter both anodic dissolution rates and quality of the corrosion product layers by Zhang et al. (2021) which are completely lacking from ASTM B117 conditions.</w:t>
      </w:r>
    </w:p>
    <w:p w14:paraId="70D3B268" w14:textId="77777777" w:rsidR="005E2384" w:rsidRDefault="005E2384" w:rsidP="00A556DA">
      <w:pPr>
        <w:pStyle w:val="Heading2"/>
      </w:pPr>
      <w:r>
        <w:t>2.3 Cyclic Corrosion Testing (CCT)</w:t>
      </w:r>
    </w:p>
    <w:p w14:paraId="047031AD" w14:textId="680D5905" w:rsidR="005E2384" w:rsidRDefault="005E2384" w:rsidP="005E2384">
      <w:r>
        <w:t>CCT evolved mostly in the automotive sector in the 1980s and 1990s, as a reaction to the inability of a selected continuous salt spray to reproduce car body corrosion in real driving environments and climatic conditions. As a typical CCT sequence dictates a salt spray phase (NaCl aerosol at defined concentration), at the time specified a high humidity phase (95% RH, 40°C) and finally an ambient drying phase, each cycle lasts from 1hr to 24hrs a total test duration ranging from 240hrs to 1000hrs depending on the aiming corrosivity category and the severity of the simulated environment, according to Dong</w:t>
      </w:r>
      <w:r w:rsidR="00541739">
        <w:t xml:space="preserve"> et al. (</w:t>
      </w:r>
      <w:r>
        <w:t>2021</w:t>
      </w:r>
      <w:r w:rsidR="00541739">
        <w:t>)</w:t>
      </w:r>
      <w:r>
        <w:t xml:space="preserve">. There may also be the possibility of using advanced protocols per ISO 16151 and ISO 21207, which can include the UV radiation and pollutant gas phases. Dong et al. (2021) </w:t>
      </w:r>
      <w:r w:rsidR="00A556DA">
        <w:t>was</w:t>
      </w:r>
      <w:r>
        <w:t xml:space="preserve"> able to replicate corrosion product layer architecture and corrosion pit morphology observed in carbon steel test specimens exposed outdoors by using CCT, and they could not replicate the morphologically different and more uniform damage produced by continuous salt spray. Cornet et al. (2025) published CCT to field Spearman correlation coefficients ranging between r = 0.78 and r = 0.84, which is a significant and statistically higher correlation to those of continuous salt spray, ranging from r = 0.12 to r = 0.61.</w:t>
      </w:r>
    </w:p>
    <w:p w14:paraId="5F2E70EB" w14:textId="77777777" w:rsidR="005E2384" w:rsidRDefault="005E2384" w:rsidP="00A556DA">
      <w:pPr>
        <w:pStyle w:val="Heading2"/>
      </w:pPr>
      <w:r>
        <w:t>2.4 Correlation Between Laboratory and Field Performance</w:t>
      </w:r>
    </w:p>
    <w:p w14:paraId="6D1C17B8" w14:textId="6ABE1CEA" w:rsidR="005E2384" w:rsidRDefault="005E2384" w:rsidP="005E2384">
      <w:r>
        <w:t xml:space="preserve">The most significant lack in the literature is that there are few studies reporting results of three-way, direct comparisons of identical specimens using ASTM B117, a determined CCT protocol, and actual long-term exposure to an outdoor atmosphere and reporting quantitative </w:t>
      </w:r>
      <w:r>
        <w:lastRenderedPageBreak/>
        <w:t>correlation coefficient comparisons across all three testing methods simultaneously. Most of the published literature focuses on two of the three conditions or qualitative morphological comparisons, where no statistical correlation analysis was carried out (Schmid, 2024; Cornet et al., 2025). Currently, however, there is no uniform framework, independent of any specific system, that materials engineers can reliably use for picking the accelerated test that best predicts the material's performance in a specific case; correlation coefficients are generally specific to material-coating-environment combinations. This means that with no concrete quantitative data available, engineers and standards bodies must advocate for the extra cost and complications involved in scaling-out the use of CCT's.</w:t>
      </w:r>
      <w:r w:rsidR="00A556DA">
        <w:t xml:space="preserve"> </w:t>
      </w:r>
      <w:r>
        <w:t>Without the obviously quantifiable data from which to advocate for the extra cost and complications resulting from scaling-out the use of CCT's, engineers and standards bodies do not have enough evidence to justify the increment in costs or the ensuing complications. The present study explicitly says good-bye to that deficiency as it strives to provide that three-way comparison for defined engineering material systems</w:t>
      </w:r>
      <w:r w:rsidR="00541739">
        <w:t xml:space="preserve"> (</w:t>
      </w:r>
      <w:proofErr w:type="spellStart"/>
      <w:r w:rsidR="00541739" w:rsidRPr="00541739">
        <w:rPr>
          <w:lang w:val="en-US"/>
        </w:rPr>
        <w:t>Lakhouil</w:t>
      </w:r>
      <w:proofErr w:type="spellEnd"/>
      <w:r w:rsidR="00541739">
        <w:rPr>
          <w:lang w:val="en-US"/>
        </w:rPr>
        <w:t xml:space="preserve"> et al., </w:t>
      </w:r>
      <w:r w:rsidR="00541739" w:rsidRPr="00541739">
        <w:rPr>
          <w:lang w:val="en-US"/>
        </w:rPr>
        <w:t>2021</w:t>
      </w:r>
      <w:r w:rsidR="00541739">
        <w:t>)</w:t>
      </w:r>
      <w:r>
        <w:t>.</w:t>
      </w:r>
    </w:p>
    <w:p w14:paraId="28CE6C59" w14:textId="08880490" w:rsidR="0033266F" w:rsidRDefault="0033266F">
      <w:pPr>
        <w:spacing w:line="278" w:lineRule="auto"/>
        <w:jc w:val="left"/>
      </w:pPr>
      <w:r>
        <w:br w:type="page"/>
      </w:r>
    </w:p>
    <w:p w14:paraId="327AF703" w14:textId="77777777" w:rsidR="0033266F" w:rsidRDefault="0033266F" w:rsidP="00A556DA">
      <w:pPr>
        <w:pStyle w:val="Heading1"/>
      </w:pPr>
      <w:r>
        <w:lastRenderedPageBreak/>
        <w:t>3. Research Methodology</w:t>
      </w:r>
    </w:p>
    <w:p w14:paraId="3262F75F" w14:textId="77777777" w:rsidR="0033266F" w:rsidRDefault="0033266F" w:rsidP="0033266F">
      <w:r>
        <w:t>This study takes a philosophical approach of post-positivist and has a quantitative dominant mixed methods approach. The primary evidence base are the data generated by the experimental laboratories, and this is supplemented by systematic appeals to published long-term outdoor exposure data (Creswell, 2014). The null hypothesis used would be that there is no statistically significant difference in the correlation coefficient of the measurements of salt spray and CCT when compared with the field measurements of salt spray.</w:t>
      </w:r>
    </w:p>
    <w:p w14:paraId="19B8CF38" w14:textId="49D5543B" w:rsidR="0033266F" w:rsidRDefault="0033266F" w:rsidP="0033266F">
      <w:r>
        <w:t xml:space="preserve">Oriented to their common use in industry, and given that there </w:t>
      </w:r>
      <w:r w:rsidR="00A556DA">
        <w:t>was</w:t>
      </w:r>
      <w:r>
        <w:t xml:space="preserve"> existing outdoor field reference data sets available, panels of carbon steel (grade S235) and organically coated steel (two-coat epoxy and polyurethane system) were chosen as sample materials.</w:t>
      </w:r>
    </w:p>
    <w:p w14:paraId="61F24F0D" w14:textId="77777777" w:rsidR="0033266F" w:rsidRDefault="0033266F" w:rsidP="0033266F">
      <w:r>
        <w:t>Ten panels will be used for each test condition to be repeated to simulate such sets:</w:t>
      </w:r>
    </w:p>
    <w:p w14:paraId="27CF94A8" w14:textId="4F0C213A" w:rsidR="0033266F" w:rsidRDefault="0033266F" w:rsidP="00A556DA">
      <w:pPr>
        <w:pStyle w:val="ListParagraph"/>
        <w:numPr>
          <w:ilvl w:val="0"/>
          <w:numId w:val="1"/>
        </w:numPr>
      </w:pPr>
      <w:r>
        <w:t>ASTM B117: Continuous 5% NaCl neutral salt spray at 35°C, tested to 240, 500, and 1,000 hours.</w:t>
      </w:r>
    </w:p>
    <w:p w14:paraId="6186B49D" w14:textId="1F63A043" w:rsidR="0033266F" w:rsidRDefault="0033266F" w:rsidP="00A556DA">
      <w:pPr>
        <w:pStyle w:val="ListParagraph"/>
        <w:numPr>
          <w:ilvl w:val="0"/>
          <w:numId w:val="1"/>
        </w:numPr>
      </w:pPr>
      <w:r>
        <w:t>ISO 9227 (NSS): same conditions as those specified in ASTM B117, to verify inter-standard reproducibility and any systematic difference.</w:t>
      </w:r>
    </w:p>
    <w:p w14:paraId="07CBE519" w14:textId="4C07FD49" w:rsidR="0033266F" w:rsidRDefault="0033266F" w:rsidP="00A556DA">
      <w:pPr>
        <w:pStyle w:val="ListParagraph"/>
        <w:numPr>
          <w:ilvl w:val="0"/>
          <w:numId w:val="1"/>
        </w:numPr>
      </w:pPr>
      <w:r>
        <w:t>24 hours of CCT Protocol (ISO 11997-1 Cycle A): Fourth hour salt spray; fourth hour high humidity (95%RH, 40°C); with ambient drying periods as appropriate, exposed to equivalent exposure hours.</w:t>
      </w:r>
    </w:p>
    <w:p w14:paraId="34209F70" w14:textId="77777777" w:rsidR="0033266F" w:rsidRDefault="0033266F" w:rsidP="0033266F">
      <w:r>
        <w:t>The measurement parameters were gravimetric weight loss (mg/cm2), corrosion rate (mm/year), blister density and diameter (according to ISO 4628-2), creep from scribe (according to ISO 4628-8) and optical microscopy for characterisation of corrosion product layer.</w:t>
      </w:r>
    </w:p>
    <w:p w14:paraId="62915DBB" w14:textId="6852783A" w:rsidR="0033266F" w:rsidRDefault="0033266F" w:rsidP="0033266F">
      <w:r>
        <w:t>Benchmarking and correlation: Results will be referred to published dataset on the outdoor exposure (material coating systems) collected from peer-reviewed literature measuring corrosivity categories based on ISO 9223 in outdoor environments during 1–</w:t>
      </w:r>
      <w:r w:rsidR="00A556DA">
        <w:t>5-year</w:t>
      </w:r>
      <w:r>
        <w:t xml:space="preserve"> exposure periods. Spearman rank-order and Pearson correlation coefficients with 95% confidence intervals will be computed for all 3 test conditions when compared to field data. Analysis will be carried out using statistical treatment in R software, with one-way ANOVA used to see whether significant differences exist on the corrosion parameters for every exposure duration.</w:t>
      </w:r>
    </w:p>
    <w:p w14:paraId="280FEA3E" w14:textId="4B9E359E" w:rsidR="0033266F" w:rsidRDefault="0033266F" w:rsidP="0033266F">
      <w:r>
        <w:t xml:space="preserve">For this research question the chosen methodology will be the experimental-comparative design, which allows controlled manipulation of the independent variable (test method) and </w:t>
      </w:r>
      <w:r>
        <w:lastRenderedPageBreak/>
        <w:t>constant material inputs, thus enabling the outcome differences to be directly attributed to the test method applied. This will yield greater causal inferences than the observational study designs mostly used in the literature in which the confounding variables are not easily identifiable (Creswell 2014).</w:t>
      </w:r>
    </w:p>
    <w:p w14:paraId="059A1A3A" w14:textId="2E8F5435" w:rsidR="0033266F" w:rsidRDefault="00A556DA" w:rsidP="00A556DA">
      <w:pPr>
        <w:pStyle w:val="Heading1"/>
      </w:pPr>
      <w:r>
        <w:rPr>
          <w:bCs/>
        </w:rPr>
        <w:t>4. Anticipated Outcomes and Contribution</w:t>
      </w:r>
    </w:p>
    <w:p w14:paraId="03ECE469" w14:textId="6FC77FD5" w:rsidR="0033266F" w:rsidRDefault="0033266F" w:rsidP="0033266F">
      <w:r>
        <w:t xml:space="preserve">The evidence and implications and outputs resulting from the present study should be </w:t>
      </w:r>
      <w:r w:rsidR="00A556DA">
        <w:t>fourfold</w:t>
      </w:r>
      <w:r>
        <w:t xml:space="preserve"> major ones. First, it will produce quantified values of Spearman and Pearson correlation coefficients between all three test methods and outdoor exposure data which is not directly presented in the literature up to now. Second, it will explain the relationship between the correlation and the mechanism, drawing on data related to the types of corrosion products formed under various testing conditions, acquired by SEM/EDX. Third, it will suggest a correlation index framework for both the materials and the coating systems, for the ISO 9223 atmospheric corrosivity categories both in order to </w:t>
      </w:r>
      <w:proofErr w:type="spellStart"/>
      <w:r>
        <w:t>analyze</w:t>
      </w:r>
      <w:proofErr w:type="spellEnd"/>
      <w:r>
        <w:t xml:space="preserve"> the relative predictive values of any accelerated test protocol employed for a certain application context, and to assess the application's influence on the index. Fourth, it will provide an evidence-based guidance on the situation and/or conditions for using CCT instead of or alongside ASTM B117 in industrial quality assurance and product development screening applications. Academic contribution of this research is the gap of the </w:t>
      </w:r>
      <w:r w:rsidR="00A556DA">
        <w:t>three-way</w:t>
      </w:r>
      <w:r>
        <w:t xml:space="preserve"> comparison which has been identified in section (2.4). Industries such as materials engineers, coating formulators or standards bodies get a validated and independently reproducible evidence basis to aid the transition to more predictive and reliable corrosion testing in industry by adoption of CCT.</w:t>
      </w:r>
    </w:p>
    <w:p w14:paraId="4484E292" w14:textId="77777777" w:rsidR="0033266F" w:rsidRDefault="0033266F" w:rsidP="00A556DA">
      <w:pPr>
        <w:pStyle w:val="Heading1"/>
      </w:pPr>
      <w:r>
        <w:t>5. Evaluation and Limitations</w:t>
      </w:r>
    </w:p>
    <w:p w14:paraId="38F4C1D9" w14:textId="024797E9" w:rsidR="0033266F" w:rsidRDefault="0033266F" w:rsidP="0033266F">
      <w:r>
        <w:t xml:space="preserve">There are a few limitations admitted. The foremost limitation is using the benchmark datasets from the literature for outdoor exposure, instead of original measurements collected in parallel with the lab data — because of the long time period (usually years) that real atmospheric exposure takes, this could not be achieved within the time frame of the MSc dissertation. This can add uncertainties due to inter-study differences in outdoor conditions, specimen preparation, and measurements. The study is also focussed only on two variations of material type: uncoated and organic coated carbon steel; this is a limitation for the immediate general application of results to uncoated and coated carbon steel or to high performance aerospace alloys. Moreover, only one CCT protocol (Cycle A in ISO 11997-1) is used; the best cyclic </w:t>
      </w:r>
      <w:r>
        <w:lastRenderedPageBreak/>
        <w:t>protocol for a full field correlation would depend on the corrosivity category level in the atmosphere and could not be covered in this study. However, these restrictions will be minimized, with transparent reporting of confidence intervals for all correlation coefficients, explicit documentation of outdoor exposure data used, and a structured discussion of the outdoor exposure data limits on which the study recommendations are applicable. Results generated through quantitative statistical data analysis and qualitative characterisation using SEM/EDX provides methodological triangulation which enhances internal validity and interpretive credibility of the results</w:t>
      </w:r>
      <w:r w:rsidR="00541739">
        <w:t xml:space="preserve"> (</w:t>
      </w:r>
      <w:r w:rsidR="00541739" w:rsidRPr="00541739">
        <w:rPr>
          <w:lang w:val="en-US"/>
        </w:rPr>
        <w:t>Co., 2026</w:t>
      </w:r>
      <w:r w:rsidR="00541739">
        <w:t>)</w:t>
      </w:r>
      <w:r>
        <w:t>.</w:t>
      </w:r>
    </w:p>
    <w:p w14:paraId="1E3BBE4F" w14:textId="77777777" w:rsidR="0033266F" w:rsidRDefault="0033266F" w:rsidP="00A556DA">
      <w:pPr>
        <w:pStyle w:val="Heading1"/>
      </w:pPr>
      <w:r>
        <w:t>6. Research Timetable</w:t>
      </w:r>
    </w:p>
    <w:p w14:paraId="7500987D" w14:textId="77777777" w:rsidR="0033266F" w:rsidRDefault="0033266F" w:rsidP="0033266F">
      <w:r>
        <w:t>The proposed research schedule is shown in the Gant chart below for eight months: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307"/>
        <w:gridCol w:w="839"/>
        <w:gridCol w:w="840"/>
        <w:gridCol w:w="840"/>
        <w:gridCol w:w="840"/>
        <w:gridCol w:w="840"/>
        <w:gridCol w:w="840"/>
        <w:gridCol w:w="840"/>
        <w:gridCol w:w="840"/>
      </w:tblGrid>
      <w:tr w:rsidR="00A556DA" w14:paraId="5F1113D7" w14:textId="77777777" w:rsidTr="00060639">
        <w:trPr>
          <w:tblHeader/>
        </w:trPr>
        <w:tc>
          <w:tcPr>
            <w:tcW w:w="2300" w:type="dxa"/>
            <w:tcBorders>
              <w:top w:val="single" w:sz="1" w:space="0" w:color="BBBBBB"/>
              <w:left w:val="single" w:sz="1" w:space="0" w:color="BBBBBB"/>
              <w:bottom w:val="single" w:sz="1" w:space="0" w:color="BBBBBB"/>
              <w:right w:val="single" w:sz="1" w:space="0" w:color="BBBBBB"/>
            </w:tcBorders>
            <w:shd w:val="clear" w:color="auto" w:fill="1A3C6E"/>
            <w:tcMar>
              <w:top w:w="80" w:type="dxa"/>
              <w:left w:w="120" w:type="dxa"/>
              <w:bottom w:w="80" w:type="dxa"/>
              <w:right w:w="120" w:type="dxa"/>
            </w:tcMar>
          </w:tcPr>
          <w:p w14:paraId="5B196C08" w14:textId="77777777" w:rsidR="00A556DA" w:rsidRDefault="00A556DA" w:rsidP="00060639">
            <w:r>
              <w:rPr>
                <w:b/>
                <w:bCs/>
                <w:color w:val="FFFFFF"/>
                <w:sz w:val="20"/>
                <w:szCs w:val="20"/>
              </w:rPr>
              <w:t>Research Phase</w:t>
            </w:r>
          </w:p>
        </w:tc>
        <w:tc>
          <w:tcPr>
            <w:tcW w:w="837" w:type="dxa"/>
            <w:tcBorders>
              <w:top w:val="single" w:sz="1" w:space="0" w:color="BBBBBB"/>
              <w:left w:val="single" w:sz="1" w:space="0" w:color="BBBBBB"/>
              <w:bottom w:val="single" w:sz="1" w:space="0" w:color="BBBBBB"/>
              <w:right w:val="single" w:sz="1" w:space="0" w:color="BBBBBB"/>
            </w:tcBorders>
            <w:shd w:val="clear" w:color="auto" w:fill="1A3C6E"/>
            <w:tcMar>
              <w:top w:w="80" w:type="dxa"/>
              <w:left w:w="40" w:type="dxa"/>
              <w:bottom w:w="80" w:type="dxa"/>
              <w:right w:w="40" w:type="dxa"/>
            </w:tcMar>
          </w:tcPr>
          <w:p w14:paraId="795243DF" w14:textId="77777777" w:rsidR="00A556DA" w:rsidRDefault="00A556DA" w:rsidP="00060639">
            <w:pPr>
              <w:jc w:val="center"/>
            </w:pPr>
            <w:r>
              <w:rPr>
                <w:b/>
                <w:bCs/>
                <w:color w:val="FFFFFF"/>
                <w:sz w:val="20"/>
                <w:szCs w:val="20"/>
              </w:rPr>
              <w:t>M1</w:t>
            </w:r>
          </w:p>
        </w:tc>
        <w:tc>
          <w:tcPr>
            <w:tcW w:w="837" w:type="dxa"/>
            <w:tcBorders>
              <w:top w:val="single" w:sz="1" w:space="0" w:color="BBBBBB"/>
              <w:left w:val="single" w:sz="1" w:space="0" w:color="BBBBBB"/>
              <w:bottom w:val="single" w:sz="1" w:space="0" w:color="BBBBBB"/>
              <w:right w:val="single" w:sz="1" w:space="0" w:color="BBBBBB"/>
            </w:tcBorders>
            <w:shd w:val="clear" w:color="auto" w:fill="1A3C6E"/>
            <w:tcMar>
              <w:top w:w="80" w:type="dxa"/>
              <w:left w:w="40" w:type="dxa"/>
              <w:bottom w:w="80" w:type="dxa"/>
              <w:right w:w="40" w:type="dxa"/>
            </w:tcMar>
          </w:tcPr>
          <w:p w14:paraId="6402C176" w14:textId="77777777" w:rsidR="00A556DA" w:rsidRDefault="00A556DA" w:rsidP="00060639">
            <w:pPr>
              <w:jc w:val="center"/>
            </w:pPr>
            <w:r>
              <w:rPr>
                <w:b/>
                <w:bCs/>
                <w:color w:val="FFFFFF"/>
                <w:sz w:val="20"/>
                <w:szCs w:val="20"/>
              </w:rPr>
              <w:t>M2</w:t>
            </w:r>
          </w:p>
        </w:tc>
        <w:tc>
          <w:tcPr>
            <w:tcW w:w="837" w:type="dxa"/>
            <w:tcBorders>
              <w:top w:val="single" w:sz="1" w:space="0" w:color="BBBBBB"/>
              <w:left w:val="single" w:sz="1" w:space="0" w:color="BBBBBB"/>
              <w:bottom w:val="single" w:sz="1" w:space="0" w:color="BBBBBB"/>
              <w:right w:val="single" w:sz="1" w:space="0" w:color="BBBBBB"/>
            </w:tcBorders>
            <w:shd w:val="clear" w:color="auto" w:fill="1A3C6E"/>
            <w:tcMar>
              <w:top w:w="80" w:type="dxa"/>
              <w:left w:w="40" w:type="dxa"/>
              <w:bottom w:w="80" w:type="dxa"/>
              <w:right w:w="40" w:type="dxa"/>
            </w:tcMar>
          </w:tcPr>
          <w:p w14:paraId="58C4CB05" w14:textId="77777777" w:rsidR="00A556DA" w:rsidRDefault="00A556DA" w:rsidP="00060639">
            <w:pPr>
              <w:jc w:val="center"/>
            </w:pPr>
            <w:r>
              <w:rPr>
                <w:b/>
                <w:bCs/>
                <w:color w:val="FFFFFF"/>
                <w:sz w:val="20"/>
                <w:szCs w:val="20"/>
              </w:rPr>
              <w:t>M3</w:t>
            </w:r>
          </w:p>
        </w:tc>
        <w:tc>
          <w:tcPr>
            <w:tcW w:w="837" w:type="dxa"/>
            <w:tcBorders>
              <w:top w:val="single" w:sz="1" w:space="0" w:color="BBBBBB"/>
              <w:left w:val="single" w:sz="1" w:space="0" w:color="BBBBBB"/>
              <w:bottom w:val="single" w:sz="1" w:space="0" w:color="BBBBBB"/>
              <w:right w:val="single" w:sz="1" w:space="0" w:color="BBBBBB"/>
            </w:tcBorders>
            <w:shd w:val="clear" w:color="auto" w:fill="1A3C6E"/>
            <w:tcMar>
              <w:top w:w="80" w:type="dxa"/>
              <w:left w:w="40" w:type="dxa"/>
              <w:bottom w:w="80" w:type="dxa"/>
              <w:right w:w="40" w:type="dxa"/>
            </w:tcMar>
          </w:tcPr>
          <w:p w14:paraId="10AD6206" w14:textId="77777777" w:rsidR="00A556DA" w:rsidRDefault="00A556DA" w:rsidP="00060639">
            <w:pPr>
              <w:jc w:val="center"/>
            </w:pPr>
            <w:r>
              <w:rPr>
                <w:b/>
                <w:bCs/>
                <w:color w:val="FFFFFF"/>
                <w:sz w:val="20"/>
                <w:szCs w:val="20"/>
              </w:rPr>
              <w:t>M4</w:t>
            </w:r>
          </w:p>
        </w:tc>
        <w:tc>
          <w:tcPr>
            <w:tcW w:w="837" w:type="dxa"/>
            <w:tcBorders>
              <w:top w:val="single" w:sz="1" w:space="0" w:color="BBBBBB"/>
              <w:left w:val="single" w:sz="1" w:space="0" w:color="BBBBBB"/>
              <w:bottom w:val="single" w:sz="1" w:space="0" w:color="BBBBBB"/>
              <w:right w:val="single" w:sz="1" w:space="0" w:color="BBBBBB"/>
            </w:tcBorders>
            <w:shd w:val="clear" w:color="auto" w:fill="1A3C6E"/>
            <w:tcMar>
              <w:top w:w="80" w:type="dxa"/>
              <w:left w:w="40" w:type="dxa"/>
              <w:bottom w:w="80" w:type="dxa"/>
              <w:right w:w="40" w:type="dxa"/>
            </w:tcMar>
          </w:tcPr>
          <w:p w14:paraId="66964689" w14:textId="77777777" w:rsidR="00A556DA" w:rsidRDefault="00A556DA" w:rsidP="00060639">
            <w:pPr>
              <w:jc w:val="center"/>
            </w:pPr>
            <w:r>
              <w:rPr>
                <w:b/>
                <w:bCs/>
                <w:color w:val="FFFFFF"/>
                <w:sz w:val="20"/>
                <w:szCs w:val="20"/>
              </w:rPr>
              <w:t>M5</w:t>
            </w:r>
          </w:p>
        </w:tc>
        <w:tc>
          <w:tcPr>
            <w:tcW w:w="837" w:type="dxa"/>
            <w:tcBorders>
              <w:top w:val="single" w:sz="1" w:space="0" w:color="BBBBBB"/>
              <w:left w:val="single" w:sz="1" w:space="0" w:color="BBBBBB"/>
              <w:bottom w:val="single" w:sz="1" w:space="0" w:color="BBBBBB"/>
              <w:right w:val="single" w:sz="1" w:space="0" w:color="BBBBBB"/>
            </w:tcBorders>
            <w:shd w:val="clear" w:color="auto" w:fill="1A3C6E"/>
            <w:tcMar>
              <w:top w:w="80" w:type="dxa"/>
              <w:left w:w="40" w:type="dxa"/>
              <w:bottom w:w="80" w:type="dxa"/>
              <w:right w:w="40" w:type="dxa"/>
            </w:tcMar>
          </w:tcPr>
          <w:p w14:paraId="2E1CE51D" w14:textId="77777777" w:rsidR="00A556DA" w:rsidRDefault="00A556DA" w:rsidP="00060639">
            <w:pPr>
              <w:jc w:val="center"/>
            </w:pPr>
            <w:r>
              <w:rPr>
                <w:b/>
                <w:bCs/>
                <w:color w:val="FFFFFF"/>
                <w:sz w:val="20"/>
                <w:szCs w:val="20"/>
              </w:rPr>
              <w:t>M6</w:t>
            </w:r>
          </w:p>
        </w:tc>
        <w:tc>
          <w:tcPr>
            <w:tcW w:w="837" w:type="dxa"/>
            <w:tcBorders>
              <w:top w:val="single" w:sz="1" w:space="0" w:color="BBBBBB"/>
              <w:left w:val="single" w:sz="1" w:space="0" w:color="BBBBBB"/>
              <w:bottom w:val="single" w:sz="1" w:space="0" w:color="BBBBBB"/>
              <w:right w:val="single" w:sz="1" w:space="0" w:color="BBBBBB"/>
            </w:tcBorders>
            <w:shd w:val="clear" w:color="auto" w:fill="1A3C6E"/>
            <w:tcMar>
              <w:top w:w="80" w:type="dxa"/>
              <w:left w:w="40" w:type="dxa"/>
              <w:bottom w:w="80" w:type="dxa"/>
              <w:right w:w="40" w:type="dxa"/>
            </w:tcMar>
          </w:tcPr>
          <w:p w14:paraId="258E603B" w14:textId="77777777" w:rsidR="00A556DA" w:rsidRDefault="00A556DA" w:rsidP="00060639">
            <w:pPr>
              <w:jc w:val="center"/>
            </w:pPr>
            <w:r>
              <w:rPr>
                <w:b/>
                <w:bCs/>
                <w:color w:val="FFFFFF"/>
                <w:sz w:val="20"/>
                <w:szCs w:val="20"/>
              </w:rPr>
              <w:t>M7</w:t>
            </w:r>
          </w:p>
        </w:tc>
        <w:tc>
          <w:tcPr>
            <w:tcW w:w="837" w:type="dxa"/>
            <w:tcBorders>
              <w:top w:val="single" w:sz="1" w:space="0" w:color="BBBBBB"/>
              <w:left w:val="single" w:sz="1" w:space="0" w:color="BBBBBB"/>
              <w:bottom w:val="single" w:sz="1" w:space="0" w:color="BBBBBB"/>
              <w:right w:val="single" w:sz="1" w:space="0" w:color="BBBBBB"/>
            </w:tcBorders>
            <w:shd w:val="clear" w:color="auto" w:fill="1A3C6E"/>
            <w:tcMar>
              <w:top w:w="80" w:type="dxa"/>
              <w:left w:w="40" w:type="dxa"/>
              <w:bottom w:w="80" w:type="dxa"/>
              <w:right w:w="40" w:type="dxa"/>
            </w:tcMar>
          </w:tcPr>
          <w:p w14:paraId="620E70FA" w14:textId="77777777" w:rsidR="00A556DA" w:rsidRDefault="00A556DA" w:rsidP="00060639">
            <w:pPr>
              <w:jc w:val="center"/>
            </w:pPr>
            <w:r>
              <w:rPr>
                <w:b/>
                <w:bCs/>
                <w:color w:val="FFFFFF"/>
                <w:sz w:val="20"/>
                <w:szCs w:val="20"/>
              </w:rPr>
              <w:t>M8</w:t>
            </w:r>
          </w:p>
        </w:tc>
      </w:tr>
      <w:tr w:rsidR="00A556DA" w14:paraId="722FAB76" w14:textId="77777777" w:rsidTr="00060639">
        <w:tc>
          <w:tcPr>
            <w:tcW w:w="2300"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2D3303F6" w14:textId="77777777" w:rsidR="00A556DA" w:rsidRDefault="00A556DA" w:rsidP="00060639">
            <w:r>
              <w:rPr>
                <w:sz w:val="20"/>
                <w:szCs w:val="20"/>
              </w:rPr>
              <w:t>Phase 1: Literature Review &amp; Protocol Design</w:t>
            </w:r>
          </w:p>
        </w:tc>
        <w:tc>
          <w:tcPr>
            <w:tcW w:w="837" w:type="dxa"/>
            <w:tcBorders>
              <w:top w:val="single" w:sz="1" w:space="0" w:color="BBBBBB"/>
              <w:left w:val="single" w:sz="1" w:space="0" w:color="BBBBBB"/>
              <w:bottom w:val="single" w:sz="1" w:space="0" w:color="BBBBBB"/>
              <w:right w:val="single" w:sz="1" w:space="0" w:color="BBBBBB"/>
            </w:tcBorders>
            <w:shd w:val="clear" w:color="auto" w:fill="2E5FA3"/>
            <w:tcMar>
              <w:top w:w="80" w:type="dxa"/>
              <w:left w:w="40" w:type="dxa"/>
              <w:bottom w:w="80" w:type="dxa"/>
              <w:right w:w="40" w:type="dxa"/>
            </w:tcMar>
          </w:tcPr>
          <w:p w14:paraId="192BBA94" w14:textId="77777777" w:rsidR="00A556DA" w:rsidRDefault="00A556DA" w:rsidP="00060639">
            <w:pPr>
              <w:jc w:val="center"/>
            </w:pPr>
            <w:r>
              <w:rPr>
                <w:rFonts w:ascii="Segoe UI Symbol" w:hAnsi="Segoe UI Symbol" w:cs="Segoe UI Symbol"/>
                <w:b/>
                <w:bCs/>
                <w:color w:val="FFFFFF"/>
                <w:sz w:val="20"/>
                <w:szCs w:val="20"/>
              </w:rPr>
              <w:t>✓</w:t>
            </w:r>
          </w:p>
        </w:tc>
        <w:tc>
          <w:tcPr>
            <w:tcW w:w="837" w:type="dxa"/>
            <w:tcBorders>
              <w:top w:val="single" w:sz="1" w:space="0" w:color="BBBBBB"/>
              <w:left w:val="single" w:sz="1" w:space="0" w:color="BBBBBB"/>
              <w:bottom w:val="single" w:sz="1" w:space="0" w:color="BBBBBB"/>
              <w:right w:val="single" w:sz="1" w:space="0" w:color="BBBBBB"/>
            </w:tcBorders>
            <w:shd w:val="clear" w:color="auto" w:fill="2E5FA3"/>
            <w:tcMar>
              <w:top w:w="80" w:type="dxa"/>
              <w:left w:w="40" w:type="dxa"/>
              <w:bottom w:w="80" w:type="dxa"/>
              <w:right w:w="40" w:type="dxa"/>
            </w:tcMar>
          </w:tcPr>
          <w:p w14:paraId="3DA17ACF" w14:textId="77777777" w:rsidR="00A556DA" w:rsidRDefault="00A556DA" w:rsidP="00060639">
            <w:pPr>
              <w:jc w:val="center"/>
            </w:pPr>
            <w:r>
              <w:rPr>
                <w:rFonts w:ascii="Segoe UI Symbol" w:hAnsi="Segoe UI Symbol" w:cs="Segoe UI Symbol"/>
                <w:b/>
                <w:bCs/>
                <w:color w:val="FFFFFF"/>
                <w:sz w:val="20"/>
                <w:szCs w:val="20"/>
              </w:rPr>
              <w:t>✓</w:t>
            </w: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76F13621"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1EB69583"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5D929070"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5ABC0E53"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7B7E66BB"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3B38194E" w14:textId="77777777" w:rsidR="00A556DA" w:rsidRDefault="00A556DA" w:rsidP="00060639">
            <w:pPr>
              <w:jc w:val="center"/>
            </w:pPr>
          </w:p>
        </w:tc>
      </w:tr>
      <w:tr w:rsidR="00A556DA" w14:paraId="57C39C34" w14:textId="77777777" w:rsidTr="00060639">
        <w:tc>
          <w:tcPr>
            <w:tcW w:w="2300"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29D1BDD0" w14:textId="77777777" w:rsidR="00A556DA" w:rsidRDefault="00A556DA" w:rsidP="00060639">
            <w:r>
              <w:rPr>
                <w:sz w:val="20"/>
                <w:szCs w:val="20"/>
              </w:rPr>
              <w:t>Phase 2: Specimen Preparation &amp; Test Setup</w:t>
            </w: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6E6B966C"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2E5FA3"/>
            <w:tcMar>
              <w:top w:w="80" w:type="dxa"/>
              <w:left w:w="40" w:type="dxa"/>
              <w:bottom w:w="80" w:type="dxa"/>
              <w:right w:w="40" w:type="dxa"/>
            </w:tcMar>
          </w:tcPr>
          <w:p w14:paraId="3076A07A" w14:textId="77777777" w:rsidR="00A556DA" w:rsidRDefault="00A556DA" w:rsidP="00060639">
            <w:pPr>
              <w:jc w:val="center"/>
            </w:pPr>
            <w:r>
              <w:rPr>
                <w:rFonts w:ascii="Segoe UI Symbol" w:hAnsi="Segoe UI Symbol" w:cs="Segoe UI Symbol"/>
                <w:b/>
                <w:bCs/>
                <w:color w:val="FFFFFF"/>
                <w:sz w:val="20"/>
                <w:szCs w:val="20"/>
              </w:rPr>
              <w:t>✓</w:t>
            </w:r>
          </w:p>
        </w:tc>
        <w:tc>
          <w:tcPr>
            <w:tcW w:w="837" w:type="dxa"/>
            <w:tcBorders>
              <w:top w:val="single" w:sz="1" w:space="0" w:color="BBBBBB"/>
              <w:left w:val="single" w:sz="1" w:space="0" w:color="BBBBBB"/>
              <w:bottom w:val="single" w:sz="1" w:space="0" w:color="BBBBBB"/>
              <w:right w:val="single" w:sz="1" w:space="0" w:color="BBBBBB"/>
            </w:tcBorders>
            <w:shd w:val="clear" w:color="auto" w:fill="2E5FA3"/>
            <w:tcMar>
              <w:top w:w="80" w:type="dxa"/>
              <w:left w:w="40" w:type="dxa"/>
              <w:bottom w:w="80" w:type="dxa"/>
              <w:right w:w="40" w:type="dxa"/>
            </w:tcMar>
          </w:tcPr>
          <w:p w14:paraId="51F729E2" w14:textId="77777777" w:rsidR="00A556DA" w:rsidRDefault="00A556DA" w:rsidP="00060639">
            <w:pPr>
              <w:jc w:val="center"/>
            </w:pPr>
            <w:r>
              <w:rPr>
                <w:rFonts w:ascii="Segoe UI Symbol" w:hAnsi="Segoe UI Symbol" w:cs="Segoe UI Symbol"/>
                <w:b/>
                <w:bCs/>
                <w:color w:val="FFFFFF"/>
                <w:sz w:val="20"/>
                <w:szCs w:val="20"/>
              </w:rPr>
              <w:t>✓</w:t>
            </w: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120E9A79"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5548BF7D"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62E70CB4"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54DF3D9D"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134BA347" w14:textId="77777777" w:rsidR="00A556DA" w:rsidRDefault="00A556DA" w:rsidP="00060639">
            <w:pPr>
              <w:jc w:val="center"/>
            </w:pPr>
          </w:p>
        </w:tc>
      </w:tr>
      <w:tr w:rsidR="00A556DA" w14:paraId="1FB7A310" w14:textId="77777777" w:rsidTr="00060639">
        <w:tc>
          <w:tcPr>
            <w:tcW w:w="2300"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064C66B0" w14:textId="77777777" w:rsidR="00A556DA" w:rsidRDefault="00A556DA" w:rsidP="00060639">
            <w:r>
              <w:rPr>
                <w:sz w:val="20"/>
                <w:szCs w:val="20"/>
              </w:rPr>
              <w:t>Phase 3: Laboratory Testing (B117, ISO 9227, CCT)</w:t>
            </w: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3C0C21B7"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387630AA"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2E5FA3"/>
            <w:tcMar>
              <w:top w:w="80" w:type="dxa"/>
              <w:left w:w="40" w:type="dxa"/>
              <w:bottom w:w="80" w:type="dxa"/>
              <w:right w:w="40" w:type="dxa"/>
            </w:tcMar>
          </w:tcPr>
          <w:p w14:paraId="2935B2AA" w14:textId="77777777" w:rsidR="00A556DA" w:rsidRDefault="00A556DA" w:rsidP="00060639">
            <w:pPr>
              <w:jc w:val="center"/>
            </w:pPr>
            <w:r>
              <w:rPr>
                <w:rFonts w:ascii="Segoe UI Symbol" w:hAnsi="Segoe UI Symbol" w:cs="Segoe UI Symbol"/>
                <w:b/>
                <w:bCs/>
                <w:color w:val="FFFFFF"/>
                <w:sz w:val="20"/>
                <w:szCs w:val="20"/>
              </w:rPr>
              <w:t>✓</w:t>
            </w:r>
          </w:p>
        </w:tc>
        <w:tc>
          <w:tcPr>
            <w:tcW w:w="837" w:type="dxa"/>
            <w:tcBorders>
              <w:top w:val="single" w:sz="1" w:space="0" w:color="BBBBBB"/>
              <w:left w:val="single" w:sz="1" w:space="0" w:color="BBBBBB"/>
              <w:bottom w:val="single" w:sz="1" w:space="0" w:color="BBBBBB"/>
              <w:right w:val="single" w:sz="1" w:space="0" w:color="BBBBBB"/>
            </w:tcBorders>
            <w:shd w:val="clear" w:color="auto" w:fill="2E5FA3"/>
            <w:tcMar>
              <w:top w:w="80" w:type="dxa"/>
              <w:left w:w="40" w:type="dxa"/>
              <w:bottom w:w="80" w:type="dxa"/>
              <w:right w:w="40" w:type="dxa"/>
            </w:tcMar>
          </w:tcPr>
          <w:p w14:paraId="0C13F37C" w14:textId="77777777" w:rsidR="00A556DA" w:rsidRDefault="00A556DA" w:rsidP="00060639">
            <w:pPr>
              <w:jc w:val="center"/>
            </w:pPr>
            <w:r>
              <w:rPr>
                <w:rFonts w:ascii="Segoe UI Symbol" w:hAnsi="Segoe UI Symbol" w:cs="Segoe UI Symbol"/>
                <w:b/>
                <w:bCs/>
                <w:color w:val="FFFFFF"/>
                <w:sz w:val="20"/>
                <w:szCs w:val="20"/>
              </w:rPr>
              <w:t>✓</w:t>
            </w:r>
          </w:p>
        </w:tc>
        <w:tc>
          <w:tcPr>
            <w:tcW w:w="837" w:type="dxa"/>
            <w:tcBorders>
              <w:top w:val="single" w:sz="1" w:space="0" w:color="BBBBBB"/>
              <w:left w:val="single" w:sz="1" w:space="0" w:color="BBBBBB"/>
              <w:bottom w:val="single" w:sz="1" w:space="0" w:color="BBBBBB"/>
              <w:right w:val="single" w:sz="1" w:space="0" w:color="BBBBBB"/>
            </w:tcBorders>
            <w:shd w:val="clear" w:color="auto" w:fill="2E5FA3"/>
            <w:tcMar>
              <w:top w:w="80" w:type="dxa"/>
              <w:left w:w="40" w:type="dxa"/>
              <w:bottom w:w="80" w:type="dxa"/>
              <w:right w:w="40" w:type="dxa"/>
            </w:tcMar>
          </w:tcPr>
          <w:p w14:paraId="747099B6" w14:textId="77777777" w:rsidR="00A556DA" w:rsidRDefault="00A556DA" w:rsidP="00060639">
            <w:pPr>
              <w:jc w:val="center"/>
            </w:pPr>
            <w:r>
              <w:rPr>
                <w:rFonts w:ascii="Segoe UI Symbol" w:hAnsi="Segoe UI Symbol" w:cs="Segoe UI Symbol"/>
                <w:b/>
                <w:bCs/>
                <w:color w:val="FFFFFF"/>
                <w:sz w:val="20"/>
                <w:szCs w:val="20"/>
              </w:rPr>
              <w:t>✓</w:t>
            </w: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1EC5C7C4"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248D6C5E"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60831489" w14:textId="77777777" w:rsidR="00A556DA" w:rsidRDefault="00A556DA" w:rsidP="00060639">
            <w:pPr>
              <w:jc w:val="center"/>
            </w:pPr>
          </w:p>
        </w:tc>
      </w:tr>
      <w:tr w:rsidR="00A556DA" w14:paraId="31872D44" w14:textId="77777777" w:rsidTr="00060639">
        <w:tc>
          <w:tcPr>
            <w:tcW w:w="2300"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62F767BD" w14:textId="77777777" w:rsidR="00A556DA" w:rsidRDefault="00A556DA" w:rsidP="00060639">
            <w:r>
              <w:rPr>
                <w:sz w:val="20"/>
                <w:szCs w:val="20"/>
              </w:rPr>
              <w:t>Phase 4: Surface &amp; Gravimetric Analysis</w:t>
            </w: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4853B013"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4D96B0C1"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2907AC83"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2671F39C"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2E5FA3"/>
            <w:tcMar>
              <w:top w:w="80" w:type="dxa"/>
              <w:left w:w="40" w:type="dxa"/>
              <w:bottom w:w="80" w:type="dxa"/>
              <w:right w:w="40" w:type="dxa"/>
            </w:tcMar>
          </w:tcPr>
          <w:p w14:paraId="7C9B6F3A" w14:textId="77777777" w:rsidR="00A556DA" w:rsidRDefault="00A556DA" w:rsidP="00060639">
            <w:pPr>
              <w:jc w:val="center"/>
            </w:pPr>
            <w:r>
              <w:rPr>
                <w:rFonts w:ascii="Segoe UI Symbol" w:hAnsi="Segoe UI Symbol" w:cs="Segoe UI Symbol"/>
                <w:b/>
                <w:bCs/>
                <w:color w:val="FFFFFF"/>
                <w:sz w:val="20"/>
                <w:szCs w:val="20"/>
              </w:rPr>
              <w:t>✓</w:t>
            </w:r>
          </w:p>
        </w:tc>
        <w:tc>
          <w:tcPr>
            <w:tcW w:w="837" w:type="dxa"/>
            <w:tcBorders>
              <w:top w:val="single" w:sz="1" w:space="0" w:color="BBBBBB"/>
              <w:left w:val="single" w:sz="1" w:space="0" w:color="BBBBBB"/>
              <w:bottom w:val="single" w:sz="1" w:space="0" w:color="BBBBBB"/>
              <w:right w:val="single" w:sz="1" w:space="0" w:color="BBBBBB"/>
            </w:tcBorders>
            <w:shd w:val="clear" w:color="auto" w:fill="2E5FA3"/>
            <w:tcMar>
              <w:top w:w="80" w:type="dxa"/>
              <w:left w:w="40" w:type="dxa"/>
              <w:bottom w:w="80" w:type="dxa"/>
              <w:right w:w="40" w:type="dxa"/>
            </w:tcMar>
          </w:tcPr>
          <w:p w14:paraId="7206EFD1" w14:textId="77777777" w:rsidR="00A556DA" w:rsidRDefault="00A556DA" w:rsidP="00060639">
            <w:pPr>
              <w:jc w:val="center"/>
            </w:pPr>
            <w:r>
              <w:rPr>
                <w:rFonts w:ascii="Segoe UI Symbol" w:hAnsi="Segoe UI Symbol" w:cs="Segoe UI Symbol"/>
                <w:b/>
                <w:bCs/>
                <w:color w:val="FFFFFF"/>
                <w:sz w:val="20"/>
                <w:szCs w:val="20"/>
              </w:rPr>
              <w:t>✓</w:t>
            </w: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0F2B0690"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00A76981" w14:textId="77777777" w:rsidR="00A556DA" w:rsidRDefault="00A556DA" w:rsidP="00060639">
            <w:pPr>
              <w:jc w:val="center"/>
            </w:pPr>
          </w:p>
        </w:tc>
      </w:tr>
      <w:tr w:rsidR="00A556DA" w14:paraId="6A13C806" w14:textId="77777777" w:rsidTr="00060639">
        <w:tc>
          <w:tcPr>
            <w:tcW w:w="2300"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29E05469" w14:textId="77777777" w:rsidR="00A556DA" w:rsidRDefault="00A556DA" w:rsidP="00060639">
            <w:r>
              <w:rPr>
                <w:sz w:val="20"/>
                <w:szCs w:val="20"/>
              </w:rPr>
              <w:t>Phase 5: Correlation Analysis &amp; Statistics</w:t>
            </w: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1E1302CC"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5A5F023E"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09E5FA94"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56CAA6BA"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376B18CB"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2E5FA3"/>
            <w:tcMar>
              <w:top w:w="80" w:type="dxa"/>
              <w:left w:w="40" w:type="dxa"/>
              <w:bottom w:w="80" w:type="dxa"/>
              <w:right w:w="40" w:type="dxa"/>
            </w:tcMar>
          </w:tcPr>
          <w:p w14:paraId="22A2FAD1" w14:textId="77777777" w:rsidR="00A556DA" w:rsidRDefault="00A556DA" w:rsidP="00060639">
            <w:pPr>
              <w:jc w:val="center"/>
            </w:pPr>
            <w:r>
              <w:rPr>
                <w:rFonts w:ascii="Segoe UI Symbol" w:hAnsi="Segoe UI Symbol" w:cs="Segoe UI Symbol"/>
                <w:b/>
                <w:bCs/>
                <w:color w:val="FFFFFF"/>
                <w:sz w:val="20"/>
                <w:szCs w:val="20"/>
              </w:rPr>
              <w:t>✓</w:t>
            </w:r>
          </w:p>
        </w:tc>
        <w:tc>
          <w:tcPr>
            <w:tcW w:w="837" w:type="dxa"/>
            <w:tcBorders>
              <w:top w:val="single" w:sz="1" w:space="0" w:color="BBBBBB"/>
              <w:left w:val="single" w:sz="1" w:space="0" w:color="BBBBBB"/>
              <w:bottom w:val="single" w:sz="1" w:space="0" w:color="BBBBBB"/>
              <w:right w:val="single" w:sz="1" w:space="0" w:color="BBBBBB"/>
            </w:tcBorders>
            <w:shd w:val="clear" w:color="auto" w:fill="2E5FA3"/>
            <w:tcMar>
              <w:top w:w="80" w:type="dxa"/>
              <w:left w:w="40" w:type="dxa"/>
              <w:bottom w:w="80" w:type="dxa"/>
              <w:right w:w="40" w:type="dxa"/>
            </w:tcMar>
          </w:tcPr>
          <w:p w14:paraId="617CD9F3" w14:textId="77777777" w:rsidR="00A556DA" w:rsidRDefault="00A556DA" w:rsidP="00060639">
            <w:pPr>
              <w:jc w:val="center"/>
            </w:pPr>
            <w:r>
              <w:rPr>
                <w:rFonts w:ascii="Segoe UI Symbol" w:hAnsi="Segoe UI Symbol" w:cs="Segoe UI Symbol"/>
                <w:b/>
                <w:bCs/>
                <w:color w:val="FFFFFF"/>
                <w:sz w:val="20"/>
                <w:szCs w:val="20"/>
              </w:rPr>
              <w:t>✓</w:t>
            </w: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0DC217B2" w14:textId="77777777" w:rsidR="00A556DA" w:rsidRDefault="00A556DA" w:rsidP="00060639">
            <w:pPr>
              <w:jc w:val="center"/>
            </w:pPr>
          </w:p>
        </w:tc>
      </w:tr>
      <w:tr w:rsidR="00A556DA" w14:paraId="18451FF0" w14:textId="77777777" w:rsidTr="00060639">
        <w:tc>
          <w:tcPr>
            <w:tcW w:w="2300" w:type="dxa"/>
            <w:tcBorders>
              <w:top w:val="single" w:sz="1" w:space="0" w:color="BBBBBB"/>
              <w:left w:val="single" w:sz="1" w:space="0" w:color="BBBBBB"/>
              <w:bottom w:val="single" w:sz="1" w:space="0" w:color="BBBBBB"/>
              <w:right w:val="single" w:sz="1" w:space="0" w:color="BBBBBB"/>
            </w:tcBorders>
            <w:tcMar>
              <w:top w:w="80" w:type="dxa"/>
              <w:left w:w="120" w:type="dxa"/>
              <w:bottom w:w="80" w:type="dxa"/>
              <w:right w:w="120" w:type="dxa"/>
            </w:tcMar>
          </w:tcPr>
          <w:p w14:paraId="13ED8F82" w14:textId="77777777" w:rsidR="00A556DA" w:rsidRDefault="00A556DA" w:rsidP="00060639">
            <w:r>
              <w:rPr>
                <w:sz w:val="20"/>
                <w:szCs w:val="20"/>
              </w:rPr>
              <w:t>Phase 6: Writing, Review &amp; Submission</w:t>
            </w: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1BA73556"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78B5E62D"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754C468E"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0A3B9952"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2B758946"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F5F5F5"/>
            <w:tcMar>
              <w:top w:w="80" w:type="dxa"/>
              <w:left w:w="40" w:type="dxa"/>
              <w:bottom w:w="80" w:type="dxa"/>
              <w:right w:w="40" w:type="dxa"/>
            </w:tcMar>
          </w:tcPr>
          <w:p w14:paraId="57201BE5" w14:textId="77777777" w:rsidR="00A556DA" w:rsidRDefault="00A556DA" w:rsidP="00060639">
            <w:pPr>
              <w:jc w:val="center"/>
            </w:pPr>
          </w:p>
        </w:tc>
        <w:tc>
          <w:tcPr>
            <w:tcW w:w="837" w:type="dxa"/>
            <w:tcBorders>
              <w:top w:val="single" w:sz="1" w:space="0" w:color="BBBBBB"/>
              <w:left w:val="single" w:sz="1" w:space="0" w:color="BBBBBB"/>
              <w:bottom w:val="single" w:sz="1" w:space="0" w:color="BBBBBB"/>
              <w:right w:val="single" w:sz="1" w:space="0" w:color="BBBBBB"/>
            </w:tcBorders>
            <w:shd w:val="clear" w:color="auto" w:fill="2E5FA3"/>
            <w:tcMar>
              <w:top w:w="80" w:type="dxa"/>
              <w:left w:w="40" w:type="dxa"/>
              <w:bottom w:w="80" w:type="dxa"/>
              <w:right w:w="40" w:type="dxa"/>
            </w:tcMar>
          </w:tcPr>
          <w:p w14:paraId="05DAF564" w14:textId="77777777" w:rsidR="00A556DA" w:rsidRDefault="00A556DA" w:rsidP="00060639">
            <w:pPr>
              <w:jc w:val="center"/>
            </w:pPr>
            <w:r>
              <w:rPr>
                <w:rFonts w:ascii="Segoe UI Symbol" w:hAnsi="Segoe UI Symbol" w:cs="Segoe UI Symbol"/>
                <w:b/>
                <w:bCs/>
                <w:color w:val="FFFFFF"/>
                <w:sz w:val="20"/>
                <w:szCs w:val="20"/>
              </w:rPr>
              <w:t>✓</w:t>
            </w:r>
          </w:p>
        </w:tc>
        <w:tc>
          <w:tcPr>
            <w:tcW w:w="837" w:type="dxa"/>
            <w:tcBorders>
              <w:top w:val="single" w:sz="1" w:space="0" w:color="BBBBBB"/>
              <w:left w:val="single" w:sz="1" w:space="0" w:color="BBBBBB"/>
              <w:bottom w:val="single" w:sz="1" w:space="0" w:color="BBBBBB"/>
              <w:right w:val="single" w:sz="1" w:space="0" w:color="BBBBBB"/>
            </w:tcBorders>
            <w:shd w:val="clear" w:color="auto" w:fill="2E5FA3"/>
            <w:tcMar>
              <w:top w:w="80" w:type="dxa"/>
              <w:left w:w="40" w:type="dxa"/>
              <w:bottom w:w="80" w:type="dxa"/>
              <w:right w:w="40" w:type="dxa"/>
            </w:tcMar>
          </w:tcPr>
          <w:p w14:paraId="3C049E99" w14:textId="77777777" w:rsidR="00A556DA" w:rsidRDefault="00A556DA" w:rsidP="00060639">
            <w:pPr>
              <w:jc w:val="center"/>
            </w:pPr>
            <w:r>
              <w:rPr>
                <w:rFonts w:ascii="Segoe UI Symbol" w:hAnsi="Segoe UI Symbol" w:cs="Segoe UI Symbol"/>
                <w:b/>
                <w:bCs/>
                <w:color w:val="FFFFFF"/>
                <w:sz w:val="20"/>
                <w:szCs w:val="20"/>
              </w:rPr>
              <w:t>✓</w:t>
            </w:r>
          </w:p>
        </w:tc>
      </w:tr>
    </w:tbl>
    <w:p w14:paraId="00486323" w14:textId="77777777" w:rsidR="0033266F" w:rsidRDefault="0033266F" w:rsidP="0033266F">
      <w:pPr>
        <w:rPr>
          <w:rFonts w:ascii="Segoe UI Symbol" w:hAnsi="Segoe UI Symbol" w:cs="Segoe UI Symbol"/>
        </w:rPr>
      </w:pPr>
    </w:p>
    <w:p w14:paraId="1FABA2E9" w14:textId="4AE91F67" w:rsidR="00A556DA" w:rsidRDefault="00A556DA">
      <w:pPr>
        <w:spacing w:line="278" w:lineRule="auto"/>
        <w:jc w:val="left"/>
      </w:pPr>
      <w:r>
        <w:br w:type="page"/>
      </w:r>
    </w:p>
    <w:p w14:paraId="6C668DC1" w14:textId="35614AAC" w:rsidR="0033266F" w:rsidRDefault="00A556DA" w:rsidP="00A556DA">
      <w:pPr>
        <w:pStyle w:val="Heading1"/>
      </w:pPr>
      <w:r>
        <w:lastRenderedPageBreak/>
        <w:t>References</w:t>
      </w:r>
    </w:p>
    <w:p w14:paraId="26CC3886" w14:textId="77777777" w:rsidR="00A556DA" w:rsidRPr="00A556DA" w:rsidRDefault="00A556DA" w:rsidP="00A556DA">
      <w:r w:rsidRPr="00A556DA">
        <w:t xml:space="preserve">ASTM (2019). </w:t>
      </w:r>
      <w:r w:rsidRPr="00A556DA">
        <w:rPr>
          <w:i/>
          <w:iCs/>
        </w:rPr>
        <w:t>ASTM B117-19: Standard Practice for Operating Salt Spray (Fog) Apparatus</w:t>
      </w:r>
      <w:r w:rsidRPr="00A556DA">
        <w:t>. West Conshohocken, PA: ASTM International.</w:t>
      </w:r>
    </w:p>
    <w:p w14:paraId="03A12A6D" w14:textId="77777777" w:rsidR="00A556DA" w:rsidRPr="00A556DA" w:rsidRDefault="00A556DA" w:rsidP="00A556DA">
      <w:r w:rsidRPr="00A556DA">
        <w:t xml:space="preserve">Cornet, A.J., </w:t>
      </w:r>
      <w:proofErr w:type="spellStart"/>
      <w:r w:rsidRPr="00A556DA">
        <w:t>Homborg</w:t>
      </w:r>
      <w:proofErr w:type="spellEnd"/>
      <w:r w:rsidRPr="00A556DA">
        <w:t>, A.M., Hoen-</w:t>
      </w:r>
      <w:proofErr w:type="spellStart"/>
      <w:r w:rsidRPr="00A556DA">
        <w:t>Velterop</w:t>
      </w:r>
      <w:proofErr w:type="spellEnd"/>
      <w:r w:rsidRPr="00A556DA">
        <w:t xml:space="preserve">, </w:t>
      </w:r>
      <w:proofErr w:type="spellStart"/>
      <w:r w:rsidRPr="00A556DA">
        <w:t>L.'t</w:t>
      </w:r>
      <w:proofErr w:type="spellEnd"/>
      <w:r w:rsidRPr="00A556DA">
        <w:t xml:space="preserve"> and Mol, J.M.C. (2025). 'Corrosion protective performance evaluation of structural aircraft coatings in cyclic salt spray, outdoor and in-service environments', </w:t>
      </w:r>
      <w:r w:rsidRPr="00A556DA">
        <w:rPr>
          <w:i/>
          <w:iCs/>
        </w:rPr>
        <w:t>Engineering Failure Analysis</w:t>
      </w:r>
      <w:r w:rsidRPr="00A556DA">
        <w:t xml:space="preserve">, 175, Article 109566. </w:t>
      </w:r>
      <w:proofErr w:type="spellStart"/>
      <w:r w:rsidRPr="00A556DA">
        <w:t>doi:</w:t>
      </w:r>
      <w:hyperlink r:id="rId8" w:history="1">
        <w:r w:rsidRPr="00A556DA">
          <w:rPr>
            <w:rStyle w:val="Hyperlink"/>
          </w:rPr>
          <w:t>https</w:t>
        </w:r>
        <w:proofErr w:type="spellEnd"/>
        <w:r w:rsidRPr="00A556DA">
          <w:rPr>
            <w:rStyle w:val="Hyperlink"/>
          </w:rPr>
          <w:t>://doi.org/10.1016/j.engfailanal.2025.109566</w:t>
        </w:r>
      </w:hyperlink>
    </w:p>
    <w:p w14:paraId="58E53E7C" w14:textId="77777777" w:rsidR="00A556DA" w:rsidRPr="00A556DA" w:rsidRDefault="00A556DA" w:rsidP="00A556DA">
      <w:r w:rsidRPr="00A556DA">
        <w:t xml:space="preserve">Creswell, J. (2014). </w:t>
      </w:r>
      <w:r w:rsidRPr="00A556DA">
        <w:rPr>
          <w:i/>
          <w:iCs/>
        </w:rPr>
        <w:t>Research Design: Qualitative, Quantitative, and Mixed Methods Approaches</w:t>
      </w:r>
      <w:r w:rsidRPr="00A556DA">
        <w:t xml:space="preserve">. 4th </w:t>
      </w:r>
      <w:proofErr w:type="spellStart"/>
      <w:r w:rsidRPr="00A556DA">
        <w:t>edn</w:t>
      </w:r>
      <w:proofErr w:type="spellEnd"/>
      <w:r w:rsidRPr="00A556DA">
        <w:t>. London: Sage Publications.</w:t>
      </w:r>
    </w:p>
    <w:p w14:paraId="6D9AFF4C" w14:textId="77777777" w:rsidR="00A556DA" w:rsidRPr="00A556DA" w:rsidRDefault="00A556DA" w:rsidP="00A556DA">
      <w:r w:rsidRPr="00A556DA">
        <w:t xml:space="preserve">Dong, B., Liu, W., Zhang, T., Chen, L., Fan, Y., Zhao, Y.-G. and </w:t>
      </w:r>
      <w:proofErr w:type="spellStart"/>
      <w:r w:rsidRPr="00A556DA">
        <w:t>Banthukul</w:t>
      </w:r>
      <w:proofErr w:type="spellEnd"/>
      <w:r w:rsidRPr="00A556DA">
        <w:t xml:space="preserve">, W. (2021). 'Corrosion failure analysis of low alloy steel and carbon steel rebar in tropical marine atmospheric environment', </w:t>
      </w:r>
      <w:r w:rsidRPr="00A556DA">
        <w:rPr>
          <w:i/>
          <w:iCs/>
        </w:rPr>
        <w:t>Engineering Failure Analysis</w:t>
      </w:r>
      <w:r w:rsidRPr="00A556DA">
        <w:t xml:space="preserve">, 129, Article 105720. </w:t>
      </w:r>
      <w:proofErr w:type="spellStart"/>
      <w:r w:rsidRPr="00A556DA">
        <w:t>doi:</w:t>
      </w:r>
      <w:hyperlink r:id="rId9" w:history="1">
        <w:r w:rsidRPr="00A556DA">
          <w:rPr>
            <w:rStyle w:val="Hyperlink"/>
          </w:rPr>
          <w:t>https</w:t>
        </w:r>
        <w:proofErr w:type="spellEnd"/>
        <w:r w:rsidRPr="00A556DA">
          <w:rPr>
            <w:rStyle w:val="Hyperlink"/>
          </w:rPr>
          <w:t>://doi.org/10.1016/j.engfailanal.2021.105720</w:t>
        </w:r>
      </w:hyperlink>
    </w:p>
    <w:p w14:paraId="6E410828" w14:textId="77777777" w:rsidR="00A556DA" w:rsidRPr="00A556DA" w:rsidRDefault="00A556DA" w:rsidP="00A556DA">
      <w:r w:rsidRPr="00A556DA">
        <w:t xml:space="preserve">ISO (2017). </w:t>
      </w:r>
      <w:r w:rsidRPr="00A556DA">
        <w:rPr>
          <w:i/>
          <w:iCs/>
        </w:rPr>
        <w:t>ISO 9227:2017: Corrosion Tests in Artificial Atmospheres — Salt Spray Tests</w:t>
      </w:r>
      <w:r w:rsidRPr="00A556DA">
        <w:t>. Geneva: International Organisation for Standardisation.</w:t>
      </w:r>
    </w:p>
    <w:p w14:paraId="4FE2E8FB" w14:textId="77777777" w:rsidR="00A556DA" w:rsidRPr="00A556DA" w:rsidRDefault="00A556DA" w:rsidP="00A556DA">
      <w:r w:rsidRPr="00A556DA">
        <w:t xml:space="preserve">Katona, R.M., Knight, A.W., Maguire, M., Bryan, C.R. and Schaller, R.F. (2023). 'Considerations for realistic atmospheric environments: An application to corrosion testing', </w:t>
      </w:r>
      <w:r w:rsidRPr="00A556DA">
        <w:rPr>
          <w:i/>
          <w:iCs/>
        </w:rPr>
        <w:t>Science of the Total Environment</w:t>
      </w:r>
      <w:r w:rsidRPr="00A556DA">
        <w:t xml:space="preserve">, 885, Article 163751. </w:t>
      </w:r>
      <w:proofErr w:type="spellStart"/>
      <w:r w:rsidRPr="00A556DA">
        <w:t>doi:</w:t>
      </w:r>
      <w:hyperlink r:id="rId10" w:history="1">
        <w:r w:rsidRPr="00A556DA">
          <w:rPr>
            <w:rStyle w:val="Hyperlink"/>
          </w:rPr>
          <w:t>https</w:t>
        </w:r>
        <w:proofErr w:type="spellEnd"/>
        <w:r w:rsidRPr="00A556DA">
          <w:rPr>
            <w:rStyle w:val="Hyperlink"/>
          </w:rPr>
          <w:t>://doi.org/10.1016/j.scitotenv.2023.163751</w:t>
        </w:r>
      </w:hyperlink>
    </w:p>
    <w:p w14:paraId="4F10C82A" w14:textId="77777777" w:rsidR="00A556DA" w:rsidRPr="00A556DA" w:rsidRDefault="00A556DA" w:rsidP="00A556DA">
      <w:r w:rsidRPr="00A556DA">
        <w:t xml:space="preserve">NACE International (2016). </w:t>
      </w:r>
      <w:r w:rsidRPr="00A556DA">
        <w:rPr>
          <w:i/>
          <w:iCs/>
        </w:rPr>
        <w:t>IMPACT Study: International Measures of Prevention, Application, and Economics of Corrosion Technology</w:t>
      </w:r>
      <w:r w:rsidRPr="00A556DA">
        <w:t>. Houston: NACE International.</w:t>
      </w:r>
    </w:p>
    <w:p w14:paraId="51DBCB13" w14:textId="77777777" w:rsidR="00A556DA" w:rsidRPr="00A556DA" w:rsidRDefault="00A556DA" w:rsidP="00A556DA">
      <w:r w:rsidRPr="00A556DA">
        <w:t xml:space="preserve">Peltier, F. and Thierry, D. (2024). 'Development of a reliable accelerated corrosion test for painted </w:t>
      </w:r>
      <w:proofErr w:type="spellStart"/>
      <w:r w:rsidRPr="00A556DA">
        <w:t>aluminum</w:t>
      </w:r>
      <w:proofErr w:type="spellEnd"/>
      <w:r w:rsidRPr="00A556DA">
        <w:t xml:space="preserve"> alloys used in the aerospace industry', </w:t>
      </w:r>
      <w:r w:rsidRPr="00A556DA">
        <w:rPr>
          <w:i/>
          <w:iCs/>
        </w:rPr>
        <w:t>Corrosion and Materials Degradation</w:t>
      </w:r>
      <w:r w:rsidRPr="00A556DA">
        <w:t xml:space="preserve">, 5(3), pp.427–438. </w:t>
      </w:r>
      <w:proofErr w:type="spellStart"/>
      <w:r w:rsidRPr="00A556DA">
        <w:t>doi:</w:t>
      </w:r>
      <w:hyperlink r:id="rId11" w:history="1">
        <w:r w:rsidRPr="00A556DA">
          <w:rPr>
            <w:rStyle w:val="Hyperlink"/>
          </w:rPr>
          <w:t>https</w:t>
        </w:r>
        <w:proofErr w:type="spellEnd"/>
        <w:r w:rsidRPr="00A556DA">
          <w:rPr>
            <w:rStyle w:val="Hyperlink"/>
          </w:rPr>
          <w:t>://doi.org/10.3390/cmd5030019</w:t>
        </w:r>
      </w:hyperlink>
    </w:p>
    <w:p w14:paraId="780A6D3E" w14:textId="77777777" w:rsidR="00A556DA" w:rsidRPr="00A556DA" w:rsidRDefault="00A556DA" w:rsidP="00A556DA">
      <w:r w:rsidRPr="00A556DA">
        <w:t xml:space="preserve">Schmid, M.J. (2024). 'Correlation between the anticorrosive performance of protective coatings under neutral salt spray testing and outdoor atmospheric and immersion exposure', </w:t>
      </w:r>
      <w:r w:rsidRPr="00A556DA">
        <w:rPr>
          <w:i/>
          <w:iCs/>
        </w:rPr>
        <w:t>Corrosion and Materials Degradation</w:t>
      </w:r>
      <w:r w:rsidRPr="00A556DA">
        <w:t xml:space="preserve">, 5(4), pp.490–512. </w:t>
      </w:r>
      <w:proofErr w:type="spellStart"/>
      <w:r w:rsidRPr="00A556DA">
        <w:t>doi:</w:t>
      </w:r>
      <w:hyperlink r:id="rId12" w:history="1">
        <w:r w:rsidRPr="00A556DA">
          <w:rPr>
            <w:rStyle w:val="Hyperlink"/>
          </w:rPr>
          <w:t>https</w:t>
        </w:r>
        <w:proofErr w:type="spellEnd"/>
        <w:r w:rsidRPr="00A556DA">
          <w:rPr>
            <w:rStyle w:val="Hyperlink"/>
          </w:rPr>
          <w:t>://doi.org/10.3390/cmd5040023</w:t>
        </w:r>
      </w:hyperlink>
    </w:p>
    <w:p w14:paraId="430DDF74" w14:textId="77777777" w:rsidR="00A556DA" w:rsidRDefault="00A556DA" w:rsidP="00A556DA">
      <w:r w:rsidRPr="00A556DA">
        <w:t xml:space="preserve">Zhang, L., Wang, Y., Feng, C., Liang, S., Liu, Y., Du, H. and Jia, N. (2021). 'Understanding the industrial NOx and SO2 pollutant emissions in China from sector linkage perspective', </w:t>
      </w:r>
      <w:r w:rsidRPr="00A556DA">
        <w:rPr>
          <w:i/>
          <w:iCs/>
        </w:rPr>
        <w:t xml:space="preserve">Science </w:t>
      </w:r>
      <w:r w:rsidRPr="00A556DA">
        <w:rPr>
          <w:i/>
          <w:iCs/>
        </w:rPr>
        <w:lastRenderedPageBreak/>
        <w:t>of the Total Environment</w:t>
      </w:r>
      <w:r w:rsidRPr="00A556DA">
        <w:t xml:space="preserve">, 770, Article 145242. </w:t>
      </w:r>
      <w:proofErr w:type="spellStart"/>
      <w:r w:rsidRPr="00A556DA">
        <w:t>doi:</w:t>
      </w:r>
      <w:hyperlink r:id="rId13" w:history="1">
        <w:r w:rsidRPr="00A556DA">
          <w:rPr>
            <w:rStyle w:val="Hyperlink"/>
          </w:rPr>
          <w:t>https</w:t>
        </w:r>
        <w:proofErr w:type="spellEnd"/>
        <w:r w:rsidRPr="00A556DA">
          <w:rPr>
            <w:rStyle w:val="Hyperlink"/>
          </w:rPr>
          <w:t>://doi.org/10.1016/j.scitotenv.2021.145242</w:t>
        </w:r>
      </w:hyperlink>
    </w:p>
    <w:p w14:paraId="5ADB87ED" w14:textId="6AF7C2AF" w:rsidR="00541739" w:rsidRDefault="00541739" w:rsidP="00A556DA">
      <w:r w:rsidRPr="00541739">
        <w:rPr>
          <w:lang w:val="en-US"/>
        </w:rPr>
        <w:t xml:space="preserve">Co., E. (2026, January 16). </w:t>
      </w:r>
      <w:r w:rsidRPr="00541739">
        <w:rPr>
          <w:i/>
          <w:iCs/>
          <w:lang w:val="en-US"/>
        </w:rPr>
        <w:t>Salt Spray Chamber: ASTM B117 Testing Guide | ITM-LAB</w:t>
      </w:r>
      <w:r w:rsidRPr="00541739">
        <w:rPr>
          <w:lang w:val="en-US"/>
        </w:rPr>
        <w:t xml:space="preserve">. Dongguan Huayi </w:t>
      </w:r>
      <w:proofErr w:type="spellStart"/>
      <w:r w:rsidRPr="00541739">
        <w:rPr>
          <w:lang w:val="en-US"/>
        </w:rPr>
        <w:t>Chuanghong</w:t>
      </w:r>
      <w:proofErr w:type="spellEnd"/>
      <w:r w:rsidRPr="00541739">
        <w:rPr>
          <w:lang w:val="en-US"/>
        </w:rPr>
        <w:t xml:space="preserve"> Testing Equipment Co., Ltd. </w:t>
      </w:r>
      <w:hyperlink r:id="rId14" w:history="1">
        <w:r w:rsidRPr="00541739">
          <w:rPr>
            <w:rStyle w:val="Hyperlink"/>
            <w:lang w:val="en-US"/>
          </w:rPr>
          <w:t>https://hi.itm-lab.com/article/salt-spray-chamber-astm-b117-corrosion-testing-guide.html/</w:t>
        </w:r>
      </w:hyperlink>
    </w:p>
    <w:p w14:paraId="792F3201" w14:textId="5A954717" w:rsidR="00541739" w:rsidRDefault="00541739" w:rsidP="00A556DA">
      <w:proofErr w:type="spellStart"/>
      <w:r w:rsidRPr="00541739">
        <w:rPr>
          <w:lang w:val="en-US"/>
        </w:rPr>
        <w:t>Lakhouil</w:t>
      </w:r>
      <w:proofErr w:type="spellEnd"/>
      <w:r w:rsidRPr="00541739">
        <w:rPr>
          <w:lang w:val="en-US"/>
        </w:rPr>
        <w:t xml:space="preserve">, S., </w:t>
      </w:r>
      <w:proofErr w:type="spellStart"/>
      <w:r w:rsidRPr="00541739">
        <w:rPr>
          <w:lang w:val="en-US"/>
        </w:rPr>
        <w:t>Boukheir</w:t>
      </w:r>
      <w:proofErr w:type="spellEnd"/>
      <w:r w:rsidRPr="00541739">
        <w:rPr>
          <w:lang w:val="en-US"/>
        </w:rPr>
        <w:t xml:space="preserve">, S., </w:t>
      </w:r>
      <w:proofErr w:type="spellStart"/>
      <w:r w:rsidRPr="00541739">
        <w:rPr>
          <w:lang w:val="en-US"/>
        </w:rPr>
        <w:t>Chbihi</w:t>
      </w:r>
      <w:proofErr w:type="spellEnd"/>
      <w:r w:rsidRPr="00541739">
        <w:rPr>
          <w:lang w:val="en-US"/>
        </w:rPr>
        <w:t xml:space="preserve">, A., &amp; </w:t>
      </w:r>
      <w:proofErr w:type="spellStart"/>
      <w:r w:rsidRPr="00541739">
        <w:rPr>
          <w:lang w:val="en-US"/>
        </w:rPr>
        <w:t>Naamane</w:t>
      </w:r>
      <w:proofErr w:type="spellEnd"/>
      <w:r w:rsidRPr="00541739">
        <w:rPr>
          <w:lang w:val="en-US"/>
        </w:rPr>
        <w:t xml:space="preserve">, S. (2021). Outdoor exposure approach in a harsh environment toward the study of corrosion aspects of primary solar reflectors. </w:t>
      </w:r>
      <w:r w:rsidRPr="00541739">
        <w:rPr>
          <w:i/>
          <w:iCs/>
          <w:lang w:val="en-US"/>
        </w:rPr>
        <w:t>Solar Energy</w:t>
      </w:r>
      <w:r w:rsidRPr="00541739">
        <w:rPr>
          <w:lang w:val="en-US"/>
        </w:rPr>
        <w:t xml:space="preserve">, </w:t>
      </w:r>
      <w:r w:rsidRPr="00541739">
        <w:rPr>
          <w:i/>
          <w:iCs/>
          <w:lang w:val="en-US"/>
        </w:rPr>
        <w:t>230</w:t>
      </w:r>
      <w:r w:rsidRPr="00541739">
        <w:rPr>
          <w:lang w:val="en-US"/>
        </w:rPr>
        <w:t xml:space="preserve">, 1070–1084. </w:t>
      </w:r>
      <w:hyperlink r:id="rId15" w:history="1">
        <w:r w:rsidRPr="00541739">
          <w:rPr>
            <w:rStyle w:val="Hyperlink"/>
            <w:lang w:val="en-US"/>
          </w:rPr>
          <w:t>https://doi.org/10.1016/j.solener.2021.11.013</w:t>
        </w:r>
      </w:hyperlink>
    </w:p>
    <w:p w14:paraId="4B1DB044" w14:textId="77777777" w:rsidR="00541739" w:rsidRPr="00541739" w:rsidRDefault="00541739" w:rsidP="00541739">
      <w:proofErr w:type="spellStart"/>
      <w:r w:rsidRPr="00541739">
        <w:rPr>
          <w:lang w:val="en-US"/>
        </w:rPr>
        <w:t>Szklarek</w:t>
      </w:r>
      <w:proofErr w:type="spellEnd"/>
      <w:r w:rsidRPr="00541739">
        <w:rPr>
          <w:lang w:val="en-US"/>
        </w:rPr>
        <w:t xml:space="preserve">, S., </w:t>
      </w:r>
      <w:proofErr w:type="spellStart"/>
      <w:r w:rsidRPr="00541739">
        <w:rPr>
          <w:lang w:val="en-US"/>
        </w:rPr>
        <w:t>Górecka</w:t>
      </w:r>
      <w:proofErr w:type="spellEnd"/>
      <w:r w:rsidRPr="00541739">
        <w:rPr>
          <w:lang w:val="en-US"/>
        </w:rPr>
        <w:t xml:space="preserve">, A., &amp; Wojtal-Frankiewicz, A. (2022). The effects of road salt on freshwater ecosystems and solutions for mitigating chloride pollution - A review. </w:t>
      </w:r>
      <w:r w:rsidRPr="00541739">
        <w:rPr>
          <w:i/>
          <w:iCs/>
          <w:lang w:val="en-US"/>
        </w:rPr>
        <w:t>Science of the Total Environment</w:t>
      </w:r>
      <w:r w:rsidRPr="00541739">
        <w:rPr>
          <w:lang w:val="en-US"/>
        </w:rPr>
        <w:t xml:space="preserve">, </w:t>
      </w:r>
      <w:r w:rsidRPr="00541739">
        <w:rPr>
          <w:i/>
          <w:iCs/>
          <w:lang w:val="en-US"/>
        </w:rPr>
        <w:t>805</w:t>
      </w:r>
      <w:r w:rsidRPr="00541739">
        <w:rPr>
          <w:lang w:val="en-US"/>
        </w:rPr>
        <w:t xml:space="preserve">(0048-9697), 150289. </w:t>
      </w:r>
      <w:hyperlink r:id="rId16" w:history="1">
        <w:r w:rsidRPr="00541739">
          <w:rPr>
            <w:rStyle w:val="Hyperlink"/>
            <w:lang w:val="en-US"/>
          </w:rPr>
          <w:t>https://doi.org/10.1016/j.scitotenv.2021.150289</w:t>
        </w:r>
      </w:hyperlink>
      <w:r w:rsidRPr="00541739">
        <w:rPr>
          <w:lang w:val="en-US"/>
        </w:rPr>
        <w:t xml:space="preserve"> </w:t>
      </w:r>
    </w:p>
    <w:p w14:paraId="42DF2526" w14:textId="77777777" w:rsidR="00541739" w:rsidRPr="00A556DA" w:rsidRDefault="00541739" w:rsidP="00A556DA"/>
    <w:p w14:paraId="17D3E796" w14:textId="77777777" w:rsidR="00A556DA" w:rsidRPr="00A556DA" w:rsidRDefault="00A556DA" w:rsidP="00A556DA"/>
    <w:sectPr w:rsidR="00A556DA" w:rsidRPr="00A556DA" w:rsidSect="001E410B">
      <w:footerReference w:type="default" r:id="rId1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834806" w14:textId="77777777" w:rsidR="00774B97" w:rsidRDefault="00774B97" w:rsidP="00C82A0E">
      <w:pPr>
        <w:spacing w:after="0" w:line="240" w:lineRule="auto"/>
      </w:pPr>
      <w:r>
        <w:separator/>
      </w:r>
    </w:p>
  </w:endnote>
  <w:endnote w:type="continuationSeparator" w:id="0">
    <w:p w14:paraId="20DDFEE8" w14:textId="77777777" w:rsidR="00774B97" w:rsidRDefault="00774B97" w:rsidP="00C82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533120"/>
      <w:docPartObj>
        <w:docPartGallery w:val="Page Numbers (Bottom of Page)"/>
        <w:docPartUnique/>
      </w:docPartObj>
    </w:sdtPr>
    <w:sdtEndPr>
      <w:rPr>
        <w:color w:val="7F7F7F" w:themeColor="background1" w:themeShade="7F"/>
        <w:spacing w:val="60"/>
      </w:rPr>
    </w:sdtEndPr>
    <w:sdtContent>
      <w:p w14:paraId="0AF15BF6" w14:textId="336B7DF4" w:rsidR="00C82A0E" w:rsidRDefault="00C82A0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068502E" w14:textId="77777777" w:rsidR="00C82A0E" w:rsidRDefault="00C82A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D1E0F" w14:textId="77777777" w:rsidR="00774B97" w:rsidRDefault="00774B97" w:rsidP="00C82A0E">
      <w:pPr>
        <w:spacing w:after="0" w:line="240" w:lineRule="auto"/>
      </w:pPr>
      <w:r>
        <w:separator/>
      </w:r>
    </w:p>
  </w:footnote>
  <w:footnote w:type="continuationSeparator" w:id="0">
    <w:p w14:paraId="206975C6" w14:textId="77777777" w:rsidR="00774B97" w:rsidRDefault="00774B97" w:rsidP="00C82A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777F"/>
    <w:multiLevelType w:val="hybridMultilevel"/>
    <w:tmpl w:val="48BA6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490CAA"/>
    <w:multiLevelType w:val="hybridMultilevel"/>
    <w:tmpl w:val="3342B9AE"/>
    <w:lvl w:ilvl="0" w:tplc="F3F0C56A">
      <w:start w:val="1"/>
      <w:numFmt w:val="bullet"/>
      <w:lvlText w:val="•"/>
      <w:lvlJc w:val="left"/>
      <w:pPr>
        <w:tabs>
          <w:tab w:val="num" w:pos="720"/>
        </w:tabs>
        <w:ind w:left="720" w:hanging="360"/>
      </w:pPr>
      <w:rPr>
        <w:rFonts w:ascii="Arial" w:hAnsi="Arial" w:hint="default"/>
      </w:rPr>
    </w:lvl>
    <w:lvl w:ilvl="1" w:tplc="FC42F436" w:tentative="1">
      <w:start w:val="1"/>
      <w:numFmt w:val="bullet"/>
      <w:lvlText w:val="•"/>
      <w:lvlJc w:val="left"/>
      <w:pPr>
        <w:tabs>
          <w:tab w:val="num" w:pos="1440"/>
        </w:tabs>
        <w:ind w:left="1440" w:hanging="360"/>
      </w:pPr>
      <w:rPr>
        <w:rFonts w:ascii="Arial" w:hAnsi="Arial" w:hint="default"/>
      </w:rPr>
    </w:lvl>
    <w:lvl w:ilvl="2" w:tplc="4252D97A" w:tentative="1">
      <w:start w:val="1"/>
      <w:numFmt w:val="bullet"/>
      <w:lvlText w:val="•"/>
      <w:lvlJc w:val="left"/>
      <w:pPr>
        <w:tabs>
          <w:tab w:val="num" w:pos="2160"/>
        </w:tabs>
        <w:ind w:left="2160" w:hanging="360"/>
      </w:pPr>
      <w:rPr>
        <w:rFonts w:ascii="Arial" w:hAnsi="Arial" w:hint="default"/>
      </w:rPr>
    </w:lvl>
    <w:lvl w:ilvl="3" w:tplc="BC74401A" w:tentative="1">
      <w:start w:val="1"/>
      <w:numFmt w:val="bullet"/>
      <w:lvlText w:val="•"/>
      <w:lvlJc w:val="left"/>
      <w:pPr>
        <w:tabs>
          <w:tab w:val="num" w:pos="2880"/>
        </w:tabs>
        <w:ind w:left="2880" w:hanging="360"/>
      </w:pPr>
      <w:rPr>
        <w:rFonts w:ascii="Arial" w:hAnsi="Arial" w:hint="default"/>
      </w:rPr>
    </w:lvl>
    <w:lvl w:ilvl="4" w:tplc="798A0DCC" w:tentative="1">
      <w:start w:val="1"/>
      <w:numFmt w:val="bullet"/>
      <w:lvlText w:val="•"/>
      <w:lvlJc w:val="left"/>
      <w:pPr>
        <w:tabs>
          <w:tab w:val="num" w:pos="3600"/>
        </w:tabs>
        <w:ind w:left="3600" w:hanging="360"/>
      </w:pPr>
      <w:rPr>
        <w:rFonts w:ascii="Arial" w:hAnsi="Arial" w:hint="default"/>
      </w:rPr>
    </w:lvl>
    <w:lvl w:ilvl="5" w:tplc="CACED3D2" w:tentative="1">
      <w:start w:val="1"/>
      <w:numFmt w:val="bullet"/>
      <w:lvlText w:val="•"/>
      <w:lvlJc w:val="left"/>
      <w:pPr>
        <w:tabs>
          <w:tab w:val="num" w:pos="4320"/>
        </w:tabs>
        <w:ind w:left="4320" w:hanging="360"/>
      </w:pPr>
      <w:rPr>
        <w:rFonts w:ascii="Arial" w:hAnsi="Arial" w:hint="default"/>
      </w:rPr>
    </w:lvl>
    <w:lvl w:ilvl="6" w:tplc="A3D47E10" w:tentative="1">
      <w:start w:val="1"/>
      <w:numFmt w:val="bullet"/>
      <w:lvlText w:val="•"/>
      <w:lvlJc w:val="left"/>
      <w:pPr>
        <w:tabs>
          <w:tab w:val="num" w:pos="5040"/>
        </w:tabs>
        <w:ind w:left="5040" w:hanging="360"/>
      </w:pPr>
      <w:rPr>
        <w:rFonts w:ascii="Arial" w:hAnsi="Arial" w:hint="default"/>
      </w:rPr>
    </w:lvl>
    <w:lvl w:ilvl="7" w:tplc="B16AE604" w:tentative="1">
      <w:start w:val="1"/>
      <w:numFmt w:val="bullet"/>
      <w:lvlText w:val="•"/>
      <w:lvlJc w:val="left"/>
      <w:pPr>
        <w:tabs>
          <w:tab w:val="num" w:pos="5760"/>
        </w:tabs>
        <w:ind w:left="5760" w:hanging="360"/>
      </w:pPr>
      <w:rPr>
        <w:rFonts w:ascii="Arial" w:hAnsi="Arial" w:hint="default"/>
      </w:rPr>
    </w:lvl>
    <w:lvl w:ilvl="8" w:tplc="ED129556" w:tentative="1">
      <w:start w:val="1"/>
      <w:numFmt w:val="bullet"/>
      <w:lvlText w:val="•"/>
      <w:lvlJc w:val="left"/>
      <w:pPr>
        <w:tabs>
          <w:tab w:val="num" w:pos="6480"/>
        </w:tabs>
        <w:ind w:left="6480" w:hanging="360"/>
      </w:pPr>
      <w:rPr>
        <w:rFonts w:ascii="Arial" w:hAnsi="Arial" w:hint="default"/>
      </w:rPr>
    </w:lvl>
  </w:abstractNum>
  <w:num w:numId="1" w16cid:durableId="1770739257">
    <w:abstractNumId w:val="0"/>
  </w:num>
  <w:num w:numId="2" w16cid:durableId="13787729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66F"/>
    <w:rsid w:val="000570F7"/>
    <w:rsid w:val="00101C37"/>
    <w:rsid w:val="001E410B"/>
    <w:rsid w:val="0033266F"/>
    <w:rsid w:val="0042781F"/>
    <w:rsid w:val="00461560"/>
    <w:rsid w:val="00472304"/>
    <w:rsid w:val="00492950"/>
    <w:rsid w:val="00541739"/>
    <w:rsid w:val="00544283"/>
    <w:rsid w:val="005E2384"/>
    <w:rsid w:val="006D5AE2"/>
    <w:rsid w:val="006F7D9B"/>
    <w:rsid w:val="00774B97"/>
    <w:rsid w:val="0089049A"/>
    <w:rsid w:val="008A5232"/>
    <w:rsid w:val="00933F4B"/>
    <w:rsid w:val="00A26B85"/>
    <w:rsid w:val="00A556DA"/>
    <w:rsid w:val="00B54292"/>
    <w:rsid w:val="00C33F91"/>
    <w:rsid w:val="00C82A0E"/>
    <w:rsid w:val="00CA1B03"/>
    <w:rsid w:val="00CF6FC5"/>
    <w:rsid w:val="00E36DD8"/>
    <w:rsid w:val="00FD33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8C5BA"/>
  <w15:chartTrackingRefBased/>
  <w15:docId w15:val="{45F99801-7D0E-4196-9E1E-9FDEC1E33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0F7"/>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0570F7"/>
    <w:pPr>
      <w:keepNext/>
      <w:keepLines/>
      <w:spacing w:before="360" w:after="80"/>
      <w:jc w:val="center"/>
      <w:outlineLvl w:val="0"/>
    </w:pPr>
    <w:rPr>
      <w:rFonts w:eastAsiaTheme="majorEastAsia" w:cstheme="majorBidi"/>
      <w:b/>
      <w:sz w:val="30"/>
      <w:szCs w:val="40"/>
    </w:rPr>
  </w:style>
  <w:style w:type="paragraph" w:styleId="Heading2">
    <w:name w:val="heading 2"/>
    <w:basedOn w:val="Normal"/>
    <w:next w:val="Normal"/>
    <w:link w:val="Heading2Char"/>
    <w:autoRedefine/>
    <w:uiPriority w:val="9"/>
    <w:unhideWhenUsed/>
    <w:qFormat/>
    <w:rsid w:val="000570F7"/>
    <w:pPr>
      <w:keepNext/>
      <w:keepLines/>
      <w:spacing w:before="160" w:after="80"/>
      <w:outlineLvl w:val="1"/>
    </w:pPr>
    <w:rPr>
      <w:rFonts w:eastAsiaTheme="majorEastAsia" w:cstheme="majorBidi"/>
      <w:b/>
      <w:color w:val="0F4761" w:themeColor="accent1" w:themeShade="BF"/>
      <w:sz w:val="26"/>
      <w:szCs w:val="32"/>
    </w:rPr>
  </w:style>
  <w:style w:type="paragraph" w:styleId="Heading3">
    <w:name w:val="heading 3"/>
    <w:basedOn w:val="Normal"/>
    <w:next w:val="Normal"/>
    <w:link w:val="Heading3Char"/>
    <w:autoRedefine/>
    <w:uiPriority w:val="9"/>
    <w:unhideWhenUsed/>
    <w:qFormat/>
    <w:rsid w:val="00461560"/>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33266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3266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3266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3266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3266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3266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0F7"/>
    <w:rPr>
      <w:rFonts w:ascii="Times New Roman" w:eastAsiaTheme="majorEastAsia" w:hAnsi="Times New Roman" w:cstheme="majorBidi"/>
      <w:b/>
      <w:sz w:val="30"/>
      <w:szCs w:val="40"/>
    </w:rPr>
  </w:style>
  <w:style w:type="character" w:customStyle="1" w:styleId="Heading2Char">
    <w:name w:val="Heading 2 Char"/>
    <w:basedOn w:val="DefaultParagraphFont"/>
    <w:link w:val="Heading2"/>
    <w:uiPriority w:val="9"/>
    <w:rsid w:val="000570F7"/>
    <w:rPr>
      <w:rFonts w:ascii="Times New Roman" w:eastAsiaTheme="majorEastAsia" w:hAnsi="Times New Roman" w:cstheme="majorBidi"/>
      <w:b/>
      <w:color w:val="0F4761" w:themeColor="accent1" w:themeShade="BF"/>
      <w:sz w:val="26"/>
      <w:szCs w:val="32"/>
    </w:rPr>
  </w:style>
  <w:style w:type="character" w:customStyle="1" w:styleId="Heading3Char">
    <w:name w:val="Heading 3 Char"/>
    <w:basedOn w:val="DefaultParagraphFont"/>
    <w:link w:val="Heading3"/>
    <w:uiPriority w:val="9"/>
    <w:rsid w:val="00461560"/>
    <w:rPr>
      <w:rFonts w:ascii="Times New Roman" w:eastAsiaTheme="majorEastAsia" w:hAnsi="Times New Roman" w:cstheme="majorBidi"/>
      <w:b/>
      <w:szCs w:val="28"/>
    </w:rPr>
  </w:style>
  <w:style w:type="paragraph" w:styleId="NoSpacing">
    <w:name w:val="No Spacing"/>
    <w:autoRedefine/>
    <w:uiPriority w:val="1"/>
    <w:qFormat/>
    <w:rsid w:val="00933F4B"/>
    <w:pPr>
      <w:spacing w:after="0" w:line="240" w:lineRule="auto"/>
      <w:ind w:left="720"/>
      <w:jc w:val="both"/>
    </w:pPr>
    <w:rPr>
      <w:rFonts w:ascii="Times New Roman" w:hAnsi="Times New Roman"/>
      <w:sz w:val="20"/>
    </w:rPr>
  </w:style>
  <w:style w:type="character" w:customStyle="1" w:styleId="Heading4Char">
    <w:name w:val="Heading 4 Char"/>
    <w:basedOn w:val="DefaultParagraphFont"/>
    <w:link w:val="Heading4"/>
    <w:uiPriority w:val="9"/>
    <w:semiHidden/>
    <w:rsid w:val="003326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26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26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26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26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266F"/>
    <w:rPr>
      <w:rFonts w:eastAsiaTheme="majorEastAsia" w:cstheme="majorBidi"/>
      <w:color w:val="272727" w:themeColor="text1" w:themeTint="D8"/>
    </w:rPr>
  </w:style>
  <w:style w:type="paragraph" w:styleId="Title">
    <w:name w:val="Title"/>
    <w:basedOn w:val="Normal"/>
    <w:next w:val="Normal"/>
    <w:link w:val="TitleChar"/>
    <w:uiPriority w:val="10"/>
    <w:qFormat/>
    <w:rsid w:val="003326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26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266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26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266F"/>
    <w:pPr>
      <w:spacing w:before="160"/>
      <w:jc w:val="center"/>
    </w:pPr>
    <w:rPr>
      <w:i/>
      <w:iCs/>
      <w:color w:val="404040" w:themeColor="text1" w:themeTint="BF"/>
    </w:rPr>
  </w:style>
  <w:style w:type="character" w:customStyle="1" w:styleId="QuoteChar">
    <w:name w:val="Quote Char"/>
    <w:basedOn w:val="DefaultParagraphFont"/>
    <w:link w:val="Quote"/>
    <w:uiPriority w:val="29"/>
    <w:rsid w:val="0033266F"/>
    <w:rPr>
      <w:rFonts w:ascii="Times New Roman" w:hAnsi="Times New Roman"/>
      <w:i/>
      <w:iCs/>
      <w:color w:val="404040" w:themeColor="text1" w:themeTint="BF"/>
    </w:rPr>
  </w:style>
  <w:style w:type="paragraph" w:styleId="ListParagraph">
    <w:name w:val="List Paragraph"/>
    <w:basedOn w:val="Normal"/>
    <w:uiPriority w:val="34"/>
    <w:qFormat/>
    <w:rsid w:val="0033266F"/>
    <w:pPr>
      <w:ind w:left="720"/>
      <w:contextualSpacing/>
    </w:pPr>
  </w:style>
  <w:style w:type="character" w:styleId="IntenseEmphasis">
    <w:name w:val="Intense Emphasis"/>
    <w:basedOn w:val="DefaultParagraphFont"/>
    <w:uiPriority w:val="21"/>
    <w:qFormat/>
    <w:rsid w:val="0033266F"/>
    <w:rPr>
      <w:i/>
      <w:iCs/>
      <w:color w:val="0F4761" w:themeColor="accent1" w:themeShade="BF"/>
    </w:rPr>
  </w:style>
  <w:style w:type="paragraph" w:styleId="IntenseQuote">
    <w:name w:val="Intense Quote"/>
    <w:basedOn w:val="Normal"/>
    <w:next w:val="Normal"/>
    <w:link w:val="IntenseQuoteChar"/>
    <w:uiPriority w:val="30"/>
    <w:qFormat/>
    <w:rsid w:val="003326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266F"/>
    <w:rPr>
      <w:rFonts w:ascii="Times New Roman" w:hAnsi="Times New Roman"/>
      <w:i/>
      <w:iCs/>
      <w:color w:val="0F4761" w:themeColor="accent1" w:themeShade="BF"/>
    </w:rPr>
  </w:style>
  <w:style w:type="character" w:styleId="IntenseReference">
    <w:name w:val="Intense Reference"/>
    <w:basedOn w:val="DefaultParagraphFont"/>
    <w:uiPriority w:val="32"/>
    <w:qFormat/>
    <w:rsid w:val="0033266F"/>
    <w:rPr>
      <w:b/>
      <w:bCs/>
      <w:smallCaps/>
      <w:color w:val="0F4761" w:themeColor="accent1" w:themeShade="BF"/>
      <w:spacing w:val="5"/>
    </w:rPr>
  </w:style>
  <w:style w:type="character" w:styleId="Hyperlink">
    <w:name w:val="Hyperlink"/>
    <w:basedOn w:val="DefaultParagraphFont"/>
    <w:uiPriority w:val="99"/>
    <w:unhideWhenUsed/>
    <w:rsid w:val="00A556DA"/>
    <w:rPr>
      <w:color w:val="467886" w:themeColor="hyperlink"/>
      <w:u w:val="single"/>
    </w:rPr>
  </w:style>
  <w:style w:type="character" w:styleId="UnresolvedMention">
    <w:name w:val="Unresolved Mention"/>
    <w:basedOn w:val="DefaultParagraphFont"/>
    <w:uiPriority w:val="99"/>
    <w:semiHidden/>
    <w:unhideWhenUsed/>
    <w:rsid w:val="00A556DA"/>
    <w:rPr>
      <w:color w:val="605E5C"/>
      <w:shd w:val="clear" w:color="auto" w:fill="E1DFDD"/>
    </w:rPr>
  </w:style>
  <w:style w:type="paragraph" w:styleId="Header">
    <w:name w:val="header"/>
    <w:basedOn w:val="Normal"/>
    <w:link w:val="HeaderChar"/>
    <w:uiPriority w:val="99"/>
    <w:unhideWhenUsed/>
    <w:rsid w:val="00C82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A0E"/>
    <w:rPr>
      <w:rFonts w:ascii="Times New Roman" w:hAnsi="Times New Roman"/>
    </w:rPr>
  </w:style>
  <w:style w:type="paragraph" w:styleId="Footer">
    <w:name w:val="footer"/>
    <w:basedOn w:val="Normal"/>
    <w:link w:val="FooterChar"/>
    <w:uiPriority w:val="99"/>
    <w:unhideWhenUsed/>
    <w:rsid w:val="00C82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A0E"/>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539709">
      <w:bodyDiv w:val="1"/>
      <w:marLeft w:val="0"/>
      <w:marRight w:val="0"/>
      <w:marTop w:val="0"/>
      <w:marBottom w:val="0"/>
      <w:divBdr>
        <w:top w:val="none" w:sz="0" w:space="0" w:color="auto"/>
        <w:left w:val="none" w:sz="0" w:space="0" w:color="auto"/>
        <w:bottom w:val="none" w:sz="0" w:space="0" w:color="auto"/>
        <w:right w:val="none" w:sz="0" w:space="0" w:color="auto"/>
      </w:divBdr>
    </w:div>
    <w:div w:id="601188463">
      <w:bodyDiv w:val="1"/>
      <w:marLeft w:val="0"/>
      <w:marRight w:val="0"/>
      <w:marTop w:val="0"/>
      <w:marBottom w:val="0"/>
      <w:divBdr>
        <w:top w:val="none" w:sz="0" w:space="0" w:color="auto"/>
        <w:left w:val="none" w:sz="0" w:space="0" w:color="auto"/>
        <w:bottom w:val="none" w:sz="0" w:space="0" w:color="auto"/>
        <w:right w:val="none" w:sz="0" w:space="0" w:color="auto"/>
      </w:divBdr>
    </w:div>
    <w:div w:id="1468158419">
      <w:bodyDiv w:val="1"/>
      <w:marLeft w:val="0"/>
      <w:marRight w:val="0"/>
      <w:marTop w:val="0"/>
      <w:marBottom w:val="0"/>
      <w:divBdr>
        <w:top w:val="none" w:sz="0" w:space="0" w:color="auto"/>
        <w:left w:val="none" w:sz="0" w:space="0" w:color="auto"/>
        <w:bottom w:val="none" w:sz="0" w:space="0" w:color="auto"/>
        <w:right w:val="none" w:sz="0" w:space="0" w:color="auto"/>
      </w:divBdr>
      <w:divsChild>
        <w:div w:id="2024939721">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engfailanal.2025.109566" TargetMode="External"/><Relationship Id="rId13" Type="http://schemas.openxmlformats.org/officeDocument/2006/relationships/hyperlink" Target="https://doi.org/10.1016/j.scitotenv.2021.14524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3390/cmd5040023"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16/j.scitotenv.2021.1502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cmd5030019" TargetMode="External"/><Relationship Id="rId5" Type="http://schemas.openxmlformats.org/officeDocument/2006/relationships/footnotes" Target="footnotes.xml"/><Relationship Id="rId15" Type="http://schemas.openxmlformats.org/officeDocument/2006/relationships/hyperlink" Target="https://doi.org/10.1016/j.solener.2021.11.013" TargetMode="External"/><Relationship Id="rId10" Type="http://schemas.openxmlformats.org/officeDocument/2006/relationships/hyperlink" Target="https://doi.org/10.1016/j.scitotenv.2023.16375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1016/j.engfailanal.2021.105720" TargetMode="External"/><Relationship Id="rId14" Type="http://schemas.openxmlformats.org/officeDocument/2006/relationships/hyperlink" Target="https://hi.itm-lab.com/article/salt-spray-chamber-astm-b117-corrosion-testing-guid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11</Pages>
  <Words>3104</Words>
  <Characters>17695</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Md Tuhidul Islam Tuhin (2425623)</cp:lastModifiedBy>
  <cp:revision>3</cp:revision>
  <dcterms:created xsi:type="dcterms:W3CDTF">2026-05-16T07:43:00Z</dcterms:created>
  <dcterms:modified xsi:type="dcterms:W3CDTF">2026-05-17T22:20:00Z</dcterms:modified>
</cp:coreProperties>
</file>