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2007313</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The extent to which the United Kingdom’s constitution allows for separation between the judiciary and the other branches of state.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spacing w:after="240" w:before="240" w:lineRule="auto"/>
        <w:rPr>
          <w:rFonts w:ascii="Trebuchet MS" w:cs="Trebuchet MS" w:eastAsia="Trebuchet MS" w:hAnsi="Trebuchet MS"/>
          <w:sz w:val="28"/>
          <w:szCs w:val="28"/>
          <w:highlight w:val="white"/>
        </w:rPr>
      </w:pPr>
      <w:r w:rsidDel="00000000" w:rsidR="00000000" w:rsidRPr="00000000">
        <w:rPr>
          <w:rtl w:val="0"/>
        </w:rPr>
        <w:t xml:space="preserve">The separation of powers is a doctrine which describes the way in which a state organises the distribution of power and function between its different branches. The three branches include the legislative, executive and the judiciary. The judiciary is responsible for ensuring the rule of law is respected. The purpose of the separation of powers is to limit the potential abuse of power by any of the state organs however it could be argued that the separation of powers is not an end to abuse of power but rather a process that seeks to regulate the exercise of the state power. </w:t>
      </w:r>
      <w:r w:rsidDel="00000000" w:rsidR="00000000" w:rsidRPr="00000000">
        <w:rPr>
          <w:highlight w:val="white"/>
          <w:rtl w:val="0"/>
        </w:rPr>
        <w:t xml:space="preserve">Judicial independence is important as individuals involved in any kind of case before the courts need to be sure that the judge dealing with their case cannot be influenced by an outside party or by the judge’s own personal interests, or the executive or legislature, the media, other judges or pressure groups as is their right set out in the Human Rights Act (1998), to have a fair trial. Otherwise the judge is required in the course of proceedings or judgment to make adverse comments. This requirement that judges be free from any improper influence also underpins the duty placed on them to declare personal interests in any case before it starts, to ensure that there is neither any bias or partiality.</w:t>
      </w:r>
      <w:r w:rsidDel="00000000" w:rsidR="00000000" w:rsidRPr="00000000">
        <w:rPr>
          <w:rtl w:val="0"/>
        </w:rPr>
      </w:r>
    </w:p>
    <w:p w:rsidR="00000000" w:rsidDel="00000000" w:rsidP="00000000" w:rsidRDefault="00000000" w:rsidRPr="00000000" w14:paraId="00000006">
      <w:pPr>
        <w:spacing w:after="240" w:before="240" w:lineRule="auto"/>
        <w:rPr/>
      </w:pPr>
      <w:r w:rsidDel="00000000" w:rsidR="00000000" w:rsidRPr="00000000">
        <w:rPr>
          <w:rtl w:val="0"/>
        </w:rPr>
        <w:t xml:space="preserve">The Constitution allows for the separation of the judiciary within the Constitutional Reform Act (2005). The CRA (2005) states that the Lord Chancellor, other ministers of the Crown must uphold independence to the judiciary. The Lord Chancellor must have regard to defend that independence. The independent Judicial Appointments Commission established in part 4 CRA (2005), should select a suitable candidate as the Lord Chancellor has limited powers of either accepting or rejecting the selection as well as requiring a reconsideration of the selection. This ensures the objectivity and transparency into the procedure of appointing judges. The duty of the Minister of the Crown is not to seek to influence judicial decisions through any special access to the judiciary. Part two of the Constitutional Reform Act ensures the separation of powers and the need for democratic accountability does not infringe the ECHR. Article 6 requires there to be procedural checks and balances to ensure the independence and impartiality of the judiciary. </w:t>
      </w:r>
    </w:p>
    <w:p w:rsidR="00000000" w:rsidDel="00000000" w:rsidP="00000000" w:rsidRDefault="00000000" w:rsidRPr="00000000" w14:paraId="00000007">
      <w:pPr>
        <w:spacing w:after="240" w:before="240" w:lineRule="auto"/>
        <w:rPr/>
      </w:pPr>
      <w:r w:rsidDel="00000000" w:rsidR="00000000" w:rsidRPr="00000000">
        <w:rPr>
          <w:rtl w:val="0"/>
        </w:rPr>
        <w:t xml:space="preserve">The separation between the branches of state are greatly constitutional as the judiciary has the power to ensure the executive does not make unconstitutional decisions. ‘There is no liberty, if the judicial power be not separated from the legislative and executive’</w:t>
      </w:r>
      <w:r w:rsidDel="00000000" w:rsidR="00000000" w:rsidRPr="00000000">
        <w:rPr>
          <w:vertAlign w:val="superscript"/>
        </w:rPr>
        <w:footnoteReference w:customMarkFollows="0" w:id="0"/>
      </w:r>
      <w:r w:rsidDel="00000000" w:rsidR="00000000" w:rsidRPr="00000000">
        <w:rPr>
          <w:rtl w:val="0"/>
        </w:rPr>
        <w:t xml:space="preserve"> otherwise there might be arbitrary government; Parliament or the executive would be able to determine when it’s laws had been broken. This is evident in the case of Burmah oil v Lord Advocate</w:t>
      </w:r>
      <w:r w:rsidDel="00000000" w:rsidR="00000000" w:rsidRPr="00000000">
        <w:rPr>
          <w:vertAlign w:val="superscript"/>
        </w:rPr>
        <w:footnoteReference w:customMarkFollows="0" w:id="1"/>
      </w:r>
      <w:r w:rsidDel="00000000" w:rsidR="00000000" w:rsidRPr="00000000">
        <w:rPr>
          <w:rtl w:val="0"/>
        </w:rPr>
        <w:t xml:space="preserve"> whereby the government reversed the decision so they did not have to pay damages, this was pronounced to be unconstitutional and a violation of judicial independence.</w:t>
      </w:r>
      <w:r w:rsidDel="00000000" w:rsidR="00000000" w:rsidRPr="00000000">
        <w:rPr>
          <w:vertAlign w:val="superscript"/>
        </w:rPr>
        <w:footnoteReference w:customMarkFollows="0" w:id="2"/>
      </w:r>
      <w:r w:rsidDel="00000000" w:rsidR="00000000" w:rsidRPr="00000000">
        <w:rPr>
          <w:rtl w:val="0"/>
        </w:rPr>
        <w:t xml:space="preserve"> Furthermore in the case of A v Secretary of State for the Home Department</w:t>
      </w:r>
      <w:r w:rsidDel="00000000" w:rsidR="00000000" w:rsidRPr="00000000">
        <w:rPr>
          <w:vertAlign w:val="superscript"/>
        </w:rPr>
        <w:footnoteReference w:customMarkFollows="0" w:id="3"/>
      </w:r>
      <w:r w:rsidDel="00000000" w:rsidR="00000000" w:rsidRPr="00000000">
        <w:rPr>
          <w:rtl w:val="0"/>
        </w:rPr>
        <w:t xml:space="preserve"> whereby ten men were certified by the Secretary of State as suspected international terrorists and were therefore detained in the Belmarsh prison however this certification was made on the basis of information obtained by torture. The men appealed this certification and the House of Lords held that such information shouldn’t have been admitted.The judiciary held their position as protecting the constitution and ensured the separation of the three branches of state remain </w:t>
      </w:r>
      <w:r w:rsidDel="00000000" w:rsidR="00000000" w:rsidRPr="00000000">
        <w:rPr>
          <w:rtl w:val="0"/>
        </w:rPr>
        <w:t xml:space="preserve">seperate</w:t>
      </w:r>
      <w:r w:rsidDel="00000000" w:rsidR="00000000" w:rsidRPr="00000000">
        <w:rPr>
          <w:rtl w:val="0"/>
        </w:rPr>
        <w:t xml:space="preserve">.  </w:t>
      </w:r>
    </w:p>
    <w:p w:rsidR="00000000" w:rsidDel="00000000" w:rsidP="00000000" w:rsidRDefault="00000000" w:rsidRPr="00000000" w14:paraId="00000008">
      <w:pPr>
        <w:spacing w:after="240" w:before="240" w:lineRule="auto"/>
        <w:rPr>
          <w:color w:val="212529"/>
          <w:highlight w:val="white"/>
        </w:rPr>
      </w:pPr>
      <w:r w:rsidDel="00000000" w:rsidR="00000000" w:rsidRPr="00000000">
        <w:rPr>
          <w:rtl w:val="0"/>
        </w:rPr>
        <w:t xml:space="preserve">To a great extent the constitution allows for the separation between the other branches by the Act of Settlement (1701) which ensures security of tenure and the Senior Courts Act (1981). A judge can only be dismissed by the monarch following a vote of both Houses of Parliament therefore allowing preservation of the separation of powers as the current government of the day can’t dismiss a judge following an outcome they disagree upon. Furthermore the United Kingdom’s constitution allows for separation between the judiciary and other branches of state by giving financial independence to the judges.This is a vital element as an inadequately paid judiciary may be more tempted and susceptible to bribes. The government of the day accepts the advice of the Senior Salaries Review Body to ensure an adequate salary. Moreover, english judges operate in a highly formalized doctrinal system, with a strong belief in law as a series of objective rules, which can be enforced impartially. Artificial as these claims may be, intellectually judges are traditionally thought to be both pushed towards objectivity and kept up to the mark by a functionally separate bar, which itself has a reputation for independence and impartiality. This is, at least, the accepted position and it contains an important element of truth; although the sceptic might say that the interaction underlines the prejudices held by both bench and bar.</w:t>
      </w:r>
      <w:r w:rsidDel="00000000" w:rsidR="00000000" w:rsidRPr="00000000">
        <w:rPr>
          <w:vertAlign w:val="superscript"/>
        </w:rPr>
        <w:footnoteReference w:customMarkFollows="0" w:id="4"/>
      </w:r>
      <w:r w:rsidDel="00000000" w:rsidR="00000000" w:rsidRPr="00000000">
        <w:rPr>
          <w:rtl w:val="0"/>
        </w:rPr>
        <w:t xml:space="preserve"> Concluding that the constitution does allow for separation of the branches in the state.</w:t>
      </w:r>
      <w:r w:rsidDel="00000000" w:rsidR="00000000" w:rsidRPr="00000000">
        <w:rPr>
          <w:rtl w:val="0"/>
        </w:rPr>
      </w:r>
    </w:p>
    <w:p w:rsidR="00000000" w:rsidDel="00000000" w:rsidP="00000000" w:rsidRDefault="00000000" w:rsidRPr="00000000" w14:paraId="00000009">
      <w:pPr>
        <w:spacing w:after="240" w:before="240" w:lineRule="auto"/>
        <w:rPr/>
      </w:pPr>
      <w:r w:rsidDel="00000000" w:rsidR="00000000" w:rsidRPr="00000000">
        <w:rPr>
          <w:color w:val="212529"/>
          <w:highlight w:val="white"/>
          <w:rtl w:val="0"/>
        </w:rPr>
        <w:t xml:space="preserve">To a lesser extent the UK constitution allows for separation between the judiciary and the other branches of state as they have been shown to be overlapping by the executive power in the </w:t>
      </w:r>
      <w:r w:rsidDel="00000000" w:rsidR="00000000" w:rsidRPr="00000000">
        <w:rPr>
          <w:color w:val="212529"/>
          <w:highlight w:val="white"/>
          <w:rtl w:val="0"/>
        </w:rPr>
        <w:t xml:space="preserve">seminal case of R (Anderson) v Secretary of State for the home Department whereby the power of the Home Secretary to determine the term of imprisonment required for a person convicted of murder. In this case  “The House of Lords made a declaration under section 4 of the Human Rights act 1998 that section 29 of the Crime (Sentences) Act 1997, which conferred on the Home Secretary control of the release of mandatory life sentence prisoners, was incompatible with the right under Article 6 to have a sentence imposed by an independent and impartial tribunal.”</w:t>
      </w:r>
      <w:r w:rsidDel="00000000" w:rsidR="00000000" w:rsidRPr="00000000">
        <w:rPr>
          <w:color w:val="212529"/>
          <w:highlight w:val="white"/>
          <w:vertAlign w:val="superscript"/>
        </w:rPr>
        <w:footnoteReference w:customMarkFollows="0" w:id="5"/>
      </w:r>
      <w:r w:rsidDel="00000000" w:rsidR="00000000" w:rsidRPr="00000000">
        <w:rPr>
          <w:rtl w:val="0"/>
        </w:rPr>
        <w:t xml:space="preserve"> The judiciary had to preserve the separation of powers as set out in the constitution as : ‘In the government of this Commonwealth, the legislative department shall never exercise the executive and judicial powers, or either of them; the executive shall never exercise the legislative and judiciary powers or either of them; the judicial shall never exercise the legislative and executive powers or either of them; to the end that it may be a government of laws, and not of men’.</w:t>
      </w:r>
      <w:r w:rsidDel="00000000" w:rsidR="00000000" w:rsidRPr="00000000">
        <w:rPr>
          <w:vertAlign w:val="superscript"/>
        </w:rPr>
        <w:footnoteReference w:customMarkFollows="0" w:id="6"/>
      </w:r>
      <w:r w:rsidDel="00000000" w:rsidR="00000000" w:rsidRPr="00000000">
        <w:rPr>
          <w:rtl w:val="0"/>
        </w:rPr>
        <w:t xml:space="preserve"> Moreover the</w:t>
      </w:r>
      <w:r w:rsidDel="00000000" w:rsidR="00000000" w:rsidRPr="00000000">
        <w:rPr>
          <w:rtl w:val="0"/>
        </w:rPr>
        <w:t xml:space="preserve"> different branches of government interact constantly. Senior judges and ministers meet regularly to discuss possible sources of conflict; and there are instances of powerful exchanges of view.Therefore the three branches are separate however have been shown to interlink to a certain extent.  </w:t>
      </w:r>
    </w:p>
    <w:p w:rsidR="00000000" w:rsidDel="00000000" w:rsidP="00000000" w:rsidRDefault="00000000" w:rsidRPr="00000000" w14:paraId="0000000A">
      <w:pPr>
        <w:spacing w:after="240" w:before="240" w:lineRule="auto"/>
        <w:rPr/>
      </w:pPr>
      <w:r w:rsidDel="00000000" w:rsidR="00000000" w:rsidRPr="00000000">
        <w:rPr>
          <w:rtl w:val="0"/>
        </w:rPr>
      </w:r>
    </w:p>
    <w:p w:rsidR="00000000" w:rsidDel="00000000" w:rsidP="00000000" w:rsidRDefault="00000000" w:rsidRPr="00000000" w14:paraId="0000000B">
      <w:pPr>
        <w:spacing w:after="240" w:before="240" w:lineRule="auto"/>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D">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4">
    <w:p w:rsidR="00000000" w:rsidDel="00000000" w:rsidP="00000000" w:rsidRDefault="00000000" w:rsidRPr="00000000" w14:paraId="0000000E">
      <w:pPr>
        <w:spacing w:line="240" w:lineRule="auto"/>
        <w:rPr>
          <w:color w:val="343434"/>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color w:val="343434"/>
          <w:rtl w:val="0"/>
        </w:rPr>
        <w:t xml:space="preserve"> Brian Abel-Smith and Robert Stevens, In Search of Justice: Society and the Legal System (1968) ch. 6. </w:t>
      </w:r>
    </w:p>
    <w:p w:rsidR="00000000" w:rsidDel="00000000" w:rsidP="00000000" w:rsidRDefault="00000000" w:rsidRPr="00000000" w14:paraId="0000000F">
      <w:pPr>
        <w:spacing w:line="240" w:lineRule="auto"/>
        <w:rPr>
          <w:sz w:val="20"/>
          <w:szCs w:val="20"/>
        </w:rPr>
      </w:pPr>
      <w:r w:rsidDel="00000000" w:rsidR="00000000" w:rsidRPr="00000000">
        <w:rPr>
          <w:rtl w:val="0"/>
        </w:rPr>
      </w:r>
    </w:p>
  </w:footnote>
  <w:footnote w:id="0">
    <w:p w:rsidR="00000000" w:rsidDel="00000000" w:rsidP="00000000" w:rsidRDefault="00000000" w:rsidRPr="00000000" w14:paraId="00000010">
      <w:pPr>
        <w:spacing w:line="240" w:lineRule="auto"/>
        <w:rPr/>
      </w:pPr>
      <w:r w:rsidDel="00000000" w:rsidR="00000000" w:rsidRPr="00000000">
        <w:rPr>
          <w:rStyle w:val="FootnoteReference"/>
          <w:vertAlign w:val="superscript"/>
        </w:rPr>
        <w:footnoteRef/>
      </w:r>
      <w:r w:rsidDel="00000000" w:rsidR="00000000" w:rsidRPr="00000000">
        <w:rPr>
          <w:rtl w:val="0"/>
        </w:rPr>
        <w:t xml:space="preserve"> The Spirit of the Laws [De L’Esprit de Lois], Book XI, ch.6 ( in translation,New York:Dree Press,1949)</w:t>
      </w:r>
    </w:p>
  </w:footnote>
  <w:footnote w:id="5">
    <w:p w:rsidR="00000000" w:rsidDel="00000000" w:rsidP="00000000" w:rsidRDefault="00000000" w:rsidRPr="00000000" w14:paraId="00000011">
      <w:pPr>
        <w:spacing w:line="240" w:lineRule="auto"/>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color w:val="212529"/>
          <w:highlight w:val="white"/>
          <w:rtl w:val="0"/>
        </w:rPr>
        <w:t xml:space="preserve">R (Anderson) v Secretary of State for the home Department [2002] UKHL 46 </w:t>
      </w:r>
      <w:r w:rsidDel="00000000" w:rsidR="00000000" w:rsidRPr="00000000">
        <w:rPr>
          <w:rtl w:val="0"/>
        </w:rPr>
      </w:r>
    </w:p>
  </w:footnote>
  <w:footnote w:id="2">
    <w:p w:rsidR="00000000" w:rsidDel="00000000" w:rsidP="00000000" w:rsidRDefault="00000000" w:rsidRPr="00000000" w14:paraId="00000012">
      <w:pPr>
        <w:spacing w:line="240" w:lineRule="auto"/>
        <w:rPr/>
      </w:pPr>
      <w:r w:rsidDel="00000000" w:rsidR="00000000" w:rsidRPr="00000000">
        <w:rPr>
          <w:rStyle w:val="FootnoteReference"/>
          <w:vertAlign w:val="superscript"/>
        </w:rPr>
        <w:footnoteRef/>
      </w:r>
      <w:r w:rsidDel="00000000" w:rsidR="00000000" w:rsidRPr="00000000">
        <w:rPr>
          <w:rtl w:val="0"/>
        </w:rPr>
        <w:t xml:space="preserve"> Louis Blom-Cooper and Gavin Drewry,Final Appeal: A Study of the House of Lords in Ireland a Judicial Capacity (1972) 366-74</w:t>
      </w:r>
    </w:p>
  </w:footnote>
  <w:footnote w:id="1">
    <w:p w:rsidR="00000000" w:rsidDel="00000000" w:rsidP="00000000" w:rsidRDefault="00000000" w:rsidRPr="00000000" w14:paraId="00000013">
      <w:pPr>
        <w:spacing w:line="240" w:lineRule="auto"/>
        <w:rPr/>
      </w:pPr>
      <w:r w:rsidDel="00000000" w:rsidR="00000000" w:rsidRPr="00000000">
        <w:rPr>
          <w:rStyle w:val="FootnoteReference"/>
          <w:vertAlign w:val="superscript"/>
        </w:rPr>
        <w:footnoteRef/>
      </w:r>
      <w:r w:rsidDel="00000000" w:rsidR="00000000" w:rsidRPr="00000000">
        <w:rPr>
          <w:rtl w:val="0"/>
        </w:rPr>
        <w:t xml:space="preserve"> Burmah oil v Lord Advocate [1965] AC 75</w:t>
      </w:r>
    </w:p>
  </w:footnote>
  <w:footnote w:id="6">
    <w:p w:rsidR="00000000" w:rsidDel="00000000" w:rsidP="00000000" w:rsidRDefault="00000000" w:rsidRPr="00000000" w14:paraId="00000014">
      <w:pPr>
        <w:spacing w:line="240" w:lineRule="auto"/>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rtl w:val="0"/>
        </w:rPr>
        <w:t xml:space="preserve">Morrison V Olsen 487 US 654,697 (1988)</w:t>
      </w:r>
      <w:r w:rsidDel="00000000" w:rsidR="00000000" w:rsidRPr="00000000">
        <w:rPr>
          <w:b w:val="1"/>
          <w:rtl w:val="0"/>
        </w:rPr>
        <w:t xml:space="preserve"> </w:t>
      </w:r>
      <w:r w:rsidDel="00000000" w:rsidR="00000000" w:rsidRPr="00000000">
        <w:rPr>
          <w:rtl w:val="0"/>
        </w:rPr>
      </w:r>
    </w:p>
  </w:footnote>
  <w:footnote w:id="3">
    <w:p w:rsidR="00000000" w:rsidDel="00000000" w:rsidP="00000000" w:rsidRDefault="00000000" w:rsidRPr="00000000" w14:paraId="0000001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A v Secretary of State for the Home Department [2005] UKHL71</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