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22576290"/>
        <w:docPartObj>
          <w:docPartGallery w:val="Cover Pages"/>
          <w:docPartUnique/>
        </w:docPartObj>
      </w:sdtPr>
      <w:sdtEndPr>
        <w:rPr>
          <w:rFonts w:ascii="Arial" w:hAnsi="Arial" w:cs="Arial"/>
          <w:b/>
          <w:bCs/>
          <w:u w:val="wave"/>
        </w:rPr>
      </w:sdtEndPr>
      <w:sdtContent>
        <w:p w14:paraId="54993DBE" w14:textId="1DCFB957" w:rsidR="00B60123" w:rsidRDefault="006C0F92">
          <w:r>
            <w:rPr>
              <w:rFonts w:ascii="Arial" w:hAnsi="Arial" w:cs="Arial"/>
              <w:b/>
              <w:bCs/>
              <w:noProof/>
              <w:u w:val="wave"/>
            </w:rPr>
            <w:drawing>
              <wp:anchor distT="0" distB="0" distL="114300" distR="114300" simplePos="0" relativeHeight="251661312" behindDoc="1" locked="0" layoutInCell="1" allowOverlap="1" wp14:anchorId="38D10B1A" wp14:editId="1F57F4D0">
                <wp:simplePos x="0" y="0"/>
                <wp:positionH relativeFrom="column">
                  <wp:posOffset>4061791</wp:posOffset>
                </wp:positionH>
                <wp:positionV relativeFrom="page">
                  <wp:posOffset>119270</wp:posOffset>
                </wp:positionV>
                <wp:extent cx="2398395" cy="1000760"/>
                <wp:effectExtent l="0" t="0" r="1905" b="8890"/>
                <wp:wrapTight wrapText="bothSides">
                  <wp:wrapPolygon edited="0">
                    <wp:start x="0" y="0"/>
                    <wp:lineTo x="0" y="21381"/>
                    <wp:lineTo x="21446" y="21381"/>
                    <wp:lineTo x="21446" y="0"/>
                    <wp:lineTo x="0" y="0"/>
                  </wp:wrapPolygon>
                </wp:wrapTight>
                <wp:docPr id="1379530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8395" cy="1000760"/>
                        </a:xfrm>
                        <a:prstGeom prst="rect">
                          <a:avLst/>
                        </a:prstGeom>
                        <a:noFill/>
                        <a:ln>
                          <a:noFill/>
                        </a:ln>
                      </pic:spPr>
                    </pic:pic>
                  </a:graphicData>
                </a:graphic>
              </wp:anchor>
            </w:drawing>
          </w:r>
        </w:p>
        <w:p w14:paraId="1E44059E" w14:textId="0C7E9E74" w:rsidR="00B60123" w:rsidRPr="00B60123" w:rsidRDefault="00B60123" w:rsidP="00B60123">
          <w:pPr>
            <w:rPr>
              <w:rFonts w:ascii="Arial" w:hAnsi="Arial" w:cs="Arial"/>
              <w:b/>
              <w:bCs/>
              <w:u w:val="wave"/>
            </w:rPr>
          </w:pPr>
          <w:r w:rsidRPr="00B60123">
            <w:rPr>
              <w:rFonts w:ascii="Arial" w:hAnsi="Arial" w:cs="Arial"/>
              <w:b/>
              <w:bCs/>
              <w:u w:val="wave"/>
            </w:rPr>
            <w:t>Student name:</w:t>
          </w:r>
          <w:r>
            <w:rPr>
              <w:rFonts w:ascii="Arial" w:hAnsi="Arial" w:cs="Arial"/>
              <w:b/>
              <w:bCs/>
              <w:u w:val="wave"/>
            </w:rPr>
            <w:t xml:space="preserve"> Lucretia Malutan</w:t>
          </w:r>
          <w:r w:rsidRPr="00B60123">
            <w:rPr>
              <w:rFonts w:ascii="Arial" w:hAnsi="Arial" w:cs="Arial"/>
              <w:b/>
              <w:bCs/>
              <w:u w:val="wave"/>
            </w:rPr>
            <w:t xml:space="preserve">    </w:t>
          </w:r>
        </w:p>
        <w:p w14:paraId="3298516C" w14:textId="76ABB992" w:rsidR="00B60123" w:rsidRPr="00B60123" w:rsidRDefault="00B60123" w:rsidP="00B60123">
          <w:pPr>
            <w:rPr>
              <w:rFonts w:ascii="Arial" w:hAnsi="Arial" w:cs="Arial"/>
              <w:b/>
              <w:bCs/>
              <w:u w:val="wave"/>
            </w:rPr>
          </w:pPr>
          <w:r w:rsidRPr="00B60123">
            <w:rPr>
              <w:rFonts w:ascii="Arial" w:hAnsi="Arial" w:cs="Arial"/>
              <w:b/>
              <w:bCs/>
              <w:u w:val="wave"/>
            </w:rPr>
            <w:t>Programme:</w:t>
          </w:r>
          <w:r w:rsidRPr="00B60123">
            <w:rPr>
              <w:rFonts w:ascii="Arial" w:hAnsi="Arial" w:cs="Arial"/>
              <w:b/>
              <w:bCs/>
              <w:u w:val="wave"/>
            </w:rPr>
            <w:tab/>
            <w:t>CertHE Sustainable Enterprise (Rural)</w:t>
          </w:r>
        </w:p>
        <w:p w14:paraId="1878599A" w14:textId="0DF62278" w:rsidR="00B60123" w:rsidRPr="00B60123" w:rsidRDefault="00B60123" w:rsidP="00B60123">
          <w:pPr>
            <w:rPr>
              <w:rFonts w:ascii="Arial" w:hAnsi="Arial" w:cs="Arial"/>
              <w:b/>
              <w:bCs/>
              <w:u w:val="wave"/>
            </w:rPr>
          </w:pPr>
          <w:r w:rsidRPr="00B60123">
            <w:rPr>
              <w:rFonts w:ascii="Arial" w:hAnsi="Arial" w:cs="Arial"/>
              <w:b/>
              <w:bCs/>
              <w:u w:val="wave"/>
            </w:rPr>
            <w:t>Module:</w:t>
          </w:r>
          <w:r>
            <w:rPr>
              <w:rFonts w:ascii="Arial" w:hAnsi="Arial" w:cs="Arial"/>
              <w:b/>
              <w:bCs/>
              <w:u w:val="wave"/>
            </w:rPr>
            <w:t xml:space="preserve"> </w:t>
          </w:r>
          <w:r w:rsidRPr="00B60123">
            <w:rPr>
              <w:rFonts w:ascii="Arial" w:hAnsi="Arial" w:cs="Arial"/>
              <w:b/>
              <w:bCs/>
              <w:u w:val="wave"/>
            </w:rPr>
            <w:t>Digital Marketing</w:t>
          </w:r>
        </w:p>
        <w:p w14:paraId="5C1239B7" w14:textId="0344FBCD" w:rsidR="00B60123" w:rsidRPr="00B60123" w:rsidRDefault="00B60123" w:rsidP="00B60123">
          <w:pPr>
            <w:rPr>
              <w:rFonts w:ascii="Arial" w:hAnsi="Arial" w:cs="Arial"/>
              <w:b/>
              <w:bCs/>
              <w:u w:val="wave"/>
            </w:rPr>
          </w:pPr>
          <w:r w:rsidRPr="00B60123">
            <w:rPr>
              <w:rFonts w:ascii="Arial" w:hAnsi="Arial" w:cs="Arial"/>
              <w:b/>
              <w:bCs/>
              <w:u w:val="wave"/>
            </w:rPr>
            <w:t>Module code:</w:t>
          </w:r>
          <w:r>
            <w:rPr>
              <w:rFonts w:ascii="Arial" w:hAnsi="Arial" w:cs="Arial"/>
              <w:b/>
              <w:bCs/>
              <w:u w:val="wave"/>
            </w:rPr>
            <w:t xml:space="preserve"> </w:t>
          </w:r>
          <w:r w:rsidRPr="00B60123">
            <w:rPr>
              <w:rFonts w:ascii="Arial" w:hAnsi="Arial" w:cs="Arial"/>
              <w:b/>
              <w:bCs/>
              <w:u w:val="wave"/>
            </w:rPr>
            <w:t>BMSE4008D</w:t>
          </w:r>
        </w:p>
        <w:p w14:paraId="673FDC2F" w14:textId="2D39CF3A" w:rsidR="00B60123" w:rsidRDefault="00B60123" w:rsidP="00B60123">
          <w:pPr>
            <w:rPr>
              <w:rFonts w:ascii="Arial" w:hAnsi="Arial" w:cs="Arial"/>
              <w:b/>
              <w:bCs/>
              <w:u w:val="wave"/>
            </w:rPr>
          </w:pPr>
          <w:r w:rsidRPr="00B60123">
            <w:rPr>
              <w:rFonts w:ascii="Arial" w:hAnsi="Arial" w:cs="Arial"/>
              <w:b/>
              <w:bCs/>
              <w:u w:val="wave"/>
            </w:rPr>
            <w:t>Lecturer:</w:t>
          </w:r>
          <w:r>
            <w:rPr>
              <w:rFonts w:ascii="Arial" w:hAnsi="Arial" w:cs="Arial"/>
              <w:b/>
              <w:bCs/>
              <w:u w:val="wave"/>
            </w:rPr>
            <w:t xml:space="preserve"> </w:t>
          </w:r>
          <w:r w:rsidRPr="00B60123">
            <w:rPr>
              <w:rFonts w:ascii="Arial" w:hAnsi="Arial" w:cs="Arial"/>
              <w:b/>
              <w:bCs/>
              <w:u w:val="wave"/>
            </w:rPr>
            <w:t>Jessica Shore</w:t>
          </w:r>
          <w:r>
            <w:rPr>
              <w:noProof/>
            </w:rPr>
            <mc:AlternateContent>
              <mc:Choice Requires="wps">
                <w:drawing>
                  <wp:anchor distT="0" distB="0" distL="114300" distR="114300" simplePos="0" relativeHeight="251660288" behindDoc="0" locked="0" layoutInCell="1" allowOverlap="1" wp14:anchorId="1967B553" wp14:editId="340D9DE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018FE7" w14:textId="5453ED16" w:rsidR="00B60123" w:rsidRPr="00B60123" w:rsidRDefault="00B60123" w:rsidP="00B60123">
                                <w:pPr>
                                  <w:pStyle w:val="NoSpacing"/>
                                  <w:jc w:val="right"/>
                                  <w:rPr>
                                    <w:caps/>
                                    <w:color w:val="0A1D30" w:themeColor="text2" w:themeShade="BF"/>
                                    <w:sz w:val="52"/>
                                    <w:szCs w:val="52"/>
                                  </w:rPr>
                                </w:pPr>
                                <w:sdt>
                                  <w:sdtPr>
                                    <w:rPr>
                                      <w:rFonts w:ascii="Arial Black" w:hAnsi="Arial Black"/>
                                      <w:caps/>
                                      <w:color w:val="0A1D30" w:themeColor="text2" w:themeShade="BF"/>
                                      <w:sz w:val="96"/>
                                      <w:szCs w:val="9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6C0F92">
                                      <w:rPr>
                                        <w:rFonts w:ascii="Arial Black" w:hAnsi="Arial Black"/>
                                        <w:caps/>
                                        <w:color w:val="0A1D30" w:themeColor="text2" w:themeShade="BF"/>
                                        <w:sz w:val="96"/>
                                        <w:szCs w:val="96"/>
                                      </w:rPr>
                                      <w:t>REPORT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1967B553" id="_x0000_t202" coordsize="21600,21600" o:spt="202" path="m,l,21600r21600,l21600,xe">
                    <v:stroke joinstyle="miter"/>
                    <v:path gradientshapeok="t" o:connecttype="rect"/>
                  </v:shapetype>
                  <v:shape id="Text Box 113" o:spid="_x0000_s1026"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C4d+mG2gAAAAQBAAAPAAAAZHJzL2Rvd25yZXYueG1s&#10;TI+xTsNAEER7JP7htEh05EwKY4zPUQSiwAUSSQrKjW+xnfj2LN/FMXw9Cw00I41mNfO2WM2uVxON&#10;ofNs4HaRgCKuve24MbDbPt9koEJEtth7JgOfFGBVXl4UmFt/5jeaNrFRUsIhRwNtjEOudahbchgW&#10;fiCW7MOPDqPYsdF2xLOUu14vkyTVDjuWhRYHemypPm5OzsA7u6qqpvXc372i79KXw46+noy5vprX&#10;D6AizfHvGH7wBR1KYdr7E9ugegPySPxVye6TVOzeQLbMQJeF/g9ffgMAAP//AwBQSwECLQAUAAYA&#10;CAAAACEAtoM4kv4AAADhAQAAEwAAAAAAAAAAAAAAAAAAAAAAW0NvbnRlbnRfVHlwZXNdLnhtbFBL&#10;AQItABQABgAIAAAAIQA4/SH/1gAAAJQBAAALAAAAAAAAAAAAAAAAAC8BAABfcmVscy8ucmVsc1BL&#10;AQItABQABgAIAAAAIQAobyp2XwIAAC0FAAAOAAAAAAAAAAAAAAAAAC4CAABkcnMvZTJvRG9jLnht&#10;bFBLAQItABQABgAIAAAAIQC4d+mG2gAAAAQBAAAPAAAAAAAAAAAAAAAAALkEAABkcnMvZG93bnJl&#10;di54bWxQSwUGAAAAAAQABADzAAAAwAUAAAAA&#10;" filled="f" stroked="f" strokeweight=".5pt">
                    <v:textbox inset="0,0,0,0">
                      <w:txbxContent>
                        <w:p w14:paraId="54018FE7" w14:textId="5453ED16" w:rsidR="00B60123" w:rsidRPr="00B60123" w:rsidRDefault="00B60123" w:rsidP="00B60123">
                          <w:pPr>
                            <w:pStyle w:val="NoSpacing"/>
                            <w:jc w:val="right"/>
                            <w:rPr>
                              <w:caps/>
                              <w:color w:val="0A1D30" w:themeColor="text2" w:themeShade="BF"/>
                              <w:sz w:val="52"/>
                              <w:szCs w:val="52"/>
                            </w:rPr>
                          </w:pPr>
                          <w:sdt>
                            <w:sdtPr>
                              <w:rPr>
                                <w:rFonts w:ascii="Arial Black" w:hAnsi="Arial Black"/>
                                <w:caps/>
                                <w:color w:val="0A1D30" w:themeColor="text2" w:themeShade="BF"/>
                                <w:sz w:val="96"/>
                                <w:szCs w:val="9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6C0F92">
                                <w:rPr>
                                  <w:rFonts w:ascii="Arial Black" w:hAnsi="Arial Black"/>
                                  <w:caps/>
                                  <w:color w:val="0A1D30" w:themeColor="text2" w:themeShade="BF"/>
                                  <w:sz w:val="96"/>
                                  <w:szCs w:val="96"/>
                                </w:rPr>
                                <w:t>REPORT</w:t>
                              </w:r>
                            </w:sdtContent>
                          </w:sdt>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3E6C904E" wp14:editId="65E8D3CE">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0B85AD7"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Pr>
              <w:rFonts w:ascii="Arial" w:hAnsi="Arial" w:cs="Arial"/>
              <w:b/>
              <w:bCs/>
              <w:u w:val="wave"/>
            </w:rPr>
            <w:br w:type="page"/>
          </w:r>
        </w:p>
      </w:sdtContent>
    </w:sdt>
    <w:p w14:paraId="6EB348EF" w14:textId="02F7608E" w:rsidR="00027CF2" w:rsidRPr="00027CF2" w:rsidRDefault="00027CF2" w:rsidP="00027CF2">
      <w:pPr>
        <w:spacing w:line="480" w:lineRule="auto"/>
        <w:jc w:val="both"/>
        <w:rPr>
          <w:rFonts w:ascii="Arial" w:hAnsi="Arial" w:cs="Arial"/>
          <w:b/>
          <w:bCs/>
          <w:u w:val="wave"/>
        </w:rPr>
      </w:pPr>
      <w:r w:rsidRPr="00027CF2">
        <w:rPr>
          <w:rFonts w:ascii="Arial" w:hAnsi="Arial" w:cs="Arial"/>
          <w:b/>
          <w:bCs/>
          <w:u w:val="wave"/>
        </w:rPr>
        <w:lastRenderedPageBreak/>
        <w:t>Executive Summary</w:t>
      </w:r>
    </w:p>
    <w:p w14:paraId="377C6D28" w14:textId="77777777" w:rsidR="00027CF2" w:rsidRPr="00027CF2" w:rsidRDefault="00027CF2" w:rsidP="00027CF2">
      <w:pPr>
        <w:spacing w:line="480" w:lineRule="auto"/>
        <w:jc w:val="both"/>
        <w:rPr>
          <w:rFonts w:ascii="Arial" w:hAnsi="Arial" w:cs="Arial"/>
        </w:rPr>
      </w:pPr>
      <w:r w:rsidRPr="00027CF2">
        <w:rPr>
          <w:rFonts w:ascii="Arial" w:hAnsi="Arial" w:cs="Arial"/>
        </w:rPr>
        <w:t>This report provides an overview of a new digital marketing strategy for Starbucks to drive Generation Z engagement with the Starbucks Rewards loyalty programme in the UK. Starbucks has created an extensive digital infrastructure and has built one of the largest and most mature loyalty programmes in the global food and beverage industry, yet younger consumers have yet to fully engage with the brand. Generation Z continues to use digital technologies at a level much higher than previous generations, yet their loyalty to brands remains lower than previous generations. This presents a long-term strategic challenge for Starbucks on how it builds long-lasting loyalty within this demographic group to generate repeat purchases.</w:t>
      </w:r>
    </w:p>
    <w:p w14:paraId="7B3431F1" w14:textId="4033D76B" w:rsidR="00027CF2" w:rsidRPr="00027CF2" w:rsidRDefault="00027CF2" w:rsidP="00027CF2">
      <w:pPr>
        <w:spacing w:line="480" w:lineRule="auto"/>
        <w:jc w:val="both"/>
        <w:rPr>
          <w:rFonts w:ascii="Arial" w:hAnsi="Arial" w:cs="Arial"/>
        </w:rPr>
      </w:pPr>
      <w:r w:rsidRPr="00027CF2">
        <w:rPr>
          <w:rFonts w:ascii="Arial" w:hAnsi="Arial" w:cs="Arial"/>
        </w:rPr>
        <w:t xml:space="preserve">Therefore, this strategic digital marketing campaign will reposition Starbucks Rewards as an authentic, personalised and vertically integrated experience using digital technology that is aligned to Generation Z’s values of authenticity, social interaction and social responsibility. The </w:t>
      </w:r>
      <w:r>
        <w:rPr>
          <w:rFonts w:ascii="Arial" w:hAnsi="Arial" w:cs="Arial"/>
        </w:rPr>
        <w:t>p</w:t>
      </w:r>
      <w:r w:rsidRPr="00027CF2">
        <w:rPr>
          <w:rFonts w:ascii="Arial" w:hAnsi="Arial" w:cs="Arial"/>
        </w:rPr>
        <w:t xml:space="preserve">roposed </w:t>
      </w:r>
      <w:r>
        <w:rPr>
          <w:rFonts w:ascii="Arial" w:hAnsi="Arial" w:cs="Arial"/>
        </w:rPr>
        <w:t>d</w:t>
      </w:r>
      <w:r w:rsidRPr="00027CF2">
        <w:rPr>
          <w:rFonts w:ascii="Arial" w:hAnsi="Arial" w:cs="Arial"/>
        </w:rPr>
        <w:t xml:space="preserve">igital </w:t>
      </w:r>
      <w:r>
        <w:rPr>
          <w:rFonts w:ascii="Arial" w:hAnsi="Arial" w:cs="Arial"/>
        </w:rPr>
        <w:t>c</w:t>
      </w:r>
      <w:r w:rsidRPr="00027CF2">
        <w:rPr>
          <w:rFonts w:ascii="Arial" w:hAnsi="Arial" w:cs="Arial"/>
        </w:rPr>
        <w:t xml:space="preserve">ampaign is developed utilising the key digital marketing concepts of segmentation, targeting and positioning; Integrated Marketing Communications (IMC); Customer Relationship Management (CRM); Customer Experience (CX) and Customer Lifetime Value (CLTV). The success of the </w:t>
      </w:r>
      <w:r>
        <w:rPr>
          <w:rFonts w:ascii="Arial" w:hAnsi="Arial" w:cs="Arial"/>
        </w:rPr>
        <w:t>c</w:t>
      </w:r>
      <w:r w:rsidRPr="00027CF2">
        <w:rPr>
          <w:rFonts w:ascii="Arial" w:hAnsi="Arial" w:cs="Arial"/>
        </w:rPr>
        <w:t xml:space="preserve">ampaign will be measured </w:t>
      </w:r>
      <w:r w:rsidRPr="00027CF2">
        <w:rPr>
          <w:rFonts w:ascii="Arial" w:hAnsi="Arial" w:cs="Arial"/>
        </w:rPr>
        <w:t>using</w:t>
      </w:r>
      <w:r w:rsidRPr="00027CF2">
        <w:rPr>
          <w:rFonts w:ascii="Arial" w:hAnsi="Arial" w:cs="Arial"/>
        </w:rPr>
        <w:t xml:space="preserve"> behavioural, engagement and value-based metrics, with an emphasis on profitability over time rather than direct promotional activity. This digital marketing strategy will ultimately allow Starbucks to build stronger customer relationships, retain customers and create a sustainable competitive advantage through data-driven marketing.</w:t>
      </w:r>
    </w:p>
    <w:p w14:paraId="44136DB5" w14:textId="77777777" w:rsidR="00027CF2" w:rsidRDefault="00027CF2" w:rsidP="00027CF2">
      <w:pPr>
        <w:spacing w:line="480" w:lineRule="auto"/>
        <w:jc w:val="both"/>
        <w:rPr>
          <w:rFonts w:ascii="Arial" w:hAnsi="Arial" w:cs="Arial"/>
        </w:rPr>
      </w:pPr>
    </w:p>
    <w:p w14:paraId="05C8BDDA" w14:textId="77777777" w:rsidR="00027CF2" w:rsidRDefault="00027CF2" w:rsidP="00027CF2">
      <w:pPr>
        <w:spacing w:line="480" w:lineRule="auto"/>
        <w:jc w:val="both"/>
        <w:rPr>
          <w:rFonts w:ascii="Arial" w:hAnsi="Arial" w:cs="Arial"/>
        </w:rPr>
      </w:pPr>
    </w:p>
    <w:p w14:paraId="18DB86D9" w14:textId="38649584" w:rsidR="00027CF2" w:rsidRPr="00027CF2" w:rsidRDefault="00027CF2" w:rsidP="00027CF2">
      <w:pPr>
        <w:spacing w:line="480" w:lineRule="auto"/>
        <w:jc w:val="both"/>
        <w:rPr>
          <w:rFonts w:ascii="Arial" w:hAnsi="Arial" w:cs="Arial"/>
          <w:b/>
          <w:bCs/>
          <w:u w:val="wave"/>
        </w:rPr>
      </w:pPr>
      <w:r w:rsidRPr="00027CF2">
        <w:rPr>
          <w:rFonts w:ascii="Arial" w:hAnsi="Arial" w:cs="Arial"/>
          <w:b/>
          <w:bCs/>
          <w:u w:val="wave"/>
        </w:rPr>
        <w:lastRenderedPageBreak/>
        <w:t>Introduction and Rationale</w:t>
      </w:r>
    </w:p>
    <w:p w14:paraId="40F51850" w14:textId="367ADAC5" w:rsidR="00027CF2" w:rsidRPr="00027CF2" w:rsidRDefault="00027CF2" w:rsidP="00027CF2">
      <w:pPr>
        <w:spacing w:line="480" w:lineRule="auto"/>
        <w:jc w:val="both"/>
        <w:rPr>
          <w:rFonts w:ascii="Arial" w:hAnsi="Arial" w:cs="Arial"/>
        </w:rPr>
      </w:pPr>
      <w:r w:rsidRPr="00027CF2">
        <w:rPr>
          <w:rFonts w:ascii="Arial" w:hAnsi="Arial" w:cs="Arial"/>
        </w:rPr>
        <w:t xml:space="preserve">Digital marketing is now a core element of the strategy by which organisations can develop and maintain a competitive advantage. The growth of mobile technology, new methodologies in </w:t>
      </w:r>
      <w:r>
        <w:rPr>
          <w:rFonts w:ascii="Arial" w:hAnsi="Arial" w:cs="Arial"/>
        </w:rPr>
        <w:t>d</w:t>
      </w:r>
      <w:r w:rsidRPr="00027CF2">
        <w:rPr>
          <w:rFonts w:ascii="Arial" w:hAnsi="Arial" w:cs="Arial"/>
        </w:rPr>
        <w:t xml:space="preserve">ata </w:t>
      </w:r>
      <w:r>
        <w:rPr>
          <w:rFonts w:ascii="Arial" w:hAnsi="Arial" w:cs="Arial"/>
        </w:rPr>
        <w:t>a</w:t>
      </w:r>
      <w:r w:rsidRPr="00027CF2">
        <w:rPr>
          <w:rFonts w:ascii="Arial" w:hAnsi="Arial" w:cs="Arial"/>
        </w:rPr>
        <w:t xml:space="preserve">nalytics and </w:t>
      </w:r>
      <w:r>
        <w:rPr>
          <w:rFonts w:ascii="Arial" w:hAnsi="Arial" w:cs="Arial"/>
        </w:rPr>
        <w:t>p</w:t>
      </w:r>
      <w:r w:rsidRPr="00027CF2">
        <w:rPr>
          <w:rFonts w:ascii="Arial" w:hAnsi="Arial" w:cs="Arial"/>
        </w:rPr>
        <w:t>latform-based communication have altered the way in which consumers view and interact with organisations in highly competitive service industries that have low costs of switching from one brand to another. Consumers now expect the following:</w:t>
      </w:r>
    </w:p>
    <w:p w14:paraId="19908B2E" w14:textId="6D0E5D09" w:rsidR="00027CF2" w:rsidRPr="00027CF2" w:rsidRDefault="00027CF2" w:rsidP="00027CF2">
      <w:pPr>
        <w:pStyle w:val="ListParagraph"/>
        <w:numPr>
          <w:ilvl w:val="0"/>
          <w:numId w:val="1"/>
        </w:numPr>
        <w:spacing w:line="480" w:lineRule="auto"/>
        <w:jc w:val="both"/>
        <w:rPr>
          <w:rFonts w:ascii="Arial" w:hAnsi="Arial" w:cs="Arial"/>
        </w:rPr>
      </w:pPr>
      <w:r w:rsidRPr="00027CF2">
        <w:rPr>
          <w:rFonts w:ascii="Arial" w:hAnsi="Arial" w:cs="Arial"/>
        </w:rPr>
        <w:t>To be able to communicate with an organisation on all digital platforms</w:t>
      </w:r>
      <w:r w:rsidRPr="00027CF2">
        <w:rPr>
          <w:rFonts w:ascii="Arial" w:hAnsi="Arial" w:cs="Arial"/>
        </w:rPr>
        <w:t>.</w:t>
      </w:r>
    </w:p>
    <w:p w14:paraId="3824A32B" w14:textId="65D61FB0" w:rsidR="00027CF2" w:rsidRPr="00027CF2" w:rsidRDefault="00027CF2" w:rsidP="00027CF2">
      <w:pPr>
        <w:pStyle w:val="ListParagraph"/>
        <w:numPr>
          <w:ilvl w:val="0"/>
          <w:numId w:val="1"/>
        </w:numPr>
        <w:spacing w:line="480" w:lineRule="auto"/>
        <w:jc w:val="both"/>
        <w:rPr>
          <w:rFonts w:ascii="Arial" w:hAnsi="Arial" w:cs="Arial"/>
        </w:rPr>
      </w:pPr>
      <w:r w:rsidRPr="00027CF2">
        <w:rPr>
          <w:rFonts w:ascii="Arial" w:hAnsi="Arial" w:cs="Arial"/>
        </w:rPr>
        <w:t>T</w:t>
      </w:r>
      <w:r w:rsidRPr="00027CF2">
        <w:rPr>
          <w:rFonts w:ascii="Arial" w:hAnsi="Arial" w:cs="Arial"/>
        </w:rPr>
        <w:t>hey're looking for personalised interaction, so that organisations reflect the values of the consumer</w:t>
      </w:r>
      <w:r w:rsidRPr="00027CF2">
        <w:rPr>
          <w:rFonts w:ascii="Arial" w:hAnsi="Arial" w:cs="Arial"/>
        </w:rPr>
        <w:t>.</w:t>
      </w:r>
    </w:p>
    <w:p w14:paraId="1AA75204" w14:textId="77777777" w:rsidR="00027CF2" w:rsidRDefault="00027CF2" w:rsidP="00027CF2">
      <w:pPr>
        <w:pStyle w:val="ListParagraph"/>
        <w:numPr>
          <w:ilvl w:val="0"/>
          <w:numId w:val="1"/>
        </w:numPr>
        <w:spacing w:line="480" w:lineRule="auto"/>
        <w:jc w:val="both"/>
        <w:rPr>
          <w:rFonts w:ascii="Arial" w:hAnsi="Arial" w:cs="Arial"/>
        </w:rPr>
      </w:pPr>
      <w:r w:rsidRPr="00027CF2">
        <w:rPr>
          <w:rFonts w:ascii="Arial" w:hAnsi="Arial" w:cs="Arial"/>
        </w:rPr>
        <w:t>To receive the same level of experience across all channels</w:t>
      </w:r>
      <w:r w:rsidRPr="00027CF2">
        <w:rPr>
          <w:rFonts w:ascii="Arial" w:hAnsi="Arial" w:cs="Arial"/>
        </w:rPr>
        <w:t>.</w:t>
      </w:r>
    </w:p>
    <w:p w14:paraId="3B88B13F" w14:textId="6674672F" w:rsidR="00027CF2" w:rsidRPr="00027CF2" w:rsidRDefault="00027CF2" w:rsidP="00027CF2">
      <w:pPr>
        <w:pStyle w:val="ListParagraph"/>
        <w:numPr>
          <w:ilvl w:val="0"/>
          <w:numId w:val="1"/>
        </w:numPr>
        <w:spacing w:line="480" w:lineRule="auto"/>
        <w:jc w:val="both"/>
        <w:rPr>
          <w:rFonts w:ascii="Arial" w:hAnsi="Arial" w:cs="Arial"/>
        </w:rPr>
      </w:pPr>
      <w:r w:rsidRPr="00027CF2">
        <w:rPr>
          <w:rFonts w:ascii="Arial" w:hAnsi="Arial" w:cs="Arial"/>
        </w:rPr>
        <w:t xml:space="preserve">That the organisation will always align the values of </w:t>
      </w:r>
      <w:r w:rsidRPr="00027CF2">
        <w:rPr>
          <w:rFonts w:ascii="Arial" w:hAnsi="Arial" w:cs="Arial"/>
        </w:rPr>
        <w:t>its</w:t>
      </w:r>
      <w:r w:rsidRPr="00027CF2">
        <w:rPr>
          <w:rFonts w:ascii="Arial" w:hAnsi="Arial" w:cs="Arial"/>
        </w:rPr>
        <w:t xml:space="preserve"> brands with those of the consumer (Chaffey &amp; Smith,2022</w:t>
      </w:r>
      <w:r w:rsidRPr="00027CF2">
        <w:rPr>
          <w:rFonts w:ascii="Arial" w:hAnsi="Arial" w:cs="Arial"/>
        </w:rPr>
        <w:t xml:space="preserve">). </w:t>
      </w:r>
    </w:p>
    <w:p w14:paraId="582D73A4" w14:textId="62E8F061" w:rsidR="00027CF2" w:rsidRPr="00027CF2" w:rsidRDefault="00027CF2" w:rsidP="00027CF2">
      <w:pPr>
        <w:spacing w:line="480" w:lineRule="auto"/>
        <w:jc w:val="both"/>
        <w:rPr>
          <w:rFonts w:ascii="Arial" w:hAnsi="Arial" w:cs="Arial"/>
        </w:rPr>
      </w:pPr>
      <w:r w:rsidRPr="00027CF2">
        <w:rPr>
          <w:rFonts w:ascii="Arial" w:hAnsi="Arial" w:cs="Arial"/>
        </w:rPr>
        <w:t>Starbucks</w:t>
      </w:r>
      <w:r w:rsidRPr="00027CF2">
        <w:rPr>
          <w:rFonts w:ascii="Arial" w:hAnsi="Arial" w:cs="Arial"/>
        </w:rPr>
        <w:t xml:space="preserve"> recogni</w:t>
      </w:r>
      <w:r>
        <w:rPr>
          <w:rFonts w:ascii="Arial" w:hAnsi="Arial" w:cs="Arial"/>
        </w:rPr>
        <w:t>s</w:t>
      </w:r>
      <w:r w:rsidRPr="00027CF2">
        <w:rPr>
          <w:rFonts w:ascii="Arial" w:hAnsi="Arial" w:cs="Arial"/>
        </w:rPr>
        <w:t>es the importance of Generation Z, consumers between the ages of 18 and 25, as a strategic yet undeveloped segment for Starbucks Rewards within the UK. Starbucks has successfully integrated digital technologies into its customer journey; however, loyalty engagement is lower within Generation Z versus older generations (Isibor et al. 2025). This is reflective of the broader shift in attitudes toward loyalty programmes among generations. Younger consumers are much less responsive to traditional point-based incentives and are more responsive to experiential and social value.</w:t>
      </w:r>
    </w:p>
    <w:p w14:paraId="20C3CD25" w14:textId="6E690633" w:rsidR="00027CF2" w:rsidRPr="00027CF2" w:rsidRDefault="00027CF2" w:rsidP="00027CF2">
      <w:pPr>
        <w:spacing w:line="480" w:lineRule="auto"/>
        <w:jc w:val="both"/>
        <w:rPr>
          <w:rFonts w:ascii="Arial" w:hAnsi="Arial" w:cs="Arial"/>
        </w:rPr>
      </w:pPr>
      <w:r w:rsidRPr="00027CF2">
        <w:rPr>
          <w:rFonts w:ascii="Arial" w:hAnsi="Arial" w:cs="Arial"/>
        </w:rPr>
        <w:t xml:space="preserve">Starbucks' proposed a digital marketing campaign that encompasses more than just transactional (i.e., point-based) rewards, looking at emotional engagement, social interactions, and personalisation. By using Starbucks' existing CRM system and a </w:t>
      </w:r>
      <w:r w:rsidRPr="00027CF2">
        <w:rPr>
          <w:rFonts w:ascii="Arial" w:hAnsi="Arial" w:cs="Arial"/>
        </w:rPr>
        <w:lastRenderedPageBreak/>
        <w:t xml:space="preserve">combination of predictive analytics and integrated digital communications, Starbucks will be able to better align its loyalty programme offerings with the expectations of Generation Z. This approach aligns with contemporary views of digital business transformation, where success involves continuously adapting to the evolving needs of customers </w:t>
      </w:r>
      <w:r w:rsidRPr="00027CF2">
        <w:rPr>
          <w:rFonts w:ascii="Arial" w:hAnsi="Arial" w:cs="Arial"/>
        </w:rPr>
        <w:t>to</w:t>
      </w:r>
      <w:r w:rsidRPr="00027CF2">
        <w:rPr>
          <w:rFonts w:ascii="Arial" w:hAnsi="Arial" w:cs="Arial"/>
        </w:rPr>
        <w:t xml:space="preserve"> create sustained value over time, rather than simply adopting new technologies (Vaz, 2021).</w:t>
      </w:r>
    </w:p>
    <w:p w14:paraId="60D48725" w14:textId="461D6C0B" w:rsidR="00027CF2" w:rsidRPr="00027CF2" w:rsidRDefault="00027CF2" w:rsidP="00027CF2">
      <w:pPr>
        <w:spacing w:line="480" w:lineRule="auto"/>
        <w:jc w:val="both"/>
        <w:rPr>
          <w:rFonts w:ascii="Arial" w:hAnsi="Arial" w:cs="Arial"/>
          <w:b/>
          <w:bCs/>
          <w:u w:val="wave"/>
        </w:rPr>
      </w:pPr>
      <w:r w:rsidRPr="00027CF2">
        <w:rPr>
          <w:rFonts w:ascii="Arial" w:hAnsi="Arial" w:cs="Arial"/>
          <w:b/>
          <w:bCs/>
          <w:u w:val="wave"/>
        </w:rPr>
        <w:t>Analysis</w:t>
      </w:r>
    </w:p>
    <w:p w14:paraId="568EE653" w14:textId="3250EF1C" w:rsidR="00027CF2" w:rsidRPr="00027CF2" w:rsidRDefault="00027CF2" w:rsidP="00027CF2">
      <w:pPr>
        <w:spacing w:line="480" w:lineRule="auto"/>
        <w:jc w:val="both"/>
        <w:rPr>
          <w:rFonts w:ascii="Arial" w:hAnsi="Arial" w:cs="Arial"/>
        </w:rPr>
      </w:pPr>
      <w:r w:rsidRPr="00027CF2">
        <w:rPr>
          <w:rFonts w:ascii="Arial" w:hAnsi="Arial" w:cs="Arial"/>
        </w:rPr>
        <w:t>The UK coffee market is extremely saturated, providing a wide variety of options for consumers from both global chains, independent caf</w:t>
      </w:r>
      <w:r>
        <w:rPr>
          <w:rFonts w:ascii="Arial" w:hAnsi="Arial" w:cs="Arial"/>
        </w:rPr>
        <w:t>fes</w:t>
      </w:r>
      <w:r w:rsidRPr="00027CF2">
        <w:rPr>
          <w:rFonts w:ascii="Arial" w:hAnsi="Arial" w:cs="Arial"/>
        </w:rPr>
        <w:t>, and convenience-centred formats. Product differentiation is novel, and switching costs are low, making it increasingly difficult for loyalty to exist. Purchasing decisions for younger consumers are influenced by convenience, price sensitivity, brand reputation, and digital Experience rather than just product quality.</w:t>
      </w:r>
    </w:p>
    <w:p w14:paraId="434787CF" w14:textId="65B1A473" w:rsidR="00027CF2" w:rsidRPr="00027CF2" w:rsidRDefault="00027CF2" w:rsidP="00027CF2">
      <w:pPr>
        <w:spacing w:line="480" w:lineRule="auto"/>
        <w:jc w:val="both"/>
        <w:rPr>
          <w:rFonts w:ascii="Arial" w:hAnsi="Arial" w:cs="Arial"/>
        </w:rPr>
      </w:pPr>
      <w:r w:rsidRPr="00027CF2">
        <w:rPr>
          <w:rFonts w:ascii="Arial" w:hAnsi="Arial" w:cs="Arial"/>
        </w:rPr>
        <w:t xml:space="preserve">Digital transformation can address these challenges by providing an organisation with a means of better collecting, </w:t>
      </w:r>
      <w:r w:rsidRPr="00027CF2">
        <w:rPr>
          <w:rFonts w:ascii="Arial" w:hAnsi="Arial" w:cs="Arial"/>
        </w:rPr>
        <w:t>analysing</w:t>
      </w:r>
      <w:r w:rsidRPr="00027CF2">
        <w:rPr>
          <w:rFonts w:ascii="Arial" w:hAnsi="Arial" w:cs="Arial"/>
        </w:rPr>
        <w:t xml:space="preserve">, and using customer </w:t>
      </w:r>
      <w:r w:rsidRPr="00027CF2">
        <w:rPr>
          <w:rFonts w:ascii="Arial" w:hAnsi="Arial" w:cs="Arial"/>
        </w:rPr>
        <w:t>data. Companies</w:t>
      </w:r>
      <w:r w:rsidRPr="00027CF2">
        <w:rPr>
          <w:rFonts w:ascii="Arial" w:hAnsi="Arial" w:cs="Arial"/>
        </w:rPr>
        <w:t xml:space="preserve"> are utili</w:t>
      </w:r>
      <w:r>
        <w:rPr>
          <w:rFonts w:ascii="Arial" w:hAnsi="Arial" w:cs="Arial"/>
        </w:rPr>
        <w:t>s</w:t>
      </w:r>
      <w:r w:rsidRPr="00027CF2">
        <w:rPr>
          <w:rFonts w:ascii="Arial" w:hAnsi="Arial" w:cs="Arial"/>
        </w:rPr>
        <w:t>ing tools for marketing analysis and tools that measure the results of digital performance in conjunction with their digital presence to enhance the effectiveness of marketing programs and improve the ways they acquire and retain customers (Mou et al., 2022). Starbucks has exhibited its capabilities in utili</w:t>
      </w:r>
      <w:r>
        <w:rPr>
          <w:rFonts w:ascii="Arial" w:hAnsi="Arial" w:cs="Arial"/>
        </w:rPr>
        <w:t>s</w:t>
      </w:r>
      <w:r w:rsidRPr="00027CF2">
        <w:rPr>
          <w:rFonts w:ascii="Arial" w:hAnsi="Arial" w:cs="Arial"/>
        </w:rPr>
        <w:t xml:space="preserve">ing the </w:t>
      </w:r>
      <w:r w:rsidRPr="00027CF2">
        <w:rPr>
          <w:rFonts w:ascii="Arial" w:hAnsi="Arial" w:cs="Arial"/>
        </w:rPr>
        <w:t>tools</w:t>
      </w:r>
      <w:r w:rsidRPr="00027CF2">
        <w:rPr>
          <w:rFonts w:ascii="Arial" w:hAnsi="Arial" w:cs="Arial"/>
        </w:rPr>
        <w:t xml:space="preserve"> through its mobile application, customer loyalty program, and overall customer relationship management (CRM) system </w:t>
      </w:r>
      <w:r w:rsidRPr="00027CF2">
        <w:rPr>
          <w:rFonts w:ascii="Arial" w:hAnsi="Arial" w:cs="Arial"/>
        </w:rPr>
        <w:t>to</w:t>
      </w:r>
      <w:r w:rsidRPr="00027CF2">
        <w:rPr>
          <w:rFonts w:ascii="Arial" w:hAnsi="Arial" w:cs="Arial"/>
        </w:rPr>
        <w:t xml:space="preserve"> provide the firm with a complete view of each customer’s </w:t>
      </w:r>
      <w:r w:rsidRPr="00027CF2">
        <w:rPr>
          <w:rFonts w:ascii="Arial" w:hAnsi="Arial" w:cs="Arial"/>
        </w:rPr>
        <w:t>behaviour</w:t>
      </w:r>
      <w:r w:rsidRPr="00027CF2">
        <w:rPr>
          <w:rFonts w:ascii="Arial" w:hAnsi="Arial" w:cs="Arial"/>
        </w:rPr>
        <w:t xml:space="preserve"> throughout his/her multiple interaction points with Starbucks.</w:t>
      </w:r>
    </w:p>
    <w:p w14:paraId="7B60EA67" w14:textId="77777777" w:rsidR="00027CF2" w:rsidRDefault="00027CF2" w:rsidP="00027CF2">
      <w:pPr>
        <w:spacing w:line="480" w:lineRule="auto"/>
        <w:jc w:val="both"/>
        <w:rPr>
          <w:rFonts w:ascii="Arial" w:hAnsi="Arial" w:cs="Arial"/>
        </w:rPr>
      </w:pPr>
      <w:r w:rsidRPr="00027CF2">
        <w:rPr>
          <w:rFonts w:ascii="Arial" w:hAnsi="Arial" w:cs="Arial"/>
        </w:rPr>
        <w:t xml:space="preserve">In addition, Starbucks has a considerable amount of resources and knowledge concerning Digital Content Marketing (DCM) strategies, and research conducted by </w:t>
      </w:r>
      <w:r w:rsidRPr="00027CF2">
        <w:rPr>
          <w:rFonts w:ascii="Arial" w:hAnsi="Arial" w:cs="Arial"/>
        </w:rPr>
        <w:lastRenderedPageBreak/>
        <w:t>Sunarso and Mustafa (2023) indicates that younger consumers prefer to engage with brands through interactive, picture-dominant experiences, which reinforces that, in order to be successful, Starbucks’ loyalty strategy must evolve to create opportunities to build a relationship with its younger customers in addition to offering them rewards.</w:t>
      </w:r>
    </w:p>
    <w:p w14:paraId="1A067F04" w14:textId="53625924" w:rsidR="00027CF2" w:rsidRPr="00027CF2" w:rsidRDefault="00027CF2" w:rsidP="00027CF2">
      <w:pPr>
        <w:spacing w:line="480" w:lineRule="auto"/>
        <w:jc w:val="both"/>
        <w:rPr>
          <w:rFonts w:ascii="Arial" w:hAnsi="Arial" w:cs="Arial"/>
        </w:rPr>
      </w:pPr>
      <w:r w:rsidRPr="00027CF2">
        <w:rPr>
          <w:rFonts w:ascii="Arial" w:hAnsi="Arial" w:cs="Arial"/>
        </w:rPr>
        <w:t xml:space="preserve">SWOT analysis supports this conclusion by identifying the strong brand image and digital maturity as strengths, but limited ways to connect on a personal level with younger consumers is a weakness. Influencer </w:t>
      </w:r>
      <w:r>
        <w:rPr>
          <w:rFonts w:ascii="Arial" w:hAnsi="Arial" w:cs="Arial"/>
        </w:rPr>
        <w:t>m</w:t>
      </w:r>
      <w:r w:rsidRPr="00027CF2">
        <w:rPr>
          <w:rFonts w:ascii="Arial" w:hAnsi="Arial" w:cs="Arial"/>
        </w:rPr>
        <w:t xml:space="preserve">arketing, </w:t>
      </w:r>
      <w:r>
        <w:rPr>
          <w:rFonts w:ascii="Arial" w:hAnsi="Arial" w:cs="Arial"/>
        </w:rPr>
        <w:t>p</w:t>
      </w:r>
      <w:r w:rsidRPr="00027CF2">
        <w:rPr>
          <w:rFonts w:ascii="Arial" w:hAnsi="Arial" w:cs="Arial"/>
        </w:rPr>
        <w:t>ersonali</w:t>
      </w:r>
      <w:r>
        <w:rPr>
          <w:rFonts w:ascii="Arial" w:hAnsi="Arial" w:cs="Arial"/>
        </w:rPr>
        <w:t>s</w:t>
      </w:r>
      <w:r w:rsidRPr="00027CF2">
        <w:rPr>
          <w:rFonts w:ascii="Arial" w:hAnsi="Arial" w:cs="Arial"/>
        </w:rPr>
        <w:t xml:space="preserve">ed CRM </w:t>
      </w:r>
      <w:r>
        <w:rPr>
          <w:rFonts w:ascii="Arial" w:hAnsi="Arial" w:cs="Arial"/>
        </w:rPr>
        <w:t>m</w:t>
      </w:r>
      <w:r w:rsidRPr="00027CF2">
        <w:rPr>
          <w:rFonts w:ascii="Arial" w:hAnsi="Arial" w:cs="Arial"/>
        </w:rPr>
        <w:t xml:space="preserve">arketing through </w:t>
      </w:r>
      <w:r>
        <w:rPr>
          <w:rFonts w:ascii="Arial" w:hAnsi="Arial" w:cs="Arial"/>
        </w:rPr>
        <w:t>t</w:t>
      </w:r>
      <w:r w:rsidRPr="00027CF2">
        <w:rPr>
          <w:rFonts w:ascii="Arial" w:hAnsi="Arial" w:cs="Arial"/>
        </w:rPr>
        <w:t xml:space="preserve">arget and </w:t>
      </w:r>
      <w:r>
        <w:rPr>
          <w:rFonts w:ascii="Arial" w:hAnsi="Arial" w:cs="Arial"/>
        </w:rPr>
        <w:t>s</w:t>
      </w:r>
      <w:r w:rsidRPr="00027CF2">
        <w:rPr>
          <w:rFonts w:ascii="Arial" w:hAnsi="Arial" w:cs="Arial"/>
        </w:rPr>
        <w:t xml:space="preserve">egmented campaigns, and the use of </w:t>
      </w:r>
      <w:r>
        <w:rPr>
          <w:rFonts w:ascii="Arial" w:hAnsi="Arial" w:cs="Arial"/>
        </w:rPr>
        <w:t>e</w:t>
      </w:r>
      <w:r w:rsidRPr="00027CF2">
        <w:rPr>
          <w:rFonts w:ascii="Arial" w:hAnsi="Arial" w:cs="Arial"/>
        </w:rPr>
        <w:t xml:space="preserve">xperiential </w:t>
      </w:r>
      <w:r>
        <w:rPr>
          <w:rFonts w:ascii="Arial" w:hAnsi="Arial" w:cs="Arial"/>
        </w:rPr>
        <w:t>d</w:t>
      </w:r>
      <w:r w:rsidRPr="00027CF2">
        <w:rPr>
          <w:rFonts w:ascii="Arial" w:hAnsi="Arial" w:cs="Arial"/>
        </w:rPr>
        <w:t xml:space="preserve">igital </w:t>
      </w:r>
      <w:r>
        <w:rPr>
          <w:rFonts w:ascii="Arial" w:hAnsi="Arial" w:cs="Arial"/>
        </w:rPr>
        <w:t>c</w:t>
      </w:r>
      <w:r w:rsidRPr="00027CF2">
        <w:rPr>
          <w:rFonts w:ascii="Arial" w:hAnsi="Arial" w:cs="Arial"/>
        </w:rPr>
        <w:t>ontent are opportunities that Starbucks can pursue, while increasing competition, shorter attention spans, and frequently changing online trends are external threats (Simoes &amp; Freitas, 2021).</w:t>
      </w:r>
    </w:p>
    <w:p w14:paraId="64A289B3" w14:textId="440A1F1A" w:rsidR="00027CF2" w:rsidRPr="00027CF2" w:rsidRDefault="00027CF2" w:rsidP="00027CF2">
      <w:pPr>
        <w:spacing w:line="480" w:lineRule="auto"/>
        <w:jc w:val="both"/>
        <w:rPr>
          <w:rFonts w:ascii="Arial" w:hAnsi="Arial" w:cs="Arial"/>
          <w:b/>
          <w:bCs/>
          <w:u w:val="wave"/>
        </w:rPr>
      </w:pPr>
      <w:r w:rsidRPr="00027CF2">
        <w:rPr>
          <w:rFonts w:ascii="Arial" w:hAnsi="Arial" w:cs="Arial"/>
          <w:b/>
          <w:bCs/>
          <w:u w:val="wave"/>
        </w:rPr>
        <w:t>Segmentation (S), Targeting (T), and Positioning (P)</w:t>
      </w:r>
    </w:p>
    <w:p w14:paraId="189F83C4" w14:textId="6E8496BE" w:rsidR="00027CF2" w:rsidRPr="00027CF2" w:rsidRDefault="00027CF2" w:rsidP="00027CF2">
      <w:pPr>
        <w:spacing w:line="480" w:lineRule="auto"/>
        <w:jc w:val="both"/>
        <w:rPr>
          <w:rFonts w:ascii="Arial" w:hAnsi="Arial" w:cs="Arial"/>
        </w:rPr>
      </w:pPr>
      <w:r w:rsidRPr="00027CF2">
        <w:rPr>
          <w:rFonts w:ascii="Arial" w:hAnsi="Arial" w:cs="Arial"/>
        </w:rPr>
        <w:t xml:space="preserve">Segmentation (S), Targeting (T), and Positioning (P) are key components of any effective marketing strategy that organisations can use to better allocate resources and ensure they deliver an appropriate value proposition to the right customers. When executed correctly, STP directly correlates with overall customer satisfaction and loyalty, as well as long-term success within the market (Ningrum &amp; </w:t>
      </w:r>
      <w:proofErr w:type="spellStart"/>
      <w:r w:rsidRPr="00027CF2">
        <w:rPr>
          <w:rFonts w:ascii="Arial" w:hAnsi="Arial" w:cs="Arial"/>
        </w:rPr>
        <w:t>Hasmarini</w:t>
      </w:r>
      <w:proofErr w:type="spellEnd"/>
      <w:r w:rsidRPr="00027CF2">
        <w:rPr>
          <w:rFonts w:ascii="Arial" w:hAnsi="Arial" w:cs="Arial"/>
        </w:rPr>
        <w:t>, 2024</w:t>
      </w:r>
      <w:r w:rsidRPr="00027CF2">
        <w:rPr>
          <w:rFonts w:ascii="Arial" w:hAnsi="Arial" w:cs="Arial"/>
        </w:rPr>
        <w:t>). For</w:t>
      </w:r>
      <w:r w:rsidRPr="00027CF2">
        <w:rPr>
          <w:rFonts w:ascii="Arial" w:hAnsi="Arial" w:cs="Arial"/>
        </w:rPr>
        <w:t xml:space="preserve"> the UK Starbuck campaign, Starbucks will be segmenting the market based on demographic, psychographic, and behavioural aspects of the customer base. The relevant segment identified by Starbucks includes Gen Z (individuals aged 18 to 25), principally students or early career professionals residing in an urban area. The psychographic segmentation will highlight that this segment places high value on technology, communication among peers, and having a social and ethical component to the products and services purchased. The behavioural aspects of this segment are </w:t>
      </w:r>
      <w:r w:rsidRPr="00027CF2">
        <w:rPr>
          <w:rFonts w:ascii="Arial" w:hAnsi="Arial" w:cs="Arial"/>
        </w:rPr>
        <w:lastRenderedPageBreak/>
        <w:t>based on the high levels of usage of mobile devices, social media, etc., and the focus on experimentation or trying different brands as compared to loyalty and commitment to one brand.</w:t>
      </w:r>
    </w:p>
    <w:p w14:paraId="1288566A" w14:textId="77777777" w:rsidR="00027CF2" w:rsidRPr="00027CF2" w:rsidRDefault="00027CF2" w:rsidP="00027CF2">
      <w:pPr>
        <w:spacing w:line="480" w:lineRule="auto"/>
        <w:jc w:val="both"/>
        <w:rPr>
          <w:rFonts w:ascii="Arial" w:hAnsi="Arial" w:cs="Arial"/>
        </w:rPr>
      </w:pPr>
      <w:r w:rsidRPr="00027CF2">
        <w:rPr>
          <w:rFonts w:ascii="Arial" w:hAnsi="Arial" w:cs="Arial"/>
        </w:rPr>
        <w:t>Targeting this segment makes sense because of the substantial amount of revenue this segment will generate for Starbucks in the future. According to research into relationship marketing, students and young career professionals are more likely to generate greater long-term value from an ongoing relationship with a business if their initial relationship provides them with satisfaction and trust in the business (</w:t>
      </w:r>
      <w:proofErr w:type="spellStart"/>
      <w:r w:rsidRPr="00027CF2">
        <w:rPr>
          <w:rFonts w:ascii="Arial" w:hAnsi="Arial" w:cs="Arial"/>
        </w:rPr>
        <w:t>Kojuri</w:t>
      </w:r>
      <w:proofErr w:type="spellEnd"/>
      <w:r w:rsidRPr="00027CF2">
        <w:rPr>
          <w:rFonts w:ascii="Arial" w:hAnsi="Arial" w:cs="Arial"/>
        </w:rPr>
        <w:t xml:space="preserve"> &amp; Ali, 2024). Starbucks is targeting Gen Z to be able to influence the future loyalty path of these consumers and prevent them from becoming habitual users of a variety of brands.</w:t>
      </w:r>
    </w:p>
    <w:p w14:paraId="12952CB4" w14:textId="127BD01A" w:rsidR="00027CF2" w:rsidRPr="00027CF2" w:rsidRDefault="00027CF2" w:rsidP="00027CF2">
      <w:pPr>
        <w:spacing w:line="480" w:lineRule="auto"/>
        <w:jc w:val="both"/>
        <w:rPr>
          <w:rFonts w:ascii="Arial" w:hAnsi="Arial" w:cs="Arial"/>
        </w:rPr>
      </w:pPr>
      <w:r w:rsidRPr="00027CF2">
        <w:rPr>
          <w:rFonts w:ascii="Arial" w:hAnsi="Arial" w:cs="Arial"/>
        </w:rPr>
        <w:t xml:space="preserve">Starbucks' intended position within the Gen Z market for Starbucks </w:t>
      </w:r>
      <w:r>
        <w:rPr>
          <w:rFonts w:ascii="Arial" w:hAnsi="Arial" w:cs="Arial"/>
        </w:rPr>
        <w:t>r</w:t>
      </w:r>
      <w:r w:rsidRPr="00027CF2">
        <w:rPr>
          <w:rFonts w:ascii="Arial" w:hAnsi="Arial" w:cs="Arial"/>
        </w:rPr>
        <w:t xml:space="preserve">ewards is that the Starbucks </w:t>
      </w:r>
      <w:r>
        <w:rPr>
          <w:rFonts w:ascii="Arial" w:hAnsi="Arial" w:cs="Arial"/>
        </w:rPr>
        <w:t>r</w:t>
      </w:r>
      <w:r w:rsidRPr="00027CF2">
        <w:rPr>
          <w:rFonts w:ascii="Arial" w:hAnsi="Arial" w:cs="Arial"/>
        </w:rPr>
        <w:t xml:space="preserve">ewards </w:t>
      </w:r>
      <w:r>
        <w:rPr>
          <w:rFonts w:ascii="Arial" w:hAnsi="Arial" w:cs="Arial"/>
        </w:rPr>
        <w:t>p</w:t>
      </w:r>
      <w:r w:rsidRPr="00027CF2">
        <w:rPr>
          <w:rFonts w:ascii="Arial" w:hAnsi="Arial" w:cs="Arial"/>
        </w:rPr>
        <w:t>rogram is designed to be a personalised digital-first experience for Gen Z that fits seamlessly into their digital-first lifestyles and reflects their social and ethical values. A well-defined position provides the customer with a greater degree of emotional connection to the brand and builds an emotional connection between the customer and Starbucks as well as a more distinct image within the market, which is a must within an increasingly commoditised environment (Gusmao et al., 2025).</w:t>
      </w:r>
    </w:p>
    <w:p w14:paraId="694AD7DA" w14:textId="77777777" w:rsidR="00027CF2" w:rsidRPr="00413B36" w:rsidRDefault="00027CF2" w:rsidP="00027CF2">
      <w:pPr>
        <w:spacing w:line="480" w:lineRule="auto"/>
        <w:jc w:val="both"/>
        <w:rPr>
          <w:rFonts w:ascii="Arial" w:hAnsi="Arial" w:cs="Arial"/>
          <w:b/>
          <w:bCs/>
        </w:rPr>
      </w:pPr>
      <w:r w:rsidRPr="00413B36">
        <w:rPr>
          <w:rFonts w:ascii="Arial" w:hAnsi="Arial" w:cs="Arial"/>
          <w:b/>
          <w:bCs/>
        </w:rPr>
        <w:t>Table 1: Starbucks Rewards STP Framework:</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2"/>
        <w:gridCol w:w="7334"/>
      </w:tblGrid>
      <w:tr w:rsidR="00413B36" w:rsidRPr="00413B36" w14:paraId="764E92D6" w14:textId="77777777" w:rsidTr="00413B36">
        <w:trPr>
          <w:tblHeader/>
          <w:tblCellSpacing w:w="15" w:type="dxa"/>
        </w:trPr>
        <w:tc>
          <w:tcPr>
            <w:tcW w:w="0" w:type="auto"/>
            <w:shd w:val="clear" w:color="auto" w:fill="BF4E14" w:themeFill="accent2" w:themeFillShade="BF"/>
            <w:vAlign w:val="center"/>
            <w:hideMark/>
          </w:tcPr>
          <w:p w14:paraId="7D7C5E8B" w14:textId="77777777" w:rsidR="00413B36" w:rsidRPr="00413B36" w:rsidRDefault="00413B36" w:rsidP="00413B36">
            <w:pPr>
              <w:spacing w:line="276" w:lineRule="auto"/>
              <w:jc w:val="both"/>
              <w:rPr>
                <w:rFonts w:ascii="Arial" w:hAnsi="Arial" w:cs="Arial"/>
                <w:b/>
                <w:bCs/>
              </w:rPr>
            </w:pPr>
            <w:r w:rsidRPr="00413B36">
              <w:rPr>
                <w:rFonts w:ascii="Arial" w:hAnsi="Arial" w:cs="Arial"/>
                <w:b/>
                <w:bCs/>
              </w:rPr>
              <w:t>Element</w:t>
            </w:r>
          </w:p>
        </w:tc>
        <w:tc>
          <w:tcPr>
            <w:tcW w:w="0" w:type="auto"/>
            <w:shd w:val="clear" w:color="auto" w:fill="BF4E14" w:themeFill="accent2" w:themeFillShade="BF"/>
            <w:vAlign w:val="center"/>
            <w:hideMark/>
          </w:tcPr>
          <w:p w14:paraId="2743FD06" w14:textId="77777777" w:rsidR="00413B36" w:rsidRPr="00413B36" w:rsidRDefault="00413B36" w:rsidP="00413B36">
            <w:pPr>
              <w:spacing w:line="276" w:lineRule="auto"/>
              <w:jc w:val="both"/>
              <w:rPr>
                <w:rFonts w:ascii="Arial" w:hAnsi="Arial" w:cs="Arial"/>
                <w:b/>
                <w:bCs/>
              </w:rPr>
            </w:pPr>
            <w:r w:rsidRPr="00413B36">
              <w:rPr>
                <w:rFonts w:ascii="Arial" w:hAnsi="Arial" w:cs="Arial"/>
                <w:b/>
                <w:bCs/>
              </w:rPr>
              <w:t>Description</w:t>
            </w:r>
          </w:p>
        </w:tc>
      </w:tr>
      <w:tr w:rsidR="00413B36" w:rsidRPr="00413B36" w14:paraId="54AA746B" w14:textId="77777777" w:rsidTr="00413B36">
        <w:trPr>
          <w:tblCellSpacing w:w="15" w:type="dxa"/>
        </w:trPr>
        <w:tc>
          <w:tcPr>
            <w:tcW w:w="0" w:type="auto"/>
            <w:vAlign w:val="center"/>
            <w:hideMark/>
          </w:tcPr>
          <w:p w14:paraId="3F641CC5" w14:textId="77777777" w:rsidR="00413B36" w:rsidRPr="00413B36" w:rsidRDefault="00413B36" w:rsidP="00413B36">
            <w:pPr>
              <w:spacing w:line="276" w:lineRule="auto"/>
              <w:jc w:val="both"/>
              <w:rPr>
                <w:rFonts w:ascii="Arial" w:hAnsi="Arial" w:cs="Arial"/>
                <w:b/>
                <w:bCs/>
              </w:rPr>
            </w:pPr>
            <w:r w:rsidRPr="00413B36">
              <w:rPr>
                <w:rFonts w:ascii="Arial" w:hAnsi="Arial" w:cs="Arial"/>
                <w:b/>
                <w:bCs/>
              </w:rPr>
              <w:t>Segmentation</w:t>
            </w:r>
          </w:p>
        </w:tc>
        <w:tc>
          <w:tcPr>
            <w:tcW w:w="0" w:type="auto"/>
            <w:vAlign w:val="center"/>
            <w:hideMark/>
          </w:tcPr>
          <w:p w14:paraId="7EB0834F" w14:textId="546847A5" w:rsidR="00413B36" w:rsidRPr="00413B36" w:rsidRDefault="00413B36" w:rsidP="00413B36">
            <w:pPr>
              <w:spacing w:line="276" w:lineRule="auto"/>
              <w:jc w:val="both"/>
              <w:rPr>
                <w:rFonts w:ascii="Arial" w:hAnsi="Arial" w:cs="Arial"/>
              </w:rPr>
            </w:pPr>
            <w:r w:rsidRPr="00413B36">
              <w:rPr>
                <w:rFonts w:ascii="Arial" w:hAnsi="Arial" w:cs="Arial"/>
              </w:rPr>
              <w:t>UK-based consumers aged 18–25, digitally active, socially conscious, urban-focused</w:t>
            </w:r>
            <w:r>
              <w:rPr>
                <w:rFonts w:ascii="Arial" w:hAnsi="Arial" w:cs="Arial"/>
              </w:rPr>
              <w:t>.</w:t>
            </w:r>
          </w:p>
        </w:tc>
      </w:tr>
      <w:tr w:rsidR="00413B36" w:rsidRPr="00413B36" w14:paraId="083EEE8A" w14:textId="77777777" w:rsidTr="00413B36">
        <w:trPr>
          <w:tblCellSpacing w:w="15" w:type="dxa"/>
        </w:trPr>
        <w:tc>
          <w:tcPr>
            <w:tcW w:w="0" w:type="auto"/>
            <w:vAlign w:val="center"/>
            <w:hideMark/>
          </w:tcPr>
          <w:p w14:paraId="2A411D7D" w14:textId="77777777" w:rsidR="00413B36" w:rsidRPr="00413B36" w:rsidRDefault="00413B36" w:rsidP="00413B36">
            <w:pPr>
              <w:spacing w:line="276" w:lineRule="auto"/>
              <w:jc w:val="both"/>
              <w:rPr>
                <w:rFonts w:ascii="Arial" w:hAnsi="Arial" w:cs="Arial"/>
                <w:b/>
                <w:bCs/>
              </w:rPr>
            </w:pPr>
            <w:r w:rsidRPr="00413B36">
              <w:rPr>
                <w:rFonts w:ascii="Arial" w:hAnsi="Arial" w:cs="Arial"/>
                <w:b/>
                <w:bCs/>
              </w:rPr>
              <w:t>Targeting</w:t>
            </w:r>
          </w:p>
        </w:tc>
        <w:tc>
          <w:tcPr>
            <w:tcW w:w="0" w:type="auto"/>
            <w:vAlign w:val="center"/>
            <w:hideMark/>
          </w:tcPr>
          <w:p w14:paraId="1F151E7A" w14:textId="3F91764F" w:rsidR="00413B36" w:rsidRPr="00413B36" w:rsidRDefault="00413B36" w:rsidP="00413B36">
            <w:pPr>
              <w:spacing w:line="276" w:lineRule="auto"/>
              <w:jc w:val="both"/>
              <w:rPr>
                <w:rFonts w:ascii="Arial" w:hAnsi="Arial" w:cs="Arial"/>
              </w:rPr>
            </w:pPr>
            <w:r w:rsidRPr="00413B36">
              <w:rPr>
                <w:rFonts w:ascii="Arial" w:hAnsi="Arial" w:cs="Arial"/>
              </w:rPr>
              <w:t>Generation Z coffee consumers with high digital engagement and low brand loyalty</w:t>
            </w:r>
            <w:r>
              <w:rPr>
                <w:rFonts w:ascii="Arial" w:hAnsi="Arial" w:cs="Arial"/>
              </w:rPr>
              <w:t>.</w:t>
            </w:r>
          </w:p>
        </w:tc>
      </w:tr>
      <w:tr w:rsidR="00413B36" w:rsidRPr="00413B36" w14:paraId="7BA04720" w14:textId="77777777" w:rsidTr="00413B36">
        <w:trPr>
          <w:tblCellSpacing w:w="15" w:type="dxa"/>
        </w:trPr>
        <w:tc>
          <w:tcPr>
            <w:tcW w:w="0" w:type="auto"/>
            <w:vAlign w:val="center"/>
            <w:hideMark/>
          </w:tcPr>
          <w:p w14:paraId="7151CACB" w14:textId="77777777" w:rsidR="00413B36" w:rsidRPr="00413B36" w:rsidRDefault="00413B36" w:rsidP="00413B36">
            <w:pPr>
              <w:spacing w:line="276" w:lineRule="auto"/>
              <w:jc w:val="both"/>
              <w:rPr>
                <w:rFonts w:ascii="Arial" w:hAnsi="Arial" w:cs="Arial"/>
                <w:b/>
                <w:bCs/>
              </w:rPr>
            </w:pPr>
            <w:r w:rsidRPr="00413B36">
              <w:rPr>
                <w:rFonts w:ascii="Arial" w:hAnsi="Arial" w:cs="Arial"/>
                <w:b/>
                <w:bCs/>
              </w:rPr>
              <w:lastRenderedPageBreak/>
              <w:t>Positioning</w:t>
            </w:r>
          </w:p>
        </w:tc>
        <w:tc>
          <w:tcPr>
            <w:tcW w:w="0" w:type="auto"/>
            <w:vAlign w:val="center"/>
            <w:hideMark/>
          </w:tcPr>
          <w:p w14:paraId="69DDC375" w14:textId="4A7487B8" w:rsidR="00413B36" w:rsidRPr="00413B36" w:rsidRDefault="00413B36" w:rsidP="00413B36">
            <w:pPr>
              <w:spacing w:line="276" w:lineRule="auto"/>
              <w:jc w:val="both"/>
              <w:rPr>
                <w:rFonts w:ascii="Arial" w:hAnsi="Arial" w:cs="Arial"/>
              </w:rPr>
            </w:pPr>
            <w:r w:rsidRPr="00413B36">
              <w:rPr>
                <w:rFonts w:ascii="Arial" w:hAnsi="Arial" w:cs="Arial"/>
              </w:rPr>
              <w:t>A personalised, digital-first rewards experience aligned with Gen Z values</w:t>
            </w:r>
            <w:r>
              <w:rPr>
                <w:rFonts w:ascii="Arial" w:hAnsi="Arial" w:cs="Arial"/>
              </w:rPr>
              <w:t>.</w:t>
            </w:r>
          </w:p>
        </w:tc>
      </w:tr>
    </w:tbl>
    <w:p w14:paraId="053E2398" w14:textId="77777777" w:rsidR="00027CF2" w:rsidRPr="00027CF2" w:rsidRDefault="00027CF2" w:rsidP="00027CF2">
      <w:pPr>
        <w:spacing w:line="480" w:lineRule="auto"/>
        <w:jc w:val="both"/>
        <w:rPr>
          <w:rFonts w:ascii="Arial" w:hAnsi="Arial" w:cs="Arial"/>
        </w:rPr>
      </w:pPr>
    </w:p>
    <w:p w14:paraId="3BE8416E" w14:textId="371F9F54" w:rsidR="00027CF2" w:rsidRPr="00413B36" w:rsidRDefault="00027CF2" w:rsidP="00027CF2">
      <w:pPr>
        <w:spacing w:line="480" w:lineRule="auto"/>
        <w:jc w:val="both"/>
        <w:rPr>
          <w:rFonts w:ascii="Arial" w:hAnsi="Arial" w:cs="Arial"/>
          <w:b/>
          <w:bCs/>
          <w:u w:val="wave"/>
        </w:rPr>
      </w:pPr>
      <w:r w:rsidRPr="00413B36">
        <w:rPr>
          <w:rFonts w:ascii="Arial" w:hAnsi="Arial" w:cs="Arial"/>
          <w:b/>
          <w:bCs/>
          <w:u w:val="wave"/>
        </w:rPr>
        <w:t xml:space="preserve">Digital Marketing Campaign Strategy </w:t>
      </w:r>
    </w:p>
    <w:p w14:paraId="4F64D8AC" w14:textId="3B5FF2AF" w:rsidR="00027CF2" w:rsidRPr="00027CF2" w:rsidRDefault="00027CF2" w:rsidP="00027CF2">
      <w:pPr>
        <w:spacing w:line="480" w:lineRule="auto"/>
        <w:jc w:val="both"/>
        <w:rPr>
          <w:rFonts w:ascii="Arial" w:hAnsi="Arial" w:cs="Arial"/>
        </w:rPr>
      </w:pPr>
      <w:r w:rsidRPr="00027CF2">
        <w:rPr>
          <w:rFonts w:ascii="Arial" w:hAnsi="Arial" w:cs="Arial"/>
        </w:rPr>
        <w:t xml:space="preserve">The Sip. Scan. Share. </w:t>
      </w:r>
      <w:r w:rsidR="00413B36">
        <w:rPr>
          <w:rFonts w:ascii="Arial" w:hAnsi="Arial" w:cs="Arial"/>
        </w:rPr>
        <w:t>c</w:t>
      </w:r>
      <w:r w:rsidRPr="00027CF2">
        <w:rPr>
          <w:rFonts w:ascii="Arial" w:hAnsi="Arial" w:cs="Arial"/>
        </w:rPr>
        <w:t xml:space="preserve">ampaign will embed Starbucks Rewards into the daily digital routines of Gen Z </w:t>
      </w:r>
      <w:r w:rsidR="00413B36" w:rsidRPr="00027CF2">
        <w:rPr>
          <w:rFonts w:ascii="Arial" w:hAnsi="Arial" w:cs="Arial"/>
        </w:rPr>
        <w:t>consumers. The</w:t>
      </w:r>
      <w:r w:rsidRPr="00027CF2">
        <w:rPr>
          <w:rFonts w:ascii="Arial" w:hAnsi="Arial" w:cs="Arial"/>
        </w:rPr>
        <w:t xml:space="preserve"> campaign focuses on interactive, co-creating experiences and increasing the visibility of these co-created experiences socially thus, illustrating the participatory nature of the digital culture currently.</w:t>
      </w:r>
    </w:p>
    <w:p w14:paraId="24142A82" w14:textId="77777777" w:rsidR="00027CF2" w:rsidRPr="00027CF2" w:rsidRDefault="00027CF2" w:rsidP="00027CF2">
      <w:pPr>
        <w:spacing w:line="480" w:lineRule="auto"/>
        <w:jc w:val="both"/>
        <w:rPr>
          <w:rFonts w:ascii="Arial" w:hAnsi="Arial" w:cs="Arial"/>
        </w:rPr>
      </w:pPr>
      <w:r w:rsidRPr="00027CF2">
        <w:rPr>
          <w:rFonts w:ascii="Arial" w:hAnsi="Arial" w:cs="Arial"/>
        </w:rPr>
        <w:t>Strategically, the campaign goes beyond just boosting short-term sales to include increasing App adoption, improving repeat purchasing patterns as well as increasing the customer lifetime value of its loyalty program. The objectives of the campaign reflect the current views of digital marketers that focus more on building up quality relationships and long-term value creation than just generating immediate transactional value (Kumar &amp; Shah, 2022).</w:t>
      </w:r>
    </w:p>
    <w:p w14:paraId="111219D6" w14:textId="77777777" w:rsidR="00413B36" w:rsidRDefault="00027CF2" w:rsidP="00027CF2">
      <w:pPr>
        <w:spacing w:line="480" w:lineRule="auto"/>
        <w:jc w:val="both"/>
        <w:rPr>
          <w:rFonts w:ascii="Arial" w:hAnsi="Arial" w:cs="Arial"/>
        </w:rPr>
      </w:pPr>
      <w:r w:rsidRPr="00027CF2">
        <w:rPr>
          <w:rFonts w:ascii="Arial" w:hAnsi="Arial" w:cs="Arial"/>
        </w:rPr>
        <w:t xml:space="preserve">Predictive analytics are critical to achieving the above-stated campaign objectives because it enables Starbucks to better understand their customers, predict future needs, identify and segment high-value customer groups so that they can create a personalized message on a large-scale basis. Better </w:t>
      </w:r>
      <w:r w:rsidR="00413B36">
        <w:rPr>
          <w:rFonts w:ascii="Arial" w:hAnsi="Arial" w:cs="Arial"/>
        </w:rPr>
        <w:t>c</w:t>
      </w:r>
      <w:r w:rsidRPr="00027CF2">
        <w:rPr>
          <w:rFonts w:ascii="Arial" w:hAnsi="Arial" w:cs="Arial"/>
        </w:rPr>
        <w:t xml:space="preserve">ustomer </w:t>
      </w:r>
      <w:r w:rsidR="00413B36">
        <w:rPr>
          <w:rFonts w:ascii="Arial" w:hAnsi="Arial" w:cs="Arial"/>
        </w:rPr>
        <w:t>l</w:t>
      </w:r>
      <w:r w:rsidRPr="00027CF2">
        <w:rPr>
          <w:rFonts w:ascii="Arial" w:hAnsi="Arial" w:cs="Arial"/>
        </w:rPr>
        <w:t xml:space="preserve">ifetime </w:t>
      </w:r>
      <w:r w:rsidR="00413B36">
        <w:rPr>
          <w:rFonts w:ascii="Arial" w:hAnsi="Arial" w:cs="Arial"/>
        </w:rPr>
        <w:t>v</w:t>
      </w:r>
      <w:r w:rsidRPr="00027CF2">
        <w:rPr>
          <w:rFonts w:ascii="Arial" w:hAnsi="Arial" w:cs="Arial"/>
        </w:rPr>
        <w:t xml:space="preserve">alue </w:t>
      </w:r>
      <w:r w:rsidR="00413B36">
        <w:rPr>
          <w:rFonts w:ascii="Arial" w:hAnsi="Arial" w:cs="Arial"/>
        </w:rPr>
        <w:t>m</w:t>
      </w:r>
      <w:r w:rsidRPr="00027CF2">
        <w:rPr>
          <w:rFonts w:ascii="Arial" w:hAnsi="Arial" w:cs="Arial"/>
        </w:rPr>
        <w:t>odelling allows firms to better estimate a customer's future value and provide marketers with a more efficient allocation of marketing resources (Kumar et al., 2014). In essence, utilizing data to predict customer behaviours allows for a shift from reactive creating promotional offers to being proactive in managing customer relationships.</w:t>
      </w:r>
    </w:p>
    <w:p w14:paraId="5963071D" w14:textId="0DF31D79" w:rsidR="00027CF2" w:rsidRPr="00027CF2" w:rsidRDefault="00027CF2" w:rsidP="00027CF2">
      <w:pPr>
        <w:spacing w:line="480" w:lineRule="auto"/>
        <w:jc w:val="both"/>
        <w:rPr>
          <w:rFonts w:ascii="Arial" w:hAnsi="Arial" w:cs="Arial"/>
        </w:rPr>
      </w:pPr>
      <w:r w:rsidRPr="00027CF2">
        <w:rPr>
          <w:rFonts w:ascii="Arial" w:hAnsi="Arial" w:cs="Arial"/>
        </w:rPr>
        <w:lastRenderedPageBreak/>
        <w:t>The main theme of the campaign's value proposition is gamification, personali</w:t>
      </w:r>
      <w:r w:rsidR="00413B36">
        <w:rPr>
          <w:rFonts w:ascii="Arial" w:hAnsi="Arial" w:cs="Arial"/>
        </w:rPr>
        <w:t>s</w:t>
      </w:r>
      <w:r w:rsidRPr="00027CF2">
        <w:rPr>
          <w:rFonts w:ascii="Arial" w:hAnsi="Arial" w:cs="Arial"/>
        </w:rPr>
        <w:t>ed rewards and an opportunity to have exclusive digital experiences. Research in content marketing indicates that visual storytelling type narratives create a greater emotional connection to a product or brand and help improve brand recall, especially for Millennials/Generation Z (Isibor et al., 2025). Visual formats support unconscious processing (or thinking) and experiential immersion contribute to customers having more memorable and meaningful interactions with a brand (Sunarso &amp; Mustafa, 2024).</w:t>
      </w:r>
    </w:p>
    <w:p w14:paraId="0640E90B" w14:textId="5F5330B5" w:rsidR="00027CF2" w:rsidRPr="00413B36" w:rsidRDefault="00027CF2" w:rsidP="00027CF2">
      <w:pPr>
        <w:spacing w:line="480" w:lineRule="auto"/>
        <w:jc w:val="both"/>
        <w:rPr>
          <w:rFonts w:ascii="Arial" w:hAnsi="Arial" w:cs="Arial"/>
          <w:b/>
          <w:bCs/>
          <w:u w:val="wave"/>
        </w:rPr>
      </w:pPr>
      <w:r w:rsidRPr="00413B36">
        <w:rPr>
          <w:rFonts w:ascii="Arial" w:hAnsi="Arial" w:cs="Arial"/>
          <w:b/>
          <w:bCs/>
          <w:u w:val="wave"/>
        </w:rPr>
        <w:t>Choice of Digital Channels</w:t>
      </w:r>
    </w:p>
    <w:p w14:paraId="3EAF20CC" w14:textId="4A32572B" w:rsidR="00027CF2" w:rsidRPr="00027CF2" w:rsidRDefault="00027CF2" w:rsidP="00027CF2">
      <w:pPr>
        <w:spacing w:line="480" w:lineRule="auto"/>
        <w:jc w:val="both"/>
        <w:rPr>
          <w:rFonts w:ascii="Arial" w:hAnsi="Arial" w:cs="Arial"/>
        </w:rPr>
      </w:pPr>
      <w:r w:rsidRPr="00027CF2">
        <w:rPr>
          <w:rFonts w:ascii="Arial" w:hAnsi="Arial" w:cs="Arial"/>
        </w:rPr>
        <w:t xml:space="preserve">Since TikTok and Instagram align with the way that Generation Z consumes their media, they are the two primary digital platforms used to execute this </w:t>
      </w:r>
      <w:r w:rsidR="00413B36">
        <w:rPr>
          <w:rFonts w:ascii="Arial" w:hAnsi="Arial" w:cs="Arial"/>
        </w:rPr>
        <w:t>c</w:t>
      </w:r>
      <w:r w:rsidR="00413B36" w:rsidRPr="00027CF2">
        <w:rPr>
          <w:rFonts w:ascii="Arial" w:hAnsi="Arial" w:cs="Arial"/>
        </w:rPr>
        <w:t>ampaign. These</w:t>
      </w:r>
      <w:r w:rsidRPr="00027CF2">
        <w:rPr>
          <w:rFonts w:ascii="Arial" w:hAnsi="Arial" w:cs="Arial"/>
        </w:rPr>
        <w:t xml:space="preserve"> platforms empower users to participate in creating and sharing short-form videos, interact with them, and share content directly with one another. As a result, these platforms generate high levels of user interaction and visibility in their communities. In addition, through social media, integrated marketing communications facilitate two-way communication between brands and consumers through a coherent brand messaging strategy (Rehman et al., 2022).</w:t>
      </w:r>
    </w:p>
    <w:p w14:paraId="5F8A19E3" w14:textId="247C9D99" w:rsidR="00027CF2" w:rsidRPr="00027CF2" w:rsidRDefault="00027CF2" w:rsidP="00027CF2">
      <w:pPr>
        <w:spacing w:line="480" w:lineRule="auto"/>
        <w:jc w:val="both"/>
        <w:rPr>
          <w:rFonts w:ascii="Arial" w:hAnsi="Arial" w:cs="Arial"/>
        </w:rPr>
      </w:pPr>
      <w:r w:rsidRPr="00027CF2">
        <w:rPr>
          <w:rFonts w:ascii="Arial" w:hAnsi="Arial" w:cs="Arial"/>
        </w:rPr>
        <w:t xml:space="preserve">With respect to credibility and authenticity, influencer marketing is used as a method to build brand equity for Starbucks. </w:t>
      </w:r>
      <w:r w:rsidR="00413B36" w:rsidRPr="00027CF2">
        <w:rPr>
          <w:rFonts w:ascii="Arial" w:hAnsi="Arial" w:cs="Arial"/>
        </w:rPr>
        <w:t>Micro-</w:t>
      </w:r>
      <w:r w:rsidRPr="00027CF2">
        <w:rPr>
          <w:rFonts w:ascii="Arial" w:hAnsi="Arial" w:cs="Arial"/>
        </w:rPr>
        <w:t>influencers are favoured by Starbucks due to the higher levels of engagement and stronger relationships with their followers than those developed by celebrity influencers. For Generation Z audiences, influencer-created content is viewed as social proof of products and/or services; therefore, this type of content is believed to be less commercially biased (Sunarso &amp; Mustafa, 2023).</w:t>
      </w:r>
    </w:p>
    <w:p w14:paraId="500FF9E6" w14:textId="72E4FC02" w:rsidR="00027CF2" w:rsidRPr="00027CF2" w:rsidRDefault="00027CF2" w:rsidP="00027CF2">
      <w:pPr>
        <w:spacing w:line="480" w:lineRule="auto"/>
        <w:jc w:val="both"/>
        <w:rPr>
          <w:rFonts w:ascii="Arial" w:hAnsi="Arial" w:cs="Arial"/>
        </w:rPr>
      </w:pPr>
      <w:r w:rsidRPr="00027CF2">
        <w:rPr>
          <w:rFonts w:ascii="Arial" w:hAnsi="Arial" w:cs="Arial"/>
        </w:rPr>
        <w:t xml:space="preserve">The Starbucks mobile app is used as the primary vehicle of the overall campaign; it features the rewards program integrated with personalised offers and unique, </w:t>
      </w:r>
      <w:r w:rsidRPr="00027CF2">
        <w:rPr>
          <w:rFonts w:ascii="Arial" w:hAnsi="Arial" w:cs="Arial"/>
        </w:rPr>
        <w:lastRenderedPageBreak/>
        <w:t xml:space="preserve">experiential components. In addition, the utilisation of </w:t>
      </w:r>
      <w:r w:rsidR="00413B36">
        <w:rPr>
          <w:rFonts w:ascii="Arial" w:hAnsi="Arial" w:cs="Arial"/>
        </w:rPr>
        <w:t>c</w:t>
      </w:r>
      <w:r w:rsidRPr="00027CF2">
        <w:rPr>
          <w:rFonts w:ascii="Arial" w:hAnsi="Arial" w:cs="Arial"/>
        </w:rPr>
        <w:t xml:space="preserve">ustomer </w:t>
      </w:r>
      <w:r w:rsidR="00413B36">
        <w:rPr>
          <w:rFonts w:ascii="Arial" w:hAnsi="Arial" w:cs="Arial"/>
        </w:rPr>
        <w:t>r</w:t>
      </w:r>
      <w:r w:rsidRPr="00027CF2">
        <w:rPr>
          <w:rFonts w:ascii="Arial" w:hAnsi="Arial" w:cs="Arial"/>
        </w:rPr>
        <w:t xml:space="preserve">elationship </w:t>
      </w:r>
      <w:r w:rsidR="00413B36">
        <w:rPr>
          <w:rFonts w:ascii="Arial" w:hAnsi="Arial" w:cs="Arial"/>
        </w:rPr>
        <w:t>m</w:t>
      </w:r>
      <w:r w:rsidRPr="00027CF2">
        <w:rPr>
          <w:rFonts w:ascii="Arial" w:hAnsi="Arial" w:cs="Arial"/>
        </w:rPr>
        <w:t>anagement-driven marketing intelligence to build personalised messages in real-time and increase the likelihood of conversion by ensuring messages are contextually relevant to consumers (Onifade et al., 2024). Search Engine Optimisation (SEO) efforts support those initiatives by capturing high-intent search behaviour and reinforcing continuity throughout the consumer's digital journey (Mou et al., 2022).</w:t>
      </w:r>
    </w:p>
    <w:p w14:paraId="0FF2BDA1" w14:textId="77777777" w:rsidR="00027CF2" w:rsidRPr="00413B36" w:rsidRDefault="00027CF2" w:rsidP="00027CF2">
      <w:pPr>
        <w:spacing w:line="480" w:lineRule="auto"/>
        <w:jc w:val="both"/>
        <w:rPr>
          <w:rFonts w:ascii="Arial" w:hAnsi="Arial" w:cs="Arial"/>
          <w:b/>
          <w:bCs/>
          <w:u w:val="wave"/>
        </w:rPr>
      </w:pPr>
      <w:r w:rsidRPr="00413B36">
        <w:rPr>
          <w:rFonts w:ascii="Arial" w:hAnsi="Arial" w:cs="Arial"/>
          <w:b/>
          <w:bCs/>
          <w:u w:val="wave"/>
        </w:rPr>
        <w:t>Measuring and Evaluating Digital Marketing</w:t>
      </w:r>
    </w:p>
    <w:p w14:paraId="6E61917E" w14:textId="77777777" w:rsidR="00027CF2" w:rsidRPr="00027CF2" w:rsidRDefault="00027CF2" w:rsidP="00027CF2">
      <w:pPr>
        <w:spacing w:line="480" w:lineRule="auto"/>
        <w:jc w:val="both"/>
        <w:rPr>
          <w:rFonts w:ascii="Arial" w:hAnsi="Arial" w:cs="Arial"/>
        </w:rPr>
      </w:pPr>
      <w:r w:rsidRPr="00027CF2">
        <w:rPr>
          <w:rFonts w:ascii="Arial" w:hAnsi="Arial" w:cs="Arial"/>
        </w:rPr>
        <w:t>An important part of an effective digital marketing strategy is to measure and evaluate the performance of the campaign on an ongoing basis for the purposes of improving results through a continuous cycle of accountability, optimisation, and learning. Using a data-driven approach to evaluation allows an organisation to link their digital marketing efforts to both behavioural and financial outcomes (Srivastava &amp; Sharma, 2021).</w:t>
      </w:r>
    </w:p>
    <w:p w14:paraId="30177DF8" w14:textId="77777777" w:rsidR="00027CF2" w:rsidRPr="00027CF2" w:rsidRDefault="00027CF2" w:rsidP="00027CF2">
      <w:pPr>
        <w:spacing w:line="480" w:lineRule="auto"/>
        <w:jc w:val="both"/>
        <w:rPr>
          <w:rFonts w:ascii="Arial" w:hAnsi="Arial" w:cs="Arial"/>
        </w:rPr>
      </w:pPr>
      <w:r w:rsidRPr="00027CF2">
        <w:rPr>
          <w:rFonts w:ascii="Arial" w:hAnsi="Arial" w:cs="Arial"/>
        </w:rPr>
        <w:t>The performance of the Starbucks UK Generation Z campaign will be evaluated based on three key factors: engagement metrics, behavioural indicators, and value-based indicators, such as customer lifetime value. By evaluating the campaign based on these three key metrics, Starbucks will be able to move beyond traditional measures of performance and quantify the contribution of digital marketing efforts to long-term profitability, while also translating customer behaviour into actionable strategic insights (Kumar &amp; Shah, 2022).</w:t>
      </w:r>
    </w:p>
    <w:p w14:paraId="10485BDA" w14:textId="77777777" w:rsidR="00027CF2" w:rsidRPr="00027CF2" w:rsidRDefault="00027CF2" w:rsidP="00027CF2">
      <w:pPr>
        <w:spacing w:line="480" w:lineRule="auto"/>
        <w:jc w:val="both"/>
        <w:rPr>
          <w:rFonts w:ascii="Arial" w:hAnsi="Arial" w:cs="Arial"/>
        </w:rPr>
      </w:pPr>
      <w:r w:rsidRPr="00027CF2">
        <w:rPr>
          <w:rFonts w:ascii="Arial" w:hAnsi="Arial" w:cs="Arial"/>
        </w:rPr>
        <w:t xml:space="preserve">The ability to use customer lifetime value (CLV) is particularly valuable in loyalty programs, as it allows organisations to account for the cumulative value of ongoing relationships versus the value of one-time transactions. With new analytic capabilities for measuring digital CLV, organisations can forecast the future impact of marketing </w:t>
      </w:r>
      <w:r w:rsidRPr="00027CF2">
        <w:rPr>
          <w:rFonts w:ascii="Arial" w:hAnsi="Arial" w:cs="Arial"/>
        </w:rPr>
        <w:lastRenderedPageBreak/>
        <w:t>investments with greater accuracy and make decisions based on the long-term growth of their business versus near-term profitability (Yang &amp; Zhao, 2023). The use of predictive analytics allows organisations to use CLV as a means of detecting customer churn before it occurs and to react proactively to resolve issues before they escalate (Kumar et al., 2024).</w:t>
      </w:r>
    </w:p>
    <w:p w14:paraId="42F87BFC" w14:textId="42F40A70" w:rsidR="00027CF2" w:rsidRPr="00413B36" w:rsidRDefault="00027CF2" w:rsidP="00027CF2">
      <w:pPr>
        <w:spacing w:line="480" w:lineRule="auto"/>
        <w:jc w:val="both"/>
        <w:rPr>
          <w:rFonts w:ascii="Arial" w:hAnsi="Arial" w:cs="Arial"/>
          <w:b/>
          <w:bCs/>
          <w:u w:val="wave"/>
        </w:rPr>
      </w:pPr>
      <w:r w:rsidRPr="00413B36">
        <w:rPr>
          <w:rFonts w:ascii="Arial" w:hAnsi="Arial" w:cs="Arial"/>
          <w:b/>
          <w:bCs/>
          <w:u w:val="wave"/>
        </w:rPr>
        <w:t>Conclusion</w:t>
      </w:r>
    </w:p>
    <w:p w14:paraId="24706331" w14:textId="34B92C3C" w:rsidR="00027CF2" w:rsidRDefault="00027CF2" w:rsidP="00027CF2">
      <w:pPr>
        <w:spacing w:line="480" w:lineRule="auto"/>
        <w:jc w:val="both"/>
        <w:rPr>
          <w:rFonts w:ascii="Arial" w:hAnsi="Arial" w:cs="Arial"/>
        </w:rPr>
      </w:pPr>
      <w:r w:rsidRPr="00027CF2">
        <w:rPr>
          <w:rFonts w:ascii="Arial" w:hAnsi="Arial" w:cs="Arial"/>
        </w:rPr>
        <w:t xml:space="preserve">Starbucks’ digital marketing plan provides a comprehensive overview of how to enhance engagement with Generation Z consumers. The campaign is designed as a strategically integrated and data-driven effort, in alignment with established marketing theories and methods </w:t>
      </w:r>
      <w:r w:rsidR="00413B36" w:rsidRPr="00027CF2">
        <w:rPr>
          <w:rFonts w:ascii="Arial" w:hAnsi="Arial" w:cs="Arial"/>
        </w:rPr>
        <w:t>such as</w:t>
      </w:r>
      <w:r w:rsidRPr="00027CF2">
        <w:rPr>
          <w:rFonts w:ascii="Arial" w:hAnsi="Arial" w:cs="Arial"/>
        </w:rPr>
        <w:t xml:space="preserve"> segmentation, targeting, and positioning; integrated marketing communications; customer relationship management; customer experience; and customer lifetime value. The combination of social media, influencer marketing, personalised mobile experiences, and advanced analytics will create a compelling and compellingly relevant loyalty programme for younger consumers. As a result, Starbucks will be able to create a long-term relationship with its customers, increase their lifetime value, and reinforce their image as an innovative digital brand.</w:t>
      </w:r>
    </w:p>
    <w:p w14:paraId="1F67DFAE" w14:textId="77777777" w:rsidR="00413B36" w:rsidRDefault="00413B36" w:rsidP="00027CF2">
      <w:pPr>
        <w:spacing w:line="480" w:lineRule="auto"/>
        <w:jc w:val="both"/>
        <w:rPr>
          <w:rFonts w:ascii="Arial" w:hAnsi="Arial" w:cs="Arial"/>
        </w:rPr>
      </w:pPr>
    </w:p>
    <w:p w14:paraId="779ABF83" w14:textId="77777777" w:rsidR="00413B36" w:rsidRDefault="00413B36" w:rsidP="00027CF2">
      <w:pPr>
        <w:spacing w:line="480" w:lineRule="auto"/>
        <w:jc w:val="both"/>
        <w:rPr>
          <w:rFonts w:ascii="Arial" w:hAnsi="Arial" w:cs="Arial"/>
        </w:rPr>
      </w:pPr>
    </w:p>
    <w:p w14:paraId="77BC227D" w14:textId="77777777" w:rsidR="00413B36" w:rsidRDefault="00413B36" w:rsidP="00027CF2">
      <w:pPr>
        <w:spacing w:line="480" w:lineRule="auto"/>
        <w:jc w:val="both"/>
        <w:rPr>
          <w:rFonts w:ascii="Arial" w:hAnsi="Arial" w:cs="Arial"/>
        </w:rPr>
      </w:pPr>
    </w:p>
    <w:p w14:paraId="6F91AD20" w14:textId="77777777" w:rsidR="00413B36" w:rsidRDefault="00413B36" w:rsidP="00027CF2">
      <w:pPr>
        <w:spacing w:line="480" w:lineRule="auto"/>
        <w:jc w:val="both"/>
        <w:rPr>
          <w:rFonts w:ascii="Arial" w:hAnsi="Arial" w:cs="Arial"/>
        </w:rPr>
      </w:pPr>
    </w:p>
    <w:p w14:paraId="4A2D7563" w14:textId="77777777" w:rsidR="00413B36" w:rsidRDefault="00413B36" w:rsidP="00027CF2">
      <w:pPr>
        <w:spacing w:line="480" w:lineRule="auto"/>
        <w:jc w:val="both"/>
        <w:rPr>
          <w:rFonts w:ascii="Arial" w:hAnsi="Arial" w:cs="Arial"/>
        </w:rPr>
      </w:pPr>
    </w:p>
    <w:p w14:paraId="2682D4D0" w14:textId="77777777" w:rsidR="00413B36" w:rsidRDefault="00413B36" w:rsidP="00027CF2">
      <w:pPr>
        <w:spacing w:line="480" w:lineRule="auto"/>
        <w:jc w:val="both"/>
        <w:rPr>
          <w:rFonts w:ascii="Arial" w:hAnsi="Arial" w:cs="Arial"/>
        </w:rPr>
      </w:pPr>
    </w:p>
    <w:p w14:paraId="013CEFCB" w14:textId="77777777" w:rsidR="00413B36" w:rsidRDefault="00413B36" w:rsidP="00027CF2">
      <w:pPr>
        <w:spacing w:line="480" w:lineRule="auto"/>
        <w:jc w:val="both"/>
        <w:rPr>
          <w:rFonts w:ascii="Arial" w:hAnsi="Arial" w:cs="Arial"/>
        </w:rPr>
      </w:pPr>
    </w:p>
    <w:p w14:paraId="26E66368" w14:textId="6468A5AC" w:rsidR="00413B36" w:rsidRPr="00B60123" w:rsidRDefault="00413B36" w:rsidP="00027CF2">
      <w:pPr>
        <w:spacing w:line="480" w:lineRule="auto"/>
        <w:jc w:val="both"/>
        <w:rPr>
          <w:rFonts w:ascii="Arial" w:hAnsi="Arial" w:cs="Arial"/>
          <w:b/>
          <w:bCs/>
          <w:u w:val="wave"/>
        </w:rPr>
      </w:pPr>
      <w:r w:rsidRPr="00B60123">
        <w:rPr>
          <w:rFonts w:ascii="Arial" w:hAnsi="Arial" w:cs="Arial"/>
          <w:b/>
          <w:bCs/>
          <w:u w:val="wave"/>
        </w:rPr>
        <w:lastRenderedPageBreak/>
        <w:t xml:space="preserve">References </w:t>
      </w:r>
    </w:p>
    <w:p w14:paraId="6C36182B" w14:textId="696913F5" w:rsidR="00B60123" w:rsidRPr="00B60123" w:rsidRDefault="00B60123" w:rsidP="00B60123">
      <w:pPr>
        <w:spacing w:line="480" w:lineRule="auto"/>
        <w:jc w:val="both"/>
        <w:rPr>
          <w:rFonts w:ascii="Arial" w:hAnsi="Arial" w:cs="Arial"/>
        </w:rPr>
      </w:pPr>
      <w:proofErr w:type="spellStart"/>
      <w:r w:rsidRPr="00B60123">
        <w:rPr>
          <w:rFonts w:ascii="Arial" w:hAnsi="Arial" w:cs="Arial"/>
        </w:rPr>
        <w:t>Butkouskaya</w:t>
      </w:r>
      <w:proofErr w:type="spellEnd"/>
      <w:r w:rsidRPr="00B60123">
        <w:rPr>
          <w:rFonts w:ascii="Arial" w:hAnsi="Arial" w:cs="Arial"/>
        </w:rPr>
        <w:t>, V., &amp; Llonch-Andreu, J. (2024). Market orientation, integrated marketing communications, and small and medium-sized enterprises (SMEs) performance: A comparison between developed and developing economies</w:t>
      </w:r>
      <w:r w:rsidRPr="00B60123">
        <w:rPr>
          <w:rFonts w:ascii="Arial" w:hAnsi="Arial" w:cs="Arial"/>
          <w:i/>
          <w:iCs/>
        </w:rPr>
        <w:t>. European Research on Management and Business Economics, 30</w:t>
      </w:r>
      <w:r w:rsidRPr="00B60123">
        <w:rPr>
          <w:rFonts w:ascii="Arial" w:hAnsi="Arial" w:cs="Arial"/>
        </w:rPr>
        <w:t xml:space="preserve">(3), 100260. </w:t>
      </w:r>
      <w:hyperlink r:id="rId8" w:history="1">
        <w:r w:rsidRPr="00AA50F0">
          <w:rPr>
            <w:rStyle w:val="Hyperlink"/>
            <w:rFonts w:ascii="Arial" w:hAnsi="Arial" w:cs="Arial"/>
          </w:rPr>
          <w:t>https://doi.org/10.1016/j.iedeen.2024.100260</w:t>
        </w:r>
      </w:hyperlink>
      <w:r>
        <w:rPr>
          <w:rFonts w:ascii="Arial" w:hAnsi="Arial" w:cs="Arial"/>
        </w:rPr>
        <w:t xml:space="preserve"> </w:t>
      </w:r>
    </w:p>
    <w:p w14:paraId="2286B193" w14:textId="2F98686D" w:rsidR="00B60123" w:rsidRPr="00B60123" w:rsidRDefault="00B60123" w:rsidP="00B60123">
      <w:pPr>
        <w:spacing w:line="480" w:lineRule="auto"/>
        <w:jc w:val="both"/>
        <w:rPr>
          <w:rFonts w:ascii="Arial" w:hAnsi="Arial" w:cs="Arial"/>
        </w:rPr>
      </w:pPr>
      <w:r w:rsidRPr="00B60123">
        <w:rPr>
          <w:rFonts w:ascii="Arial" w:hAnsi="Arial" w:cs="Arial"/>
        </w:rPr>
        <w:t xml:space="preserve">Chaffey, D., &amp; Smith, P. R. (2022). </w:t>
      </w:r>
      <w:r w:rsidRPr="00B60123">
        <w:rPr>
          <w:rFonts w:ascii="Arial" w:hAnsi="Arial" w:cs="Arial"/>
          <w:i/>
          <w:iCs/>
        </w:rPr>
        <w:t>Digital marketing excellence: Planning, optimi</w:t>
      </w:r>
      <w:r>
        <w:rPr>
          <w:rFonts w:ascii="Arial" w:hAnsi="Arial" w:cs="Arial"/>
          <w:i/>
          <w:iCs/>
        </w:rPr>
        <w:t>s</w:t>
      </w:r>
      <w:r w:rsidRPr="00B60123">
        <w:rPr>
          <w:rFonts w:ascii="Arial" w:hAnsi="Arial" w:cs="Arial"/>
          <w:i/>
          <w:iCs/>
        </w:rPr>
        <w:t>ing and integrating online marketing</w:t>
      </w:r>
      <w:r w:rsidRPr="00B60123">
        <w:rPr>
          <w:rFonts w:ascii="Arial" w:hAnsi="Arial" w:cs="Arial"/>
        </w:rPr>
        <w:t xml:space="preserve"> (6th ed.). Routledge.</w:t>
      </w:r>
    </w:p>
    <w:p w14:paraId="3EDDDA79" w14:textId="77777777" w:rsidR="00B60123" w:rsidRPr="00B60123" w:rsidRDefault="00B60123" w:rsidP="00B60123">
      <w:pPr>
        <w:spacing w:line="480" w:lineRule="auto"/>
        <w:jc w:val="both"/>
        <w:rPr>
          <w:rFonts w:ascii="Arial" w:hAnsi="Arial" w:cs="Arial"/>
        </w:rPr>
      </w:pPr>
      <w:r w:rsidRPr="00B60123">
        <w:rPr>
          <w:rFonts w:ascii="Arial" w:hAnsi="Arial" w:cs="Arial"/>
        </w:rPr>
        <w:t xml:space="preserve">Durand, T. (2025). </w:t>
      </w:r>
      <w:r w:rsidRPr="00B60123">
        <w:rPr>
          <w:rFonts w:ascii="Arial" w:hAnsi="Arial" w:cs="Arial"/>
          <w:i/>
          <w:iCs/>
        </w:rPr>
        <w:t>Technology strategies: Turning technological change into competitive advantage.</w:t>
      </w:r>
      <w:r w:rsidRPr="00B60123">
        <w:rPr>
          <w:rFonts w:ascii="Arial" w:hAnsi="Arial" w:cs="Arial"/>
        </w:rPr>
        <w:t xml:space="preserve"> Walter de Gruyter GmbH &amp; Co KG.</w:t>
      </w:r>
    </w:p>
    <w:p w14:paraId="5A0785D5" w14:textId="77777777" w:rsidR="00B60123" w:rsidRPr="00B60123" w:rsidRDefault="00B60123" w:rsidP="00B60123">
      <w:pPr>
        <w:spacing w:line="480" w:lineRule="auto"/>
        <w:jc w:val="both"/>
        <w:rPr>
          <w:rFonts w:ascii="Arial" w:hAnsi="Arial" w:cs="Arial"/>
        </w:rPr>
      </w:pPr>
      <w:r w:rsidRPr="00B60123">
        <w:rPr>
          <w:rFonts w:ascii="Arial" w:hAnsi="Arial" w:cs="Arial"/>
        </w:rPr>
        <w:t xml:space="preserve">Gusmao, J., </w:t>
      </w:r>
      <w:proofErr w:type="spellStart"/>
      <w:r w:rsidRPr="00B60123">
        <w:rPr>
          <w:rFonts w:ascii="Arial" w:hAnsi="Arial" w:cs="Arial"/>
        </w:rPr>
        <w:t>Muryati</w:t>
      </w:r>
      <w:proofErr w:type="spellEnd"/>
      <w:r w:rsidRPr="00B60123">
        <w:rPr>
          <w:rFonts w:ascii="Arial" w:hAnsi="Arial" w:cs="Arial"/>
        </w:rPr>
        <w:t xml:space="preserve">, M., Survival, S., </w:t>
      </w:r>
      <w:proofErr w:type="spellStart"/>
      <w:r w:rsidRPr="00B60123">
        <w:rPr>
          <w:rFonts w:ascii="Arial" w:hAnsi="Arial" w:cs="Arial"/>
        </w:rPr>
        <w:t>Suci</w:t>
      </w:r>
      <w:proofErr w:type="spellEnd"/>
      <w:r w:rsidRPr="00B60123">
        <w:rPr>
          <w:rFonts w:ascii="Arial" w:hAnsi="Arial" w:cs="Arial"/>
        </w:rPr>
        <w:t xml:space="preserve">, R. P., &amp; Mas, N. (2025). The effect of segmentation, targeting, and positioning on consumer loyalty with consumer satisfaction as an intervening variable. </w:t>
      </w:r>
      <w:r w:rsidRPr="00B60123">
        <w:rPr>
          <w:rFonts w:ascii="Arial" w:hAnsi="Arial" w:cs="Arial"/>
          <w:i/>
          <w:iCs/>
        </w:rPr>
        <w:t>International Journal of Economics and Management Research, 4</w:t>
      </w:r>
      <w:r w:rsidRPr="00B60123">
        <w:rPr>
          <w:rFonts w:ascii="Arial" w:hAnsi="Arial" w:cs="Arial"/>
        </w:rPr>
        <w:t>(3), 376–390.</w:t>
      </w:r>
    </w:p>
    <w:p w14:paraId="1A9A9265" w14:textId="77777777" w:rsidR="00B60123" w:rsidRPr="00B60123" w:rsidRDefault="00B60123" w:rsidP="00B60123">
      <w:pPr>
        <w:spacing w:line="480" w:lineRule="auto"/>
        <w:jc w:val="both"/>
        <w:rPr>
          <w:rFonts w:ascii="Arial" w:hAnsi="Arial" w:cs="Arial"/>
        </w:rPr>
      </w:pPr>
      <w:r w:rsidRPr="00B60123">
        <w:rPr>
          <w:rFonts w:ascii="Arial" w:hAnsi="Arial" w:cs="Arial"/>
        </w:rPr>
        <w:t xml:space="preserve">Isibor, N. J., Attipoe, V., Oyeyipo, I., Ayodeji, D. C., Apiyo, B., Alonge, E., &amp; </w:t>
      </w:r>
      <w:proofErr w:type="spellStart"/>
      <w:r w:rsidRPr="00B60123">
        <w:rPr>
          <w:rFonts w:ascii="Arial" w:hAnsi="Arial" w:cs="Arial"/>
        </w:rPr>
        <w:t>Onwuzulike</w:t>
      </w:r>
      <w:proofErr w:type="spellEnd"/>
      <w:r w:rsidRPr="00B60123">
        <w:rPr>
          <w:rFonts w:ascii="Arial" w:hAnsi="Arial" w:cs="Arial"/>
        </w:rPr>
        <w:t xml:space="preserve">, O. C. (2025). Analysing successful content marketing strategies that enhance online engagement and sales for digital brands. </w:t>
      </w:r>
      <w:r w:rsidRPr="00B60123">
        <w:rPr>
          <w:rFonts w:ascii="Arial" w:hAnsi="Arial" w:cs="Arial"/>
          <w:i/>
          <w:iCs/>
        </w:rPr>
        <w:t>International Journal of Advanced Multidisciplinary Research and Studies, 5</w:t>
      </w:r>
      <w:r w:rsidRPr="00B60123">
        <w:rPr>
          <w:rFonts w:ascii="Arial" w:hAnsi="Arial" w:cs="Arial"/>
        </w:rPr>
        <w:t>(2), 842–851.</w:t>
      </w:r>
    </w:p>
    <w:p w14:paraId="05769F29" w14:textId="77777777" w:rsidR="00B60123" w:rsidRPr="00B60123" w:rsidRDefault="00B60123" w:rsidP="00B60123">
      <w:pPr>
        <w:spacing w:line="480" w:lineRule="auto"/>
        <w:jc w:val="both"/>
        <w:rPr>
          <w:rFonts w:ascii="Arial" w:hAnsi="Arial" w:cs="Arial"/>
        </w:rPr>
      </w:pPr>
      <w:r w:rsidRPr="00B60123">
        <w:rPr>
          <w:rFonts w:ascii="Arial" w:hAnsi="Arial" w:cs="Arial"/>
        </w:rPr>
        <w:t xml:space="preserve">Kojuri, S., &amp; Ali, M. (2024). Customer lifetime value in relationship marketing: The effect of satisfaction and trust on value sustainability (Case study: Restaurant industry). </w:t>
      </w:r>
      <w:r w:rsidRPr="00B60123">
        <w:rPr>
          <w:rFonts w:ascii="Arial" w:hAnsi="Arial" w:cs="Arial"/>
          <w:i/>
          <w:iCs/>
        </w:rPr>
        <w:t>Strategic Value Chain Management, 1</w:t>
      </w:r>
      <w:r w:rsidRPr="00B60123">
        <w:rPr>
          <w:rFonts w:ascii="Arial" w:hAnsi="Arial" w:cs="Arial"/>
        </w:rPr>
        <w:t>(2), 25–40.</w:t>
      </w:r>
    </w:p>
    <w:p w14:paraId="38F43AEE" w14:textId="4E9ED403" w:rsidR="00B60123" w:rsidRPr="00B60123" w:rsidRDefault="00B60123" w:rsidP="00B60123">
      <w:pPr>
        <w:spacing w:line="480" w:lineRule="auto"/>
        <w:jc w:val="both"/>
        <w:rPr>
          <w:rFonts w:ascii="Arial" w:hAnsi="Arial" w:cs="Arial"/>
        </w:rPr>
      </w:pPr>
      <w:r w:rsidRPr="00B60123">
        <w:rPr>
          <w:rFonts w:ascii="Arial" w:hAnsi="Arial" w:cs="Arial"/>
        </w:rPr>
        <w:t xml:space="preserve">Kumar, S., Bajpai, V. N., Jha, A. K., &amp; Upadhyay, S. (2024). Predictive analytics for customer lifetime value (CLV) optimization: Estimating CLV to inform strategic </w:t>
      </w:r>
      <w:r w:rsidRPr="00B60123">
        <w:rPr>
          <w:rFonts w:ascii="Arial" w:hAnsi="Arial" w:cs="Arial"/>
        </w:rPr>
        <w:lastRenderedPageBreak/>
        <w:t xml:space="preserve">marketing decisions for maximizing profitability. In </w:t>
      </w:r>
      <w:r w:rsidRPr="00B60123">
        <w:rPr>
          <w:rFonts w:ascii="Arial" w:hAnsi="Arial" w:cs="Arial"/>
          <w:i/>
          <w:iCs/>
        </w:rPr>
        <w:t>Proceedings of the 13th International Conference on System Modelling &amp; Advancement in Research Trends</w:t>
      </w:r>
      <w:r w:rsidRPr="00B60123">
        <w:rPr>
          <w:rFonts w:ascii="Arial" w:hAnsi="Arial" w:cs="Arial"/>
        </w:rPr>
        <w:t xml:space="preserve"> (SMART) (pp. 431–435). IEEE. </w:t>
      </w:r>
      <w:hyperlink r:id="rId9" w:history="1">
        <w:r w:rsidRPr="00AA50F0">
          <w:rPr>
            <w:rStyle w:val="Hyperlink"/>
            <w:rFonts w:ascii="Arial" w:hAnsi="Arial" w:cs="Arial"/>
          </w:rPr>
          <w:t>https://doi.org/10.1109/SMART60864.2024.10438212</w:t>
        </w:r>
      </w:hyperlink>
      <w:r>
        <w:rPr>
          <w:rFonts w:ascii="Arial" w:hAnsi="Arial" w:cs="Arial"/>
        </w:rPr>
        <w:t xml:space="preserve"> </w:t>
      </w:r>
    </w:p>
    <w:p w14:paraId="7A236DD1" w14:textId="0172D02C" w:rsidR="00B60123" w:rsidRPr="00B60123" w:rsidRDefault="00B60123" w:rsidP="00B60123">
      <w:pPr>
        <w:spacing w:line="480" w:lineRule="auto"/>
        <w:jc w:val="both"/>
        <w:rPr>
          <w:rFonts w:ascii="Arial" w:hAnsi="Arial" w:cs="Arial"/>
        </w:rPr>
      </w:pPr>
      <w:r>
        <w:rPr>
          <w:rFonts w:ascii="Arial" w:hAnsi="Arial" w:cs="Arial"/>
        </w:rPr>
        <w:t xml:space="preserve"> </w:t>
      </w:r>
      <w:r w:rsidRPr="00B60123">
        <w:rPr>
          <w:rFonts w:ascii="Arial" w:hAnsi="Arial" w:cs="Arial"/>
        </w:rPr>
        <w:t xml:space="preserve">Kumar, V., &amp; Shah, D. (2022). The role of marketing metrics in enhancing firm performance: The criticality of customer metrics. </w:t>
      </w:r>
      <w:r w:rsidRPr="00B60123">
        <w:rPr>
          <w:rFonts w:ascii="Arial" w:hAnsi="Arial" w:cs="Arial"/>
          <w:i/>
          <w:iCs/>
        </w:rPr>
        <w:t>Marketing Science, 41</w:t>
      </w:r>
      <w:r w:rsidRPr="00B60123">
        <w:rPr>
          <w:rFonts w:ascii="Arial" w:hAnsi="Arial" w:cs="Arial"/>
        </w:rPr>
        <w:t xml:space="preserve">(6), 833–848. </w:t>
      </w:r>
      <w:hyperlink r:id="rId10" w:history="1">
        <w:r w:rsidRPr="00AA50F0">
          <w:rPr>
            <w:rStyle w:val="Hyperlink"/>
            <w:rFonts w:ascii="Arial" w:hAnsi="Arial" w:cs="Arial"/>
          </w:rPr>
          <w:t>https://doi.org/10.1287/mksc.2022.1360</w:t>
        </w:r>
      </w:hyperlink>
      <w:r>
        <w:rPr>
          <w:rFonts w:ascii="Arial" w:hAnsi="Arial" w:cs="Arial"/>
        </w:rPr>
        <w:t xml:space="preserve"> </w:t>
      </w:r>
    </w:p>
    <w:p w14:paraId="6D2B738C" w14:textId="4BF055DC" w:rsidR="00B60123" w:rsidRPr="00B60123" w:rsidRDefault="00B60123" w:rsidP="00B60123">
      <w:pPr>
        <w:spacing w:line="480" w:lineRule="auto"/>
        <w:jc w:val="both"/>
        <w:rPr>
          <w:rFonts w:ascii="Arial" w:hAnsi="Arial" w:cs="Arial"/>
        </w:rPr>
      </w:pPr>
      <w:r w:rsidRPr="00B60123">
        <w:rPr>
          <w:rFonts w:ascii="Arial" w:hAnsi="Arial" w:cs="Arial"/>
        </w:rPr>
        <w:t xml:space="preserve">Liu, H., Xiao, Q., &amp; Wang, H. (2024). Understanding customer experience for sustainable innovation: An integration of conscious and unconscious perspectives of theme hotel guests. </w:t>
      </w:r>
      <w:r w:rsidRPr="00B60123">
        <w:rPr>
          <w:rFonts w:ascii="Arial" w:hAnsi="Arial" w:cs="Arial"/>
          <w:i/>
          <w:iCs/>
        </w:rPr>
        <w:t>Sustainability, 16</w:t>
      </w:r>
      <w:r w:rsidRPr="00B60123">
        <w:rPr>
          <w:rFonts w:ascii="Arial" w:hAnsi="Arial" w:cs="Arial"/>
        </w:rPr>
        <w:t xml:space="preserve">(13), 5274. </w:t>
      </w:r>
      <w:hyperlink r:id="rId11" w:history="1">
        <w:r w:rsidRPr="00AA50F0">
          <w:rPr>
            <w:rStyle w:val="Hyperlink"/>
            <w:rFonts w:ascii="Arial" w:hAnsi="Arial" w:cs="Arial"/>
          </w:rPr>
          <w:t>https://doi.org/10.3390/su16135274</w:t>
        </w:r>
      </w:hyperlink>
      <w:r>
        <w:rPr>
          <w:rFonts w:ascii="Arial" w:hAnsi="Arial" w:cs="Arial"/>
        </w:rPr>
        <w:t xml:space="preserve"> </w:t>
      </w:r>
    </w:p>
    <w:p w14:paraId="14B44AC7" w14:textId="77777777" w:rsidR="00B60123" w:rsidRPr="00B60123" w:rsidRDefault="00B60123" w:rsidP="00B60123">
      <w:pPr>
        <w:spacing w:line="480" w:lineRule="auto"/>
        <w:jc w:val="both"/>
        <w:rPr>
          <w:rFonts w:ascii="Arial" w:hAnsi="Arial" w:cs="Arial"/>
        </w:rPr>
      </w:pPr>
      <w:r w:rsidRPr="00B60123">
        <w:rPr>
          <w:rFonts w:ascii="Arial" w:hAnsi="Arial" w:cs="Arial"/>
        </w:rPr>
        <w:t xml:space="preserve">Mou, A. J., Hossain, M. S., &amp; Siddiqui, N. A. (2022). Digital transformation in marketing: Evaluating the impact of web analytics and SEO on SME growth. </w:t>
      </w:r>
      <w:r w:rsidRPr="00B60123">
        <w:rPr>
          <w:rFonts w:ascii="Arial" w:hAnsi="Arial" w:cs="Arial"/>
          <w:i/>
          <w:iCs/>
        </w:rPr>
        <w:t>American Journal of Interdisciplinary Studies, 3</w:t>
      </w:r>
      <w:r w:rsidRPr="00B60123">
        <w:rPr>
          <w:rFonts w:ascii="Arial" w:hAnsi="Arial" w:cs="Arial"/>
        </w:rPr>
        <w:t>(4), 61–90.</w:t>
      </w:r>
    </w:p>
    <w:p w14:paraId="5EDABC16" w14:textId="472600D5" w:rsidR="00B60123" w:rsidRPr="00B60123" w:rsidRDefault="00B60123" w:rsidP="00B60123">
      <w:pPr>
        <w:spacing w:line="480" w:lineRule="auto"/>
        <w:jc w:val="both"/>
        <w:rPr>
          <w:rFonts w:ascii="Arial" w:hAnsi="Arial" w:cs="Arial"/>
        </w:rPr>
      </w:pPr>
      <w:r w:rsidRPr="00B60123">
        <w:rPr>
          <w:rFonts w:ascii="Arial" w:hAnsi="Arial" w:cs="Arial"/>
        </w:rPr>
        <w:t xml:space="preserve">Nielsen, J. A., Elmholdt, K. T., &amp; Noesgaard, M. S. (2024). Leading digital transformation: A narrative perspective. </w:t>
      </w:r>
      <w:r w:rsidRPr="00B60123">
        <w:rPr>
          <w:rFonts w:ascii="Arial" w:hAnsi="Arial" w:cs="Arial"/>
          <w:i/>
          <w:iCs/>
        </w:rPr>
        <w:t>Public Administration Review, 84</w:t>
      </w:r>
      <w:r w:rsidRPr="00B60123">
        <w:rPr>
          <w:rFonts w:ascii="Arial" w:hAnsi="Arial" w:cs="Arial"/>
        </w:rPr>
        <w:t xml:space="preserve">(4), 589–603. </w:t>
      </w:r>
      <w:hyperlink r:id="rId12" w:history="1">
        <w:r w:rsidRPr="00AA50F0">
          <w:rPr>
            <w:rStyle w:val="Hyperlink"/>
            <w:rFonts w:ascii="Arial" w:hAnsi="Arial" w:cs="Arial"/>
          </w:rPr>
          <w:t>https://doi.org/10.1111/puar.13632</w:t>
        </w:r>
      </w:hyperlink>
      <w:r>
        <w:rPr>
          <w:rFonts w:ascii="Arial" w:hAnsi="Arial" w:cs="Arial"/>
        </w:rPr>
        <w:t xml:space="preserve"> </w:t>
      </w:r>
    </w:p>
    <w:p w14:paraId="11C99644" w14:textId="77777777" w:rsidR="00B60123" w:rsidRPr="00B60123" w:rsidRDefault="00B60123" w:rsidP="00B60123">
      <w:pPr>
        <w:spacing w:line="480" w:lineRule="auto"/>
        <w:jc w:val="both"/>
        <w:rPr>
          <w:rFonts w:ascii="Arial" w:hAnsi="Arial" w:cs="Arial"/>
        </w:rPr>
      </w:pPr>
      <w:r w:rsidRPr="00B60123">
        <w:rPr>
          <w:rFonts w:ascii="Arial" w:hAnsi="Arial" w:cs="Arial"/>
        </w:rPr>
        <w:t xml:space="preserve">Ningrum, H. K., &amp; </w:t>
      </w:r>
      <w:proofErr w:type="spellStart"/>
      <w:r w:rsidRPr="00B60123">
        <w:rPr>
          <w:rFonts w:ascii="Arial" w:hAnsi="Arial" w:cs="Arial"/>
        </w:rPr>
        <w:t>Hasmarini</w:t>
      </w:r>
      <w:proofErr w:type="spellEnd"/>
      <w:r w:rsidRPr="00B60123">
        <w:rPr>
          <w:rFonts w:ascii="Arial" w:hAnsi="Arial" w:cs="Arial"/>
        </w:rPr>
        <w:t xml:space="preserve">, M. I. (2024). Marketing strategy analysis using STP strategy (Segmentation, Targeting, Positioning) at PT Berkah </w:t>
      </w:r>
      <w:proofErr w:type="spellStart"/>
      <w:r w:rsidRPr="00B60123">
        <w:rPr>
          <w:rFonts w:ascii="Arial" w:hAnsi="Arial" w:cs="Arial"/>
        </w:rPr>
        <w:t>Ridho</w:t>
      </w:r>
      <w:proofErr w:type="spellEnd"/>
      <w:r w:rsidRPr="00B60123">
        <w:rPr>
          <w:rFonts w:ascii="Arial" w:hAnsi="Arial" w:cs="Arial"/>
        </w:rPr>
        <w:t xml:space="preserve"> Cinta Indonesia. </w:t>
      </w:r>
      <w:r w:rsidRPr="00B60123">
        <w:rPr>
          <w:rFonts w:ascii="Arial" w:hAnsi="Arial" w:cs="Arial"/>
          <w:i/>
          <w:iCs/>
        </w:rPr>
        <w:t>Income Journal of Economics Development, 4(</w:t>
      </w:r>
      <w:r w:rsidRPr="00B60123">
        <w:rPr>
          <w:rFonts w:ascii="Arial" w:hAnsi="Arial" w:cs="Arial"/>
        </w:rPr>
        <w:t>1), 15–19.</w:t>
      </w:r>
    </w:p>
    <w:p w14:paraId="194069D9" w14:textId="77777777" w:rsidR="00B60123" w:rsidRDefault="00B60123" w:rsidP="00B60123">
      <w:pPr>
        <w:spacing w:line="480" w:lineRule="auto"/>
        <w:jc w:val="both"/>
        <w:rPr>
          <w:rFonts w:ascii="Arial" w:hAnsi="Arial" w:cs="Arial"/>
        </w:rPr>
      </w:pPr>
      <w:r w:rsidRPr="00B60123">
        <w:rPr>
          <w:rFonts w:ascii="Arial" w:hAnsi="Arial" w:cs="Arial"/>
        </w:rPr>
        <w:t xml:space="preserve">Onifade, A. Y., </w:t>
      </w:r>
      <w:proofErr w:type="spellStart"/>
      <w:r w:rsidRPr="00B60123">
        <w:rPr>
          <w:rFonts w:ascii="Arial" w:hAnsi="Arial" w:cs="Arial"/>
        </w:rPr>
        <w:t>Ogeawuchi</w:t>
      </w:r>
      <w:proofErr w:type="spellEnd"/>
      <w:r w:rsidRPr="00B60123">
        <w:rPr>
          <w:rFonts w:ascii="Arial" w:hAnsi="Arial" w:cs="Arial"/>
        </w:rPr>
        <w:t xml:space="preserve">, J. C., Abayomi, A. A., &amp; Aderemi, O. (2024). Advances in CRM-driven marketing intelligence for enhancing conversion rates and lifetime value models. </w:t>
      </w:r>
      <w:r w:rsidRPr="00B60123">
        <w:rPr>
          <w:rFonts w:ascii="Arial" w:hAnsi="Arial" w:cs="Arial"/>
          <w:i/>
          <w:iCs/>
        </w:rPr>
        <w:t>International Journal of Advanced Multidisciplinary Research and Studies, 4</w:t>
      </w:r>
      <w:r w:rsidRPr="00B60123">
        <w:rPr>
          <w:rFonts w:ascii="Arial" w:hAnsi="Arial" w:cs="Arial"/>
        </w:rPr>
        <w:t>(6), 2313–2325.</w:t>
      </w:r>
    </w:p>
    <w:p w14:paraId="001A9FC2" w14:textId="6AB0BD11" w:rsidR="00B60123" w:rsidRPr="00B60123" w:rsidRDefault="00B60123" w:rsidP="00B60123">
      <w:pPr>
        <w:spacing w:line="480" w:lineRule="auto"/>
        <w:jc w:val="both"/>
        <w:rPr>
          <w:rFonts w:ascii="Arial" w:hAnsi="Arial" w:cs="Arial"/>
        </w:rPr>
      </w:pPr>
      <w:r w:rsidRPr="00B60123">
        <w:rPr>
          <w:rFonts w:ascii="Arial" w:hAnsi="Arial" w:cs="Arial"/>
        </w:rPr>
        <w:lastRenderedPageBreak/>
        <w:t>Orji, C. I. (2019). Digital business transformation: Towards an integrated capability framework for digiti</w:t>
      </w:r>
      <w:r>
        <w:rPr>
          <w:rFonts w:ascii="Arial" w:hAnsi="Arial" w:cs="Arial"/>
        </w:rPr>
        <w:t>s</w:t>
      </w:r>
      <w:r w:rsidRPr="00B60123">
        <w:rPr>
          <w:rFonts w:ascii="Arial" w:hAnsi="Arial" w:cs="Arial"/>
        </w:rPr>
        <w:t xml:space="preserve">ation and business value generation. </w:t>
      </w:r>
      <w:r w:rsidRPr="00B60123">
        <w:rPr>
          <w:rFonts w:ascii="Arial" w:hAnsi="Arial" w:cs="Arial"/>
          <w:i/>
          <w:iCs/>
        </w:rPr>
        <w:t>Journal of Global Business and Technology, 15</w:t>
      </w:r>
      <w:r w:rsidRPr="00B60123">
        <w:rPr>
          <w:rFonts w:ascii="Arial" w:hAnsi="Arial" w:cs="Arial"/>
        </w:rPr>
        <w:t>(1), 47–57.</w:t>
      </w:r>
    </w:p>
    <w:p w14:paraId="074AE852" w14:textId="77777777" w:rsidR="00B60123" w:rsidRPr="00B60123" w:rsidRDefault="00B60123" w:rsidP="00B60123">
      <w:pPr>
        <w:spacing w:line="480" w:lineRule="auto"/>
        <w:jc w:val="both"/>
        <w:rPr>
          <w:rFonts w:ascii="Arial" w:hAnsi="Arial" w:cs="Arial"/>
        </w:rPr>
      </w:pPr>
      <w:r w:rsidRPr="00B60123">
        <w:rPr>
          <w:rFonts w:ascii="Arial" w:hAnsi="Arial" w:cs="Arial"/>
        </w:rPr>
        <w:t xml:space="preserve">Purnomo, Y. J. (2023). Digital marketing strategy to increase sales conversion on e-commerce platforms. </w:t>
      </w:r>
      <w:r w:rsidRPr="00B60123">
        <w:rPr>
          <w:rFonts w:ascii="Arial" w:hAnsi="Arial" w:cs="Arial"/>
          <w:i/>
          <w:iCs/>
        </w:rPr>
        <w:t>Journal of Contemporary Administration and Management (ADMAN), 1</w:t>
      </w:r>
      <w:r w:rsidRPr="00B60123">
        <w:rPr>
          <w:rFonts w:ascii="Arial" w:hAnsi="Arial" w:cs="Arial"/>
        </w:rPr>
        <w:t>(2), 54–62.</w:t>
      </w:r>
    </w:p>
    <w:p w14:paraId="49740887" w14:textId="0F8F26DE" w:rsidR="00B60123" w:rsidRPr="00B60123" w:rsidRDefault="00B60123" w:rsidP="00B60123">
      <w:pPr>
        <w:spacing w:line="480" w:lineRule="auto"/>
        <w:jc w:val="both"/>
        <w:rPr>
          <w:rFonts w:ascii="Arial" w:hAnsi="Arial" w:cs="Arial"/>
        </w:rPr>
      </w:pPr>
      <w:r w:rsidRPr="00B60123">
        <w:rPr>
          <w:rFonts w:ascii="Arial" w:hAnsi="Arial" w:cs="Arial"/>
        </w:rPr>
        <w:t xml:space="preserve">Rehman, S. U., Gulzar, R., &amp; Aslam, W. (2022). Developing the integrated marketing communication (IMC) through social media: The modern marketing communication approach. </w:t>
      </w:r>
      <w:r w:rsidRPr="00B60123">
        <w:rPr>
          <w:rFonts w:ascii="Arial" w:hAnsi="Arial" w:cs="Arial"/>
          <w:i/>
          <w:iCs/>
        </w:rPr>
        <w:t>SAGE Open, 12</w:t>
      </w:r>
      <w:r w:rsidRPr="00B60123">
        <w:rPr>
          <w:rFonts w:ascii="Arial" w:hAnsi="Arial" w:cs="Arial"/>
        </w:rPr>
        <w:t xml:space="preserve">(2). </w:t>
      </w:r>
      <w:hyperlink r:id="rId13" w:history="1">
        <w:r w:rsidRPr="00AA50F0">
          <w:rPr>
            <w:rStyle w:val="Hyperlink"/>
            <w:rFonts w:ascii="Arial" w:hAnsi="Arial" w:cs="Arial"/>
          </w:rPr>
          <w:t>https://doi.org/10.1177/21582440221099936</w:t>
        </w:r>
      </w:hyperlink>
      <w:r>
        <w:rPr>
          <w:rFonts w:ascii="Arial" w:hAnsi="Arial" w:cs="Arial"/>
        </w:rPr>
        <w:t xml:space="preserve"> </w:t>
      </w:r>
    </w:p>
    <w:p w14:paraId="2AC61773" w14:textId="77777777" w:rsidR="00B60123" w:rsidRPr="00B60123" w:rsidRDefault="00B60123" w:rsidP="00B60123">
      <w:pPr>
        <w:spacing w:line="480" w:lineRule="auto"/>
        <w:jc w:val="both"/>
        <w:rPr>
          <w:rFonts w:ascii="Arial" w:hAnsi="Arial" w:cs="Arial"/>
        </w:rPr>
      </w:pPr>
      <w:r w:rsidRPr="00B60123">
        <w:rPr>
          <w:rFonts w:ascii="Arial" w:hAnsi="Arial" w:cs="Arial"/>
        </w:rPr>
        <w:t xml:space="preserve">Simoes, C., &amp; Freitas, S. (2021). Strategic applications of SWOT analysis in the service industry. </w:t>
      </w:r>
      <w:r w:rsidRPr="00B60123">
        <w:rPr>
          <w:rFonts w:ascii="Arial" w:hAnsi="Arial" w:cs="Arial"/>
          <w:i/>
          <w:iCs/>
        </w:rPr>
        <w:t>International Journal of Business Strategy and Management, 30</w:t>
      </w:r>
      <w:r w:rsidRPr="00B60123">
        <w:rPr>
          <w:rFonts w:ascii="Arial" w:hAnsi="Arial" w:cs="Arial"/>
        </w:rPr>
        <w:t>(1), 45–58.</w:t>
      </w:r>
    </w:p>
    <w:p w14:paraId="6990B09F" w14:textId="77777777" w:rsidR="00B60123" w:rsidRPr="00B60123" w:rsidRDefault="00B60123" w:rsidP="00B60123">
      <w:pPr>
        <w:spacing w:line="480" w:lineRule="auto"/>
        <w:jc w:val="both"/>
        <w:rPr>
          <w:rFonts w:ascii="Arial" w:hAnsi="Arial" w:cs="Arial"/>
        </w:rPr>
      </w:pPr>
      <w:r w:rsidRPr="00B60123">
        <w:rPr>
          <w:rFonts w:ascii="Arial" w:hAnsi="Arial" w:cs="Arial"/>
        </w:rPr>
        <w:t xml:space="preserve">Srivastava, M., &amp; Sharma, R. (2021). Evaluating the ROI of digital marketing campaigns: A framework for data-driven decision making. </w:t>
      </w:r>
      <w:r w:rsidRPr="00B60123">
        <w:rPr>
          <w:rFonts w:ascii="Arial" w:hAnsi="Arial" w:cs="Arial"/>
          <w:i/>
          <w:iCs/>
        </w:rPr>
        <w:t>Journal of Digital Marketing, 22</w:t>
      </w:r>
      <w:r w:rsidRPr="00B60123">
        <w:rPr>
          <w:rFonts w:ascii="Arial" w:hAnsi="Arial" w:cs="Arial"/>
        </w:rPr>
        <w:t>(4), 415–428.</w:t>
      </w:r>
    </w:p>
    <w:p w14:paraId="6F471C40" w14:textId="77777777" w:rsidR="00B60123" w:rsidRPr="00B60123" w:rsidRDefault="00B60123" w:rsidP="00B60123">
      <w:pPr>
        <w:spacing w:line="480" w:lineRule="auto"/>
        <w:jc w:val="both"/>
        <w:rPr>
          <w:rFonts w:ascii="Arial" w:hAnsi="Arial" w:cs="Arial"/>
        </w:rPr>
      </w:pPr>
      <w:r w:rsidRPr="00B60123">
        <w:rPr>
          <w:rFonts w:ascii="Arial" w:hAnsi="Arial" w:cs="Arial"/>
        </w:rPr>
        <w:t xml:space="preserve">Sunarso, B., &amp; Mustafa, F. (2023). Analysing the role of visual content in increasing attraction and conversion in MSME digital marketing. </w:t>
      </w:r>
      <w:r w:rsidRPr="00B60123">
        <w:rPr>
          <w:rFonts w:ascii="Arial" w:hAnsi="Arial" w:cs="Arial"/>
          <w:i/>
          <w:iCs/>
        </w:rPr>
        <w:t>Journal of Contemporary Administration and Management (ADMAN), 1</w:t>
      </w:r>
      <w:r w:rsidRPr="00B60123">
        <w:rPr>
          <w:rFonts w:ascii="Arial" w:hAnsi="Arial" w:cs="Arial"/>
        </w:rPr>
        <w:t>(3), 193–200.</w:t>
      </w:r>
    </w:p>
    <w:p w14:paraId="0DB71C7B" w14:textId="77777777" w:rsidR="00B60123" w:rsidRPr="00B60123" w:rsidRDefault="00B60123" w:rsidP="00B60123">
      <w:pPr>
        <w:spacing w:line="480" w:lineRule="auto"/>
        <w:jc w:val="both"/>
        <w:rPr>
          <w:rFonts w:ascii="Arial" w:hAnsi="Arial" w:cs="Arial"/>
        </w:rPr>
      </w:pPr>
      <w:r w:rsidRPr="00B60123">
        <w:rPr>
          <w:rFonts w:ascii="Arial" w:hAnsi="Arial" w:cs="Arial"/>
        </w:rPr>
        <w:t xml:space="preserve">Vaz, N. (2021). </w:t>
      </w:r>
      <w:r w:rsidRPr="00B60123">
        <w:rPr>
          <w:rFonts w:ascii="Arial" w:hAnsi="Arial" w:cs="Arial"/>
          <w:i/>
          <w:iCs/>
        </w:rPr>
        <w:t>Digital business transformation: How established companies sustain competitive advantage from now to next</w:t>
      </w:r>
      <w:r w:rsidRPr="00B60123">
        <w:rPr>
          <w:rFonts w:ascii="Arial" w:hAnsi="Arial" w:cs="Arial"/>
        </w:rPr>
        <w:t>. John Wiley &amp; Sons.</w:t>
      </w:r>
    </w:p>
    <w:p w14:paraId="69CD0CF0" w14:textId="1E2086D4" w:rsidR="00413B36" w:rsidRPr="00027CF2" w:rsidRDefault="00B60123" w:rsidP="00B60123">
      <w:pPr>
        <w:spacing w:line="480" w:lineRule="auto"/>
        <w:jc w:val="both"/>
        <w:rPr>
          <w:rFonts w:ascii="Arial" w:hAnsi="Arial" w:cs="Arial"/>
        </w:rPr>
      </w:pPr>
      <w:r w:rsidRPr="00B60123">
        <w:rPr>
          <w:rFonts w:ascii="Arial" w:hAnsi="Arial" w:cs="Arial"/>
        </w:rPr>
        <w:t xml:space="preserve">Yang, S., &amp; Zhao, X. (2023). Measuring customer lifetime value in subscription-based models: A framework for the digital age. </w:t>
      </w:r>
      <w:r w:rsidRPr="00B60123">
        <w:rPr>
          <w:rFonts w:ascii="Arial" w:hAnsi="Arial" w:cs="Arial"/>
          <w:i/>
          <w:iCs/>
        </w:rPr>
        <w:t>Journal of Marketing Analytics, 11</w:t>
      </w:r>
      <w:r w:rsidRPr="00B60123">
        <w:rPr>
          <w:rFonts w:ascii="Arial" w:hAnsi="Arial" w:cs="Arial"/>
        </w:rPr>
        <w:t xml:space="preserve">(2), 130–142. </w:t>
      </w:r>
      <w:hyperlink r:id="rId14" w:history="1">
        <w:r w:rsidRPr="00AA50F0">
          <w:rPr>
            <w:rStyle w:val="Hyperlink"/>
            <w:rFonts w:ascii="Arial" w:hAnsi="Arial" w:cs="Arial"/>
          </w:rPr>
          <w:t>https://doi.org/10.1057/s41270-022-00153-4</w:t>
        </w:r>
      </w:hyperlink>
      <w:r>
        <w:rPr>
          <w:rFonts w:ascii="Arial" w:hAnsi="Arial" w:cs="Arial"/>
        </w:rPr>
        <w:t xml:space="preserve"> </w:t>
      </w:r>
    </w:p>
    <w:sectPr w:rsidR="00413B36" w:rsidRPr="00027CF2" w:rsidSect="00B60123">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CA67F" w14:textId="77777777" w:rsidR="007A752B" w:rsidRDefault="007A752B" w:rsidP="00B60123">
      <w:pPr>
        <w:spacing w:after="0" w:line="240" w:lineRule="auto"/>
      </w:pPr>
      <w:r>
        <w:separator/>
      </w:r>
    </w:p>
  </w:endnote>
  <w:endnote w:type="continuationSeparator" w:id="0">
    <w:p w14:paraId="16FCD2B3" w14:textId="77777777" w:rsidR="007A752B" w:rsidRDefault="007A752B" w:rsidP="00B60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47DAA" w14:textId="77777777" w:rsidR="007A752B" w:rsidRDefault="007A752B" w:rsidP="00B60123">
      <w:pPr>
        <w:spacing w:after="0" w:line="240" w:lineRule="auto"/>
      </w:pPr>
      <w:r>
        <w:separator/>
      </w:r>
    </w:p>
  </w:footnote>
  <w:footnote w:type="continuationSeparator" w:id="0">
    <w:p w14:paraId="5390EA25" w14:textId="77777777" w:rsidR="007A752B" w:rsidRDefault="007A752B" w:rsidP="00B60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4241468"/>
      <w:docPartObj>
        <w:docPartGallery w:val="Page Numbers (Top of Page)"/>
        <w:docPartUnique/>
      </w:docPartObj>
    </w:sdtPr>
    <w:sdtEndPr>
      <w:rPr>
        <w:noProof/>
      </w:rPr>
    </w:sdtEndPr>
    <w:sdtContent>
      <w:p w14:paraId="4F217B3B" w14:textId="509C37E1" w:rsidR="00B60123" w:rsidRDefault="00B6012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22F764A" w14:textId="77777777" w:rsidR="00B60123" w:rsidRDefault="00B601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844105"/>
    <w:multiLevelType w:val="hybridMultilevel"/>
    <w:tmpl w:val="2662E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7982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CF2"/>
    <w:rsid w:val="00027CF2"/>
    <w:rsid w:val="00413B36"/>
    <w:rsid w:val="006C0F92"/>
    <w:rsid w:val="007A752B"/>
    <w:rsid w:val="008D652F"/>
    <w:rsid w:val="00B60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06FB1"/>
  <w15:chartTrackingRefBased/>
  <w15:docId w15:val="{E2F27683-CCE4-4742-9D97-500324DCB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C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C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C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C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C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C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C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C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C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C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C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C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C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C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C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C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C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CF2"/>
    <w:rPr>
      <w:rFonts w:eastAsiaTheme="majorEastAsia" w:cstheme="majorBidi"/>
      <w:color w:val="272727" w:themeColor="text1" w:themeTint="D8"/>
    </w:rPr>
  </w:style>
  <w:style w:type="paragraph" w:styleId="Title">
    <w:name w:val="Title"/>
    <w:basedOn w:val="Normal"/>
    <w:next w:val="Normal"/>
    <w:link w:val="TitleChar"/>
    <w:uiPriority w:val="10"/>
    <w:qFormat/>
    <w:rsid w:val="00027C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C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C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C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CF2"/>
    <w:pPr>
      <w:spacing w:before="160"/>
      <w:jc w:val="center"/>
    </w:pPr>
    <w:rPr>
      <w:i/>
      <w:iCs/>
      <w:color w:val="404040" w:themeColor="text1" w:themeTint="BF"/>
    </w:rPr>
  </w:style>
  <w:style w:type="character" w:customStyle="1" w:styleId="QuoteChar">
    <w:name w:val="Quote Char"/>
    <w:basedOn w:val="DefaultParagraphFont"/>
    <w:link w:val="Quote"/>
    <w:uiPriority w:val="29"/>
    <w:rsid w:val="00027CF2"/>
    <w:rPr>
      <w:i/>
      <w:iCs/>
      <w:color w:val="404040" w:themeColor="text1" w:themeTint="BF"/>
    </w:rPr>
  </w:style>
  <w:style w:type="paragraph" w:styleId="ListParagraph">
    <w:name w:val="List Paragraph"/>
    <w:basedOn w:val="Normal"/>
    <w:uiPriority w:val="34"/>
    <w:qFormat/>
    <w:rsid w:val="00027CF2"/>
    <w:pPr>
      <w:ind w:left="720"/>
      <w:contextualSpacing/>
    </w:pPr>
  </w:style>
  <w:style w:type="character" w:styleId="IntenseEmphasis">
    <w:name w:val="Intense Emphasis"/>
    <w:basedOn w:val="DefaultParagraphFont"/>
    <w:uiPriority w:val="21"/>
    <w:qFormat/>
    <w:rsid w:val="00027CF2"/>
    <w:rPr>
      <w:i/>
      <w:iCs/>
      <w:color w:val="0F4761" w:themeColor="accent1" w:themeShade="BF"/>
    </w:rPr>
  </w:style>
  <w:style w:type="paragraph" w:styleId="IntenseQuote">
    <w:name w:val="Intense Quote"/>
    <w:basedOn w:val="Normal"/>
    <w:next w:val="Normal"/>
    <w:link w:val="IntenseQuoteChar"/>
    <w:uiPriority w:val="30"/>
    <w:qFormat/>
    <w:rsid w:val="00027C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CF2"/>
    <w:rPr>
      <w:i/>
      <w:iCs/>
      <w:color w:val="0F4761" w:themeColor="accent1" w:themeShade="BF"/>
    </w:rPr>
  </w:style>
  <w:style w:type="character" w:styleId="IntenseReference">
    <w:name w:val="Intense Reference"/>
    <w:basedOn w:val="DefaultParagraphFont"/>
    <w:uiPriority w:val="32"/>
    <w:qFormat/>
    <w:rsid w:val="00027CF2"/>
    <w:rPr>
      <w:b/>
      <w:bCs/>
      <w:smallCaps/>
      <w:color w:val="0F4761" w:themeColor="accent1" w:themeShade="BF"/>
      <w:spacing w:val="5"/>
    </w:rPr>
  </w:style>
  <w:style w:type="character" w:styleId="Hyperlink">
    <w:name w:val="Hyperlink"/>
    <w:basedOn w:val="DefaultParagraphFont"/>
    <w:uiPriority w:val="99"/>
    <w:unhideWhenUsed/>
    <w:rsid w:val="00B60123"/>
    <w:rPr>
      <w:color w:val="467886" w:themeColor="hyperlink"/>
      <w:u w:val="single"/>
    </w:rPr>
  </w:style>
  <w:style w:type="character" w:styleId="UnresolvedMention">
    <w:name w:val="Unresolved Mention"/>
    <w:basedOn w:val="DefaultParagraphFont"/>
    <w:uiPriority w:val="99"/>
    <w:semiHidden/>
    <w:unhideWhenUsed/>
    <w:rsid w:val="00B60123"/>
    <w:rPr>
      <w:color w:val="605E5C"/>
      <w:shd w:val="clear" w:color="auto" w:fill="E1DFDD"/>
    </w:rPr>
  </w:style>
  <w:style w:type="paragraph" w:styleId="Header">
    <w:name w:val="header"/>
    <w:basedOn w:val="Normal"/>
    <w:link w:val="HeaderChar"/>
    <w:uiPriority w:val="99"/>
    <w:unhideWhenUsed/>
    <w:rsid w:val="00B60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123"/>
  </w:style>
  <w:style w:type="paragraph" w:styleId="Footer">
    <w:name w:val="footer"/>
    <w:basedOn w:val="Normal"/>
    <w:link w:val="FooterChar"/>
    <w:uiPriority w:val="99"/>
    <w:unhideWhenUsed/>
    <w:rsid w:val="00B60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123"/>
  </w:style>
  <w:style w:type="paragraph" w:styleId="NoSpacing">
    <w:name w:val="No Spacing"/>
    <w:link w:val="NoSpacingChar"/>
    <w:uiPriority w:val="1"/>
    <w:qFormat/>
    <w:rsid w:val="00B6012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6012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edeen.2024.100260" TargetMode="External"/><Relationship Id="rId13" Type="http://schemas.openxmlformats.org/officeDocument/2006/relationships/hyperlink" Target="https://doi.org/10.1177/2158244022109993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11/puar.1363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su1613527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287/mksc.2022.1360" TargetMode="External"/><Relationship Id="rId4" Type="http://schemas.openxmlformats.org/officeDocument/2006/relationships/webSettings" Target="webSettings.xml"/><Relationship Id="rId9" Type="http://schemas.openxmlformats.org/officeDocument/2006/relationships/hyperlink" Target="https://doi.org/10.1109/SMART60864.2024.10438212" TargetMode="External"/><Relationship Id="rId14" Type="http://schemas.openxmlformats.org/officeDocument/2006/relationships/hyperlink" Target="https://doi.org/10.1057/s41270-022-0015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13</Pages>
  <Words>3056</Words>
  <Characters>17421</Characters>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cp:keywords/>
  <dc:description/>
  <dcterms:created xsi:type="dcterms:W3CDTF">2026-01-08T19:06:00Z</dcterms:created>
  <dcterms:modified xsi:type="dcterms:W3CDTF">2026-01-08T19:38:00Z</dcterms:modified>
</cp:coreProperties>
</file>