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E11B8" w14:textId="1AEFCC73" w:rsidR="00393D7B" w:rsidRPr="0027514D" w:rsidRDefault="00E01EF4" w:rsidP="0027514D">
      <w:pPr>
        <w:pStyle w:val="paragraph"/>
        <w:spacing w:line="480" w:lineRule="auto"/>
        <w:jc w:val="both"/>
        <w:textAlignment w:val="baseline"/>
        <w:rPr>
          <w:lang w:val="en-US"/>
        </w:rPr>
      </w:pPr>
      <w:r>
        <w:rPr>
          <w:rStyle w:val="normaltextrun"/>
          <w:lang w:val="en-US"/>
        </w:rPr>
        <w:t xml:space="preserve">                                                                                                                                                  </w:t>
      </w:r>
      <w:r w:rsidR="00393D7B" w:rsidRPr="0027514D">
        <w:rPr>
          <w:rStyle w:val="normaltextrun"/>
          <w:lang w:val="en-US"/>
        </w:rPr>
        <w:t>TO: Oliver Jones</w:t>
      </w:r>
      <w:r w:rsidR="00393D7B" w:rsidRPr="0027514D">
        <w:rPr>
          <w:rStyle w:val="eop"/>
          <w:lang w:val="en-US"/>
        </w:rPr>
        <w:t> </w:t>
      </w:r>
    </w:p>
    <w:p w14:paraId="1E2AAF44" w14:textId="3A68A534" w:rsidR="00393D7B" w:rsidRPr="0027514D" w:rsidRDefault="00393D7B" w:rsidP="0027514D">
      <w:pPr>
        <w:pStyle w:val="paragraph"/>
        <w:spacing w:line="480" w:lineRule="auto"/>
        <w:jc w:val="both"/>
        <w:textAlignment w:val="baseline"/>
        <w:rPr>
          <w:lang w:val="en-US"/>
        </w:rPr>
      </w:pPr>
      <w:r w:rsidRPr="0027514D">
        <w:rPr>
          <w:rStyle w:val="normaltextrun"/>
          <w:lang w:val="en-US"/>
        </w:rPr>
        <w:t xml:space="preserve">FROM: </w:t>
      </w:r>
      <w:r w:rsidRPr="0027514D">
        <w:rPr>
          <w:rStyle w:val="eop"/>
          <w:lang w:val="en-US"/>
        </w:rPr>
        <w:t> </w:t>
      </w:r>
      <w:r w:rsidR="002B106A" w:rsidRPr="0027514D">
        <w:rPr>
          <w:rStyle w:val="eop"/>
          <w:lang w:val="en-US"/>
        </w:rPr>
        <w:t>Nagina Bibi</w:t>
      </w:r>
    </w:p>
    <w:p w14:paraId="66927B00" w14:textId="77777777" w:rsidR="00393D7B" w:rsidRPr="0027514D" w:rsidRDefault="00393D7B" w:rsidP="0027514D">
      <w:pPr>
        <w:pStyle w:val="paragraph"/>
        <w:spacing w:line="480" w:lineRule="auto"/>
        <w:jc w:val="both"/>
        <w:textAlignment w:val="baseline"/>
        <w:rPr>
          <w:lang w:val="en-US"/>
        </w:rPr>
      </w:pPr>
      <w:r w:rsidRPr="0027514D">
        <w:rPr>
          <w:rStyle w:val="normaltextrun"/>
          <w:lang w:val="en-US"/>
        </w:rPr>
        <w:t>MATTER: Case of William Brown</w:t>
      </w:r>
      <w:r w:rsidRPr="0027514D">
        <w:rPr>
          <w:rStyle w:val="eop"/>
          <w:lang w:val="en-US"/>
        </w:rPr>
        <w:t> </w:t>
      </w:r>
    </w:p>
    <w:p w14:paraId="1C858ACA" w14:textId="77777777" w:rsidR="00393D7B" w:rsidRPr="0027514D" w:rsidRDefault="00393D7B" w:rsidP="0027514D">
      <w:pPr>
        <w:pStyle w:val="paragraph"/>
        <w:spacing w:line="480" w:lineRule="auto"/>
        <w:jc w:val="both"/>
        <w:textAlignment w:val="baseline"/>
        <w:rPr>
          <w:lang w:val="en-US"/>
        </w:rPr>
      </w:pPr>
      <w:r w:rsidRPr="0027514D">
        <w:rPr>
          <w:rStyle w:val="normaltextrun"/>
          <w:lang w:val="en-US"/>
        </w:rPr>
        <w:t>DATE: 7</w:t>
      </w:r>
      <w:r w:rsidRPr="0027514D">
        <w:rPr>
          <w:rStyle w:val="normaltextrun"/>
          <w:vertAlign w:val="superscript"/>
          <w:lang w:val="en-US"/>
        </w:rPr>
        <w:t>th</w:t>
      </w:r>
      <w:r w:rsidRPr="0027514D">
        <w:rPr>
          <w:rStyle w:val="normaltextrun"/>
          <w:lang w:val="en-US"/>
        </w:rPr>
        <w:t xml:space="preserve"> May 2021</w:t>
      </w:r>
      <w:r w:rsidRPr="0027514D">
        <w:rPr>
          <w:rStyle w:val="eop"/>
          <w:lang w:val="en-US"/>
        </w:rPr>
        <w:t> </w:t>
      </w:r>
    </w:p>
    <w:p w14:paraId="4F4379D7" w14:textId="3C9BCDBD" w:rsidR="00393D7B" w:rsidRPr="0027514D" w:rsidRDefault="00393D7B" w:rsidP="0027514D">
      <w:pPr>
        <w:pStyle w:val="paragraph"/>
        <w:spacing w:line="480" w:lineRule="auto"/>
        <w:jc w:val="both"/>
        <w:textAlignment w:val="baseline"/>
        <w:rPr>
          <w:lang w:val="en-US"/>
        </w:rPr>
      </w:pPr>
      <w:r w:rsidRPr="0027514D">
        <w:rPr>
          <w:rStyle w:val="normaltextrun"/>
          <w:lang w:val="en-US"/>
        </w:rPr>
        <w:t> Our client, William Brown, has been charged with two offences of theft, that is theft of cash and theft of a quantity of wine and spirits. The amount involved in this case is 3,000 pounds. According to Section 1 (1) of the Theft Act 1968 a person is deemed to be guilty of theft in the event where he or she appropriates property belonging to another individual in a dishonest manner with the intent of depriving the other permanently.</w:t>
      </w:r>
      <w:r w:rsidRPr="0027514D">
        <w:rPr>
          <w:rStyle w:val="eop"/>
          <w:lang w:val="en-US"/>
        </w:rPr>
        <w:t> </w:t>
      </w:r>
    </w:p>
    <w:p w14:paraId="6AA60512" w14:textId="379D1087" w:rsidR="00393D7B" w:rsidRPr="0027514D" w:rsidRDefault="00393D7B" w:rsidP="0027514D">
      <w:pPr>
        <w:pStyle w:val="paragraph"/>
        <w:spacing w:line="480" w:lineRule="auto"/>
        <w:jc w:val="both"/>
        <w:textAlignment w:val="baseline"/>
        <w:rPr>
          <w:lang w:val="en-US"/>
        </w:rPr>
      </w:pPr>
      <w:r w:rsidRPr="0027514D">
        <w:rPr>
          <w:rStyle w:val="normaltextrun"/>
          <w:lang w:val="en-US"/>
        </w:rPr>
        <w:t xml:space="preserve">The element of Actus Reus and Mens Rea must be established in determining whether William Brown is guilty of theft (Royall, 1969). This is captured under section 1 (1) of the Theft Act. The Actus Reus element of the crime of </w:t>
      </w:r>
      <w:r w:rsidR="00920234" w:rsidRPr="0027514D">
        <w:rPr>
          <w:rStyle w:val="normaltextrun"/>
          <w:lang w:val="en-US"/>
        </w:rPr>
        <w:t>t</w:t>
      </w:r>
      <w:r w:rsidRPr="0027514D">
        <w:rPr>
          <w:rStyle w:val="normaltextrun"/>
          <w:lang w:val="en-US"/>
        </w:rPr>
        <w:t>heft entails demonstrating appropriation, property and belonging to another. On the element of appropriation, it is defined as a person assuming the rights of an owner (</w:t>
      </w:r>
      <w:proofErr w:type="spellStart"/>
      <w:r w:rsidRPr="0027514D">
        <w:rPr>
          <w:rStyle w:val="normaltextrun"/>
          <w:lang w:val="en-US"/>
        </w:rPr>
        <w:t>Melissaris</w:t>
      </w:r>
      <w:proofErr w:type="spellEnd"/>
      <w:r w:rsidRPr="0027514D">
        <w:rPr>
          <w:rStyle w:val="normaltextrun"/>
          <w:lang w:val="en-US"/>
        </w:rPr>
        <w:t xml:space="preserve">, 2007). This includes instances where the accused </w:t>
      </w:r>
      <w:r w:rsidR="007748ED" w:rsidRPr="0027514D">
        <w:rPr>
          <w:rStyle w:val="normaltextrun"/>
          <w:lang w:val="en-US"/>
        </w:rPr>
        <w:t>acquires</w:t>
      </w:r>
      <w:r w:rsidRPr="0027514D">
        <w:rPr>
          <w:rStyle w:val="normaltextrun"/>
          <w:lang w:val="en-US"/>
        </w:rPr>
        <w:t xml:space="preserve"> the property, regardless of </w:t>
      </w:r>
      <w:r w:rsidR="007748ED" w:rsidRPr="0027514D">
        <w:rPr>
          <w:rStyle w:val="normaltextrun"/>
          <w:lang w:val="en-US"/>
        </w:rPr>
        <w:t>whether this is innocent</w:t>
      </w:r>
      <w:r w:rsidRPr="0027514D">
        <w:rPr>
          <w:rStyle w:val="normaltextrun"/>
          <w:lang w:val="en-US"/>
        </w:rPr>
        <w:t xml:space="preserve"> or not without stealing the property but later assumes its rights through dealing with it or keeping it as an owner</w:t>
      </w:r>
      <w:sdt>
        <w:sdtPr>
          <w:rPr>
            <w:rStyle w:val="normaltextrun"/>
            <w:lang w:val="en-US"/>
          </w:rPr>
          <w:id w:val="585343951"/>
          <w:citation/>
        </w:sdtPr>
        <w:sdtEndPr>
          <w:rPr>
            <w:rStyle w:val="normaltextrun"/>
          </w:rPr>
        </w:sdtEndPr>
        <w:sdtContent>
          <w:r w:rsidR="00032892" w:rsidRPr="0027514D">
            <w:rPr>
              <w:rStyle w:val="normaltextrun"/>
              <w:lang w:val="en-US"/>
            </w:rPr>
            <w:fldChar w:fldCharType="begin"/>
          </w:r>
          <w:r w:rsidR="00032892" w:rsidRPr="0027514D">
            <w:rPr>
              <w:rStyle w:val="normaltextrun"/>
              <w:lang w:val="en-US"/>
            </w:rPr>
            <w:instrText xml:space="preserve"> CITATION Ste08 \l 1033 </w:instrText>
          </w:r>
          <w:r w:rsidR="00032892" w:rsidRPr="0027514D">
            <w:rPr>
              <w:rStyle w:val="normaltextrun"/>
              <w:lang w:val="en-US"/>
            </w:rPr>
            <w:fldChar w:fldCharType="separate"/>
          </w:r>
          <w:r w:rsidR="00032892" w:rsidRPr="0027514D">
            <w:rPr>
              <w:rStyle w:val="normaltextrun"/>
              <w:noProof/>
              <w:lang w:val="en-US"/>
            </w:rPr>
            <w:t xml:space="preserve"> </w:t>
          </w:r>
          <w:r w:rsidR="00032892" w:rsidRPr="0027514D">
            <w:rPr>
              <w:noProof/>
              <w:lang w:val="en-US"/>
            </w:rPr>
            <w:t>(Steel, 2008)</w:t>
          </w:r>
          <w:r w:rsidR="00032892" w:rsidRPr="0027514D">
            <w:rPr>
              <w:rStyle w:val="normaltextrun"/>
              <w:lang w:val="en-US"/>
            </w:rPr>
            <w:fldChar w:fldCharType="end"/>
          </w:r>
        </w:sdtContent>
      </w:sdt>
      <w:r w:rsidRPr="0027514D">
        <w:rPr>
          <w:rStyle w:val="normaltextrun"/>
          <w:lang w:val="en-US"/>
        </w:rPr>
        <w:t xml:space="preserve">. It is immaterial if the appropriation was done with the aim of gain or was done for the benefit of the thief. According to section 3 (2) of the Theft Act 1968, in the event where property, interest or rights of a property is, or it is purported to have been transferred for a certain value by a person who is acting in good faith and later he or she assumed the rights of the property which they were aware of shall be deemed to have committed theft. Our client was the bar secretary of the </w:t>
      </w:r>
      <w:r w:rsidR="00920234" w:rsidRPr="0027514D">
        <w:rPr>
          <w:rStyle w:val="normaltextrun"/>
          <w:lang w:val="en-US"/>
        </w:rPr>
        <w:t>R</w:t>
      </w:r>
      <w:r w:rsidRPr="0027514D">
        <w:rPr>
          <w:rStyle w:val="normaltextrun"/>
          <w:lang w:val="en-US"/>
        </w:rPr>
        <w:t xml:space="preserve">ugby </w:t>
      </w:r>
      <w:r w:rsidR="00920234" w:rsidRPr="0027514D">
        <w:rPr>
          <w:rStyle w:val="normaltextrun"/>
          <w:lang w:val="en-US"/>
        </w:rPr>
        <w:t>C</w:t>
      </w:r>
      <w:r w:rsidRPr="0027514D">
        <w:rPr>
          <w:rStyle w:val="normaltextrun"/>
          <w:lang w:val="en-US"/>
        </w:rPr>
        <w:t xml:space="preserve">lub and </w:t>
      </w:r>
      <w:proofErr w:type="gramStart"/>
      <w:r w:rsidRPr="0027514D">
        <w:rPr>
          <w:rStyle w:val="normaltextrun"/>
          <w:lang w:val="en-US"/>
        </w:rPr>
        <w:t>was in charge of</w:t>
      </w:r>
      <w:proofErr w:type="gramEnd"/>
      <w:r w:rsidRPr="0027514D">
        <w:rPr>
          <w:rStyle w:val="normaltextrun"/>
          <w:lang w:val="en-US"/>
        </w:rPr>
        <w:t xml:space="preserve"> ordering and checking stock levels, paying of suppliers</w:t>
      </w:r>
      <w:r w:rsidR="00EF0D50" w:rsidRPr="0027514D">
        <w:rPr>
          <w:rStyle w:val="normaltextrun"/>
          <w:lang w:val="en-US"/>
        </w:rPr>
        <w:t>,</w:t>
      </w:r>
      <w:r w:rsidRPr="0027514D">
        <w:rPr>
          <w:rStyle w:val="normaltextrun"/>
          <w:lang w:val="en-US"/>
        </w:rPr>
        <w:t xml:space="preserve"> </w:t>
      </w:r>
      <w:r w:rsidRPr="0027514D">
        <w:rPr>
          <w:rStyle w:val="normaltextrun"/>
          <w:lang w:val="en-US"/>
        </w:rPr>
        <w:lastRenderedPageBreak/>
        <w:t xml:space="preserve">banking and checking the takings. William Brown was in possession and had control over the money and property of the club and was expected to act in good faith. </w:t>
      </w:r>
      <w:r w:rsidRPr="0027514D">
        <w:rPr>
          <w:rStyle w:val="eop"/>
          <w:lang w:val="en-US"/>
        </w:rPr>
        <w:t> </w:t>
      </w:r>
    </w:p>
    <w:p w14:paraId="7E1D66D1" w14:textId="12F02955" w:rsidR="00393D7B" w:rsidRPr="0027514D" w:rsidRDefault="007748ED" w:rsidP="0027514D">
      <w:pPr>
        <w:pStyle w:val="paragraph"/>
        <w:spacing w:line="480" w:lineRule="auto"/>
        <w:jc w:val="both"/>
        <w:textAlignment w:val="baseline"/>
        <w:rPr>
          <w:lang w:val="en-US"/>
        </w:rPr>
      </w:pPr>
      <w:r w:rsidRPr="0027514D">
        <w:rPr>
          <w:rStyle w:val="normaltextrun"/>
          <w:lang w:val="en-US"/>
        </w:rPr>
        <w:t xml:space="preserve">Considering </w:t>
      </w:r>
      <w:r w:rsidR="00393D7B" w:rsidRPr="0027514D">
        <w:rPr>
          <w:rStyle w:val="normaltextrun"/>
          <w:lang w:val="en-US"/>
        </w:rPr>
        <w:t xml:space="preserve">the element of property, according to section 4 (1) of Theft Act 1968, property refers to money together with other property, both personal or real property, include things that are in action and property that is not tangible (Ashworth &amp; </w:t>
      </w:r>
      <w:proofErr w:type="spellStart"/>
      <w:r w:rsidR="00393D7B" w:rsidRPr="0027514D">
        <w:rPr>
          <w:rStyle w:val="normaltextrun"/>
          <w:lang w:val="en-US"/>
        </w:rPr>
        <w:t>Horder</w:t>
      </w:r>
      <w:proofErr w:type="spellEnd"/>
      <w:r w:rsidR="00393D7B" w:rsidRPr="0027514D">
        <w:rPr>
          <w:rStyle w:val="normaltextrun"/>
          <w:lang w:val="en-US"/>
        </w:rPr>
        <w:t>, 2013). Currency is also referred to as property. It is linked to things in action that can be stolen. In this case, the property that under the possession of the William Brown w</w:t>
      </w:r>
      <w:r w:rsidRPr="0027514D">
        <w:rPr>
          <w:rStyle w:val="normaltextrun"/>
          <w:lang w:val="en-US"/>
        </w:rPr>
        <w:t xml:space="preserve">ere </w:t>
      </w:r>
      <w:r w:rsidR="00393D7B" w:rsidRPr="0027514D">
        <w:rPr>
          <w:rStyle w:val="normaltextrun"/>
          <w:lang w:val="en-US"/>
        </w:rPr>
        <w:t>cash and stocks.</w:t>
      </w:r>
      <w:r w:rsidR="00393D7B" w:rsidRPr="0027514D">
        <w:rPr>
          <w:rStyle w:val="eop"/>
          <w:lang w:val="en-US"/>
        </w:rPr>
        <w:t> </w:t>
      </w:r>
    </w:p>
    <w:p w14:paraId="48FE539D" w14:textId="726DAB19" w:rsidR="00393D7B" w:rsidRPr="0027514D" w:rsidRDefault="00393D7B" w:rsidP="0027514D">
      <w:pPr>
        <w:pStyle w:val="paragraph"/>
        <w:spacing w:line="480" w:lineRule="auto"/>
        <w:jc w:val="both"/>
        <w:textAlignment w:val="baseline"/>
        <w:rPr>
          <w:lang w:val="en-US"/>
        </w:rPr>
      </w:pPr>
      <w:r w:rsidRPr="0027514D">
        <w:rPr>
          <w:rStyle w:val="normaltextrun"/>
          <w:lang w:val="en-US"/>
        </w:rPr>
        <w:t xml:space="preserve">The element of “belonging to another” as defined under section 5 (1) of the Theft Act 1968 refers to property that belongs to an individual. This entails having control or possession of it or having a propriety interest or right in it (Herring, 2014). In the case of </w:t>
      </w:r>
      <w:r w:rsidRPr="0027514D">
        <w:rPr>
          <w:rStyle w:val="normaltextrun"/>
          <w:i/>
          <w:iCs/>
          <w:lang w:val="en-US"/>
        </w:rPr>
        <w:t>Waverley Borough Council v Fletcher [1995] 4 All ER 756</w:t>
      </w:r>
      <w:r w:rsidRPr="0027514D">
        <w:rPr>
          <w:rStyle w:val="normaltextrun"/>
          <w:lang w:val="en-US"/>
        </w:rPr>
        <w:t xml:space="preserve">, the local authority filed a case against the accused. They claimed that the brooch </w:t>
      </w:r>
      <w:r w:rsidR="007748ED" w:rsidRPr="0027514D">
        <w:rPr>
          <w:rStyle w:val="normaltextrun"/>
          <w:lang w:val="en-US"/>
        </w:rPr>
        <w:t xml:space="preserve">was </w:t>
      </w:r>
      <w:r w:rsidRPr="0027514D">
        <w:rPr>
          <w:rStyle w:val="normaltextrun"/>
          <w:lang w:val="en-US"/>
        </w:rPr>
        <w:t xml:space="preserve">the local authority’s property. The court held that the local authority is entitled and has a right of the finder over things that are discovered on the ground of the open space. However, it must be a rightful owner. In the case of </w:t>
      </w:r>
      <w:r w:rsidRPr="0027514D">
        <w:rPr>
          <w:rStyle w:val="normaltextrun"/>
          <w:i/>
          <w:iCs/>
          <w:lang w:val="en-US"/>
        </w:rPr>
        <w:t>R v Turner (1971) 1 WLR 901</w:t>
      </w:r>
      <w:r w:rsidRPr="0027514D">
        <w:rPr>
          <w:rStyle w:val="normaltextrun"/>
          <w:lang w:val="en-US"/>
        </w:rPr>
        <w:t xml:space="preserve">, the accused left his car at a garage and picked it without making payment of the repairs. The court held that the accused was liable </w:t>
      </w:r>
      <w:r w:rsidR="007748ED" w:rsidRPr="0027514D">
        <w:rPr>
          <w:rStyle w:val="normaltextrun"/>
          <w:lang w:val="en-US"/>
        </w:rPr>
        <w:t xml:space="preserve">for </w:t>
      </w:r>
      <w:r w:rsidRPr="0027514D">
        <w:rPr>
          <w:rStyle w:val="normaltextrun"/>
          <w:lang w:val="en-US"/>
        </w:rPr>
        <w:t xml:space="preserve">theft of his own car because the car is deemed to have been in the control and possession of the garage at that </w:t>
      </w:r>
      <w:proofErr w:type="gramStart"/>
      <w:r w:rsidRPr="0027514D">
        <w:rPr>
          <w:rStyle w:val="normaltextrun"/>
          <w:lang w:val="en-US"/>
        </w:rPr>
        <w:t>particular time</w:t>
      </w:r>
      <w:proofErr w:type="gramEnd"/>
      <w:r w:rsidRPr="0027514D">
        <w:rPr>
          <w:rStyle w:val="normaltextrun"/>
          <w:lang w:val="en-US"/>
        </w:rPr>
        <w:t xml:space="preserve">. The cash and stocks which consists of ten cases of wine and two cases of gin under the possession and control of William Brown were the property of the </w:t>
      </w:r>
      <w:r w:rsidR="00EF0D50" w:rsidRPr="0027514D">
        <w:rPr>
          <w:rStyle w:val="normaltextrun"/>
          <w:lang w:val="en-US"/>
        </w:rPr>
        <w:t>R</w:t>
      </w:r>
      <w:r w:rsidRPr="0027514D">
        <w:rPr>
          <w:rStyle w:val="normaltextrun"/>
          <w:lang w:val="en-US"/>
        </w:rPr>
        <w:t xml:space="preserve">ugby </w:t>
      </w:r>
      <w:r w:rsidR="00EF0D50" w:rsidRPr="0027514D">
        <w:rPr>
          <w:rStyle w:val="normaltextrun"/>
          <w:lang w:val="en-US"/>
        </w:rPr>
        <w:t>C</w:t>
      </w:r>
      <w:r w:rsidRPr="0027514D">
        <w:rPr>
          <w:rStyle w:val="normaltextrun"/>
          <w:lang w:val="en-US"/>
        </w:rPr>
        <w:t>lub</w:t>
      </w:r>
      <w:r w:rsidR="00EF0D50" w:rsidRPr="0027514D">
        <w:rPr>
          <w:rStyle w:val="eop"/>
          <w:lang w:val="en-US"/>
        </w:rPr>
        <w:t>.</w:t>
      </w:r>
    </w:p>
    <w:p w14:paraId="5FDA9942" w14:textId="431513E5" w:rsidR="00393D7B" w:rsidRPr="0027514D" w:rsidRDefault="00393D7B" w:rsidP="0027514D">
      <w:pPr>
        <w:pStyle w:val="paragraph"/>
        <w:spacing w:line="480" w:lineRule="auto"/>
        <w:jc w:val="both"/>
        <w:textAlignment w:val="baseline"/>
        <w:rPr>
          <w:lang w:val="en-US"/>
        </w:rPr>
      </w:pPr>
      <w:r w:rsidRPr="0027514D">
        <w:rPr>
          <w:rStyle w:val="normaltextrun"/>
          <w:lang w:val="en-US"/>
        </w:rPr>
        <w:t xml:space="preserve">The Mens Rea element of the crime of </w:t>
      </w:r>
      <w:r w:rsidR="00EF0D50" w:rsidRPr="0027514D">
        <w:rPr>
          <w:rStyle w:val="normaltextrun"/>
          <w:lang w:val="en-US"/>
        </w:rPr>
        <w:t>t</w:t>
      </w:r>
      <w:r w:rsidRPr="0027514D">
        <w:rPr>
          <w:rStyle w:val="normaltextrun"/>
          <w:lang w:val="en-US"/>
        </w:rPr>
        <w:t xml:space="preserve">heft comprises of two components, that is, dishonest and having an intention to deprive permanently (Ashworth &amp; </w:t>
      </w:r>
      <w:proofErr w:type="spellStart"/>
      <w:r w:rsidRPr="0027514D">
        <w:rPr>
          <w:rStyle w:val="normaltextrun"/>
          <w:lang w:val="en-US"/>
        </w:rPr>
        <w:t>Horder</w:t>
      </w:r>
      <w:proofErr w:type="spellEnd"/>
      <w:r w:rsidRPr="0027514D">
        <w:rPr>
          <w:rStyle w:val="normaltextrun"/>
          <w:lang w:val="en-US"/>
        </w:rPr>
        <w:t xml:space="preserve">, 2013). On the aspect of dishonesty, section 2 of the Theft Act 1968 provides three instances where an accused will not be deemed to have acted in a dishonest manner. First, in the event where they appropriate property with the belief that he or she has the legal right to deprive another person of it on his </w:t>
      </w:r>
      <w:r w:rsidRPr="0027514D">
        <w:rPr>
          <w:rStyle w:val="normaltextrun"/>
          <w:lang w:val="en-US"/>
        </w:rPr>
        <w:lastRenderedPageBreak/>
        <w:t xml:space="preserve">or her behalf or on behalf of a third party. Second, in the event where they appropriate the property with the belief that they would have been granted the consent of the other person in the event where the other person knows about the appropriation and its circumstances. Third, if the defendant appropriates property with the belief that the individual who is the owner of the property cannot be found through taking steps that are reasonable. In the case of </w:t>
      </w:r>
      <w:r w:rsidRPr="0027514D">
        <w:rPr>
          <w:rStyle w:val="normaltextrun"/>
          <w:i/>
          <w:iCs/>
          <w:lang w:val="en-US"/>
        </w:rPr>
        <w:t>R v Ghosh (1982) EWCA Crim 2</w:t>
      </w:r>
      <w:r w:rsidRPr="0027514D">
        <w:rPr>
          <w:rStyle w:val="normaltextrun"/>
          <w:lang w:val="en-US"/>
        </w:rPr>
        <w:t>, a two-stage test was used in determining the dishonest element of theft offence. The test entails, whether the accused</w:t>
      </w:r>
      <w:r w:rsidR="007748ED" w:rsidRPr="0027514D">
        <w:rPr>
          <w:rStyle w:val="normaltextrun"/>
          <w:lang w:val="en-US"/>
        </w:rPr>
        <w:t xml:space="preserve"> was</w:t>
      </w:r>
      <w:r w:rsidRPr="0027514D">
        <w:rPr>
          <w:rStyle w:val="normaltextrun"/>
          <w:lang w:val="en-US"/>
        </w:rPr>
        <w:t xml:space="preserve"> dishonest through ordinary standards of honest and reasonable people and if the accused</w:t>
      </w:r>
      <w:r w:rsidR="007748ED" w:rsidRPr="0027514D">
        <w:rPr>
          <w:rStyle w:val="normaltextrun"/>
          <w:lang w:val="en-US"/>
        </w:rPr>
        <w:t xml:space="preserve"> was</w:t>
      </w:r>
      <w:r w:rsidRPr="0027514D">
        <w:rPr>
          <w:rStyle w:val="normaltextrun"/>
          <w:lang w:val="en-US"/>
        </w:rPr>
        <w:t xml:space="preserve"> aware that his or her actions were dishonest based on those standards. William Brown is accused of falsifying the stock records hence is deemed to have acted in a dishonest manner based on ordinary standards of reasonable and honest people. </w:t>
      </w:r>
      <w:r w:rsidRPr="0027514D">
        <w:rPr>
          <w:rStyle w:val="eop"/>
          <w:lang w:val="en-US"/>
        </w:rPr>
        <w:t> </w:t>
      </w:r>
    </w:p>
    <w:p w14:paraId="6036500B" w14:textId="7879C1AA" w:rsidR="00393D7B" w:rsidRPr="0027514D" w:rsidRDefault="00393D7B" w:rsidP="0027514D">
      <w:pPr>
        <w:pStyle w:val="paragraph"/>
        <w:spacing w:line="480" w:lineRule="auto"/>
        <w:jc w:val="both"/>
        <w:textAlignment w:val="baseline"/>
        <w:rPr>
          <w:lang w:val="en-US"/>
        </w:rPr>
      </w:pPr>
      <w:r w:rsidRPr="0027514D">
        <w:rPr>
          <w:rStyle w:val="normaltextrun"/>
          <w:lang w:val="en-US"/>
        </w:rPr>
        <w:t>The second component is having the intention to permanently deprive</w:t>
      </w:r>
      <w:sdt>
        <w:sdtPr>
          <w:rPr>
            <w:rStyle w:val="normaltextrun"/>
            <w:lang w:val="en-US"/>
          </w:rPr>
          <w:id w:val="-1035113366"/>
          <w:citation/>
        </w:sdtPr>
        <w:sdtEndPr>
          <w:rPr>
            <w:rStyle w:val="normaltextrun"/>
          </w:rPr>
        </w:sdtEndPr>
        <w:sdtContent>
          <w:r w:rsidR="0027514D" w:rsidRPr="0027514D">
            <w:rPr>
              <w:rStyle w:val="normaltextrun"/>
              <w:lang w:val="en-US"/>
            </w:rPr>
            <w:fldChar w:fldCharType="begin"/>
          </w:r>
          <w:r w:rsidR="0027514D" w:rsidRPr="0027514D">
            <w:rPr>
              <w:rStyle w:val="normaltextrun"/>
              <w:lang w:val="en-US"/>
            </w:rPr>
            <w:instrText xml:space="preserve"> CITATION Ste08 \l 1033 </w:instrText>
          </w:r>
          <w:r w:rsidR="0027514D" w:rsidRPr="0027514D">
            <w:rPr>
              <w:rStyle w:val="normaltextrun"/>
              <w:lang w:val="en-US"/>
            </w:rPr>
            <w:fldChar w:fldCharType="separate"/>
          </w:r>
          <w:r w:rsidR="0027514D" w:rsidRPr="0027514D">
            <w:rPr>
              <w:rStyle w:val="normaltextrun"/>
              <w:noProof/>
              <w:lang w:val="en-US"/>
            </w:rPr>
            <w:t xml:space="preserve"> </w:t>
          </w:r>
          <w:r w:rsidR="0027514D" w:rsidRPr="0027514D">
            <w:rPr>
              <w:noProof/>
              <w:lang w:val="en-US"/>
            </w:rPr>
            <w:t>(Steel, 2008)</w:t>
          </w:r>
          <w:r w:rsidR="0027514D" w:rsidRPr="0027514D">
            <w:rPr>
              <w:rStyle w:val="normaltextrun"/>
              <w:lang w:val="en-US"/>
            </w:rPr>
            <w:fldChar w:fldCharType="end"/>
          </w:r>
        </w:sdtContent>
      </w:sdt>
      <w:r w:rsidRPr="0027514D">
        <w:rPr>
          <w:rStyle w:val="normaltextrun"/>
          <w:lang w:val="en-US"/>
        </w:rPr>
        <w:t xml:space="preserve">. According to section 6 of the Theft Act, an individual who appropriates property without the intention of depriving another person permanently will be deemed to have that intention if he or she treats the property as their own and can dispose it. Also, in the event where the individual takes the property with the intention of not depriving </w:t>
      </w:r>
      <w:r w:rsidR="007748ED" w:rsidRPr="0027514D">
        <w:rPr>
          <w:rStyle w:val="normaltextrun"/>
          <w:lang w:val="en-US"/>
        </w:rPr>
        <w:t>another person p</w:t>
      </w:r>
      <w:r w:rsidRPr="0027514D">
        <w:rPr>
          <w:rStyle w:val="normaltextrun"/>
          <w:lang w:val="en-US"/>
        </w:rPr>
        <w:t xml:space="preserve">ermanently with property then later parts with the property under a circumstance that he or she may not be able to return it is deemed to </w:t>
      </w:r>
      <w:r w:rsidR="007748ED" w:rsidRPr="0027514D">
        <w:rPr>
          <w:rStyle w:val="normaltextrun"/>
          <w:lang w:val="en-US"/>
        </w:rPr>
        <w:t xml:space="preserve">intend to </w:t>
      </w:r>
      <w:r w:rsidRPr="0027514D">
        <w:rPr>
          <w:rStyle w:val="normaltextrun"/>
          <w:lang w:val="en-US"/>
        </w:rPr>
        <w:t xml:space="preserve">permanently deprive the owner of the property. William Brown is accused of stealing cash from the takings during the beer festival that was </w:t>
      </w:r>
      <w:proofErr w:type="spellStart"/>
      <w:r w:rsidRPr="0027514D">
        <w:rPr>
          <w:rStyle w:val="normaltextrun"/>
          <w:lang w:val="en-US"/>
        </w:rPr>
        <w:t>organi</w:t>
      </w:r>
      <w:r w:rsidR="007748ED" w:rsidRPr="0027514D">
        <w:rPr>
          <w:rStyle w:val="normaltextrun"/>
          <w:lang w:val="en-US"/>
        </w:rPr>
        <w:t>se</w:t>
      </w:r>
      <w:r w:rsidRPr="0027514D">
        <w:rPr>
          <w:rStyle w:val="normaltextrun"/>
          <w:lang w:val="en-US"/>
        </w:rPr>
        <w:t>d</w:t>
      </w:r>
      <w:proofErr w:type="spellEnd"/>
      <w:r w:rsidRPr="0027514D">
        <w:rPr>
          <w:rStyle w:val="normaltextrun"/>
          <w:lang w:val="en-US"/>
        </w:rPr>
        <w:t xml:space="preserve"> by the clubs. Also, he is accused of stealing stock that comprises of ten cases of wine together with two cases of gin which was covered up by stock records that have been falsified. Theft is a triable offence and if William Brown is convicted, he can be imprisoned for 7 years.  </w:t>
      </w:r>
      <w:r w:rsidRPr="0027514D">
        <w:rPr>
          <w:rStyle w:val="eop"/>
          <w:lang w:val="en-US"/>
        </w:rPr>
        <w:t> </w:t>
      </w:r>
    </w:p>
    <w:p w14:paraId="1EA99263" w14:textId="62FD68F1" w:rsidR="00032892" w:rsidRPr="0027514D" w:rsidRDefault="00393D7B" w:rsidP="0027514D">
      <w:pPr>
        <w:pStyle w:val="paragraph"/>
        <w:spacing w:line="480" w:lineRule="auto"/>
        <w:jc w:val="both"/>
        <w:textAlignment w:val="baseline"/>
        <w:rPr>
          <w:rStyle w:val="normaltextrun"/>
          <w:color w:val="111111"/>
          <w:lang w:val="en-US"/>
        </w:rPr>
      </w:pPr>
      <w:r w:rsidRPr="0027514D">
        <w:rPr>
          <w:rStyle w:val="normaltextrun"/>
          <w:lang w:val="en-US"/>
        </w:rPr>
        <w:t xml:space="preserve">During the first hearing, the charge will be presented to William Brown, and he will be asked to indicate a plea of guilty or not guilty. In the event he enters a guilty plea, the Magistrate’s </w:t>
      </w:r>
      <w:r w:rsidRPr="0027514D">
        <w:rPr>
          <w:rStyle w:val="normaltextrun"/>
          <w:lang w:val="en-US"/>
        </w:rPr>
        <w:lastRenderedPageBreak/>
        <w:t xml:space="preserve">court will </w:t>
      </w:r>
      <w:r w:rsidR="007748ED" w:rsidRPr="0027514D">
        <w:rPr>
          <w:rStyle w:val="normaltextrun"/>
          <w:lang w:val="en-US"/>
        </w:rPr>
        <w:t xml:space="preserve">decide </w:t>
      </w:r>
      <w:r w:rsidRPr="0027514D">
        <w:rPr>
          <w:rStyle w:val="normaltextrun"/>
          <w:lang w:val="en-US"/>
        </w:rPr>
        <w:t xml:space="preserve">if it has sufficient sentencing powers of the case, or it </w:t>
      </w:r>
      <w:r w:rsidR="007748ED" w:rsidRPr="0027514D">
        <w:rPr>
          <w:rStyle w:val="normaltextrun"/>
          <w:lang w:val="en-US"/>
        </w:rPr>
        <w:t xml:space="preserve">should </w:t>
      </w:r>
      <w:r w:rsidRPr="0027514D">
        <w:rPr>
          <w:rStyle w:val="normaltextrun"/>
          <w:lang w:val="en-US"/>
        </w:rPr>
        <w:t>be transferred to the Crown Court for sentencing purposes (CPS, 2019). In the event where Willian Brown does not plead guilty or declines to indicate a plea at the Magistrate Court, the Court should decide if the case will be allocated to the Crown Court or Magistrate’s Court for trial</w:t>
      </w:r>
      <w:sdt>
        <w:sdtPr>
          <w:rPr>
            <w:rStyle w:val="normaltextrun"/>
            <w:lang w:val="en-US"/>
          </w:rPr>
          <w:id w:val="547336529"/>
          <w:citation/>
        </w:sdtPr>
        <w:sdtEndPr>
          <w:rPr>
            <w:rStyle w:val="normaltextrun"/>
          </w:rPr>
        </w:sdtEndPr>
        <w:sdtContent>
          <w:r w:rsidR="0027514D" w:rsidRPr="0027514D">
            <w:rPr>
              <w:rStyle w:val="normaltextrun"/>
              <w:lang w:val="en-US"/>
            </w:rPr>
            <w:fldChar w:fldCharType="begin"/>
          </w:r>
          <w:r w:rsidR="0027514D" w:rsidRPr="0027514D">
            <w:rPr>
              <w:rStyle w:val="normaltextrun"/>
              <w:lang w:val="en-US"/>
            </w:rPr>
            <w:instrText xml:space="preserve"> CITATION CPS19 \l 1033 </w:instrText>
          </w:r>
          <w:r w:rsidR="0027514D" w:rsidRPr="0027514D">
            <w:rPr>
              <w:rStyle w:val="normaltextrun"/>
              <w:lang w:val="en-US"/>
            </w:rPr>
            <w:fldChar w:fldCharType="separate"/>
          </w:r>
          <w:r w:rsidR="0027514D" w:rsidRPr="0027514D">
            <w:rPr>
              <w:rStyle w:val="normaltextrun"/>
              <w:noProof/>
              <w:lang w:val="en-US"/>
            </w:rPr>
            <w:t xml:space="preserve"> </w:t>
          </w:r>
          <w:r w:rsidR="0027514D" w:rsidRPr="0027514D">
            <w:rPr>
              <w:noProof/>
              <w:lang w:val="en-US"/>
            </w:rPr>
            <w:t>(CPS, 2019)</w:t>
          </w:r>
          <w:r w:rsidR="0027514D" w:rsidRPr="0027514D">
            <w:rPr>
              <w:rStyle w:val="normaltextrun"/>
              <w:lang w:val="en-US"/>
            </w:rPr>
            <w:fldChar w:fldCharType="end"/>
          </w:r>
        </w:sdtContent>
      </w:sdt>
      <w:r w:rsidRPr="0027514D">
        <w:rPr>
          <w:rStyle w:val="normaltextrun"/>
          <w:lang w:val="en-US"/>
        </w:rPr>
        <w:t xml:space="preserve">. Section 19 of the Magistrate’s Court Act 1980 stipulates the procedure that should be followed by a Magistrate’s court when </w:t>
      </w:r>
      <w:r w:rsidR="007748ED" w:rsidRPr="0027514D">
        <w:rPr>
          <w:rStyle w:val="normaltextrun"/>
          <w:lang w:val="en-US"/>
        </w:rPr>
        <w:t xml:space="preserve">deciding </w:t>
      </w:r>
      <w:r w:rsidRPr="0027514D">
        <w:rPr>
          <w:rStyle w:val="normaltextrun"/>
          <w:lang w:val="en-US"/>
        </w:rPr>
        <w:t xml:space="preserve">whether the case entails an offence which is triable, and the accused had not plead guilty should be tried on indictment of summarily. The court will be informed about and </w:t>
      </w:r>
      <w:r w:rsidR="007748ED" w:rsidRPr="0027514D">
        <w:rPr>
          <w:rStyle w:val="normaltextrun"/>
          <w:lang w:val="en-US"/>
        </w:rPr>
        <w:t xml:space="preserve">consider </w:t>
      </w:r>
      <w:r w:rsidRPr="0027514D">
        <w:rPr>
          <w:rStyle w:val="normaltextrun"/>
          <w:lang w:val="en-US"/>
        </w:rPr>
        <w:t xml:space="preserve">any previous defendant’s conviction when </w:t>
      </w:r>
      <w:r w:rsidR="007748ED" w:rsidRPr="0027514D">
        <w:rPr>
          <w:rStyle w:val="normaltextrun"/>
          <w:lang w:val="en-US"/>
        </w:rPr>
        <w:t xml:space="preserve">assessing </w:t>
      </w:r>
      <w:r w:rsidRPr="0027514D">
        <w:rPr>
          <w:rStyle w:val="normaltextrun"/>
          <w:lang w:val="en-US"/>
        </w:rPr>
        <w:t xml:space="preserve">whether it has adequate sentencing powers. The court will </w:t>
      </w:r>
      <w:r w:rsidR="007748ED" w:rsidRPr="0027514D">
        <w:rPr>
          <w:rStyle w:val="normaltextrun"/>
          <w:lang w:val="en-US"/>
        </w:rPr>
        <w:t xml:space="preserve">investigate </w:t>
      </w:r>
      <w:r w:rsidRPr="0027514D">
        <w:rPr>
          <w:rStyle w:val="normaltextrun"/>
          <w:lang w:val="en-US"/>
        </w:rPr>
        <w:t xml:space="preserve">the representations that have been made by the defence or the prosecution on whether a trial on indictment or summary trial is regarded </w:t>
      </w:r>
      <w:r w:rsidR="007748ED" w:rsidRPr="0027514D">
        <w:rPr>
          <w:rStyle w:val="normaltextrun"/>
          <w:lang w:val="en-US"/>
        </w:rPr>
        <w:t xml:space="preserve">as </w:t>
      </w:r>
      <w:r w:rsidRPr="0027514D">
        <w:rPr>
          <w:rStyle w:val="normaltextrun"/>
          <w:lang w:val="en-US"/>
        </w:rPr>
        <w:t xml:space="preserve">more suitable. The court will rely on allocation guidelines that have been issued by the Sentencing Guidelines Council as definitive guidelines as stipulated under section 122 of the Coroners and Justice Act 2009. This will aid the court in determining </w:t>
      </w:r>
      <w:r w:rsidR="00032892" w:rsidRPr="0027514D">
        <w:rPr>
          <w:rStyle w:val="normaltextrun"/>
          <w:lang w:val="en-US"/>
        </w:rPr>
        <w:t xml:space="preserve">whether </w:t>
      </w:r>
      <w:r w:rsidRPr="0027514D">
        <w:rPr>
          <w:rStyle w:val="normaltextrun"/>
          <w:lang w:val="en-US"/>
        </w:rPr>
        <w:t>the Magistrate Court has sentencing power.  In the event where the accused is charged with two or more offences, the court may decide that the case to be joined in a similar indictment</w:t>
      </w:r>
      <w:r w:rsidR="0027514D" w:rsidRPr="0027514D">
        <w:rPr>
          <w:rStyle w:val="normaltextrun"/>
          <w:lang w:val="en-US"/>
        </w:rPr>
        <w:t>.</w:t>
      </w:r>
    </w:p>
    <w:p w14:paraId="6A619204" w14:textId="13863E5A" w:rsidR="00393D7B" w:rsidRPr="0027514D" w:rsidRDefault="00032892" w:rsidP="0027514D">
      <w:pPr>
        <w:pStyle w:val="paragraph"/>
        <w:spacing w:line="480" w:lineRule="auto"/>
        <w:jc w:val="both"/>
        <w:textAlignment w:val="baseline"/>
        <w:rPr>
          <w:lang w:val="en-US"/>
        </w:rPr>
      </w:pPr>
      <w:r w:rsidRPr="0027514D">
        <w:rPr>
          <w:rStyle w:val="normaltextrun"/>
          <w:color w:val="111111"/>
          <w:lang w:val="en-US"/>
        </w:rPr>
        <w:t>S</w:t>
      </w:r>
      <w:r w:rsidR="00393D7B" w:rsidRPr="0027514D">
        <w:rPr>
          <w:rStyle w:val="normaltextrun"/>
          <w:color w:val="111111"/>
          <w:lang w:val="en-US"/>
        </w:rPr>
        <w:t>ection 20 (3) of the Magistrates’ Courts Act 1980 allows William Brown</w:t>
      </w:r>
      <w:r w:rsidRPr="0027514D">
        <w:rPr>
          <w:rStyle w:val="normaltextrun"/>
          <w:color w:val="111111"/>
          <w:lang w:val="en-US"/>
        </w:rPr>
        <w:t xml:space="preserve"> </w:t>
      </w:r>
      <w:r w:rsidR="00393D7B" w:rsidRPr="0027514D">
        <w:rPr>
          <w:rStyle w:val="normaltextrun"/>
          <w:color w:val="111111"/>
          <w:lang w:val="en-US"/>
        </w:rPr>
        <w:t xml:space="preserve">after having indicated a plea of not guilty or has not been given an indication of plea to seek the court’s indication on whether a non-custodial or custodial sentence is likely to be issued subsequent to pleading guilty in the Magistrate’s court. In the event where William Brown does not plead guilty </w:t>
      </w:r>
      <w:r w:rsidRPr="0027514D">
        <w:rPr>
          <w:rStyle w:val="normaltextrun"/>
          <w:color w:val="111111"/>
          <w:lang w:val="en-US"/>
        </w:rPr>
        <w:t>after</w:t>
      </w:r>
      <w:r w:rsidR="00393D7B" w:rsidRPr="0027514D">
        <w:rPr>
          <w:rStyle w:val="normaltextrun"/>
          <w:color w:val="111111"/>
          <w:lang w:val="en-US"/>
        </w:rPr>
        <w:t xml:space="preserve"> the indication of sentence, the indication will not be binding if the accused pleads or is convicted after being subjected to a trial process. </w:t>
      </w:r>
      <w:r w:rsidR="00393D7B" w:rsidRPr="0027514D">
        <w:rPr>
          <w:rStyle w:val="eop"/>
          <w:color w:val="111111"/>
          <w:lang w:val="en-US"/>
        </w:rPr>
        <w:t> </w:t>
      </w:r>
    </w:p>
    <w:p w14:paraId="3C2B8A2E" w14:textId="7A77BD36" w:rsidR="00393D7B" w:rsidRPr="0027514D" w:rsidRDefault="00393D7B" w:rsidP="0027514D">
      <w:pPr>
        <w:pStyle w:val="paragraph"/>
        <w:spacing w:line="480" w:lineRule="auto"/>
        <w:jc w:val="both"/>
        <w:textAlignment w:val="baseline"/>
        <w:rPr>
          <w:lang w:val="en-US"/>
        </w:rPr>
      </w:pPr>
      <w:r w:rsidRPr="0027514D">
        <w:rPr>
          <w:rStyle w:val="normaltextrun"/>
          <w:color w:val="111111"/>
          <w:lang w:val="en-US"/>
        </w:rPr>
        <w:t xml:space="preserve">There are various advantages and disadvantages of </w:t>
      </w:r>
      <w:r w:rsidR="00032892" w:rsidRPr="0027514D">
        <w:rPr>
          <w:rStyle w:val="normaltextrun"/>
          <w:color w:val="111111"/>
          <w:lang w:val="en-US"/>
        </w:rPr>
        <w:t>t</w:t>
      </w:r>
      <w:r w:rsidRPr="0027514D">
        <w:rPr>
          <w:rStyle w:val="normaltextrun"/>
          <w:color w:val="111111"/>
          <w:lang w:val="en-US"/>
        </w:rPr>
        <w:t xml:space="preserve">he case being tried in either </w:t>
      </w:r>
      <w:r w:rsidR="00032892" w:rsidRPr="0027514D">
        <w:rPr>
          <w:rStyle w:val="normaltextrun"/>
          <w:color w:val="111111"/>
          <w:lang w:val="en-US"/>
        </w:rPr>
        <w:t>M</w:t>
      </w:r>
      <w:r w:rsidRPr="0027514D">
        <w:rPr>
          <w:rStyle w:val="normaltextrun"/>
          <w:color w:val="111111"/>
          <w:lang w:val="en-US"/>
        </w:rPr>
        <w:t xml:space="preserve">agistrates </w:t>
      </w:r>
      <w:r w:rsidR="00032892" w:rsidRPr="0027514D">
        <w:rPr>
          <w:rStyle w:val="normaltextrun"/>
          <w:color w:val="111111"/>
          <w:lang w:val="en-US"/>
        </w:rPr>
        <w:t>C</w:t>
      </w:r>
      <w:r w:rsidRPr="0027514D">
        <w:rPr>
          <w:rStyle w:val="normaltextrun"/>
          <w:color w:val="111111"/>
          <w:lang w:val="en-US"/>
        </w:rPr>
        <w:t xml:space="preserve">ourt or </w:t>
      </w:r>
      <w:r w:rsidR="00032892" w:rsidRPr="0027514D">
        <w:rPr>
          <w:rStyle w:val="normaltextrun"/>
          <w:color w:val="111111"/>
          <w:lang w:val="en-US"/>
        </w:rPr>
        <w:t>C</w:t>
      </w:r>
      <w:r w:rsidRPr="0027514D">
        <w:rPr>
          <w:rStyle w:val="normaltextrun"/>
          <w:color w:val="111111"/>
          <w:lang w:val="en-US"/>
        </w:rPr>
        <w:t xml:space="preserve">rown </w:t>
      </w:r>
      <w:r w:rsidR="00032892" w:rsidRPr="0027514D">
        <w:rPr>
          <w:rStyle w:val="normaltextrun"/>
          <w:color w:val="111111"/>
          <w:lang w:val="en-US"/>
        </w:rPr>
        <w:t>C</w:t>
      </w:r>
      <w:r w:rsidRPr="0027514D">
        <w:rPr>
          <w:rStyle w:val="normaltextrun"/>
          <w:color w:val="111111"/>
          <w:lang w:val="en-US"/>
        </w:rPr>
        <w:t xml:space="preserve">ourt. An advantage of the </w:t>
      </w:r>
      <w:r w:rsidR="00032892" w:rsidRPr="0027514D">
        <w:rPr>
          <w:rStyle w:val="normaltextrun"/>
          <w:color w:val="111111"/>
          <w:lang w:val="en-US"/>
        </w:rPr>
        <w:t>C</w:t>
      </w:r>
      <w:r w:rsidRPr="0027514D">
        <w:rPr>
          <w:rStyle w:val="normaltextrun"/>
          <w:color w:val="111111"/>
          <w:lang w:val="en-US"/>
        </w:rPr>
        <w:t xml:space="preserve">rown </w:t>
      </w:r>
      <w:r w:rsidR="00032892" w:rsidRPr="0027514D">
        <w:rPr>
          <w:rStyle w:val="normaltextrun"/>
          <w:color w:val="111111"/>
          <w:lang w:val="en-US"/>
        </w:rPr>
        <w:t>C</w:t>
      </w:r>
      <w:r w:rsidRPr="0027514D">
        <w:rPr>
          <w:rStyle w:val="normaltextrun"/>
          <w:color w:val="111111"/>
          <w:lang w:val="en-US"/>
        </w:rPr>
        <w:t xml:space="preserve">ourt is that the lower acquittal rates as opposed to the </w:t>
      </w:r>
      <w:r w:rsidR="007748ED" w:rsidRPr="0027514D">
        <w:rPr>
          <w:rStyle w:val="normaltextrun"/>
          <w:color w:val="111111"/>
          <w:lang w:val="en-US"/>
        </w:rPr>
        <w:t>M</w:t>
      </w:r>
      <w:r w:rsidRPr="0027514D">
        <w:rPr>
          <w:rStyle w:val="normaltextrun"/>
          <w:color w:val="111111"/>
          <w:lang w:val="en-US"/>
        </w:rPr>
        <w:t xml:space="preserve">agistrate’s </w:t>
      </w:r>
      <w:r w:rsidR="007748ED" w:rsidRPr="0027514D">
        <w:rPr>
          <w:rStyle w:val="normaltextrun"/>
          <w:color w:val="111111"/>
          <w:lang w:val="en-US"/>
        </w:rPr>
        <w:t>C</w:t>
      </w:r>
      <w:r w:rsidRPr="0027514D">
        <w:rPr>
          <w:rStyle w:val="normaltextrun"/>
          <w:color w:val="111111"/>
          <w:lang w:val="en-US"/>
        </w:rPr>
        <w:t>ourts (</w:t>
      </w:r>
      <w:proofErr w:type="spellStart"/>
      <w:r w:rsidRPr="0027514D">
        <w:rPr>
          <w:rStyle w:val="normaltextrun"/>
          <w:color w:val="111111"/>
          <w:lang w:val="en-US"/>
        </w:rPr>
        <w:t>McPeake</w:t>
      </w:r>
      <w:proofErr w:type="spellEnd"/>
      <w:r w:rsidRPr="0027514D">
        <w:rPr>
          <w:rStyle w:val="normaltextrun"/>
          <w:color w:val="111111"/>
          <w:lang w:val="en-US"/>
        </w:rPr>
        <w:t>, 2011). The crown courts have juries that ha</w:t>
      </w:r>
      <w:r w:rsidR="007748ED" w:rsidRPr="0027514D">
        <w:rPr>
          <w:rStyle w:val="normaltextrun"/>
          <w:color w:val="111111"/>
          <w:lang w:val="en-US"/>
        </w:rPr>
        <w:t>ve</w:t>
      </w:r>
      <w:r w:rsidRPr="0027514D">
        <w:rPr>
          <w:rStyle w:val="normaltextrun"/>
          <w:color w:val="111111"/>
          <w:lang w:val="en-US"/>
        </w:rPr>
        <w:t xml:space="preserve"> </w:t>
      </w:r>
      <w:r w:rsidRPr="0027514D">
        <w:rPr>
          <w:rStyle w:val="normaltextrun"/>
          <w:color w:val="111111"/>
          <w:lang w:val="en-US"/>
        </w:rPr>
        <w:lastRenderedPageBreak/>
        <w:t>extensive deliberation about the facts of a case prior to a court decision being make. A combination of decision-making of both the jury and judges leads to the lower conviction rates. On the other hand, in the magistrates’ court, the presiding judge has the sole mandate of issuing judgements that this may be detrimental to the defendant.</w:t>
      </w:r>
      <w:r w:rsidRPr="0027514D">
        <w:rPr>
          <w:rStyle w:val="normaltextrun"/>
          <w:color w:val="222222"/>
          <w:lang w:val="en-US"/>
        </w:rPr>
        <w:t xml:space="preserve"> </w:t>
      </w:r>
      <w:r w:rsidRPr="0027514D">
        <w:rPr>
          <w:rStyle w:val="eop"/>
          <w:color w:val="222222"/>
          <w:lang w:val="en-US"/>
        </w:rPr>
        <w:t> </w:t>
      </w:r>
    </w:p>
    <w:p w14:paraId="6D60E1AC" w14:textId="154B55D0" w:rsidR="00393D7B" w:rsidRPr="0027514D" w:rsidRDefault="00393D7B" w:rsidP="0027514D">
      <w:pPr>
        <w:pStyle w:val="paragraph"/>
        <w:spacing w:line="480" w:lineRule="auto"/>
        <w:jc w:val="both"/>
        <w:textAlignment w:val="baseline"/>
        <w:rPr>
          <w:lang w:val="en-US"/>
        </w:rPr>
      </w:pPr>
      <w:r w:rsidRPr="0027514D">
        <w:rPr>
          <w:rStyle w:val="normaltextrun"/>
          <w:color w:val="111111"/>
          <w:lang w:val="en-US"/>
        </w:rPr>
        <w:t>Also, in instances where the crown courts acquit William Brown of the offence and the Crown Prosecution Services (CPS) makes an appeal at the Appellate Court and wins on the question of law, the acquittal of William Brown will remain (</w:t>
      </w:r>
      <w:proofErr w:type="spellStart"/>
      <w:r w:rsidRPr="0027514D">
        <w:rPr>
          <w:rStyle w:val="normaltextrun"/>
          <w:color w:val="111111"/>
          <w:lang w:val="en-US"/>
        </w:rPr>
        <w:t>McPeake</w:t>
      </w:r>
      <w:proofErr w:type="spellEnd"/>
      <w:r w:rsidRPr="0027514D">
        <w:rPr>
          <w:rStyle w:val="normaltextrun"/>
          <w:color w:val="111111"/>
          <w:lang w:val="en-US"/>
        </w:rPr>
        <w:t xml:space="preserve">, 2011). When the crown court gives a ruling that the facts of the case </w:t>
      </w:r>
      <w:r w:rsidR="007748ED" w:rsidRPr="0027514D">
        <w:rPr>
          <w:rStyle w:val="normaltextrun"/>
          <w:color w:val="111111"/>
          <w:lang w:val="en-US"/>
        </w:rPr>
        <w:t xml:space="preserve">are </w:t>
      </w:r>
      <w:r w:rsidRPr="0027514D">
        <w:rPr>
          <w:rStyle w:val="normaltextrun"/>
          <w:color w:val="111111"/>
          <w:lang w:val="en-US"/>
        </w:rPr>
        <w:t>correct and there is no dispute, no appeal can overturn William Brown’s acquittal. However, a magistrate court’s decision that is appealed at the high court by the CPS can be overturned hence there is a likelihood that William Brown will be sentenced.</w:t>
      </w:r>
      <w:r w:rsidRPr="0027514D">
        <w:rPr>
          <w:rStyle w:val="eop"/>
          <w:color w:val="111111"/>
          <w:lang w:val="en-US"/>
        </w:rPr>
        <w:t> </w:t>
      </w:r>
    </w:p>
    <w:p w14:paraId="38BE70F5" w14:textId="5DFB0136" w:rsidR="00393D7B" w:rsidRPr="0027514D" w:rsidRDefault="00393D7B" w:rsidP="0027514D">
      <w:pPr>
        <w:pStyle w:val="paragraph"/>
        <w:spacing w:line="480" w:lineRule="auto"/>
        <w:jc w:val="both"/>
        <w:textAlignment w:val="baseline"/>
        <w:rPr>
          <w:lang w:val="en-US"/>
        </w:rPr>
      </w:pPr>
      <w:r w:rsidRPr="0027514D">
        <w:rPr>
          <w:rStyle w:val="normaltextrun"/>
          <w:color w:val="111111"/>
          <w:lang w:val="en-US"/>
        </w:rPr>
        <w:t>A judge with legal qualifications and training presides the Crown courts hence he or she has</w:t>
      </w:r>
      <w:r w:rsidR="007748ED" w:rsidRPr="0027514D">
        <w:rPr>
          <w:rStyle w:val="normaltextrun"/>
          <w:color w:val="111111"/>
          <w:lang w:val="en-US"/>
        </w:rPr>
        <w:t xml:space="preserve"> a</w:t>
      </w:r>
      <w:r w:rsidRPr="0027514D">
        <w:rPr>
          <w:rStyle w:val="normaltextrun"/>
          <w:color w:val="111111"/>
          <w:lang w:val="en-US"/>
        </w:rPr>
        <w:t xml:space="preserve"> better understanding of the law and therefore make</w:t>
      </w:r>
      <w:r w:rsidR="007748ED" w:rsidRPr="0027514D">
        <w:rPr>
          <w:rStyle w:val="normaltextrun"/>
          <w:color w:val="111111"/>
          <w:lang w:val="en-US"/>
        </w:rPr>
        <w:t>s</w:t>
      </w:r>
      <w:r w:rsidRPr="0027514D">
        <w:rPr>
          <w:rStyle w:val="normaltextrun"/>
          <w:color w:val="111111"/>
          <w:lang w:val="en-US"/>
        </w:rPr>
        <w:t xml:space="preserve"> decisions that are more informed than the magistrate (</w:t>
      </w:r>
      <w:proofErr w:type="spellStart"/>
      <w:r w:rsidRPr="0027514D">
        <w:rPr>
          <w:rStyle w:val="normaltextrun"/>
          <w:color w:val="111111"/>
          <w:lang w:val="en-US"/>
        </w:rPr>
        <w:t>McPeake</w:t>
      </w:r>
      <w:proofErr w:type="spellEnd"/>
      <w:r w:rsidRPr="0027514D">
        <w:rPr>
          <w:rStyle w:val="normaltextrun"/>
          <w:color w:val="111111"/>
          <w:lang w:val="en-US"/>
        </w:rPr>
        <w:t xml:space="preserve">, 2011). In most instances, magistrates do not have legal qualification that enable them to preside over cases in courts effectively. They </w:t>
      </w:r>
      <w:proofErr w:type="gramStart"/>
      <w:r w:rsidRPr="0027514D">
        <w:rPr>
          <w:rStyle w:val="normaltextrun"/>
          <w:color w:val="111111"/>
          <w:lang w:val="en-US"/>
        </w:rPr>
        <w:t>are able to</w:t>
      </w:r>
      <w:proofErr w:type="gramEnd"/>
      <w:r w:rsidRPr="0027514D">
        <w:rPr>
          <w:rStyle w:val="normaltextrun"/>
          <w:color w:val="111111"/>
          <w:lang w:val="en-US"/>
        </w:rPr>
        <w:t xml:space="preserve"> get the court clerk’s legal advice concerning legal issues hence they are able to make informed decisions. </w:t>
      </w:r>
      <w:r w:rsidRPr="0027514D">
        <w:rPr>
          <w:rStyle w:val="eop"/>
          <w:color w:val="111111"/>
          <w:lang w:val="en-US"/>
        </w:rPr>
        <w:t> </w:t>
      </w:r>
    </w:p>
    <w:p w14:paraId="7D002903" w14:textId="19D54F0F" w:rsidR="00393D7B" w:rsidRPr="0027514D" w:rsidRDefault="00393D7B" w:rsidP="0027514D">
      <w:pPr>
        <w:pStyle w:val="paragraph"/>
        <w:spacing w:line="480" w:lineRule="auto"/>
        <w:jc w:val="both"/>
        <w:textAlignment w:val="baseline"/>
        <w:rPr>
          <w:lang w:val="en-US"/>
        </w:rPr>
      </w:pPr>
      <w:r w:rsidRPr="0027514D">
        <w:rPr>
          <w:rStyle w:val="normaltextrun"/>
          <w:color w:val="111111"/>
          <w:lang w:val="en-US"/>
        </w:rPr>
        <w:t xml:space="preserve">A disadvantage of the crown court is that it may be time consuming, </w:t>
      </w:r>
      <w:r w:rsidR="007748ED" w:rsidRPr="0027514D">
        <w:rPr>
          <w:rStyle w:val="normaltextrun"/>
          <w:color w:val="111111"/>
          <w:lang w:val="en-US"/>
        </w:rPr>
        <w:t xml:space="preserve">many </w:t>
      </w:r>
      <w:r w:rsidRPr="0027514D">
        <w:rPr>
          <w:rStyle w:val="normaltextrun"/>
          <w:color w:val="111111"/>
          <w:lang w:val="en-US"/>
        </w:rPr>
        <w:t>delays may be encountered (</w:t>
      </w:r>
      <w:proofErr w:type="spellStart"/>
      <w:r w:rsidRPr="0027514D">
        <w:rPr>
          <w:rStyle w:val="normaltextrun"/>
          <w:color w:val="111111"/>
          <w:lang w:val="en-US"/>
        </w:rPr>
        <w:t>McPeake</w:t>
      </w:r>
      <w:proofErr w:type="spellEnd"/>
      <w:r w:rsidRPr="0027514D">
        <w:rPr>
          <w:rStyle w:val="normaltextrun"/>
          <w:color w:val="111111"/>
          <w:lang w:val="en-US"/>
        </w:rPr>
        <w:t xml:space="preserve">, 2011). Due to the seriousness and complexity of cases by the crown court, the court proceedings are likely to be lengthy. This may interfere with the witnesses’ firsthand accounts. Accused persons have a right to their cases being expedited hence delays in the process can undermine this </w:t>
      </w:r>
      <w:r w:rsidR="00E01EF4" w:rsidRPr="0027514D">
        <w:rPr>
          <w:rStyle w:val="normaltextrun"/>
          <w:color w:val="111111"/>
          <w:lang w:val="en-US"/>
        </w:rPr>
        <w:t>realization</w:t>
      </w:r>
      <w:r w:rsidRPr="0027514D">
        <w:rPr>
          <w:rStyle w:val="normaltextrun"/>
          <w:color w:val="111111"/>
          <w:lang w:val="en-US"/>
        </w:rPr>
        <w:t>.</w:t>
      </w:r>
      <w:r w:rsidRPr="0027514D">
        <w:rPr>
          <w:rStyle w:val="eop"/>
          <w:color w:val="111111"/>
          <w:lang w:val="en-US"/>
        </w:rPr>
        <w:t> </w:t>
      </w:r>
    </w:p>
    <w:p w14:paraId="0A325945" w14:textId="3F6E1F1C" w:rsidR="00393D7B" w:rsidRPr="0027514D" w:rsidRDefault="00393D7B" w:rsidP="0027514D">
      <w:pPr>
        <w:pStyle w:val="paragraph"/>
        <w:spacing w:line="480" w:lineRule="auto"/>
        <w:jc w:val="both"/>
        <w:textAlignment w:val="baseline"/>
        <w:rPr>
          <w:lang w:val="en-US"/>
        </w:rPr>
      </w:pPr>
      <w:r w:rsidRPr="0027514D">
        <w:rPr>
          <w:rStyle w:val="normaltextrun"/>
          <w:color w:val="111111"/>
          <w:lang w:val="en-US"/>
        </w:rPr>
        <w:t>The crown court has the powers to issue maximum fines and sentences (</w:t>
      </w:r>
      <w:proofErr w:type="spellStart"/>
      <w:r w:rsidRPr="0027514D">
        <w:rPr>
          <w:rStyle w:val="normaltextrun"/>
          <w:color w:val="111111"/>
          <w:lang w:val="en-US"/>
        </w:rPr>
        <w:t>McPeake</w:t>
      </w:r>
      <w:proofErr w:type="spellEnd"/>
      <w:r w:rsidRPr="0027514D">
        <w:rPr>
          <w:rStyle w:val="normaltextrun"/>
          <w:color w:val="111111"/>
          <w:lang w:val="en-US"/>
        </w:rPr>
        <w:t xml:space="preserve">, 2011). The magistrate court is likely to impose a custody of six to twelve months while the crown court </w:t>
      </w:r>
      <w:r w:rsidRPr="0027514D">
        <w:rPr>
          <w:rStyle w:val="normaltextrun"/>
          <w:color w:val="111111"/>
          <w:lang w:val="en-US"/>
        </w:rPr>
        <w:lastRenderedPageBreak/>
        <w:t>can impose a sentence of years. This may be detrimental to William Brown if he chooses to have his case heard in the crown court and not the magistrate court. There is a likelihood of a greater punishment when a criminal case is handled in a crown court.</w:t>
      </w:r>
      <w:r w:rsidRPr="0027514D">
        <w:rPr>
          <w:rStyle w:val="eop"/>
          <w:color w:val="111111"/>
          <w:lang w:val="en-US"/>
        </w:rPr>
        <w:t> </w:t>
      </w:r>
    </w:p>
    <w:p w14:paraId="4897653D" w14:textId="5552FCB8" w:rsidR="00393D7B" w:rsidRPr="0027514D" w:rsidRDefault="00393D7B" w:rsidP="0027514D">
      <w:pPr>
        <w:pStyle w:val="paragraph"/>
        <w:spacing w:line="480" w:lineRule="auto"/>
        <w:jc w:val="both"/>
        <w:textAlignment w:val="baseline"/>
        <w:rPr>
          <w:lang w:val="en-US"/>
        </w:rPr>
      </w:pPr>
      <w:r w:rsidRPr="0027514D">
        <w:rPr>
          <w:rStyle w:val="normaltextrun"/>
          <w:color w:val="111111"/>
          <w:lang w:val="en-US"/>
        </w:rPr>
        <w:t>On matters pertaining to legal aid, William Brown is eligible for legal aid in the event where he is not able to afford legal fees (</w:t>
      </w:r>
      <w:proofErr w:type="spellStart"/>
      <w:r w:rsidRPr="0027514D">
        <w:rPr>
          <w:rStyle w:val="normaltextrun"/>
          <w:color w:val="111111"/>
          <w:lang w:val="en-US"/>
        </w:rPr>
        <w:t>McPeake</w:t>
      </w:r>
      <w:proofErr w:type="spellEnd"/>
      <w:r w:rsidRPr="0027514D">
        <w:rPr>
          <w:rStyle w:val="normaltextrun"/>
          <w:color w:val="111111"/>
          <w:lang w:val="en-US"/>
        </w:rPr>
        <w:t xml:space="preserve">, 2011). Nonetheless, the crown court has the authority to place Recovery of Defence Costs Order (RDCO) on the accused if William Brown is convicted. Therefore, he will be obliged to pay both the defence and prosecution fees </w:t>
      </w:r>
      <w:r w:rsidR="007748ED" w:rsidRPr="0027514D">
        <w:rPr>
          <w:rStyle w:val="normaltextrun"/>
          <w:color w:val="111111"/>
          <w:lang w:val="en-US"/>
        </w:rPr>
        <w:t>w</w:t>
      </w:r>
      <w:r w:rsidRPr="0027514D">
        <w:rPr>
          <w:rStyle w:val="normaltextrun"/>
          <w:color w:val="111111"/>
          <w:lang w:val="en-US"/>
        </w:rPr>
        <w:t xml:space="preserve">here the judge perceives it to be suitable. On other hand when the magistrate’s court does not order accused people to cater for the costs of the legal aid </w:t>
      </w:r>
      <w:r w:rsidR="007748ED" w:rsidRPr="0027514D">
        <w:rPr>
          <w:rStyle w:val="normaltextrun"/>
          <w:color w:val="111111"/>
          <w:lang w:val="en-US"/>
        </w:rPr>
        <w:t>granted to</w:t>
      </w:r>
      <w:r w:rsidRPr="0027514D">
        <w:rPr>
          <w:rStyle w:val="normaltextrun"/>
          <w:color w:val="111111"/>
          <w:lang w:val="en-US"/>
        </w:rPr>
        <w:t xml:space="preserve"> them.</w:t>
      </w:r>
      <w:r w:rsidRPr="0027514D">
        <w:rPr>
          <w:rStyle w:val="eop"/>
          <w:color w:val="111111"/>
          <w:lang w:val="en-US"/>
        </w:rPr>
        <w:t> </w:t>
      </w:r>
    </w:p>
    <w:p w14:paraId="73139F56" w14:textId="37DA6455" w:rsidR="00393D7B" w:rsidRPr="0027514D" w:rsidRDefault="00393D7B" w:rsidP="0027514D">
      <w:pPr>
        <w:pStyle w:val="paragraph"/>
        <w:spacing w:line="480" w:lineRule="auto"/>
        <w:jc w:val="both"/>
        <w:textAlignment w:val="baseline"/>
        <w:rPr>
          <w:rStyle w:val="eop"/>
          <w:color w:val="111111"/>
          <w:lang w:val="en-US"/>
        </w:rPr>
      </w:pPr>
      <w:proofErr w:type="gramStart"/>
      <w:r w:rsidRPr="0027514D">
        <w:rPr>
          <w:rStyle w:val="normaltextrun"/>
          <w:color w:val="111111"/>
          <w:lang w:val="en-US"/>
        </w:rPr>
        <w:t xml:space="preserve">In the event </w:t>
      </w:r>
      <w:r w:rsidR="007748ED" w:rsidRPr="0027514D">
        <w:rPr>
          <w:rStyle w:val="normaltextrun"/>
          <w:color w:val="111111"/>
          <w:lang w:val="en-US"/>
        </w:rPr>
        <w:t>that</w:t>
      </w:r>
      <w:proofErr w:type="gramEnd"/>
      <w:r w:rsidR="007748ED" w:rsidRPr="0027514D">
        <w:rPr>
          <w:rStyle w:val="normaltextrun"/>
          <w:color w:val="111111"/>
          <w:lang w:val="en-US"/>
        </w:rPr>
        <w:t xml:space="preserve"> </w:t>
      </w:r>
      <w:r w:rsidRPr="0027514D">
        <w:rPr>
          <w:rStyle w:val="normaltextrun"/>
          <w:color w:val="111111"/>
          <w:lang w:val="en-US"/>
        </w:rPr>
        <w:t>William Brown is found guilty of theft, character evidence can be introduced to mitigate the plea. The character evidence will entail an account of his good character. He served as a Territorial Army member and his total net income is 12,000 po</w:t>
      </w:r>
      <w:r w:rsidR="00690A87" w:rsidRPr="0027514D">
        <w:rPr>
          <w:rStyle w:val="normaltextrun"/>
          <w:color w:val="111111"/>
          <w:lang w:val="en-US"/>
        </w:rPr>
        <w:t>u</w:t>
      </w:r>
      <w:r w:rsidRPr="0027514D">
        <w:rPr>
          <w:rStyle w:val="normaltextrun"/>
          <w:color w:val="111111"/>
          <w:lang w:val="en-US"/>
        </w:rPr>
        <w:t>nds per annum. In addition, he inherited a sum of 150,000 pounds from his deceased grandmother. These illustrations will suffice in demonstrating that he has been of good character.</w:t>
      </w:r>
      <w:r w:rsidRPr="0027514D">
        <w:rPr>
          <w:rStyle w:val="eop"/>
          <w:color w:val="111111"/>
          <w:lang w:val="en-US"/>
        </w:rPr>
        <w:t> </w:t>
      </w:r>
    </w:p>
    <w:p w14:paraId="048188D7" w14:textId="786B456B" w:rsidR="00D613DB" w:rsidRPr="0027514D" w:rsidRDefault="00D613DB" w:rsidP="0027514D">
      <w:pPr>
        <w:pStyle w:val="paragraph"/>
        <w:spacing w:line="480" w:lineRule="auto"/>
        <w:jc w:val="both"/>
        <w:textAlignment w:val="baseline"/>
        <w:rPr>
          <w:rStyle w:val="eop"/>
          <w:color w:val="111111"/>
          <w:lang w:val="en-US"/>
        </w:rPr>
      </w:pPr>
    </w:p>
    <w:p w14:paraId="4653053E" w14:textId="79FD0099" w:rsidR="00D613DB" w:rsidRPr="0027514D" w:rsidRDefault="00D613DB" w:rsidP="0027514D">
      <w:pPr>
        <w:pStyle w:val="paragraph"/>
        <w:spacing w:line="480" w:lineRule="auto"/>
        <w:jc w:val="both"/>
        <w:textAlignment w:val="baseline"/>
        <w:rPr>
          <w:rStyle w:val="eop"/>
          <w:color w:val="111111"/>
          <w:lang w:val="en-US"/>
        </w:rPr>
      </w:pPr>
    </w:p>
    <w:p w14:paraId="7A0CEF0E" w14:textId="5D3BE77E" w:rsidR="00D613DB" w:rsidRPr="0027514D" w:rsidRDefault="00D613DB" w:rsidP="0027514D">
      <w:pPr>
        <w:pStyle w:val="paragraph"/>
        <w:spacing w:line="480" w:lineRule="auto"/>
        <w:jc w:val="both"/>
        <w:textAlignment w:val="baseline"/>
        <w:rPr>
          <w:rStyle w:val="eop"/>
          <w:color w:val="111111"/>
          <w:lang w:val="en-US"/>
        </w:rPr>
      </w:pPr>
    </w:p>
    <w:p w14:paraId="5E2CACE8" w14:textId="42DAD8D2" w:rsidR="00D613DB" w:rsidRDefault="00D613DB" w:rsidP="0027514D">
      <w:pPr>
        <w:pStyle w:val="paragraph"/>
        <w:spacing w:line="480" w:lineRule="auto"/>
        <w:jc w:val="both"/>
        <w:textAlignment w:val="baseline"/>
        <w:rPr>
          <w:lang w:val="en-US"/>
        </w:rPr>
      </w:pPr>
    </w:p>
    <w:p w14:paraId="60BCD225" w14:textId="46D6B7D2" w:rsidR="0027514D" w:rsidRDefault="0027514D" w:rsidP="0027514D">
      <w:pPr>
        <w:pStyle w:val="paragraph"/>
        <w:spacing w:line="480" w:lineRule="auto"/>
        <w:jc w:val="both"/>
        <w:textAlignment w:val="baseline"/>
        <w:rPr>
          <w:lang w:val="en-US"/>
        </w:rPr>
      </w:pPr>
    </w:p>
    <w:p w14:paraId="3656E016" w14:textId="3DDF7BF1" w:rsidR="0027514D" w:rsidRDefault="0027514D" w:rsidP="0027514D">
      <w:pPr>
        <w:pStyle w:val="paragraph"/>
        <w:spacing w:line="480" w:lineRule="auto"/>
        <w:jc w:val="both"/>
        <w:textAlignment w:val="baseline"/>
        <w:rPr>
          <w:lang w:val="en-US"/>
        </w:rPr>
      </w:pPr>
    </w:p>
    <w:p w14:paraId="41A29F1F" w14:textId="77777777" w:rsidR="0027514D" w:rsidRPr="0027514D" w:rsidRDefault="0027514D" w:rsidP="0027514D">
      <w:pPr>
        <w:pStyle w:val="paragraph"/>
        <w:spacing w:line="480" w:lineRule="auto"/>
        <w:jc w:val="both"/>
        <w:textAlignment w:val="baseline"/>
        <w:rPr>
          <w:lang w:val="en-US"/>
        </w:rPr>
      </w:pPr>
    </w:p>
    <w:p w14:paraId="52D49FB3" w14:textId="00BB0ABE" w:rsidR="00393D7B" w:rsidRPr="0027514D" w:rsidRDefault="00D613DB" w:rsidP="0027514D">
      <w:pPr>
        <w:spacing w:line="480" w:lineRule="auto"/>
        <w:jc w:val="center"/>
        <w:rPr>
          <w:rStyle w:val="eop"/>
          <w:rFonts w:ascii="Times New Roman" w:hAnsi="Times New Roman" w:cs="Times New Roman"/>
          <w:b/>
          <w:bCs/>
          <w:sz w:val="24"/>
          <w:szCs w:val="24"/>
          <w:lang w:val="en-US"/>
        </w:rPr>
      </w:pPr>
      <w:r w:rsidRPr="0027514D">
        <w:rPr>
          <w:rStyle w:val="normaltextrun"/>
          <w:rFonts w:ascii="Times New Roman" w:hAnsi="Times New Roman" w:cs="Times New Roman"/>
          <w:b/>
          <w:bCs/>
          <w:sz w:val="24"/>
          <w:szCs w:val="24"/>
          <w:lang w:val="en-US"/>
        </w:rPr>
        <w:lastRenderedPageBreak/>
        <w:t>REFERENCES</w:t>
      </w:r>
    </w:p>
    <w:p w14:paraId="2204A736" w14:textId="6A7C0E97" w:rsidR="00393D7B" w:rsidRPr="0027514D" w:rsidRDefault="00393D7B" w:rsidP="0027514D">
      <w:pPr>
        <w:spacing w:line="480" w:lineRule="auto"/>
        <w:rPr>
          <w:rStyle w:val="eop"/>
          <w:rFonts w:ascii="Times New Roman" w:hAnsi="Times New Roman" w:cs="Times New Roman"/>
          <w:b/>
          <w:bCs/>
          <w:color w:val="000000" w:themeColor="text1"/>
          <w:sz w:val="24"/>
          <w:szCs w:val="24"/>
          <w:lang w:val="en-US"/>
        </w:rPr>
      </w:pPr>
      <w:r w:rsidRPr="0027514D">
        <w:rPr>
          <w:rStyle w:val="eop"/>
          <w:rFonts w:ascii="Times New Roman" w:hAnsi="Times New Roman" w:cs="Times New Roman"/>
          <w:b/>
          <w:bCs/>
          <w:color w:val="000000" w:themeColor="text1"/>
          <w:sz w:val="24"/>
          <w:szCs w:val="24"/>
          <w:lang w:val="en-US"/>
        </w:rPr>
        <w:t>Legislation</w:t>
      </w:r>
    </w:p>
    <w:p w14:paraId="3448B1F7" w14:textId="63E014EA" w:rsidR="00393D7B" w:rsidRPr="0027514D" w:rsidRDefault="00393D7B" w:rsidP="0027514D">
      <w:pPr>
        <w:spacing w:line="480" w:lineRule="auto"/>
        <w:rPr>
          <w:rStyle w:val="eop"/>
          <w:rFonts w:ascii="Times New Roman" w:hAnsi="Times New Roman" w:cs="Times New Roman"/>
          <w:color w:val="000000" w:themeColor="text1"/>
          <w:sz w:val="24"/>
          <w:szCs w:val="24"/>
          <w:lang w:val="en-US"/>
        </w:rPr>
      </w:pPr>
      <w:r w:rsidRPr="0027514D">
        <w:rPr>
          <w:rStyle w:val="normaltextrun"/>
          <w:rFonts w:ascii="Times New Roman" w:hAnsi="Times New Roman" w:cs="Times New Roman"/>
          <w:sz w:val="24"/>
          <w:szCs w:val="24"/>
          <w:lang w:val="en-US"/>
        </w:rPr>
        <w:t>Coroners and Justice Act 2009</w:t>
      </w:r>
    </w:p>
    <w:p w14:paraId="0E26C76F" w14:textId="3E4D6D86" w:rsidR="00393D7B" w:rsidRPr="0027514D" w:rsidRDefault="00393D7B" w:rsidP="0027514D">
      <w:pPr>
        <w:spacing w:line="480" w:lineRule="auto"/>
        <w:rPr>
          <w:rStyle w:val="eop"/>
          <w:rFonts w:ascii="Times New Roman" w:hAnsi="Times New Roman" w:cs="Times New Roman"/>
          <w:color w:val="000000" w:themeColor="text1"/>
          <w:sz w:val="24"/>
          <w:szCs w:val="24"/>
          <w:lang w:val="en-US"/>
        </w:rPr>
      </w:pPr>
      <w:r w:rsidRPr="0027514D">
        <w:rPr>
          <w:rStyle w:val="eop"/>
          <w:rFonts w:ascii="Times New Roman" w:hAnsi="Times New Roman" w:cs="Times New Roman"/>
          <w:color w:val="000000" w:themeColor="text1"/>
          <w:sz w:val="24"/>
          <w:szCs w:val="24"/>
          <w:lang w:val="en-US"/>
        </w:rPr>
        <w:t>Theft Act 1968</w:t>
      </w:r>
    </w:p>
    <w:p w14:paraId="3B6F7277" w14:textId="3D870F54" w:rsidR="00393D7B" w:rsidRPr="0027514D" w:rsidRDefault="00393D7B" w:rsidP="0027514D">
      <w:pPr>
        <w:spacing w:line="480" w:lineRule="auto"/>
        <w:rPr>
          <w:rStyle w:val="eop"/>
          <w:rFonts w:ascii="Times New Roman" w:hAnsi="Times New Roman" w:cs="Times New Roman"/>
          <w:color w:val="000000" w:themeColor="text1"/>
          <w:sz w:val="24"/>
          <w:szCs w:val="24"/>
          <w:lang w:val="en-US"/>
        </w:rPr>
      </w:pPr>
      <w:r w:rsidRPr="0027514D">
        <w:rPr>
          <w:rStyle w:val="normaltextrun"/>
          <w:rFonts w:ascii="Times New Roman" w:hAnsi="Times New Roman" w:cs="Times New Roman"/>
          <w:sz w:val="24"/>
          <w:szCs w:val="24"/>
          <w:lang w:val="en-US"/>
        </w:rPr>
        <w:t>Magistrate’s Court Act</w:t>
      </w:r>
    </w:p>
    <w:p w14:paraId="357FE389" w14:textId="4D71CE50" w:rsidR="00393D7B" w:rsidRPr="0027514D" w:rsidRDefault="00393D7B" w:rsidP="0027514D">
      <w:pPr>
        <w:spacing w:line="480" w:lineRule="auto"/>
        <w:rPr>
          <w:rStyle w:val="eop"/>
          <w:rFonts w:ascii="Times New Roman" w:hAnsi="Times New Roman" w:cs="Times New Roman"/>
          <w:b/>
          <w:bCs/>
          <w:color w:val="000000" w:themeColor="text1"/>
          <w:sz w:val="24"/>
          <w:szCs w:val="24"/>
          <w:lang w:val="en-US"/>
        </w:rPr>
      </w:pPr>
      <w:r w:rsidRPr="0027514D">
        <w:rPr>
          <w:rStyle w:val="eop"/>
          <w:rFonts w:ascii="Times New Roman" w:hAnsi="Times New Roman" w:cs="Times New Roman"/>
          <w:b/>
          <w:bCs/>
          <w:color w:val="000000" w:themeColor="text1"/>
          <w:sz w:val="24"/>
          <w:szCs w:val="24"/>
          <w:lang w:val="en-US"/>
        </w:rPr>
        <w:t>Cases</w:t>
      </w:r>
    </w:p>
    <w:p w14:paraId="094B062B" w14:textId="1E3843D0" w:rsidR="00393D7B" w:rsidRPr="0027514D" w:rsidRDefault="00393D7B" w:rsidP="0027514D">
      <w:pPr>
        <w:pStyle w:val="paragraph"/>
        <w:spacing w:line="480" w:lineRule="auto"/>
        <w:textAlignment w:val="baseline"/>
        <w:rPr>
          <w:rStyle w:val="normaltextrun"/>
          <w:lang w:val="en-US"/>
        </w:rPr>
      </w:pPr>
      <w:r w:rsidRPr="0027514D">
        <w:rPr>
          <w:rStyle w:val="normaltextrun"/>
          <w:lang w:val="en-US"/>
        </w:rPr>
        <w:t>R v Ghosh (1982) EWCA Crim 2</w:t>
      </w:r>
    </w:p>
    <w:p w14:paraId="22A1E028" w14:textId="7F26A9BF" w:rsidR="00393D7B" w:rsidRPr="0027514D" w:rsidRDefault="00393D7B" w:rsidP="0027514D">
      <w:pPr>
        <w:pStyle w:val="paragraph"/>
        <w:spacing w:line="480" w:lineRule="auto"/>
        <w:textAlignment w:val="baseline"/>
        <w:rPr>
          <w:rStyle w:val="eop"/>
          <w:color w:val="2F5496"/>
          <w:lang w:val="en-US"/>
        </w:rPr>
      </w:pPr>
      <w:r w:rsidRPr="0027514D">
        <w:rPr>
          <w:rStyle w:val="normaltextrun"/>
          <w:lang w:val="en-US"/>
        </w:rPr>
        <w:t>R v Turner (1971) 1 WLR 901</w:t>
      </w:r>
    </w:p>
    <w:p w14:paraId="2059BF70" w14:textId="06AC3781" w:rsidR="00393D7B" w:rsidRPr="0027514D" w:rsidRDefault="00393D7B" w:rsidP="0027514D">
      <w:pPr>
        <w:pStyle w:val="paragraph"/>
        <w:spacing w:line="480" w:lineRule="auto"/>
        <w:textAlignment w:val="baseline"/>
        <w:rPr>
          <w:rStyle w:val="normaltextrun"/>
          <w:lang w:val="en-US"/>
        </w:rPr>
      </w:pPr>
      <w:r w:rsidRPr="0027514D">
        <w:rPr>
          <w:rStyle w:val="normaltextrun"/>
          <w:lang w:val="en-US"/>
        </w:rPr>
        <w:t>Waverley Borough Council v Fletcher [1995] 4 All ER 756</w:t>
      </w:r>
    </w:p>
    <w:sdt>
      <w:sdtPr>
        <w:rPr>
          <w:rFonts w:ascii="Times New Roman" w:eastAsiaTheme="minorHAnsi" w:hAnsi="Times New Roman" w:cs="Times New Roman"/>
          <w:color w:val="auto"/>
          <w:sz w:val="24"/>
          <w:szCs w:val="24"/>
          <w:lang w:val="en-GB"/>
        </w:rPr>
        <w:id w:val="155113302"/>
        <w:docPartObj>
          <w:docPartGallery w:val="Bibliographies"/>
          <w:docPartUnique/>
        </w:docPartObj>
      </w:sdtPr>
      <w:sdtEndPr/>
      <w:sdtContent>
        <w:p w14:paraId="718C14F9" w14:textId="2FD11F01" w:rsidR="0027514D" w:rsidRPr="0027514D" w:rsidRDefault="0027514D" w:rsidP="0027514D">
          <w:pPr>
            <w:pStyle w:val="Heading1"/>
            <w:spacing w:line="480" w:lineRule="auto"/>
            <w:rPr>
              <w:rFonts w:ascii="Times New Roman" w:hAnsi="Times New Roman" w:cs="Times New Roman"/>
              <w:sz w:val="24"/>
              <w:szCs w:val="24"/>
            </w:rPr>
          </w:pPr>
          <w:r w:rsidRPr="0027514D">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sdtContent>
            <w:p w14:paraId="519BF95D" w14:textId="77777777" w:rsidR="0027514D" w:rsidRPr="0027514D" w:rsidRDefault="0027514D" w:rsidP="0027514D">
              <w:pPr>
                <w:pStyle w:val="Bibliography"/>
                <w:spacing w:line="480" w:lineRule="auto"/>
                <w:jc w:val="both"/>
                <w:rPr>
                  <w:rFonts w:ascii="Times New Roman" w:hAnsi="Times New Roman" w:cs="Times New Roman"/>
                  <w:noProof/>
                  <w:sz w:val="24"/>
                  <w:szCs w:val="24"/>
                  <w:lang w:val="en-US"/>
                </w:rPr>
              </w:pPr>
              <w:r w:rsidRPr="0027514D">
                <w:rPr>
                  <w:rFonts w:ascii="Times New Roman" w:hAnsi="Times New Roman" w:cs="Times New Roman"/>
                  <w:sz w:val="24"/>
                  <w:szCs w:val="24"/>
                </w:rPr>
                <w:fldChar w:fldCharType="begin"/>
              </w:r>
              <w:r w:rsidRPr="0027514D">
                <w:rPr>
                  <w:rFonts w:ascii="Times New Roman" w:hAnsi="Times New Roman" w:cs="Times New Roman"/>
                  <w:sz w:val="24"/>
                  <w:szCs w:val="24"/>
                </w:rPr>
                <w:instrText xml:space="preserve"> BIBLIOGRAPHY </w:instrText>
              </w:r>
              <w:r w:rsidRPr="0027514D">
                <w:rPr>
                  <w:rFonts w:ascii="Times New Roman" w:hAnsi="Times New Roman" w:cs="Times New Roman"/>
                  <w:sz w:val="24"/>
                  <w:szCs w:val="24"/>
                </w:rPr>
                <w:fldChar w:fldCharType="separate"/>
              </w:r>
              <w:r w:rsidRPr="0027514D">
                <w:rPr>
                  <w:rFonts w:ascii="Times New Roman" w:hAnsi="Times New Roman" w:cs="Times New Roman"/>
                  <w:noProof/>
                  <w:sz w:val="24"/>
                  <w:szCs w:val="24"/>
                  <w:lang w:val="en-US"/>
                </w:rPr>
                <w:t xml:space="preserve">Ashworth, A. &amp; Horder, J., 2013. Principles of criminal law. </w:t>
              </w:r>
              <w:r w:rsidRPr="0027514D">
                <w:rPr>
                  <w:rFonts w:ascii="Times New Roman" w:hAnsi="Times New Roman" w:cs="Times New Roman"/>
                  <w:i/>
                  <w:iCs/>
                  <w:noProof/>
                  <w:sz w:val="24"/>
                  <w:szCs w:val="24"/>
                  <w:lang w:val="en-US"/>
                </w:rPr>
                <w:t>Oxford University Press.</w:t>
              </w:r>
            </w:p>
            <w:p w14:paraId="67BA516E" w14:textId="77777777" w:rsidR="0027514D" w:rsidRPr="0027514D" w:rsidRDefault="0027514D" w:rsidP="0027514D">
              <w:pPr>
                <w:pStyle w:val="Bibliography"/>
                <w:spacing w:line="480" w:lineRule="auto"/>
                <w:jc w:val="both"/>
                <w:rPr>
                  <w:rFonts w:ascii="Times New Roman" w:hAnsi="Times New Roman" w:cs="Times New Roman"/>
                  <w:noProof/>
                  <w:sz w:val="24"/>
                  <w:szCs w:val="24"/>
                  <w:lang w:val="en-US"/>
                </w:rPr>
              </w:pPr>
              <w:r w:rsidRPr="0027514D">
                <w:rPr>
                  <w:rFonts w:ascii="Times New Roman" w:hAnsi="Times New Roman" w:cs="Times New Roman"/>
                  <w:noProof/>
                  <w:sz w:val="24"/>
                  <w:szCs w:val="24"/>
                  <w:lang w:val="en-US"/>
                </w:rPr>
                <w:t xml:space="preserve">CPS, 2019. </w:t>
              </w:r>
              <w:r w:rsidRPr="0027514D">
                <w:rPr>
                  <w:rFonts w:ascii="Times New Roman" w:hAnsi="Times New Roman" w:cs="Times New Roman"/>
                  <w:i/>
                  <w:iCs/>
                  <w:noProof/>
                  <w:sz w:val="24"/>
                  <w:szCs w:val="24"/>
                  <w:lang w:val="en-US"/>
                </w:rPr>
                <w:t xml:space="preserve">Allocation of Cases and Sending to the Crown Court. </w:t>
              </w:r>
              <w:r w:rsidRPr="0027514D">
                <w:rPr>
                  <w:rFonts w:ascii="Times New Roman" w:hAnsi="Times New Roman" w:cs="Times New Roman"/>
                  <w:noProof/>
                  <w:sz w:val="24"/>
                  <w:szCs w:val="24"/>
                  <w:lang w:val="en-US"/>
                </w:rPr>
                <w:t xml:space="preserve">[Online] </w:t>
              </w:r>
              <w:r w:rsidRPr="0027514D">
                <w:rPr>
                  <w:rFonts w:ascii="Times New Roman" w:hAnsi="Times New Roman" w:cs="Times New Roman"/>
                  <w:noProof/>
                  <w:sz w:val="24"/>
                  <w:szCs w:val="24"/>
                  <w:lang w:val="en-US"/>
                </w:rPr>
                <w:br/>
                <w:t xml:space="preserve">Available at: </w:t>
              </w:r>
              <w:r w:rsidRPr="0027514D">
                <w:rPr>
                  <w:rFonts w:ascii="Times New Roman" w:hAnsi="Times New Roman" w:cs="Times New Roman"/>
                  <w:noProof/>
                  <w:sz w:val="24"/>
                  <w:szCs w:val="24"/>
                  <w:u w:val="single"/>
                  <w:lang w:val="en-US"/>
                </w:rPr>
                <w:t>https://www.cps.gov.uk/legal-guidance/allocation-cases-and-sending-crown-court</w:t>
              </w:r>
              <w:r w:rsidRPr="0027514D">
                <w:rPr>
                  <w:rFonts w:ascii="Times New Roman" w:hAnsi="Times New Roman" w:cs="Times New Roman"/>
                  <w:noProof/>
                  <w:sz w:val="24"/>
                  <w:szCs w:val="24"/>
                  <w:lang w:val="en-US"/>
                </w:rPr>
                <w:br/>
                <w:t>[Accessed 4 July 2021].</w:t>
              </w:r>
            </w:p>
            <w:p w14:paraId="71D2D155" w14:textId="77777777" w:rsidR="0027514D" w:rsidRPr="0027514D" w:rsidRDefault="0027514D" w:rsidP="0027514D">
              <w:pPr>
                <w:pStyle w:val="Bibliography"/>
                <w:spacing w:line="480" w:lineRule="auto"/>
                <w:jc w:val="both"/>
                <w:rPr>
                  <w:rFonts w:ascii="Times New Roman" w:hAnsi="Times New Roman" w:cs="Times New Roman"/>
                  <w:noProof/>
                  <w:sz w:val="24"/>
                  <w:szCs w:val="24"/>
                  <w:lang w:val="en-US"/>
                </w:rPr>
              </w:pPr>
              <w:r w:rsidRPr="0027514D">
                <w:rPr>
                  <w:rFonts w:ascii="Times New Roman" w:hAnsi="Times New Roman" w:cs="Times New Roman"/>
                  <w:noProof/>
                  <w:sz w:val="24"/>
                  <w:szCs w:val="24"/>
                  <w:lang w:val="en-US"/>
                </w:rPr>
                <w:t xml:space="preserve">Herring, J., 2014. Criminal law: text, cases and materials. </w:t>
              </w:r>
              <w:r w:rsidRPr="0027514D">
                <w:rPr>
                  <w:rFonts w:ascii="Times New Roman" w:hAnsi="Times New Roman" w:cs="Times New Roman"/>
                  <w:i/>
                  <w:iCs/>
                  <w:noProof/>
                  <w:sz w:val="24"/>
                  <w:szCs w:val="24"/>
                  <w:lang w:val="en-US"/>
                </w:rPr>
                <w:t>Oxford University Press.</w:t>
              </w:r>
            </w:p>
            <w:p w14:paraId="3FB5AB0E" w14:textId="77777777" w:rsidR="0027514D" w:rsidRPr="0027514D" w:rsidRDefault="0027514D" w:rsidP="0027514D">
              <w:pPr>
                <w:pStyle w:val="Bibliography"/>
                <w:spacing w:line="480" w:lineRule="auto"/>
                <w:jc w:val="both"/>
                <w:rPr>
                  <w:rFonts w:ascii="Times New Roman" w:hAnsi="Times New Roman" w:cs="Times New Roman"/>
                  <w:noProof/>
                  <w:sz w:val="24"/>
                  <w:szCs w:val="24"/>
                  <w:lang w:val="en-US"/>
                </w:rPr>
              </w:pPr>
              <w:r w:rsidRPr="0027514D">
                <w:rPr>
                  <w:rFonts w:ascii="Times New Roman" w:hAnsi="Times New Roman" w:cs="Times New Roman"/>
                  <w:noProof/>
                  <w:sz w:val="24"/>
                  <w:szCs w:val="24"/>
                  <w:lang w:val="en-US"/>
                </w:rPr>
                <w:t xml:space="preserve">Matthew, J., 2020. </w:t>
              </w:r>
              <w:r w:rsidRPr="0027514D">
                <w:rPr>
                  <w:rFonts w:ascii="Times New Roman" w:hAnsi="Times New Roman" w:cs="Times New Roman"/>
                  <w:i/>
                  <w:iCs/>
                  <w:noProof/>
                  <w:sz w:val="24"/>
                  <w:szCs w:val="24"/>
                  <w:lang w:val="en-US"/>
                </w:rPr>
                <w:t xml:space="preserve">Advantages and Disadvatages of Crown courts. </w:t>
              </w:r>
              <w:r w:rsidRPr="0027514D">
                <w:rPr>
                  <w:rFonts w:ascii="Times New Roman" w:hAnsi="Times New Roman" w:cs="Times New Roman"/>
                  <w:noProof/>
                  <w:sz w:val="24"/>
                  <w:szCs w:val="24"/>
                  <w:lang w:val="en-US"/>
                </w:rPr>
                <w:t xml:space="preserve">[Online] </w:t>
              </w:r>
              <w:r w:rsidRPr="0027514D">
                <w:rPr>
                  <w:rFonts w:ascii="Times New Roman" w:hAnsi="Times New Roman" w:cs="Times New Roman"/>
                  <w:noProof/>
                  <w:sz w:val="24"/>
                  <w:szCs w:val="24"/>
                  <w:lang w:val="en-US"/>
                </w:rPr>
                <w:br/>
                <w:t xml:space="preserve">Available at: </w:t>
              </w:r>
              <w:r w:rsidRPr="0027514D">
                <w:rPr>
                  <w:rFonts w:ascii="Times New Roman" w:hAnsi="Times New Roman" w:cs="Times New Roman"/>
                  <w:noProof/>
                  <w:sz w:val="24"/>
                  <w:szCs w:val="24"/>
                  <w:u w:val="single"/>
                  <w:lang w:val="en-US"/>
                </w:rPr>
                <w:t>https://www.ehow.co.uk/info_8356808_advantages-disadvantages-crown-courts.html</w:t>
              </w:r>
              <w:r w:rsidRPr="0027514D">
                <w:rPr>
                  <w:rFonts w:ascii="Times New Roman" w:hAnsi="Times New Roman" w:cs="Times New Roman"/>
                  <w:noProof/>
                  <w:sz w:val="24"/>
                  <w:szCs w:val="24"/>
                  <w:lang w:val="en-US"/>
                </w:rPr>
                <w:br/>
                <w:t>[Accessed 4 July 2021].</w:t>
              </w:r>
            </w:p>
            <w:p w14:paraId="3770179F" w14:textId="77777777" w:rsidR="0027514D" w:rsidRPr="0027514D" w:rsidRDefault="0027514D" w:rsidP="0027514D">
              <w:pPr>
                <w:pStyle w:val="Bibliography"/>
                <w:spacing w:line="480" w:lineRule="auto"/>
                <w:jc w:val="both"/>
                <w:rPr>
                  <w:rFonts w:ascii="Times New Roman" w:hAnsi="Times New Roman" w:cs="Times New Roman"/>
                  <w:noProof/>
                  <w:sz w:val="24"/>
                  <w:szCs w:val="24"/>
                  <w:lang w:val="en-US"/>
                </w:rPr>
              </w:pPr>
              <w:r w:rsidRPr="0027514D">
                <w:rPr>
                  <w:rFonts w:ascii="Times New Roman" w:hAnsi="Times New Roman" w:cs="Times New Roman"/>
                  <w:noProof/>
                  <w:sz w:val="24"/>
                  <w:szCs w:val="24"/>
                  <w:lang w:val="en-US"/>
                </w:rPr>
                <w:t xml:space="preserve">McPeake, R., 2011. Criminal Litogation and Sentencing. </w:t>
              </w:r>
              <w:r w:rsidRPr="0027514D">
                <w:rPr>
                  <w:rFonts w:ascii="Times New Roman" w:hAnsi="Times New Roman" w:cs="Times New Roman"/>
                  <w:i/>
                  <w:iCs/>
                  <w:noProof/>
                  <w:sz w:val="24"/>
                  <w:szCs w:val="24"/>
                  <w:lang w:val="en-US"/>
                </w:rPr>
                <w:t>Oxford University Press.</w:t>
              </w:r>
            </w:p>
            <w:p w14:paraId="6246F8F0" w14:textId="16BF488C" w:rsidR="0027514D" w:rsidRPr="0027514D" w:rsidRDefault="0027514D" w:rsidP="0027514D">
              <w:pPr>
                <w:pStyle w:val="Bibliography"/>
                <w:spacing w:line="480" w:lineRule="auto"/>
                <w:jc w:val="both"/>
                <w:rPr>
                  <w:rFonts w:ascii="Times New Roman" w:hAnsi="Times New Roman" w:cs="Times New Roman"/>
                  <w:noProof/>
                  <w:sz w:val="24"/>
                  <w:szCs w:val="24"/>
                  <w:lang w:val="en-US"/>
                </w:rPr>
              </w:pPr>
              <w:r w:rsidRPr="0027514D">
                <w:rPr>
                  <w:rFonts w:ascii="Times New Roman" w:hAnsi="Times New Roman" w:cs="Times New Roman"/>
                  <w:noProof/>
                  <w:sz w:val="24"/>
                  <w:szCs w:val="24"/>
                  <w:lang w:val="en-US"/>
                </w:rPr>
                <w:lastRenderedPageBreak/>
                <w:t xml:space="preserve">Melissaris, E., 2007. The concept of appropriation and the offence of theft.. </w:t>
              </w:r>
              <w:r w:rsidRPr="0027514D">
                <w:rPr>
                  <w:rFonts w:ascii="Times New Roman" w:hAnsi="Times New Roman" w:cs="Times New Roman"/>
                  <w:i/>
                  <w:iCs/>
                  <w:noProof/>
                  <w:sz w:val="24"/>
                  <w:szCs w:val="24"/>
                  <w:lang w:val="en-US"/>
                </w:rPr>
                <w:t xml:space="preserve">The Modern Law Review, </w:t>
              </w:r>
              <w:r w:rsidRPr="0027514D">
                <w:rPr>
                  <w:rFonts w:ascii="Times New Roman" w:hAnsi="Times New Roman" w:cs="Times New Roman"/>
                  <w:noProof/>
                  <w:sz w:val="24"/>
                  <w:szCs w:val="24"/>
                  <w:lang w:val="en-US"/>
                </w:rPr>
                <w:t>70</w:t>
              </w:r>
              <w:r>
                <w:rPr>
                  <w:rFonts w:ascii="Times New Roman" w:hAnsi="Times New Roman" w:cs="Times New Roman"/>
                  <w:noProof/>
                  <w:sz w:val="24"/>
                  <w:szCs w:val="24"/>
                  <w:lang w:val="en-US"/>
                </w:rPr>
                <w:t xml:space="preserve"> </w:t>
              </w:r>
              <w:r w:rsidRPr="0027514D">
                <w:rPr>
                  <w:rFonts w:ascii="Times New Roman" w:hAnsi="Times New Roman" w:cs="Times New Roman"/>
                  <w:noProof/>
                  <w:sz w:val="24"/>
                  <w:szCs w:val="24"/>
                  <w:lang w:val="en-US"/>
                </w:rPr>
                <w:t>(4), pp. 581-587.</w:t>
              </w:r>
            </w:p>
            <w:p w14:paraId="57C908A5" w14:textId="77777777" w:rsidR="0027514D" w:rsidRPr="0027514D" w:rsidRDefault="0027514D" w:rsidP="0027514D">
              <w:pPr>
                <w:pStyle w:val="Bibliography"/>
                <w:spacing w:line="480" w:lineRule="auto"/>
                <w:jc w:val="both"/>
                <w:rPr>
                  <w:rFonts w:ascii="Times New Roman" w:hAnsi="Times New Roman" w:cs="Times New Roman"/>
                  <w:noProof/>
                  <w:sz w:val="24"/>
                  <w:szCs w:val="24"/>
                  <w:lang w:val="en-US"/>
                </w:rPr>
              </w:pPr>
              <w:r w:rsidRPr="0027514D">
                <w:rPr>
                  <w:rFonts w:ascii="Times New Roman" w:hAnsi="Times New Roman" w:cs="Times New Roman"/>
                  <w:noProof/>
                  <w:sz w:val="24"/>
                  <w:szCs w:val="24"/>
                  <w:lang w:val="en-US"/>
                </w:rPr>
                <w:t xml:space="preserve">Royall, D. V. E., 1969. The Theft Act 1968 by Edward Griew. </w:t>
              </w:r>
            </w:p>
            <w:p w14:paraId="565D8CA3" w14:textId="77777777" w:rsidR="0027514D" w:rsidRPr="0027514D" w:rsidRDefault="0027514D" w:rsidP="0027514D">
              <w:pPr>
                <w:pStyle w:val="Bibliography"/>
                <w:spacing w:line="480" w:lineRule="auto"/>
                <w:jc w:val="both"/>
                <w:rPr>
                  <w:rFonts w:ascii="Times New Roman" w:hAnsi="Times New Roman" w:cs="Times New Roman"/>
                  <w:noProof/>
                  <w:sz w:val="24"/>
                  <w:szCs w:val="24"/>
                  <w:lang w:val="en-US"/>
                </w:rPr>
              </w:pPr>
              <w:r w:rsidRPr="0027514D">
                <w:rPr>
                  <w:rFonts w:ascii="Times New Roman" w:hAnsi="Times New Roman" w:cs="Times New Roman"/>
                  <w:noProof/>
                  <w:sz w:val="24"/>
                  <w:szCs w:val="24"/>
                  <w:lang w:val="en-US"/>
                </w:rPr>
                <w:t xml:space="preserve">Steel, A., 2008. Taking Possession: The defining element of theft. </w:t>
              </w:r>
              <w:r w:rsidRPr="0027514D">
                <w:rPr>
                  <w:rFonts w:ascii="Times New Roman" w:hAnsi="Times New Roman" w:cs="Times New Roman"/>
                  <w:i/>
                  <w:iCs/>
                  <w:noProof/>
                  <w:sz w:val="24"/>
                  <w:szCs w:val="24"/>
                  <w:lang w:val="en-US"/>
                </w:rPr>
                <w:t xml:space="preserve">Melb. UL Rev., </w:t>
              </w:r>
              <w:r w:rsidRPr="0027514D">
                <w:rPr>
                  <w:rFonts w:ascii="Times New Roman" w:hAnsi="Times New Roman" w:cs="Times New Roman"/>
                  <w:noProof/>
                  <w:sz w:val="24"/>
                  <w:szCs w:val="24"/>
                  <w:lang w:val="en-US"/>
                </w:rPr>
                <w:t>Volume 32.</w:t>
              </w:r>
            </w:p>
            <w:p w14:paraId="260D8A79" w14:textId="5A9F6421" w:rsidR="0027514D" w:rsidRPr="0027514D" w:rsidRDefault="0027514D" w:rsidP="0027514D">
              <w:pPr>
                <w:spacing w:line="480" w:lineRule="auto"/>
                <w:jc w:val="both"/>
                <w:rPr>
                  <w:rFonts w:ascii="Times New Roman" w:hAnsi="Times New Roman" w:cs="Times New Roman"/>
                  <w:sz w:val="24"/>
                  <w:szCs w:val="24"/>
                </w:rPr>
              </w:pPr>
              <w:r w:rsidRPr="0027514D">
                <w:rPr>
                  <w:rFonts w:ascii="Times New Roman" w:hAnsi="Times New Roman" w:cs="Times New Roman"/>
                  <w:b/>
                  <w:bCs/>
                  <w:noProof/>
                  <w:sz w:val="24"/>
                  <w:szCs w:val="24"/>
                </w:rPr>
                <w:fldChar w:fldCharType="end"/>
              </w:r>
            </w:p>
          </w:sdtContent>
        </w:sdt>
      </w:sdtContent>
    </w:sdt>
    <w:p w14:paraId="50BAD3B0" w14:textId="5724F964" w:rsidR="009D06D7" w:rsidRPr="0027514D" w:rsidRDefault="009D06D7" w:rsidP="0027514D">
      <w:pPr>
        <w:spacing w:line="480" w:lineRule="auto"/>
        <w:rPr>
          <w:rFonts w:ascii="Times New Roman" w:hAnsi="Times New Roman" w:cs="Times New Roman"/>
          <w:sz w:val="24"/>
          <w:szCs w:val="24"/>
        </w:rPr>
      </w:pPr>
    </w:p>
    <w:sectPr w:rsidR="009D06D7" w:rsidRPr="0027514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F699C4" w14:textId="77777777" w:rsidR="00E620E3" w:rsidRDefault="00E620E3" w:rsidP="002B106A">
      <w:pPr>
        <w:spacing w:after="0" w:line="240" w:lineRule="auto"/>
      </w:pPr>
      <w:r>
        <w:separator/>
      </w:r>
    </w:p>
  </w:endnote>
  <w:endnote w:type="continuationSeparator" w:id="0">
    <w:p w14:paraId="18A5C4C3" w14:textId="77777777" w:rsidR="00E620E3" w:rsidRDefault="00E620E3" w:rsidP="002B1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5A1A6" w14:textId="77777777" w:rsidR="002B106A" w:rsidRDefault="002B10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2994B" w14:textId="77777777" w:rsidR="002B106A" w:rsidRDefault="002B10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B756A" w14:textId="77777777" w:rsidR="002B106A" w:rsidRDefault="002B10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92DE0" w14:textId="77777777" w:rsidR="00E620E3" w:rsidRDefault="00E620E3" w:rsidP="002B106A">
      <w:pPr>
        <w:spacing w:after="0" w:line="240" w:lineRule="auto"/>
      </w:pPr>
      <w:r>
        <w:separator/>
      </w:r>
    </w:p>
  </w:footnote>
  <w:footnote w:type="continuationSeparator" w:id="0">
    <w:p w14:paraId="505BFA23" w14:textId="77777777" w:rsidR="00E620E3" w:rsidRDefault="00E620E3" w:rsidP="002B10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F7326D" w14:textId="77777777" w:rsidR="002B106A" w:rsidRDefault="002B10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42D04" w14:textId="097045F5" w:rsidR="002B106A" w:rsidRDefault="002B106A">
    <w:pPr>
      <w:pStyle w:val="Header"/>
    </w:pPr>
    <w:r>
      <w:t>Nagina Bibi 1806584</w:t>
    </w:r>
  </w:p>
  <w:p w14:paraId="634D7F65" w14:textId="77777777" w:rsidR="002B106A" w:rsidRDefault="002B10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75122" w14:textId="77777777" w:rsidR="002B106A" w:rsidRDefault="002B10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3sjAzNDcxNDGzNDRU0lEKTi0uzszPAykwrAUAzkAvTCwAAAA="/>
  </w:docVars>
  <w:rsids>
    <w:rsidRoot w:val="00AB44FD"/>
    <w:rsid w:val="00032892"/>
    <w:rsid w:val="0007034F"/>
    <w:rsid w:val="000A44AD"/>
    <w:rsid w:val="000B65B7"/>
    <w:rsid w:val="0011607F"/>
    <w:rsid w:val="0027514D"/>
    <w:rsid w:val="002B106A"/>
    <w:rsid w:val="002C24DC"/>
    <w:rsid w:val="00322B37"/>
    <w:rsid w:val="0039291F"/>
    <w:rsid w:val="00393D7B"/>
    <w:rsid w:val="00407DC1"/>
    <w:rsid w:val="004113E6"/>
    <w:rsid w:val="00492793"/>
    <w:rsid w:val="004B3871"/>
    <w:rsid w:val="004E4139"/>
    <w:rsid w:val="005B0989"/>
    <w:rsid w:val="006261DF"/>
    <w:rsid w:val="00646D9C"/>
    <w:rsid w:val="00690A87"/>
    <w:rsid w:val="006E1178"/>
    <w:rsid w:val="006F04B0"/>
    <w:rsid w:val="007748ED"/>
    <w:rsid w:val="007931D0"/>
    <w:rsid w:val="007D3673"/>
    <w:rsid w:val="007F0914"/>
    <w:rsid w:val="008A1140"/>
    <w:rsid w:val="008A46CB"/>
    <w:rsid w:val="00920234"/>
    <w:rsid w:val="009A7FA3"/>
    <w:rsid w:val="009D06D7"/>
    <w:rsid w:val="009E43E5"/>
    <w:rsid w:val="00AA6B2C"/>
    <w:rsid w:val="00AB44FD"/>
    <w:rsid w:val="00B93065"/>
    <w:rsid w:val="00D22CF2"/>
    <w:rsid w:val="00D42DD7"/>
    <w:rsid w:val="00D450E0"/>
    <w:rsid w:val="00D45951"/>
    <w:rsid w:val="00D613DB"/>
    <w:rsid w:val="00E01EF4"/>
    <w:rsid w:val="00E37D3D"/>
    <w:rsid w:val="00E620E3"/>
    <w:rsid w:val="00E86C6C"/>
    <w:rsid w:val="00EC1406"/>
    <w:rsid w:val="00EF0D50"/>
    <w:rsid w:val="00F57976"/>
    <w:rsid w:val="00F813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312FB"/>
  <w15:chartTrackingRefBased/>
  <w15:docId w15:val="{97A6E920-FFB7-4FBE-A11B-ABCE74167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D7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4595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93D7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93D7B"/>
  </w:style>
  <w:style w:type="paragraph" w:customStyle="1" w:styleId="paragraph">
    <w:name w:val="paragraph"/>
    <w:basedOn w:val="Normal"/>
    <w:rsid w:val="00393D7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393D7B"/>
  </w:style>
  <w:style w:type="character" w:customStyle="1" w:styleId="eop">
    <w:name w:val="eop"/>
    <w:basedOn w:val="DefaultParagraphFont"/>
    <w:rsid w:val="00393D7B"/>
  </w:style>
  <w:style w:type="character" w:customStyle="1" w:styleId="scxw147741833">
    <w:name w:val="scxw147741833"/>
    <w:basedOn w:val="DefaultParagraphFont"/>
    <w:rsid w:val="00393D7B"/>
  </w:style>
  <w:style w:type="paragraph" w:styleId="Header">
    <w:name w:val="header"/>
    <w:basedOn w:val="Normal"/>
    <w:link w:val="HeaderChar"/>
    <w:uiPriority w:val="99"/>
    <w:unhideWhenUsed/>
    <w:rsid w:val="002B1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06A"/>
  </w:style>
  <w:style w:type="paragraph" w:styleId="Footer">
    <w:name w:val="footer"/>
    <w:basedOn w:val="Normal"/>
    <w:link w:val="FooterChar"/>
    <w:uiPriority w:val="99"/>
    <w:unhideWhenUsed/>
    <w:rsid w:val="002B1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06A"/>
  </w:style>
  <w:style w:type="character" w:styleId="CommentReference">
    <w:name w:val="annotation reference"/>
    <w:basedOn w:val="DefaultParagraphFont"/>
    <w:uiPriority w:val="99"/>
    <w:semiHidden/>
    <w:unhideWhenUsed/>
    <w:rsid w:val="00920234"/>
    <w:rPr>
      <w:sz w:val="16"/>
      <w:szCs w:val="16"/>
    </w:rPr>
  </w:style>
  <w:style w:type="paragraph" w:styleId="CommentText">
    <w:name w:val="annotation text"/>
    <w:basedOn w:val="Normal"/>
    <w:link w:val="CommentTextChar"/>
    <w:uiPriority w:val="99"/>
    <w:semiHidden/>
    <w:unhideWhenUsed/>
    <w:rsid w:val="00920234"/>
    <w:pPr>
      <w:spacing w:line="240" w:lineRule="auto"/>
    </w:pPr>
    <w:rPr>
      <w:sz w:val="20"/>
      <w:szCs w:val="20"/>
    </w:rPr>
  </w:style>
  <w:style w:type="character" w:customStyle="1" w:styleId="CommentTextChar">
    <w:name w:val="Comment Text Char"/>
    <w:basedOn w:val="DefaultParagraphFont"/>
    <w:link w:val="CommentText"/>
    <w:uiPriority w:val="99"/>
    <w:semiHidden/>
    <w:rsid w:val="00920234"/>
    <w:rPr>
      <w:sz w:val="20"/>
      <w:szCs w:val="20"/>
    </w:rPr>
  </w:style>
  <w:style w:type="paragraph" w:styleId="CommentSubject">
    <w:name w:val="annotation subject"/>
    <w:basedOn w:val="CommentText"/>
    <w:next w:val="CommentText"/>
    <w:link w:val="CommentSubjectChar"/>
    <w:uiPriority w:val="99"/>
    <w:semiHidden/>
    <w:unhideWhenUsed/>
    <w:rsid w:val="00920234"/>
    <w:rPr>
      <w:b/>
      <w:bCs/>
    </w:rPr>
  </w:style>
  <w:style w:type="character" w:customStyle="1" w:styleId="CommentSubjectChar">
    <w:name w:val="Comment Subject Char"/>
    <w:basedOn w:val="CommentTextChar"/>
    <w:link w:val="CommentSubject"/>
    <w:uiPriority w:val="99"/>
    <w:semiHidden/>
    <w:rsid w:val="00920234"/>
    <w:rPr>
      <w:b/>
      <w:bCs/>
      <w:sz w:val="20"/>
      <w:szCs w:val="20"/>
    </w:rPr>
  </w:style>
  <w:style w:type="paragraph" w:styleId="BalloonText">
    <w:name w:val="Balloon Text"/>
    <w:basedOn w:val="Normal"/>
    <w:link w:val="BalloonTextChar"/>
    <w:uiPriority w:val="99"/>
    <w:semiHidden/>
    <w:unhideWhenUsed/>
    <w:rsid w:val="007748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48E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4842">
      <w:bodyDiv w:val="1"/>
      <w:marLeft w:val="0"/>
      <w:marRight w:val="0"/>
      <w:marTop w:val="0"/>
      <w:marBottom w:val="0"/>
      <w:divBdr>
        <w:top w:val="none" w:sz="0" w:space="0" w:color="auto"/>
        <w:left w:val="none" w:sz="0" w:space="0" w:color="auto"/>
        <w:bottom w:val="none" w:sz="0" w:space="0" w:color="auto"/>
        <w:right w:val="none" w:sz="0" w:space="0" w:color="auto"/>
      </w:divBdr>
    </w:div>
    <w:div w:id="38484102">
      <w:bodyDiv w:val="1"/>
      <w:marLeft w:val="0"/>
      <w:marRight w:val="0"/>
      <w:marTop w:val="0"/>
      <w:marBottom w:val="0"/>
      <w:divBdr>
        <w:top w:val="none" w:sz="0" w:space="0" w:color="auto"/>
        <w:left w:val="none" w:sz="0" w:space="0" w:color="auto"/>
        <w:bottom w:val="none" w:sz="0" w:space="0" w:color="auto"/>
        <w:right w:val="none" w:sz="0" w:space="0" w:color="auto"/>
      </w:divBdr>
    </w:div>
    <w:div w:id="70081492">
      <w:bodyDiv w:val="1"/>
      <w:marLeft w:val="0"/>
      <w:marRight w:val="0"/>
      <w:marTop w:val="0"/>
      <w:marBottom w:val="0"/>
      <w:divBdr>
        <w:top w:val="none" w:sz="0" w:space="0" w:color="auto"/>
        <w:left w:val="none" w:sz="0" w:space="0" w:color="auto"/>
        <w:bottom w:val="none" w:sz="0" w:space="0" w:color="auto"/>
        <w:right w:val="none" w:sz="0" w:space="0" w:color="auto"/>
      </w:divBdr>
    </w:div>
    <w:div w:id="287055543">
      <w:bodyDiv w:val="1"/>
      <w:marLeft w:val="0"/>
      <w:marRight w:val="0"/>
      <w:marTop w:val="0"/>
      <w:marBottom w:val="0"/>
      <w:divBdr>
        <w:top w:val="none" w:sz="0" w:space="0" w:color="auto"/>
        <w:left w:val="none" w:sz="0" w:space="0" w:color="auto"/>
        <w:bottom w:val="none" w:sz="0" w:space="0" w:color="auto"/>
        <w:right w:val="none" w:sz="0" w:space="0" w:color="auto"/>
      </w:divBdr>
    </w:div>
    <w:div w:id="361437445">
      <w:bodyDiv w:val="1"/>
      <w:marLeft w:val="0"/>
      <w:marRight w:val="0"/>
      <w:marTop w:val="0"/>
      <w:marBottom w:val="0"/>
      <w:divBdr>
        <w:top w:val="none" w:sz="0" w:space="0" w:color="auto"/>
        <w:left w:val="none" w:sz="0" w:space="0" w:color="auto"/>
        <w:bottom w:val="none" w:sz="0" w:space="0" w:color="auto"/>
        <w:right w:val="none" w:sz="0" w:space="0" w:color="auto"/>
      </w:divBdr>
    </w:div>
    <w:div w:id="401878880">
      <w:bodyDiv w:val="1"/>
      <w:marLeft w:val="0"/>
      <w:marRight w:val="0"/>
      <w:marTop w:val="0"/>
      <w:marBottom w:val="0"/>
      <w:divBdr>
        <w:top w:val="none" w:sz="0" w:space="0" w:color="auto"/>
        <w:left w:val="none" w:sz="0" w:space="0" w:color="auto"/>
        <w:bottom w:val="none" w:sz="0" w:space="0" w:color="auto"/>
        <w:right w:val="none" w:sz="0" w:space="0" w:color="auto"/>
      </w:divBdr>
    </w:div>
    <w:div w:id="516388353">
      <w:bodyDiv w:val="1"/>
      <w:marLeft w:val="0"/>
      <w:marRight w:val="0"/>
      <w:marTop w:val="0"/>
      <w:marBottom w:val="0"/>
      <w:divBdr>
        <w:top w:val="none" w:sz="0" w:space="0" w:color="auto"/>
        <w:left w:val="none" w:sz="0" w:space="0" w:color="auto"/>
        <w:bottom w:val="none" w:sz="0" w:space="0" w:color="auto"/>
        <w:right w:val="none" w:sz="0" w:space="0" w:color="auto"/>
      </w:divBdr>
    </w:div>
    <w:div w:id="536165081">
      <w:bodyDiv w:val="1"/>
      <w:marLeft w:val="0"/>
      <w:marRight w:val="0"/>
      <w:marTop w:val="0"/>
      <w:marBottom w:val="0"/>
      <w:divBdr>
        <w:top w:val="none" w:sz="0" w:space="0" w:color="auto"/>
        <w:left w:val="none" w:sz="0" w:space="0" w:color="auto"/>
        <w:bottom w:val="none" w:sz="0" w:space="0" w:color="auto"/>
        <w:right w:val="none" w:sz="0" w:space="0" w:color="auto"/>
      </w:divBdr>
    </w:div>
    <w:div w:id="832532617">
      <w:bodyDiv w:val="1"/>
      <w:marLeft w:val="0"/>
      <w:marRight w:val="0"/>
      <w:marTop w:val="0"/>
      <w:marBottom w:val="0"/>
      <w:divBdr>
        <w:top w:val="none" w:sz="0" w:space="0" w:color="auto"/>
        <w:left w:val="none" w:sz="0" w:space="0" w:color="auto"/>
        <w:bottom w:val="none" w:sz="0" w:space="0" w:color="auto"/>
        <w:right w:val="none" w:sz="0" w:space="0" w:color="auto"/>
      </w:divBdr>
    </w:div>
    <w:div w:id="985934392">
      <w:bodyDiv w:val="1"/>
      <w:marLeft w:val="0"/>
      <w:marRight w:val="0"/>
      <w:marTop w:val="0"/>
      <w:marBottom w:val="0"/>
      <w:divBdr>
        <w:top w:val="none" w:sz="0" w:space="0" w:color="auto"/>
        <w:left w:val="none" w:sz="0" w:space="0" w:color="auto"/>
        <w:bottom w:val="none" w:sz="0" w:space="0" w:color="auto"/>
        <w:right w:val="none" w:sz="0" w:space="0" w:color="auto"/>
      </w:divBdr>
    </w:div>
    <w:div w:id="1155878752">
      <w:bodyDiv w:val="1"/>
      <w:marLeft w:val="0"/>
      <w:marRight w:val="0"/>
      <w:marTop w:val="0"/>
      <w:marBottom w:val="0"/>
      <w:divBdr>
        <w:top w:val="none" w:sz="0" w:space="0" w:color="auto"/>
        <w:left w:val="none" w:sz="0" w:space="0" w:color="auto"/>
        <w:bottom w:val="none" w:sz="0" w:space="0" w:color="auto"/>
        <w:right w:val="none" w:sz="0" w:space="0" w:color="auto"/>
      </w:divBdr>
    </w:div>
    <w:div w:id="1196652259">
      <w:bodyDiv w:val="1"/>
      <w:marLeft w:val="0"/>
      <w:marRight w:val="0"/>
      <w:marTop w:val="0"/>
      <w:marBottom w:val="0"/>
      <w:divBdr>
        <w:top w:val="none" w:sz="0" w:space="0" w:color="auto"/>
        <w:left w:val="none" w:sz="0" w:space="0" w:color="auto"/>
        <w:bottom w:val="none" w:sz="0" w:space="0" w:color="auto"/>
        <w:right w:val="none" w:sz="0" w:space="0" w:color="auto"/>
      </w:divBdr>
    </w:div>
    <w:div w:id="1415737878">
      <w:bodyDiv w:val="1"/>
      <w:marLeft w:val="0"/>
      <w:marRight w:val="0"/>
      <w:marTop w:val="0"/>
      <w:marBottom w:val="0"/>
      <w:divBdr>
        <w:top w:val="none" w:sz="0" w:space="0" w:color="auto"/>
        <w:left w:val="none" w:sz="0" w:space="0" w:color="auto"/>
        <w:bottom w:val="none" w:sz="0" w:space="0" w:color="auto"/>
        <w:right w:val="none" w:sz="0" w:space="0" w:color="auto"/>
      </w:divBdr>
    </w:div>
    <w:div w:id="1417896641">
      <w:bodyDiv w:val="1"/>
      <w:marLeft w:val="0"/>
      <w:marRight w:val="0"/>
      <w:marTop w:val="0"/>
      <w:marBottom w:val="0"/>
      <w:divBdr>
        <w:top w:val="none" w:sz="0" w:space="0" w:color="auto"/>
        <w:left w:val="none" w:sz="0" w:space="0" w:color="auto"/>
        <w:bottom w:val="none" w:sz="0" w:space="0" w:color="auto"/>
        <w:right w:val="none" w:sz="0" w:space="0" w:color="auto"/>
      </w:divBdr>
    </w:div>
    <w:div w:id="1571305517">
      <w:bodyDiv w:val="1"/>
      <w:marLeft w:val="0"/>
      <w:marRight w:val="0"/>
      <w:marTop w:val="0"/>
      <w:marBottom w:val="0"/>
      <w:divBdr>
        <w:top w:val="none" w:sz="0" w:space="0" w:color="auto"/>
        <w:left w:val="none" w:sz="0" w:space="0" w:color="auto"/>
        <w:bottom w:val="none" w:sz="0" w:space="0" w:color="auto"/>
        <w:right w:val="none" w:sz="0" w:space="0" w:color="auto"/>
      </w:divBdr>
    </w:div>
    <w:div w:id="1571689722">
      <w:bodyDiv w:val="1"/>
      <w:marLeft w:val="0"/>
      <w:marRight w:val="0"/>
      <w:marTop w:val="0"/>
      <w:marBottom w:val="0"/>
      <w:divBdr>
        <w:top w:val="none" w:sz="0" w:space="0" w:color="auto"/>
        <w:left w:val="none" w:sz="0" w:space="0" w:color="auto"/>
        <w:bottom w:val="none" w:sz="0" w:space="0" w:color="auto"/>
        <w:right w:val="none" w:sz="0" w:space="0" w:color="auto"/>
      </w:divBdr>
    </w:div>
    <w:div w:id="1845196164">
      <w:bodyDiv w:val="1"/>
      <w:marLeft w:val="0"/>
      <w:marRight w:val="0"/>
      <w:marTop w:val="0"/>
      <w:marBottom w:val="0"/>
      <w:divBdr>
        <w:top w:val="none" w:sz="0" w:space="0" w:color="auto"/>
        <w:left w:val="none" w:sz="0" w:space="0" w:color="auto"/>
        <w:bottom w:val="none" w:sz="0" w:space="0" w:color="auto"/>
        <w:right w:val="none" w:sz="0" w:space="0" w:color="auto"/>
      </w:divBdr>
      <w:divsChild>
        <w:div w:id="1525099333">
          <w:marLeft w:val="0"/>
          <w:marRight w:val="0"/>
          <w:marTop w:val="0"/>
          <w:marBottom w:val="0"/>
          <w:divBdr>
            <w:top w:val="none" w:sz="0" w:space="0" w:color="auto"/>
            <w:left w:val="none" w:sz="0" w:space="0" w:color="auto"/>
            <w:bottom w:val="none" w:sz="0" w:space="0" w:color="auto"/>
            <w:right w:val="none" w:sz="0" w:space="0" w:color="auto"/>
          </w:divBdr>
        </w:div>
        <w:div w:id="2092701757">
          <w:marLeft w:val="0"/>
          <w:marRight w:val="0"/>
          <w:marTop w:val="0"/>
          <w:marBottom w:val="0"/>
          <w:divBdr>
            <w:top w:val="none" w:sz="0" w:space="0" w:color="auto"/>
            <w:left w:val="none" w:sz="0" w:space="0" w:color="auto"/>
            <w:bottom w:val="none" w:sz="0" w:space="0" w:color="auto"/>
            <w:right w:val="none" w:sz="0" w:space="0" w:color="auto"/>
          </w:divBdr>
        </w:div>
        <w:div w:id="1843617548">
          <w:marLeft w:val="0"/>
          <w:marRight w:val="0"/>
          <w:marTop w:val="0"/>
          <w:marBottom w:val="0"/>
          <w:divBdr>
            <w:top w:val="none" w:sz="0" w:space="0" w:color="auto"/>
            <w:left w:val="none" w:sz="0" w:space="0" w:color="auto"/>
            <w:bottom w:val="none" w:sz="0" w:space="0" w:color="auto"/>
            <w:right w:val="none" w:sz="0" w:space="0" w:color="auto"/>
          </w:divBdr>
        </w:div>
        <w:div w:id="1997679890">
          <w:marLeft w:val="0"/>
          <w:marRight w:val="0"/>
          <w:marTop w:val="0"/>
          <w:marBottom w:val="0"/>
          <w:divBdr>
            <w:top w:val="none" w:sz="0" w:space="0" w:color="auto"/>
            <w:left w:val="none" w:sz="0" w:space="0" w:color="auto"/>
            <w:bottom w:val="none" w:sz="0" w:space="0" w:color="auto"/>
            <w:right w:val="none" w:sz="0" w:space="0" w:color="auto"/>
          </w:divBdr>
        </w:div>
        <w:div w:id="660742424">
          <w:marLeft w:val="0"/>
          <w:marRight w:val="0"/>
          <w:marTop w:val="0"/>
          <w:marBottom w:val="0"/>
          <w:divBdr>
            <w:top w:val="none" w:sz="0" w:space="0" w:color="auto"/>
            <w:left w:val="none" w:sz="0" w:space="0" w:color="auto"/>
            <w:bottom w:val="none" w:sz="0" w:space="0" w:color="auto"/>
            <w:right w:val="none" w:sz="0" w:space="0" w:color="auto"/>
          </w:divBdr>
        </w:div>
        <w:div w:id="677535482">
          <w:marLeft w:val="0"/>
          <w:marRight w:val="0"/>
          <w:marTop w:val="0"/>
          <w:marBottom w:val="0"/>
          <w:divBdr>
            <w:top w:val="none" w:sz="0" w:space="0" w:color="auto"/>
            <w:left w:val="none" w:sz="0" w:space="0" w:color="auto"/>
            <w:bottom w:val="none" w:sz="0" w:space="0" w:color="auto"/>
            <w:right w:val="none" w:sz="0" w:space="0" w:color="auto"/>
          </w:divBdr>
        </w:div>
        <w:div w:id="950433618">
          <w:marLeft w:val="0"/>
          <w:marRight w:val="0"/>
          <w:marTop w:val="0"/>
          <w:marBottom w:val="0"/>
          <w:divBdr>
            <w:top w:val="none" w:sz="0" w:space="0" w:color="auto"/>
            <w:left w:val="none" w:sz="0" w:space="0" w:color="auto"/>
            <w:bottom w:val="none" w:sz="0" w:space="0" w:color="auto"/>
            <w:right w:val="none" w:sz="0" w:space="0" w:color="auto"/>
          </w:divBdr>
        </w:div>
        <w:div w:id="869880072">
          <w:marLeft w:val="0"/>
          <w:marRight w:val="0"/>
          <w:marTop w:val="0"/>
          <w:marBottom w:val="0"/>
          <w:divBdr>
            <w:top w:val="none" w:sz="0" w:space="0" w:color="auto"/>
            <w:left w:val="none" w:sz="0" w:space="0" w:color="auto"/>
            <w:bottom w:val="none" w:sz="0" w:space="0" w:color="auto"/>
            <w:right w:val="none" w:sz="0" w:space="0" w:color="auto"/>
          </w:divBdr>
        </w:div>
        <w:div w:id="936904760">
          <w:marLeft w:val="0"/>
          <w:marRight w:val="0"/>
          <w:marTop w:val="0"/>
          <w:marBottom w:val="0"/>
          <w:divBdr>
            <w:top w:val="none" w:sz="0" w:space="0" w:color="auto"/>
            <w:left w:val="none" w:sz="0" w:space="0" w:color="auto"/>
            <w:bottom w:val="none" w:sz="0" w:space="0" w:color="auto"/>
            <w:right w:val="none" w:sz="0" w:space="0" w:color="auto"/>
          </w:divBdr>
        </w:div>
        <w:div w:id="1232615676">
          <w:marLeft w:val="0"/>
          <w:marRight w:val="0"/>
          <w:marTop w:val="0"/>
          <w:marBottom w:val="0"/>
          <w:divBdr>
            <w:top w:val="none" w:sz="0" w:space="0" w:color="auto"/>
            <w:left w:val="none" w:sz="0" w:space="0" w:color="auto"/>
            <w:bottom w:val="none" w:sz="0" w:space="0" w:color="auto"/>
            <w:right w:val="none" w:sz="0" w:space="0" w:color="auto"/>
          </w:divBdr>
        </w:div>
        <w:div w:id="766656482">
          <w:marLeft w:val="0"/>
          <w:marRight w:val="0"/>
          <w:marTop w:val="0"/>
          <w:marBottom w:val="0"/>
          <w:divBdr>
            <w:top w:val="none" w:sz="0" w:space="0" w:color="auto"/>
            <w:left w:val="none" w:sz="0" w:space="0" w:color="auto"/>
            <w:bottom w:val="none" w:sz="0" w:space="0" w:color="auto"/>
            <w:right w:val="none" w:sz="0" w:space="0" w:color="auto"/>
          </w:divBdr>
        </w:div>
        <w:div w:id="1628970445">
          <w:marLeft w:val="0"/>
          <w:marRight w:val="0"/>
          <w:marTop w:val="0"/>
          <w:marBottom w:val="0"/>
          <w:divBdr>
            <w:top w:val="none" w:sz="0" w:space="0" w:color="auto"/>
            <w:left w:val="none" w:sz="0" w:space="0" w:color="auto"/>
            <w:bottom w:val="none" w:sz="0" w:space="0" w:color="auto"/>
            <w:right w:val="none" w:sz="0" w:space="0" w:color="auto"/>
          </w:divBdr>
        </w:div>
        <w:div w:id="1119683697">
          <w:marLeft w:val="0"/>
          <w:marRight w:val="0"/>
          <w:marTop w:val="0"/>
          <w:marBottom w:val="0"/>
          <w:divBdr>
            <w:top w:val="none" w:sz="0" w:space="0" w:color="auto"/>
            <w:left w:val="none" w:sz="0" w:space="0" w:color="auto"/>
            <w:bottom w:val="none" w:sz="0" w:space="0" w:color="auto"/>
            <w:right w:val="none" w:sz="0" w:space="0" w:color="auto"/>
          </w:divBdr>
        </w:div>
        <w:div w:id="1787583703">
          <w:marLeft w:val="0"/>
          <w:marRight w:val="0"/>
          <w:marTop w:val="0"/>
          <w:marBottom w:val="0"/>
          <w:divBdr>
            <w:top w:val="none" w:sz="0" w:space="0" w:color="auto"/>
            <w:left w:val="none" w:sz="0" w:space="0" w:color="auto"/>
            <w:bottom w:val="none" w:sz="0" w:space="0" w:color="auto"/>
            <w:right w:val="none" w:sz="0" w:space="0" w:color="auto"/>
          </w:divBdr>
        </w:div>
        <w:div w:id="1361541315">
          <w:marLeft w:val="0"/>
          <w:marRight w:val="0"/>
          <w:marTop w:val="0"/>
          <w:marBottom w:val="0"/>
          <w:divBdr>
            <w:top w:val="none" w:sz="0" w:space="0" w:color="auto"/>
            <w:left w:val="none" w:sz="0" w:space="0" w:color="auto"/>
            <w:bottom w:val="none" w:sz="0" w:space="0" w:color="auto"/>
            <w:right w:val="none" w:sz="0" w:space="0" w:color="auto"/>
          </w:divBdr>
        </w:div>
        <w:div w:id="1953705130">
          <w:marLeft w:val="0"/>
          <w:marRight w:val="0"/>
          <w:marTop w:val="0"/>
          <w:marBottom w:val="0"/>
          <w:divBdr>
            <w:top w:val="none" w:sz="0" w:space="0" w:color="auto"/>
            <w:left w:val="none" w:sz="0" w:space="0" w:color="auto"/>
            <w:bottom w:val="none" w:sz="0" w:space="0" w:color="auto"/>
            <w:right w:val="none" w:sz="0" w:space="0" w:color="auto"/>
          </w:divBdr>
        </w:div>
        <w:div w:id="179395560">
          <w:marLeft w:val="0"/>
          <w:marRight w:val="0"/>
          <w:marTop w:val="0"/>
          <w:marBottom w:val="0"/>
          <w:divBdr>
            <w:top w:val="none" w:sz="0" w:space="0" w:color="auto"/>
            <w:left w:val="none" w:sz="0" w:space="0" w:color="auto"/>
            <w:bottom w:val="none" w:sz="0" w:space="0" w:color="auto"/>
            <w:right w:val="none" w:sz="0" w:space="0" w:color="auto"/>
          </w:divBdr>
        </w:div>
        <w:div w:id="1797482924">
          <w:marLeft w:val="0"/>
          <w:marRight w:val="0"/>
          <w:marTop w:val="0"/>
          <w:marBottom w:val="0"/>
          <w:divBdr>
            <w:top w:val="none" w:sz="0" w:space="0" w:color="auto"/>
            <w:left w:val="none" w:sz="0" w:space="0" w:color="auto"/>
            <w:bottom w:val="none" w:sz="0" w:space="0" w:color="auto"/>
            <w:right w:val="none" w:sz="0" w:space="0" w:color="auto"/>
          </w:divBdr>
        </w:div>
        <w:div w:id="448554040">
          <w:marLeft w:val="0"/>
          <w:marRight w:val="0"/>
          <w:marTop w:val="0"/>
          <w:marBottom w:val="0"/>
          <w:divBdr>
            <w:top w:val="none" w:sz="0" w:space="0" w:color="auto"/>
            <w:left w:val="none" w:sz="0" w:space="0" w:color="auto"/>
            <w:bottom w:val="none" w:sz="0" w:space="0" w:color="auto"/>
            <w:right w:val="none" w:sz="0" w:space="0" w:color="auto"/>
          </w:divBdr>
        </w:div>
        <w:div w:id="1760907880">
          <w:marLeft w:val="0"/>
          <w:marRight w:val="0"/>
          <w:marTop w:val="0"/>
          <w:marBottom w:val="0"/>
          <w:divBdr>
            <w:top w:val="none" w:sz="0" w:space="0" w:color="auto"/>
            <w:left w:val="none" w:sz="0" w:space="0" w:color="auto"/>
            <w:bottom w:val="none" w:sz="0" w:space="0" w:color="auto"/>
            <w:right w:val="none" w:sz="0" w:space="0" w:color="auto"/>
          </w:divBdr>
        </w:div>
        <w:div w:id="127861156">
          <w:marLeft w:val="0"/>
          <w:marRight w:val="0"/>
          <w:marTop w:val="0"/>
          <w:marBottom w:val="0"/>
          <w:divBdr>
            <w:top w:val="none" w:sz="0" w:space="0" w:color="auto"/>
            <w:left w:val="none" w:sz="0" w:space="0" w:color="auto"/>
            <w:bottom w:val="none" w:sz="0" w:space="0" w:color="auto"/>
            <w:right w:val="none" w:sz="0" w:space="0" w:color="auto"/>
          </w:divBdr>
        </w:div>
        <w:div w:id="99876986">
          <w:marLeft w:val="0"/>
          <w:marRight w:val="0"/>
          <w:marTop w:val="0"/>
          <w:marBottom w:val="0"/>
          <w:divBdr>
            <w:top w:val="none" w:sz="0" w:space="0" w:color="auto"/>
            <w:left w:val="none" w:sz="0" w:space="0" w:color="auto"/>
            <w:bottom w:val="none" w:sz="0" w:space="0" w:color="auto"/>
            <w:right w:val="none" w:sz="0" w:space="0" w:color="auto"/>
          </w:divBdr>
        </w:div>
        <w:div w:id="1386442958">
          <w:marLeft w:val="0"/>
          <w:marRight w:val="0"/>
          <w:marTop w:val="0"/>
          <w:marBottom w:val="0"/>
          <w:divBdr>
            <w:top w:val="none" w:sz="0" w:space="0" w:color="auto"/>
            <w:left w:val="none" w:sz="0" w:space="0" w:color="auto"/>
            <w:bottom w:val="none" w:sz="0" w:space="0" w:color="auto"/>
            <w:right w:val="none" w:sz="0" w:space="0" w:color="auto"/>
          </w:divBdr>
        </w:div>
        <w:div w:id="1047412407">
          <w:marLeft w:val="0"/>
          <w:marRight w:val="0"/>
          <w:marTop w:val="0"/>
          <w:marBottom w:val="0"/>
          <w:divBdr>
            <w:top w:val="none" w:sz="0" w:space="0" w:color="auto"/>
            <w:left w:val="none" w:sz="0" w:space="0" w:color="auto"/>
            <w:bottom w:val="none" w:sz="0" w:space="0" w:color="auto"/>
            <w:right w:val="none" w:sz="0" w:space="0" w:color="auto"/>
          </w:divBdr>
        </w:div>
        <w:div w:id="2108961940">
          <w:marLeft w:val="0"/>
          <w:marRight w:val="0"/>
          <w:marTop w:val="0"/>
          <w:marBottom w:val="0"/>
          <w:divBdr>
            <w:top w:val="none" w:sz="0" w:space="0" w:color="auto"/>
            <w:left w:val="none" w:sz="0" w:space="0" w:color="auto"/>
            <w:bottom w:val="none" w:sz="0" w:space="0" w:color="auto"/>
            <w:right w:val="none" w:sz="0" w:space="0" w:color="auto"/>
          </w:divBdr>
        </w:div>
        <w:div w:id="423844303">
          <w:marLeft w:val="0"/>
          <w:marRight w:val="0"/>
          <w:marTop w:val="0"/>
          <w:marBottom w:val="0"/>
          <w:divBdr>
            <w:top w:val="none" w:sz="0" w:space="0" w:color="auto"/>
            <w:left w:val="none" w:sz="0" w:space="0" w:color="auto"/>
            <w:bottom w:val="none" w:sz="0" w:space="0" w:color="auto"/>
            <w:right w:val="none" w:sz="0" w:space="0" w:color="auto"/>
          </w:divBdr>
        </w:div>
        <w:div w:id="1826705251">
          <w:marLeft w:val="0"/>
          <w:marRight w:val="0"/>
          <w:marTop w:val="0"/>
          <w:marBottom w:val="0"/>
          <w:divBdr>
            <w:top w:val="none" w:sz="0" w:space="0" w:color="auto"/>
            <w:left w:val="none" w:sz="0" w:space="0" w:color="auto"/>
            <w:bottom w:val="none" w:sz="0" w:space="0" w:color="auto"/>
            <w:right w:val="none" w:sz="0" w:space="0" w:color="auto"/>
          </w:divBdr>
        </w:div>
        <w:div w:id="935358851">
          <w:marLeft w:val="0"/>
          <w:marRight w:val="0"/>
          <w:marTop w:val="0"/>
          <w:marBottom w:val="0"/>
          <w:divBdr>
            <w:top w:val="none" w:sz="0" w:space="0" w:color="auto"/>
            <w:left w:val="none" w:sz="0" w:space="0" w:color="auto"/>
            <w:bottom w:val="none" w:sz="0" w:space="0" w:color="auto"/>
            <w:right w:val="none" w:sz="0" w:space="0" w:color="auto"/>
          </w:divBdr>
        </w:div>
        <w:div w:id="1497839712">
          <w:marLeft w:val="0"/>
          <w:marRight w:val="0"/>
          <w:marTop w:val="0"/>
          <w:marBottom w:val="0"/>
          <w:divBdr>
            <w:top w:val="none" w:sz="0" w:space="0" w:color="auto"/>
            <w:left w:val="none" w:sz="0" w:space="0" w:color="auto"/>
            <w:bottom w:val="none" w:sz="0" w:space="0" w:color="auto"/>
            <w:right w:val="none" w:sz="0" w:space="0" w:color="auto"/>
          </w:divBdr>
        </w:div>
        <w:div w:id="1480414209">
          <w:marLeft w:val="0"/>
          <w:marRight w:val="0"/>
          <w:marTop w:val="0"/>
          <w:marBottom w:val="0"/>
          <w:divBdr>
            <w:top w:val="none" w:sz="0" w:space="0" w:color="auto"/>
            <w:left w:val="none" w:sz="0" w:space="0" w:color="auto"/>
            <w:bottom w:val="none" w:sz="0" w:space="0" w:color="auto"/>
            <w:right w:val="none" w:sz="0" w:space="0" w:color="auto"/>
          </w:divBdr>
        </w:div>
        <w:div w:id="1102262331">
          <w:marLeft w:val="0"/>
          <w:marRight w:val="0"/>
          <w:marTop w:val="0"/>
          <w:marBottom w:val="0"/>
          <w:divBdr>
            <w:top w:val="none" w:sz="0" w:space="0" w:color="auto"/>
            <w:left w:val="none" w:sz="0" w:space="0" w:color="auto"/>
            <w:bottom w:val="none" w:sz="0" w:space="0" w:color="auto"/>
            <w:right w:val="none" w:sz="0" w:space="0" w:color="auto"/>
          </w:divBdr>
        </w:div>
        <w:div w:id="1322731531">
          <w:marLeft w:val="0"/>
          <w:marRight w:val="0"/>
          <w:marTop w:val="0"/>
          <w:marBottom w:val="0"/>
          <w:divBdr>
            <w:top w:val="none" w:sz="0" w:space="0" w:color="auto"/>
            <w:left w:val="none" w:sz="0" w:space="0" w:color="auto"/>
            <w:bottom w:val="none" w:sz="0" w:space="0" w:color="auto"/>
            <w:right w:val="none" w:sz="0" w:space="0" w:color="auto"/>
          </w:divBdr>
        </w:div>
      </w:divsChild>
    </w:div>
    <w:div w:id="1887788784">
      <w:bodyDiv w:val="1"/>
      <w:marLeft w:val="0"/>
      <w:marRight w:val="0"/>
      <w:marTop w:val="0"/>
      <w:marBottom w:val="0"/>
      <w:divBdr>
        <w:top w:val="none" w:sz="0" w:space="0" w:color="auto"/>
        <w:left w:val="none" w:sz="0" w:space="0" w:color="auto"/>
        <w:bottom w:val="none" w:sz="0" w:space="0" w:color="auto"/>
        <w:right w:val="none" w:sz="0" w:space="0" w:color="auto"/>
      </w:divBdr>
    </w:div>
    <w:div w:id="1930191970">
      <w:bodyDiv w:val="1"/>
      <w:marLeft w:val="0"/>
      <w:marRight w:val="0"/>
      <w:marTop w:val="0"/>
      <w:marBottom w:val="0"/>
      <w:divBdr>
        <w:top w:val="none" w:sz="0" w:space="0" w:color="auto"/>
        <w:left w:val="none" w:sz="0" w:space="0" w:color="auto"/>
        <w:bottom w:val="none" w:sz="0" w:space="0" w:color="auto"/>
        <w:right w:val="none" w:sz="0" w:space="0" w:color="auto"/>
      </w:divBdr>
    </w:div>
    <w:div w:id="1961524760">
      <w:bodyDiv w:val="1"/>
      <w:marLeft w:val="0"/>
      <w:marRight w:val="0"/>
      <w:marTop w:val="0"/>
      <w:marBottom w:val="0"/>
      <w:divBdr>
        <w:top w:val="none" w:sz="0" w:space="0" w:color="auto"/>
        <w:left w:val="none" w:sz="0" w:space="0" w:color="auto"/>
        <w:bottom w:val="none" w:sz="0" w:space="0" w:color="auto"/>
        <w:right w:val="none" w:sz="0" w:space="0" w:color="auto"/>
      </w:divBdr>
    </w:div>
    <w:div w:id="2063021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EMe07</b:Tag>
    <b:SourceType>JournalArticle</b:SourceType>
    <b:Guid>{066EF917-F864-41A9-A662-9199F58C160D}</b:Guid>
    <b:Author>
      <b:Author>
        <b:NameList>
          <b:Person>
            <b:Last>Melissaris</b:Last>
            <b:First>E.</b:First>
          </b:Person>
        </b:NameList>
      </b:Author>
    </b:Author>
    <b:Title>The concept of appropriation and the offence of theft.</b:Title>
    <b:JournalName>The Modern Law Review</b:JournalName>
    <b:Year>2007</b:Year>
    <b:Pages>581-587</b:Pages>
    <b:Volume>70</b:Volume>
    <b:Issue>4</b:Issue>
    <b:RefOrder>3</b:RefOrder>
  </b:Source>
  <b:Source>
    <b:Tag>DVE69</b:Tag>
    <b:SourceType>JournalArticle</b:SourceType>
    <b:Guid>{34771720-0184-456E-BD97-E0F8139A1F46}</b:Guid>
    <b:Author>
      <b:Author>
        <b:NameList>
          <b:Person>
            <b:Last>Royall</b:Last>
            <b:First>D.</b:First>
            <b:Middle>V. E.</b:Middle>
          </b:Person>
        </b:NameList>
      </b:Author>
    </b:Author>
    <b:Title>The Theft Act 1968 by Edward Griew</b:Title>
    <b:Year>1969</b:Year>
    <b:RefOrder>4</b:RefOrder>
  </b:Source>
  <b:Source>
    <b:Tag>AAs13</b:Tag>
    <b:SourceType>JournalArticle</b:SourceType>
    <b:Guid>{CC300A77-29E8-460C-BE12-991C19430501}</b:Guid>
    <b:Author>
      <b:Author>
        <b:NameList>
          <b:Person>
            <b:Last>Ashworth</b:Last>
            <b:First>A.</b:First>
          </b:Person>
          <b:Person>
            <b:Last>Horder</b:Last>
            <b:First>J.</b:First>
          </b:Person>
        </b:NameList>
      </b:Author>
    </b:Author>
    <b:Title>Principles of criminal law</b:Title>
    <b:JournalName>Oxford University Press</b:JournalName>
    <b:Year>2013</b:Year>
    <b:RefOrder>5</b:RefOrder>
  </b:Source>
  <b:Source>
    <b:Tag>JHe14</b:Tag>
    <b:SourceType>JournalArticle</b:SourceType>
    <b:Guid>{0C8FF632-7383-4DBA-8E32-1C1F3BACADC1}</b:Guid>
    <b:Author>
      <b:Author>
        <b:NameList>
          <b:Person>
            <b:Last>Herring</b:Last>
            <b:First>J.</b:First>
          </b:Person>
        </b:NameList>
      </b:Author>
    </b:Author>
    <b:Title>Criminal law: text, cases and materials</b:Title>
    <b:JournalName>Oxford University Press</b:JournalName>
    <b:Year>2014</b:Year>
    <b:RefOrder>6</b:RefOrder>
  </b:Source>
  <b:Source>
    <b:Tag>CPS19</b:Tag>
    <b:SourceType>InternetSite</b:SourceType>
    <b:Guid>{405CAAA6-3F40-4898-B842-D7AC83F3C965}</b:Guid>
    <b:Author>
      <b:Author>
        <b:NameList>
          <b:Person>
            <b:Last>CPS</b:Last>
          </b:Person>
        </b:NameList>
      </b:Author>
    </b:Author>
    <b:Title>Allocation of Cases and Sending to the Crown Court</b:Title>
    <b:Year>2019</b:Year>
    <b:YearAccessed>2021</b:YearAccessed>
    <b:MonthAccessed>July</b:MonthAccessed>
    <b:DayAccessed>4</b:DayAccessed>
    <b:URL>https://www.cps.gov.uk/legal-guidance/allocation-cases-and-sending-crown-court</b:URL>
    <b:RefOrder>2</b:RefOrder>
  </b:Source>
  <b:Source>
    <b:Tag>Jay20</b:Tag>
    <b:SourceType>InternetSite</b:SourceType>
    <b:Guid>{0C077831-CF30-4645-8D41-E1A5E8D45D7D}</b:Guid>
    <b:Author>
      <b:Author>
        <b:NameList>
          <b:Person>
            <b:Last>Matthew</b:Last>
            <b:First>Jayden</b:First>
          </b:Person>
        </b:NameList>
      </b:Author>
    </b:Author>
    <b:Title>Advantages and Disadvatages of  Crown courts</b:Title>
    <b:Year>2020</b:Year>
    <b:YearAccessed>2021</b:YearAccessed>
    <b:MonthAccessed>July</b:MonthAccessed>
    <b:DayAccessed>4</b:DayAccessed>
    <b:URL>https://www.ehow.co.uk/info_8356808_advantages-disadvantages-crown-courts.html</b:URL>
    <b:RefOrder>7</b:RefOrder>
  </b:Source>
  <b:Source>
    <b:Tag>Rob11</b:Tag>
    <b:SourceType>JournalArticle</b:SourceType>
    <b:Guid>{F95E1677-6A5C-470C-9EC5-C2668812693F}</b:Guid>
    <b:Author>
      <b:Author>
        <b:NameList>
          <b:Person>
            <b:Last>McPeake</b:Last>
            <b:First>Robert</b:First>
          </b:Person>
        </b:NameList>
      </b:Author>
    </b:Author>
    <b:Title>Criminal Litogation and Sentencing</b:Title>
    <b:JournalName>Oxford University Press</b:JournalName>
    <b:Year>2011</b:Year>
    <b:RefOrder>8</b:RefOrder>
  </b:Source>
  <b:Source>
    <b:Tag>Ste08</b:Tag>
    <b:SourceType>JournalArticle</b:SourceType>
    <b:Guid>{4D9C8CE9-240B-43C1-AECC-C53A028BA821}</b:Guid>
    <b:Author>
      <b:Author>
        <b:NameList>
          <b:Person>
            <b:Last>Steel</b:Last>
            <b:First>Alex</b:First>
          </b:Person>
        </b:NameList>
      </b:Author>
    </b:Author>
    <b:Title>Taking Possession: The defining element of theft</b:Title>
    <b:Year>2008</b:Year>
    <b:JournalName>Melb. UL Rev.</b:JournalName>
    <b:Volume>32</b:Volume>
    <b:RefOrder>1</b:RefOrder>
  </b:Source>
</b:Sources>
</file>

<file path=customXml/itemProps1.xml><?xml version="1.0" encoding="utf-8"?>
<ds:datastoreItem xmlns:ds="http://schemas.openxmlformats.org/officeDocument/2006/customXml" ds:itemID="{BB69968D-6557-4F52-A581-352FAC883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1928</Words>
  <Characters>10991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dc:creator>
  <cp:keywords/>
  <dc:description/>
  <cp:lastModifiedBy>Nagina Bibi (1806584)</cp:lastModifiedBy>
  <cp:revision>2</cp:revision>
  <dcterms:created xsi:type="dcterms:W3CDTF">2021-07-18T21:30:00Z</dcterms:created>
  <dcterms:modified xsi:type="dcterms:W3CDTF">2021-07-18T21:30:00Z</dcterms:modified>
</cp:coreProperties>
</file>