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8F7AD57" w:rsidP="2BE361E1" w:rsidRDefault="68F7AD57" w14:paraId="0F2053CA" w14:textId="5AA3B286">
      <w:pPr>
        <w:pStyle w:val="Normal"/>
        <w:spacing w:before="0" w:beforeAutospacing="off" w:after="160" w:afterAutospacing="off" w:line="259" w:lineRule="auto"/>
        <w:ind w:left="0" w:right="0"/>
        <w:jc w:val="left"/>
        <w:rPr>
          <w:sz w:val="28"/>
          <w:szCs w:val="28"/>
        </w:rPr>
      </w:pPr>
      <w:bookmarkStart w:name="_GoBack" w:id="0"/>
      <w:bookmarkEnd w:id="0"/>
      <w:r w:rsidRPr="2BE361E1" w:rsidR="68F7AD57">
        <w:rPr>
          <w:sz w:val="28"/>
          <w:szCs w:val="28"/>
        </w:rPr>
        <w:t>European</w:t>
      </w:r>
      <w:r w:rsidRPr="2BE361E1" w:rsidR="33B5CF73">
        <w:rPr>
          <w:sz w:val="28"/>
          <w:szCs w:val="28"/>
        </w:rPr>
        <w:t xml:space="preserve"> Law</w:t>
      </w:r>
      <w:r w:rsidRPr="2BE361E1" w:rsidR="15CEB3FE">
        <w:rPr>
          <w:sz w:val="28"/>
          <w:szCs w:val="28"/>
        </w:rPr>
        <w:t>- David Jones</w:t>
      </w:r>
    </w:p>
    <w:p w:rsidR="2BE361E1" w:rsidP="2BE361E1" w:rsidRDefault="2BE361E1" w14:paraId="2EBFE051" w14:textId="046B701F">
      <w:pPr>
        <w:pStyle w:val="Normal"/>
        <w:bidi w:val="0"/>
        <w:spacing w:before="0" w:beforeAutospacing="off" w:after="160" w:afterAutospacing="off" w:line="259" w:lineRule="auto"/>
        <w:ind w:left="0" w:right="0"/>
        <w:jc w:val="left"/>
        <w:rPr>
          <w:sz w:val="28"/>
          <w:szCs w:val="28"/>
        </w:rPr>
      </w:pPr>
    </w:p>
    <w:p w:rsidR="49F3D193" w:rsidP="2BE361E1" w:rsidRDefault="49F3D193" w14:paraId="007AC07C" w14:textId="15EA8506">
      <w:pPr>
        <w:pStyle w:val="Normal"/>
        <w:bidi w:val="0"/>
        <w:spacing w:before="0" w:beforeAutospacing="off" w:after="160" w:afterAutospacing="off" w:line="259" w:lineRule="auto"/>
        <w:ind w:left="0" w:right="0"/>
        <w:jc w:val="left"/>
        <w:rPr>
          <w:sz w:val="28"/>
          <w:szCs w:val="28"/>
        </w:rPr>
      </w:pPr>
      <w:r w:rsidRPr="2BE361E1" w:rsidR="49F3D193">
        <w:rPr>
          <w:sz w:val="28"/>
          <w:szCs w:val="28"/>
        </w:rPr>
        <w:t>Question 1</w:t>
      </w:r>
    </w:p>
    <w:p w:rsidR="49F3D193" w:rsidP="2BE361E1" w:rsidRDefault="49F3D193" w14:paraId="106F5281" w14:textId="4A693C11">
      <w:pPr>
        <w:pStyle w:val="Normal"/>
        <w:bidi w:val="0"/>
        <w:spacing w:before="0" w:beforeAutospacing="off" w:after="160" w:afterAutospacing="off" w:line="259" w:lineRule="auto"/>
        <w:ind w:left="0" w:right="0"/>
        <w:jc w:val="left"/>
        <w:rPr>
          <w:sz w:val="28"/>
          <w:szCs w:val="28"/>
        </w:rPr>
      </w:pPr>
      <w:r w:rsidRPr="2BE361E1" w:rsidR="49F3D193">
        <w:rPr>
          <w:sz w:val="28"/>
          <w:szCs w:val="28"/>
        </w:rPr>
        <w:t xml:space="preserve">In relation to the relevant market in context of competition law, it is important to understand why competition law is </w:t>
      </w:r>
      <w:r w:rsidRPr="2BE361E1" w:rsidR="67F96277">
        <w:rPr>
          <w:sz w:val="28"/>
          <w:szCs w:val="28"/>
        </w:rPr>
        <w:t>in the European Union (EU) and the political reasons considered. Firstly, left wing includes</w:t>
      </w:r>
      <w:r w:rsidRPr="2BE361E1" w:rsidR="5EEACF90">
        <w:rPr>
          <w:sz w:val="28"/>
          <w:szCs w:val="28"/>
        </w:rPr>
        <w:t xml:space="preserve"> the protection of consumers, ensuring that companies do not abuse their market </w:t>
      </w:r>
      <w:r w:rsidRPr="2BE361E1" w:rsidR="55A3F0C8">
        <w:rPr>
          <w:sz w:val="28"/>
          <w:szCs w:val="28"/>
        </w:rPr>
        <w:t>positions</w:t>
      </w:r>
      <w:r w:rsidRPr="2BE361E1" w:rsidR="5EEACF90">
        <w:rPr>
          <w:sz w:val="28"/>
          <w:szCs w:val="28"/>
        </w:rPr>
        <w:t xml:space="preserve"> which could result in a negative influence on consumers. S</w:t>
      </w:r>
      <w:r w:rsidRPr="2BE361E1" w:rsidR="3DB91007">
        <w:rPr>
          <w:sz w:val="28"/>
          <w:szCs w:val="28"/>
        </w:rPr>
        <w:t xml:space="preserve">econdly, right wing looks at the economic idea of having free and fair competition in an open trade market. </w:t>
      </w:r>
      <w:r w:rsidRPr="2BE361E1" w:rsidR="6A40CF6A">
        <w:rPr>
          <w:sz w:val="28"/>
          <w:szCs w:val="28"/>
        </w:rPr>
        <w:t xml:space="preserve">Therefore, it is important to understand these political views in context of competition law. </w:t>
      </w:r>
      <w:r w:rsidRPr="2BE361E1" w:rsidR="024E9295">
        <w:rPr>
          <w:sz w:val="28"/>
          <w:szCs w:val="28"/>
        </w:rPr>
        <w:t xml:space="preserve"> What is competition Law?</w:t>
      </w:r>
    </w:p>
    <w:p w:rsidR="2BE361E1" w:rsidP="2BE361E1" w:rsidRDefault="2BE361E1" w14:paraId="4E4A2972" w14:textId="1FFD1B51">
      <w:pPr>
        <w:pStyle w:val="Normal"/>
        <w:bidi w:val="0"/>
        <w:spacing w:before="0" w:beforeAutospacing="off" w:after="160" w:afterAutospacing="off" w:line="259" w:lineRule="auto"/>
        <w:ind w:left="0" w:right="0"/>
        <w:jc w:val="left"/>
        <w:rPr>
          <w:sz w:val="28"/>
          <w:szCs w:val="28"/>
        </w:rPr>
      </w:pPr>
    </w:p>
    <w:p w:rsidR="024E9295" w:rsidP="2BE361E1" w:rsidRDefault="024E9295" w14:paraId="581E38F4" w14:textId="68589DAF">
      <w:pPr>
        <w:pStyle w:val="Normal"/>
        <w:bidi w:val="0"/>
        <w:spacing w:before="0" w:beforeAutospacing="off" w:after="160" w:afterAutospacing="off" w:line="259" w:lineRule="auto"/>
        <w:ind w:left="0" w:right="0"/>
        <w:jc w:val="left"/>
        <w:rPr>
          <w:sz w:val="28"/>
          <w:szCs w:val="28"/>
        </w:rPr>
      </w:pPr>
      <w:r w:rsidRPr="2BE361E1" w:rsidR="024E9295">
        <w:rPr>
          <w:sz w:val="28"/>
          <w:szCs w:val="28"/>
        </w:rPr>
        <w:t xml:space="preserve">Article 101 is </w:t>
      </w:r>
      <w:r w:rsidRPr="2BE361E1" w:rsidR="4D64EE20">
        <w:rPr>
          <w:sz w:val="28"/>
          <w:szCs w:val="28"/>
        </w:rPr>
        <w:t>involved</w:t>
      </w:r>
      <w:r w:rsidRPr="2BE361E1" w:rsidR="024E9295">
        <w:rPr>
          <w:sz w:val="28"/>
          <w:szCs w:val="28"/>
        </w:rPr>
        <w:t xml:space="preserve"> with anti-competitive practises by companies. This is a scenario where companies communicate and </w:t>
      </w:r>
      <w:r w:rsidRPr="2BE361E1" w:rsidR="30714BCA">
        <w:rPr>
          <w:sz w:val="28"/>
          <w:szCs w:val="28"/>
        </w:rPr>
        <w:t>meet</w:t>
      </w:r>
      <w:r w:rsidRPr="2BE361E1" w:rsidR="024E9295">
        <w:rPr>
          <w:sz w:val="28"/>
          <w:szCs w:val="28"/>
        </w:rPr>
        <w:t xml:space="preserve">, agreeing </w:t>
      </w:r>
      <w:r w:rsidRPr="2BE361E1" w:rsidR="758165CC">
        <w:rPr>
          <w:sz w:val="28"/>
          <w:szCs w:val="28"/>
        </w:rPr>
        <w:t xml:space="preserve">on terms that </w:t>
      </w:r>
      <w:r w:rsidRPr="2BE361E1" w:rsidR="4D4503CD">
        <w:rPr>
          <w:sz w:val="28"/>
          <w:szCs w:val="28"/>
        </w:rPr>
        <w:t>harms</w:t>
      </w:r>
      <w:r w:rsidRPr="2BE361E1" w:rsidR="758165CC">
        <w:rPr>
          <w:sz w:val="28"/>
          <w:szCs w:val="28"/>
        </w:rPr>
        <w:t xml:space="preserve"> competition law within the EU. </w:t>
      </w:r>
      <w:r w:rsidRPr="2BE361E1" w:rsidR="137795B4">
        <w:rPr>
          <w:sz w:val="28"/>
          <w:szCs w:val="28"/>
        </w:rPr>
        <w:t>Whereas</w:t>
      </w:r>
      <w:r w:rsidRPr="2BE361E1" w:rsidR="758165CC">
        <w:rPr>
          <w:sz w:val="28"/>
          <w:szCs w:val="28"/>
        </w:rPr>
        <w:t xml:space="preserve"> Article 102 is related to b</w:t>
      </w:r>
      <w:r w:rsidRPr="2BE361E1" w:rsidR="0504C832">
        <w:rPr>
          <w:sz w:val="28"/>
          <w:szCs w:val="28"/>
        </w:rPr>
        <w:t xml:space="preserve">ig companies such as Sony who have a dominant market position, who may abuse this position for own gain. </w:t>
      </w:r>
    </w:p>
    <w:p w:rsidR="2BE361E1" w:rsidP="2BE361E1" w:rsidRDefault="2BE361E1" w14:paraId="531C2546" w14:textId="0E528A23">
      <w:pPr>
        <w:pStyle w:val="Normal"/>
        <w:bidi w:val="0"/>
        <w:spacing w:before="0" w:beforeAutospacing="off" w:after="160" w:afterAutospacing="off" w:line="259" w:lineRule="auto"/>
        <w:ind w:left="0" w:right="0"/>
        <w:jc w:val="left"/>
        <w:rPr>
          <w:sz w:val="28"/>
          <w:szCs w:val="28"/>
        </w:rPr>
      </w:pPr>
    </w:p>
    <w:p w:rsidR="0504C832" w:rsidP="2BE361E1" w:rsidRDefault="0504C832" w14:paraId="7A61DD18" w14:textId="3DE03CCD">
      <w:pPr>
        <w:pStyle w:val="Normal"/>
        <w:bidi w:val="0"/>
        <w:spacing w:before="0" w:beforeAutospacing="off" w:after="160" w:afterAutospacing="off" w:line="259" w:lineRule="auto"/>
        <w:ind w:left="0" w:right="0"/>
        <w:jc w:val="left"/>
        <w:rPr>
          <w:sz w:val="28"/>
          <w:szCs w:val="28"/>
        </w:rPr>
      </w:pPr>
      <w:r w:rsidRPr="2BE361E1" w:rsidR="0504C832">
        <w:rPr>
          <w:sz w:val="28"/>
          <w:szCs w:val="28"/>
        </w:rPr>
        <w:t>An undertaking can be</w:t>
      </w:r>
      <w:r w:rsidRPr="2BE361E1" w:rsidR="0504C832">
        <w:rPr>
          <w:i w:val="1"/>
          <w:iCs w:val="1"/>
          <w:sz w:val="28"/>
          <w:szCs w:val="28"/>
        </w:rPr>
        <w:t xml:space="preserve"> ‘any legal person’ (Hofner 1991)</w:t>
      </w:r>
      <w:r w:rsidRPr="2BE361E1" w:rsidR="0504C832">
        <w:rPr>
          <w:sz w:val="28"/>
          <w:szCs w:val="28"/>
        </w:rPr>
        <w:t xml:space="preserve">. However, this is more likely to be a company than </w:t>
      </w:r>
      <w:r w:rsidRPr="2BE361E1" w:rsidR="51482C8C">
        <w:rPr>
          <w:sz w:val="28"/>
          <w:szCs w:val="28"/>
        </w:rPr>
        <w:t>individual</w:t>
      </w:r>
      <w:r w:rsidRPr="2BE361E1" w:rsidR="0504C832">
        <w:rPr>
          <w:sz w:val="28"/>
          <w:szCs w:val="28"/>
        </w:rPr>
        <w:t xml:space="preserve"> person. </w:t>
      </w:r>
      <w:r w:rsidRPr="2BE361E1" w:rsidR="33B051F6">
        <w:rPr>
          <w:sz w:val="28"/>
          <w:szCs w:val="28"/>
        </w:rPr>
        <w:t xml:space="preserve">Another important aspect is that you </w:t>
      </w:r>
      <w:r w:rsidRPr="2BE361E1" w:rsidR="77E4D583">
        <w:rPr>
          <w:sz w:val="28"/>
          <w:szCs w:val="28"/>
        </w:rPr>
        <w:t>must</w:t>
      </w:r>
      <w:r w:rsidRPr="2BE361E1" w:rsidR="33B051F6">
        <w:rPr>
          <w:sz w:val="28"/>
          <w:szCs w:val="28"/>
        </w:rPr>
        <w:t xml:space="preserve"> be </w:t>
      </w:r>
      <w:r w:rsidRPr="2BE361E1" w:rsidR="33B051F6">
        <w:rPr>
          <w:i w:val="1"/>
          <w:iCs w:val="1"/>
          <w:sz w:val="28"/>
          <w:szCs w:val="28"/>
        </w:rPr>
        <w:t>‘</w:t>
      </w:r>
      <w:r w:rsidRPr="2BE361E1" w:rsidR="1B2C95C4">
        <w:rPr>
          <w:i w:val="1"/>
          <w:iCs w:val="1"/>
          <w:sz w:val="28"/>
          <w:szCs w:val="28"/>
        </w:rPr>
        <w:t>engaged</w:t>
      </w:r>
      <w:r w:rsidRPr="2BE361E1" w:rsidR="33B051F6">
        <w:rPr>
          <w:i w:val="1"/>
          <w:iCs w:val="1"/>
          <w:sz w:val="28"/>
          <w:szCs w:val="28"/>
        </w:rPr>
        <w:t xml:space="preserve"> in an economic activity’ (</w:t>
      </w:r>
      <w:proofErr w:type="spellStart"/>
      <w:r w:rsidRPr="2BE361E1" w:rsidR="33B051F6">
        <w:rPr>
          <w:i w:val="1"/>
          <w:iCs w:val="1"/>
          <w:sz w:val="28"/>
          <w:szCs w:val="28"/>
        </w:rPr>
        <w:t>Poucet</w:t>
      </w:r>
      <w:proofErr w:type="spellEnd"/>
      <w:r w:rsidRPr="2BE361E1" w:rsidR="33B051F6">
        <w:rPr>
          <w:i w:val="1"/>
          <w:iCs w:val="1"/>
          <w:sz w:val="28"/>
          <w:szCs w:val="28"/>
        </w:rPr>
        <w:t xml:space="preserve"> 1993)</w:t>
      </w:r>
      <w:r w:rsidRPr="2BE361E1" w:rsidR="33B051F6">
        <w:rPr>
          <w:sz w:val="28"/>
          <w:szCs w:val="28"/>
        </w:rPr>
        <w:t xml:space="preserve">. In </w:t>
      </w:r>
      <w:proofErr w:type="spellStart"/>
      <w:r w:rsidRPr="2BE361E1" w:rsidR="33B051F6">
        <w:rPr>
          <w:sz w:val="28"/>
          <w:szCs w:val="28"/>
        </w:rPr>
        <w:t>Poucet</w:t>
      </w:r>
      <w:proofErr w:type="spellEnd"/>
      <w:r w:rsidRPr="2BE361E1" w:rsidR="33B051F6">
        <w:rPr>
          <w:sz w:val="28"/>
          <w:szCs w:val="28"/>
        </w:rPr>
        <w:t xml:space="preserve"> 1993, the company con</w:t>
      </w:r>
      <w:r w:rsidRPr="2BE361E1" w:rsidR="750B6CC4">
        <w:rPr>
          <w:sz w:val="28"/>
          <w:szCs w:val="28"/>
        </w:rPr>
        <w:t>cerned was dealing with social assistance, because the main objective was not to make money, the company were not considered an undertaking</w:t>
      </w:r>
      <w:r w:rsidRPr="2BE361E1" w:rsidR="096FFF86">
        <w:rPr>
          <w:sz w:val="28"/>
          <w:szCs w:val="28"/>
        </w:rPr>
        <w:t xml:space="preserve">. It is important to establish the facts in competition law as most companies are in the </w:t>
      </w:r>
      <w:r w:rsidRPr="2BE361E1" w:rsidR="45CA146F">
        <w:rPr>
          <w:sz w:val="28"/>
          <w:szCs w:val="28"/>
        </w:rPr>
        <w:t>relevant</w:t>
      </w:r>
      <w:r w:rsidRPr="2BE361E1" w:rsidR="096FFF86">
        <w:rPr>
          <w:sz w:val="28"/>
          <w:szCs w:val="28"/>
        </w:rPr>
        <w:t xml:space="preserve"> markets to make money, meaning they are consid</w:t>
      </w:r>
      <w:r w:rsidRPr="2BE361E1" w:rsidR="5B70FBEA">
        <w:rPr>
          <w:sz w:val="28"/>
          <w:szCs w:val="28"/>
        </w:rPr>
        <w:t>ered an undertaking</w:t>
      </w:r>
      <w:r w:rsidRPr="2BE361E1" w:rsidR="61191DD0">
        <w:rPr>
          <w:sz w:val="28"/>
          <w:szCs w:val="28"/>
        </w:rPr>
        <w:t xml:space="preserve"> and can be held accountable under relevant EU laws. </w:t>
      </w:r>
    </w:p>
    <w:p w:rsidR="61191DD0" w:rsidP="2BE361E1" w:rsidRDefault="61191DD0" w14:paraId="5D2CF613" w14:textId="23267C00">
      <w:pPr>
        <w:pStyle w:val="Normal"/>
        <w:bidi w:val="0"/>
        <w:spacing w:before="0" w:beforeAutospacing="off" w:after="160" w:afterAutospacing="off" w:line="259" w:lineRule="auto"/>
        <w:ind w:left="0" w:right="0"/>
        <w:jc w:val="left"/>
        <w:rPr>
          <w:sz w:val="28"/>
          <w:szCs w:val="28"/>
        </w:rPr>
      </w:pPr>
      <w:r w:rsidRPr="2BE361E1" w:rsidR="61191DD0">
        <w:rPr>
          <w:sz w:val="28"/>
          <w:szCs w:val="28"/>
        </w:rPr>
        <w:t>For Article 101, there must be an agreement, decision or concerted practices. An agreement in context with competition law essentially is a ‘contrac</w:t>
      </w:r>
      <w:r w:rsidRPr="2BE361E1" w:rsidR="62E71698">
        <w:rPr>
          <w:sz w:val="28"/>
          <w:szCs w:val="28"/>
        </w:rPr>
        <w:t>t</w:t>
      </w:r>
      <w:r w:rsidRPr="2BE361E1" w:rsidR="039BD45E">
        <w:rPr>
          <w:sz w:val="28"/>
          <w:szCs w:val="28"/>
        </w:rPr>
        <w:t>’ between companies. This can be written or unwritten. The EU has expanded this scope of contractual law further</w:t>
      </w:r>
      <w:r w:rsidRPr="2BE361E1" w:rsidR="0F609CE2">
        <w:rPr>
          <w:sz w:val="28"/>
          <w:szCs w:val="28"/>
        </w:rPr>
        <w:t xml:space="preserve"> under Article 101. In the </w:t>
      </w:r>
      <w:r w:rsidRPr="2BE361E1" w:rsidR="0F609CE2">
        <w:rPr>
          <w:i w:val="1"/>
          <w:iCs w:val="1"/>
          <w:sz w:val="28"/>
          <w:szCs w:val="28"/>
        </w:rPr>
        <w:t xml:space="preserve">Quinine Cartel case </w:t>
      </w:r>
      <w:r w:rsidRPr="2BE361E1" w:rsidR="373AC99D">
        <w:rPr>
          <w:i w:val="1"/>
          <w:iCs w:val="1"/>
          <w:sz w:val="28"/>
          <w:szCs w:val="28"/>
        </w:rPr>
        <w:t>(</w:t>
      </w:r>
      <w:r w:rsidRPr="2BE361E1" w:rsidR="0F609CE2">
        <w:rPr>
          <w:i w:val="1"/>
          <w:iCs w:val="1"/>
          <w:sz w:val="28"/>
          <w:szCs w:val="28"/>
        </w:rPr>
        <w:t>1970</w:t>
      </w:r>
      <w:r w:rsidRPr="2BE361E1" w:rsidR="08FA41F2">
        <w:rPr>
          <w:i w:val="1"/>
          <w:iCs w:val="1"/>
          <w:sz w:val="28"/>
          <w:szCs w:val="28"/>
        </w:rPr>
        <w:t>)</w:t>
      </w:r>
      <w:r w:rsidRPr="2BE361E1" w:rsidR="0F609CE2">
        <w:rPr>
          <w:sz w:val="28"/>
          <w:szCs w:val="28"/>
        </w:rPr>
        <w:t xml:space="preserve">, there was a </w:t>
      </w:r>
      <w:r w:rsidRPr="2BE361E1" w:rsidR="0F609CE2">
        <w:rPr>
          <w:i w:val="1"/>
          <w:iCs w:val="1"/>
          <w:sz w:val="28"/>
          <w:szCs w:val="28"/>
        </w:rPr>
        <w:t>‘gentleman’s agreement’</w:t>
      </w:r>
      <w:r w:rsidRPr="2BE361E1" w:rsidR="0F609CE2">
        <w:rPr>
          <w:sz w:val="28"/>
          <w:szCs w:val="28"/>
        </w:rPr>
        <w:t xml:space="preserve"> which was an acknowledgement between the parties and undertaking</w:t>
      </w:r>
      <w:r w:rsidRPr="2BE361E1" w:rsidR="7426AB12">
        <w:rPr>
          <w:sz w:val="28"/>
          <w:szCs w:val="28"/>
        </w:rPr>
        <w:t xml:space="preserve">s. This shows that </w:t>
      </w:r>
      <w:r w:rsidRPr="2BE361E1" w:rsidR="7426AB12">
        <w:rPr>
          <w:i w:val="1"/>
          <w:iCs w:val="1"/>
          <w:sz w:val="28"/>
          <w:szCs w:val="28"/>
        </w:rPr>
        <w:t>‘underhand’</w:t>
      </w:r>
      <w:r w:rsidRPr="2BE361E1" w:rsidR="7426AB12">
        <w:rPr>
          <w:sz w:val="28"/>
          <w:szCs w:val="28"/>
        </w:rPr>
        <w:t xml:space="preserve"> type of agreements will be caught under EU law, in line with Article 101 and com</w:t>
      </w:r>
      <w:r w:rsidRPr="2BE361E1" w:rsidR="0F413BF1">
        <w:rPr>
          <w:sz w:val="28"/>
          <w:szCs w:val="28"/>
        </w:rPr>
        <w:t xml:space="preserve">petition laws. </w:t>
      </w:r>
    </w:p>
    <w:p w:rsidR="047E8ED2" w:rsidP="2BE361E1" w:rsidRDefault="047E8ED2" w14:paraId="25DC8ADF" w14:textId="7A223C5C">
      <w:pPr>
        <w:pStyle w:val="Normal"/>
        <w:bidi w:val="0"/>
        <w:spacing w:before="0" w:beforeAutospacing="off" w:after="160" w:afterAutospacing="off" w:line="259" w:lineRule="auto"/>
        <w:ind w:left="0" w:right="0"/>
        <w:jc w:val="left"/>
        <w:rPr>
          <w:sz w:val="28"/>
          <w:szCs w:val="28"/>
        </w:rPr>
      </w:pPr>
      <w:r w:rsidRPr="2BE361E1" w:rsidR="047E8ED2">
        <w:rPr>
          <w:sz w:val="28"/>
          <w:szCs w:val="28"/>
        </w:rPr>
        <w:t xml:space="preserve">Article 102 covers the abuse of a dominant market position. There are four </w:t>
      </w:r>
      <w:r w:rsidRPr="2BE361E1" w:rsidR="3AA73FB4">
        <w:rPr>
          <w:sz w:val="28"/>
          <w:szCs w:val="28"/>
        </w:rPr>
        <w:t>initial</w:t>
      </w:r>
      <w:r w:rsidRPr="2BE361E1" w:rsidR="047E8ED2">
        <w:rPr>
          <w:sz w:val="28"/>
          <w:szCs w:val="28"/>
        </w:rPr>
        <w:t xml:space="preserve"> requirements. There </w:t>
      </w:r>
      <w:r w:rsidRPr="2BE361E1" w:rsidR="740C43F9">
        <w:rPr>
          <w:sz w:val="28"/>
          <w:szCs w:val="28"/>
        </w:rPr>
        <w:t>must</w:t>
      </w:r>
      <w:r w:rsidRPr="2BE361E1" w:rsidR="047E8ED2">
        <w:rPr>
          <w:sz w:val="28"/>
          <w:szCs w:val="28"/>
        </w:rPr>
        <w:t xml:space="preserve"> be an undertaking. </w:t>
      </w:r>
    </w:p>
    <w:p w:rsidR="3F0D5A8C" w:rsidP="2BE361E1" w:rsidRDefault="3F0D5A8C" w14:paraId="72907A03" w14:textId="4A034CE9">
      <w:pPr>
        <w:pStyle w:val="Normal"/>
        <w:bidi w:val="0"/>
        <w:spacing w:before="0" w:beforeAutospacing="off" w:after="160" w:afterAutospacing="off" w:line="259" w:lineRule="auto"/>
        <w:ind w:left="0" w:right="0"/>
        <w:jc w:val="left"/>
        <w:rPr>
          <w:sz w:val="28"/>
          <w:szCs w:val="28"/>
        </w:rPr>
      </w:pPr>
      <w:r w:rsidRPr="2BE361E1" w:rsidR="3F0D5A8C">
        <w:rPr>
          <w:sz w:val="28"/>
          <w:szCs w:val="28"/>
        </w:rPr>
        <w:t>The next point is market dominance in the relevant market. The product market is important in understanding the significance surrounding compe</w:t>
      </w:r>
      <w:r w:rsidRPr="2BE361E1" w:rsidR="659D4C35">
        <w:rPr>
          <w:sz w:val="28"/>
          <w:szCs w:val="28"/>
        </w:rPr>
        <w:t xml:space="preserve">tition law. </w:t>
      </w:r>
      <w:r w:rsidRPr="2BE361E1" w:rsidR="659D4C35">
        <w:rPr>
          <w:i w:val="1"/>
          <w:iCs w:val="1"/>
          <w:sz w:val="28"/>
          <w:szCs w:val="28"/>
        </w:rPr>
        <w:t xml:space="preserve">United Brands (UB) v Commision </w:t>
      </w:r>
      <w:r w:rsidRPr="2BE361E1" w:rsidR="0121549E">
        <w:rPr>
          <w:i w:val="1"/>
          <w:iCs w:val="1"/>
          <w:sz w:val="28"/>
          <w:szCs w:val="28"/>
        </w:rPr>
        <w:t>(</w:t>
      </w:r>
      <w:r w:rsidRPr="2BE361E1" w:rsidR="659D4C35">
        <w:rPr>
          <w:i w:val="1"/>
          <w:iCs w:val="1"/>
          <w:sz w:val="28"/>
          <w:szCs w:val="28"/>
        </w:rPr>
        <w:t>1978</w:t>
      </w:r>
      <w:r w:rsidRPr="2BE361E1" w:rsidR="0A21A6DD">
        <w:rPr>
          <w:i w:val="1"/>
          <w:iCs w:val="1"/>
          <w:sz w:val="28"/>
          <w:szCs w:val="28"/>
        </w:rPr>
        <w:t>)</w:t>
      </w:r>
      <w:r w:rsidRPr="2BE361E1" w:rsidR="659D4C35">
        <w:rPr>
          <w:sz w:val="28"/>
          <w:szCs w:val="28"/>
        </w:rPr>
        <w:t xml:space="preserve">, where UB sold bananas and stated that the </w:t>
      </w:r>
      <w:r w:rsidRPr="2BE361E1" w:rsidR="6B7FB077">
        <w:rPr>
          <w:sz w:val="28"/>
          <w:szCs w:val="28"/>
        </w:rPr>
        <w:t>product market was fruit. However, the EU decided they were not fruit, but in</w:t>
      </w:r>
      <w:r w:rsidRPr="2BE361E1" w:rsidR="749C7C78">
        <w:rPr>
          <w:sz w:val="28"/>
          <w:szCs w:val="28"/>
        </w:rPr>
        <w:t xml:space="preserve"> </w:t>
      </w:r>
      <w:r w:rsidRPr="2BE361E1" w:rsidR="6B7FB077">
        <w:rPr>
          <w:sz w:val="28"/>
          <w:szCs w:val="28"/>
        </w:rPr>
        <w:t>fact seeds. The case concluded that the relevant product market was bananas not fruit. This d</w:t>
      </w:r>
      <w:r w:rsidRPr="2BE361E1" w:rsidR="0DF7A90E">
        <w:rPr>
          <w:sz w:val="28"/>
          <w:szCs w:val="28"/>
        </w:rPr>
        <w:t>emonstrates how such companies will try and make the product market as</w:t>
      </w:r>
      <w:r w:rsidRPr="2BE361E1" w:rsidR="0DF7A90E">
        <w:rPr>
          <w:i w:val="1"/>
          <w:iCs w:val="1"/>
          <w:sz w:val="28"/>
          <w:szCs w:val="28"/>
        </w:rPr>
        <w:t xml:space="preserve"> ‘broad’</w:t>
      </w:r>
      <w:r w:rsidRPr="2BE361E1" w:rsidR="0DF7A90E">
        <w:rPr>
          <w:sz w:val="28"/>
          <w:szCs w:val="28"/>
        </w:rPr>
        <w:t xml:space="preserve"> as </w:t>
      </w:r>
      <w:r w:rsidRPr="2BE361E1" w:rsidR="50BFCBF1">
        <w:rPr>
          <w:sz w:val="28"/>
          <w:szCs w:val="28"/>
        </w:rPr>
        <w:t>possible</w:t>
      </w:r>
      <w:r w:rsidRPr="2BE361E1" w:rsidR="0DF7A90E">
        <w:rPr>
          <w:sz w:val="28"/>
          <w:szCs w:val="28"/>
        </w:rPr>
        <w:t xml:space="preserve">. This is an issue, as it could show an element of market manipulation by big companies. </w:t>
      </w:r>
    </w:p>
    <w:p w:rsidR="76517E2F" w:rsidP="2BE361E1" w:rsidRDefault="76517E2F" w14:paraId="29265BE6" w14:textId="20D07C41">
      <w:pPr>
        <w:pStyle w:val="Normal"/>
        <w:bidi w:val="0"/>
        <w:spacing w:before="0" w:beforeAutospacing="off" w:after="160" w:afterAutospacing="off" w:line="259" w:lineRule="auto"/>
        <w:ind w:left="0" w:right="0"/>
        <w:jc w:val="left"/>
        <w:rPr>
          <w:sz w:val="28"/>
          <w:szCs w:val="28"/>
        </w:rPr>
      </w:pPr>
      <w:r w:rsidRPr="2BE361E1" w:rsidR="76517E2F">
        <w:rPr>
          <w:sz w:val="28"/>
          <w:szCs w:val="28"/>
        </w:rPr>
        <w:t xml:space="preserve">Geographical market is also important ** in product market as </w:t>
      </w:r>
      <w:r w:rsidRPr="2BE361E1" w:rsidR="642D2803">
        <w:rPr>
          <w:sz w:val="28"/>
          <w:szCs w:val="28"/>
        </w:rPr>
        <w:t>demonstrated</w:t>
      </w:r>
      <w:r w:rsidRPr="2BE361E1" w:rsidR="76517E2F">
        <w:rPr>
          <w:sz w:val="28"/>
          <w:szCs w:val="28"/>
        </w:rPr>
        <w:t xml:space="preserve"> in the case of </w:t>
      </w:r>
      <w:r w:rsidRPr="2BE361E1" w:rsidR="76517E2F">
        <w:rPr>
          <w:i w:val="1"/>
          <w:iCs w:val="1"/>
          <w:sz w:val="28"/>
          <w:szCs w:val="28"/>
        </w:rPr>
        <w:t xml:space="preserve">Napier </w:t>
      </w:r>
      <w:r w:rsidRPr="2BE361E1" w:rsidR="4A5C2A08">
        <w:rPr>
          <w:i w:val="1"/>
          <w:iCs w:val="1"/>
          <w:sz w:val="28"/>
          <w:szCs w:val="28"/>
        </w:rPr>
        <w:t xml:space="preserve">Brown- British </w:t>
      </w:r>
      <w:r w:rsidRPr="2BE361E1" w:rsidR="1FC3B5C0">
        <w:rPr>
          <w:i w:val="1"/>
          <w:iCs w:val="1"/>
          <w:sz w:val="28"/>
          <w:szCs w:val="28"/>
        </w:rPr>
        <w:t>S</w:t>
      </w:r>
      <w:r w:rsidRPr="2BE361E1" w:rsidR="4A5C2A08">
        <w:rPr>
          <w:i w:val="1"/>
          <w:iCs w:val="1"/>
          <w:sz w:val="28"/>
          <w:szCs w:val="28"/>
        </w:rPr>
        <w:t xml:space="preserve">ugar </w:t>
      </w:r>
      <w:r w:rsidRPr="2BE361E1" w:rsidR="6C6E9018">
        <w:rPr>
          <w:i w:val="1"/>
          <w:iCs w:val="1"/>
          <w:sz w:val="28"/>
          <w:szCs w:val="28"/>
        </w:rPr>
        <w:t>(</w:t>
      </w:r>
      <w:r w:rsidRPr="2BE361E1" w:rsidR="4A5C2A08">
        <w:rPr>
          <w:i w:val="1"/>
          <w:iCs w:val="1"/>
          <w:sz w:val="28"/>
          <w:szCs w:val="28"/>
        </w:rPr>
        <w:t>1988</w:t>
      </w:r>
      <w:r w:rsidRPr="2BE361E1" w:rsidR="7A944C2E">
        <w:rPr>
          <w:i w:val="1"/>
          <w:iCs w:val="1"/>
          <w:sz w:val="28"/>
          <w:szCs w:val="28"/>
        </w:rPr>
        <w:t>)</w:t>
      </w:r>
      <w:r w:rsidRPr="2BE361E1" w:rsidR="4A5C2A08">
        <w:rPr>
          <w:sz w:val="28"/>
          <w:szCs w:val="28"/>
        </w:rPr>
        <w:t xml:space="preserve">. The company in this case argued that the geographic market was *very wide*, </w:t>
      </w:r>
      <w:r w:rsidRPr="2BE361E1" w:rsidR="077210EA">
        <w:rPr>
          <w:sz w:val="28"/>
          <w:szCs w:val="28"/>
        </w:rPr>
        <w:t>incorporating</w:t>
      </w:r>
      <w:r w:rsidRPr="2BE361E1" w:rsidR="4A5C2A08">
        <w:rPr>
          <w:sz w:val="28"/>
          <w:szCs w:val="28"/>
        </w:rPr>
        <w:t xml:space="preserve"> the whole EU. However,</w:t>
      </w:r>
      <w:r w:rsidRPr="2BE361E1" w:rsidR="64A3210B">
        <w:rPr>
          <w:sz w:val="28"/>
          <w:szCs w:val="28"/>
        </w:rPr>
        <w:t xml:space="preserve"> the court concluded that Napier in this case, in relation to </w:t>
      </w:r>
      <w:r w:rsidRPr="2BE361E1" w:rsidR="5201C91B">
        <w:rPr>
          <w:sz w:val="28"/>
          <w:szCs w:val="28"/>
        </w:rPr>
        <w:t>geographical</w:t>
      </w:r>
      <w:r w:rsidRPr="2BE361E1" w:rsidR="64A3210B">
        <w:rPr>
          <w:sz w:val="28"/>
          <w:szCs w:val="28"/>
        </w:rPr>
        <w:t xml:space="preserve"> markets, only the UK was considered as their market because they had a broad market share. </w:t>
      </w:r>
      <w:r w:rsidRPr="2BE361E1" w:rsidR="0975FB7C">
        <w:rPr>
          <w:sz w:val="28"/>
          <w:szCs w:val="28"/>
        </w:rPr>
        <w:t>Furthermore</w:t>
      </w:r>
      <w:r w:rsidRPr="2BE361E1" w:rsidR="201BD798">
        <w:rPr>
          <w:sz w:val="28"/>
          <w:szCs w:val="28"/>
        </w:rPr>
        <w:t xml:space="preserve">, the commission may consider time as a factor in relevant context. Certain products like fruits which may have limited </w:t>
      </w:r>
      <w:r w:rsidRPr="2BE361E1" w:rsidR="53C36158">
        <w:rPr>
          <w:sz w:val="28"/>
          <w:szCs w:val="28"/>
        </w:rPr>
        <w:t>availability</w:t>
      </w:r>
      <w:r w:rsidRPr="2BE361E1" w:rsidR="201BD798">
        <w:rPr>
          <w:sz w:val="28"/>
          <w:szCs w:val="28"/>
        </w:rPr>
        <w:t>. This is so</w:t>
      </w:r>
      <w:r w:rsidRPr="2BE361E1" w:rsidR="088B1632">
        <w:rPr>
          <w:sz w:val="28"/>
          <w:szCs w:val="28"/>
        </w:rPr>
        <w:t xml:space="preserve">mething that needs to be looked at, </w:t>
      </w:r>
      <w:r w:rsidRPr="2BE361E1" w:rsidR="114086D1">
        <w:rPr>
          <w:sz w:val="28"/>
          <w:szCs w:val="28"/>
        </w:rPr>
        <w:t>particularly</w:t>
      </w:r>
      <w:r w:rsidRPr="2BE361E1" w:rsidR="088B1632">
        <w:rPr>
          <w:sz w:val="28"/>
          <w:szCs w:val="28"/>
        </w:rPr>
        <w:t xml:space="preserve"> in certain industries. Another factor evaluated is dominance. If dominance is identified clearly,</w:t>
      </w:r>
      <w:r w:rsidRPr="2BE361E1" w:rsidR="3D9D365A">
        <w:rPr>
          <w:sz w:val="28"/>
          <w:szCs w:val="28"/>
        </w:rPr>
        <w:t xml:space="preserve"> in context with competition law, examining the difference between the ‘top’ companies and ‘</w:t>
      </w:r>
      <w:r w:rsidRPr="2BE361E1" w:rsidR="0742BE73">
        <w:rPr>
          <w:sz w:val="28"/>
          <w:szCs w:val="28"/>
        </w:rPr>
        <w:t xml:space="preserve">lower’ companies is vital. </w:t>
      </w:r>
    </w:p>
    <w:p w:rsidR="4274213C" w:rsidP="2BE361E1" w:rsidRDefault="4274213C" w14:paraId="3CA21D02" w14:textId="7C7372A4">
      <w:pPr>
        <w:pStyle w:val="Normal"/>
        <w:bidi w:val="0"/>
        <w:spacing w:before="0" w:beforeAutospacing="off" w:after="160" w:afterAutospacing="off" w:line="259" w:lineRule="auto"/>
        <w:ind w:left="0" w:right="0"/>
        <w:jc w:val="left"/>
        <w:rPr>
          <w:sz w:val="28"/>
          <w:szCs w:val="28"/>
        </w:rPr>
      </w:pPr>
      <w:r w:rsidRPr="2BE361E1" w:rsidR="4274213C">
        <w:rPr>
          <w:sz w:val="28"/>
          <w:szCs w:val="28"/>
        </w:rPr>
        <w:t xml:space="preserve">In </w:t>
      </w:r>
      <w:r w:rsidRPr="2BE361E1" w:rsidR="4274213C">
        <w:rPr>
          <w:i w:val="1"/>
          <w:iCs w:val="1"/>
          <w:sz w:val="28"/>
          <w:szCs w:val="28"/>
        </w:rPr>
        <w:t xml:space="preserve">British Airways v Commission </w:t>
      </w:r>
      <w:r w:rsidRPr="2BE361E1" w:rsidR="26878741">
        <w:rPr>
          <w:i w:val="1"/>
          <w:iCs w:val="1"/>
          <w:sz w:val="28"/>
          <w:szCs w:val="28"/>
        </w:rPr>
        <w:t>(</w:t>
      </w:r>
      <w:r w:rsidRPr="2BE361E1" w:rsidR="4274213C">
        <w:rPr>
          <w:i w:val="1"/>
          <w:iCs w:val="1"/>
          <w:sz w:val="28"/>
          <w:szCs w:val="28"/>
        </w:rPr>
        <w:t>2004</w:t>
      </w:r>
      <w:r w:rsidRPr="2BE361E1" w:rsidR="576424E2">
        <w:rPr>
          <w:i w:val="1"/>
          <w:iCs w:val="1"/>
          <w:sz w:val="28"/>
          <w:szCs w:val="28"/>
        </w:rPr>
        <w:t>)</w:t>
      </w:r>
      <w:r w:rsidRPr="2BE361E1" w:rsidR="4274213C">
        <w:rPr>
          <w:i w:val="1"/>
          <w:iCs w:val="1"/>
          <w:sz w:val="28"/>
          <w:szCs w:val="28"/>
        </w:rPr>
        <w:t>,</w:t>
      </w:r>
      <w:r w:rsidRPr="2BE361E1" w:rsidR="4274213C">
        <w:rPr>
          <w:sz w:val="28"/>
          <w:szCs w:val="28"/>
        </w:rPr>
        <w:t xml:space="preserve"> an example of dominance is demonstrated</w:t>
      </w:r>
      <w:r w:rsidRPr="2BE361E1" w:rsidR="04DAB56B">
        <w:rPr>
          <w:sz w:val="28"/>
          <w:szCs w:val="28"/>
        </w:rPr>
        <w:t>, however some issues with identifying it are present</w:t>
      </w:r>
      <w:r w:rsidRPr="2BE361E1" w:rsidR="4274213C">
        <w:rPr>
          <w:sz w:val="28"/>
          <w:szCs w:val="28"/>
        </w:rPr>
        <w:t xml:space="preserve">. British </w:t>
      </w:r>
      <w:r w:rsidRPr="2BE361E1" w:rsidR="3BF5B5FB">
        <w:rPr>
          <w:sz w:val="28"/>
          <w:szCs w:val="28"/>
        </w:rPr>
        <w:t>Airways</w:t>
      </w:r>
      <w:r w:rsidRPr="2BE361E1" w:rsidR="4274213C">
        <w:rPr>
          <w:sz w:val="28"/>
          <w:szCs w:val="28"/>
        </w:rPr>
        <w:t xml:space="preserve"> held 40</w:t>
      </w:r>
      <w:r w:rsidRPr="2BE361E1" w:rsidR="7E741F06">
        <w:rPr>
          <w:sz w:val="28"/>
          <w:szCs w:val="28"/>
        </w:rPr>
        <w:t xml:space="preserve">% of the </w:t>
      </w:r>
      <w:r w:rsidRPr="2BE361E1" w:rsidR="6F7E287F">
        <w:rPr>
          <w:sz w:val="28"/>
          <w:szCs w:val="28"/>
        </w:rPr>
        <w:t>market</w:t>
      </w:r>
      <w:r w:rsidRPr="2BE361E1" w:rsidR="7E741F06">
        <w:rPr>
          <w:sz w:val="28"/>
          <w:szCs w:val="28"/>
        </w:rPr>
        <w:t xml:space="preserve">, whereas the next major </w:t>
      </w:r>
      <w:r w:rsidRPr="2BE361E1" w:rsidR="5D9A6F5B">
        <w:rPr>
          <w:sz w:val="28"/>
          <w:szCs w:val="28"/>
        </w:rPr>
        <w:t>shareholder</w:t>
      </w:r>
      <w:r w:rsidRPr="2BE361E1" w:rsidR="7E741F06">
        <w:rPr>
          <w:sz w:val="28"/>
          <w:szCs w:val="28"/>
        </w:rPr>
        <w:t xml:space="preserve"> was Virgin and Virgin, who controlled 5%. There is a clear difference in stakes, and the</w:t>
      </w:r>
      <w:r w:rsidRPr="2BE361E1" w:rsidR="2EA50ED3">
        <w:rPr>
          <w:sz w:val="28"/>
          <w:szCs w:val="28"/>
        </w:rPr>
        <w:t xml:space="preserve"> case concluded that the</w:t>
      </w:r>
      <w:r w:rsidRPr="2BE361E1" w:rsidR="7E741F06">
        <w:rPr>
          <w:sz w:val="28"/>
          <w:szCs w:val="28"/>
        </w:rPr>
        <w:t xml:space="preserve"> </w:t>
      </w:r>
      <w:r w:rsidRPr="2BE361E1" w:rsidR="3FCF39D5">
        <w:rPr>
          <w:sz w:val="28"/>
          <w:szCs w:val="28"/>
        </w:rPr>
        <w:t xml:space="preserve">‘gap’ is big enough to consider market dominance. </w:t>
      </w:r>
      <w:r w:rsidRPr="2BE361E1" w:rsidR="68083CE3">
        <w:rPr>
          <w:sz w:val="28"/>
          <w:szCs w:val="28"/>
        </w:rPr>
        <w:t>But</w:t>
      </w:r>
      <w:r w:rsidRPr="2BE361E1" w:rsidR="3FCF39D5">
        <w:rPr>
          <w:sz w:val="28"/>
          <w:szCs w:val="28"/>
        </w:rPr>
        <w:t xml:space="preserve"> this also shows </w:t>
      </w:r>
      <w:r w:rsidRPr="2BE361E1" w:rsidR="235CA819">
        <w:rPr>
          <w:sz w:val="28"/>
          <w:szCs w:val="28"/>
        </w:rPr>
        <w:t xml:space="preserve">issues when looking at dominance. In a traditional sense British Airways did not hold a major share </w:t>
      </w:r>
      <w:proofErr w:type="gramStart"/>
      <w:r w:rsidRPr="2BE361E1" w:rsidR="235CA819">
        <w:rPr>
          <w:sz w:val="28"/>
          <w:szCs w:val="28"/>
        </w:rPr>
        <w:t>I.e.</w:t>
      </w:r>
      <w:proofErr w:type="gramEnd"/>
      <w:r w:rsidRPr="2BE361E1" w:rsidR="235CA819">
        <w:rPr>
          <w:sz w:val="28"/>
          <w:szCs w:val="28"/>
        </w:rPr>
        <w:t xml:space="preserve"> &gt;50%. </w:t>
      </w:r>
      <w:proofErr w:type="gramStart"/>
      <w:r w:rsidRPr="2BE361E1" w:rsidR="235CA819">
        <w:rPr>
          <w:sz w:val="28"/>
          <w:szCs w:val="28"/>
        </w:rPr>
        <w:t>So</w:t>
      </w:r>
      <w:proofErr w:type="gramEnd"/>
      <w:r w:rsidRPr="2BE361E1" w:rsidR="235CA819">
        <w:rPr>
          <w:sz w:val="28"/>
          <w:szCs w:val="28"/>
        </w:rPr>
        <w:t xml:space="preserve"> </w:t>
      </w:r>
      <w:r w:rsidRPr="2BE361E1" w:rsidR="15549907">
        <w:rPr>
          <w:sz w:val="28"/>
          <w:szCs w:val="28"/>
        </w:rPr>
        <w:t>criticism</w:t>
      </w:r>
      <w:r w:rsidRPr="2BE361E1" w:rsidR="235CA819">
        <w:rPr>
          <w:sz w:val="28"/>
          <w:szCs w:val="28"/>
        </w:rPr>
        <w:t xml:space="preserve"> in this case </w:t>
      </w:r>
      <w:r w:rsidRPr="2BE361E1" w:rsidR="42ADE0FB">
        <w:rPr>
          <w:sz w:val="28"/>
          <w:szCs w:val="28"/>
        </w:rPr>
        <w:t>can be drawn as........</w:t>
      </w:r>
    </w:p>
    <w:p w:rsidR="2BE361E1" w:rsidP="2BE361E1" w:rsidRDefault="2BE361E1" w14:paraId="24A0768E" w14:textId="4707A74E">
      <w:pPr>
        <w:pStyle w:val="Normal"/>
        <w:bidi w:val="0"/>
        <w:spacing w:before="0" w:beforeAutospacing="off" w:after="160" w:afterAutospacing="off" w:line="259" w:lineRule="auto"/>
        <w:ind w:left="0" w:right="0"/>
        <w:jc w:val="left"/>
        <w:rPr>
          <w:sz w:val="28"/>
          <w:szCs w:val="28"/>
        </w:rPr>
      </w:pPr>
    </w:p>
    <w:p xmlns:wp14="http://schemas.microsoft.com/office/word/2010/wordml" w:rsidP="0646BF68" w14:paraId="36F689E9" wp14:textId="1BB95DA5">
      <w:pPr>
        <w:pStyle w:val="Normal"/>
        <w:bidi w:val="0"/>
        <w:spacing w:before="0" w:beforeAutospacing="off" w:after="160" w:afterAutospacing="off" w:line="259" w:lineRule="auto"/>
        <w:ind w:left="0" w:right="0"/>
        <w:jc w:val="left"/>
        <w:rPr>
          <w:sz w:val="28"/>
          <w:szCs w:val="28"/>
        </w:rPr>
      </w:pPr>
    </w:p>
    <w:p xmlns:wp14="http://schemas.microsoft.com/office/word/2010/wordml" w:rsidP="0646BF68" w14:paraId="0B8283F9" wp14:textId="0A5EFE3F">
      <w:pPr>
        <w:pStyle w:val="Normal"/>
        <w:bidi w:val="0"/>
        <w:spacing w:before="0" w:beforeAutospacing="off" w:after="160" w:afterAutospacing="off" w:line="259" w:lineRule="auto"/>
        <w:ind w:left="0" w:right="0"/>
        <w:jc w:val="left"/>
        <w:rPr>
          <w:sz w:val="28"/>
          <w:szCs w:val="28"/>
        </w:rPr>
      </w:pPr>
    </w:p>
    <w:p xmlns:wp14="http://schemas.microsoft.com/office/word/2010/wordml" w:rsidP="0646BF68" w14:paraId="5E5787A5" wp14:textId="20CFB8A3" wp14:noSpellErr="1">
      <w:pPr>
        <w:pStyle w:val="Normal"/>
      </w:pPr>
    </w:p>
    <w:p w:rsidR="2BE361E1" w:rsidP="2BE361E1" w:rsidRDefault="2BE361E1" w14:paraId="33F3534E" w14:textId="28A39DA3">
      <w:pPr>
        <w:pStyle w:val="Normal"/>
      </w:pPr>
    </w:p>
    <w:p w:rsidR="2BE361E1" w:rsidP="2BE361E1" w:rsidRDefault="2BE361E1" w14:paraId="3E590D2A" w14:textId="3D25B99C">
      <w:pPr>
        <w:pStyle w:val="Normal"/>
      </w:pPr>
    </w:p>
    <w:p w:rsidR="2BE361E1" w:rsidP="2BE361E1" w:rsidRDefault="2BE361E1" w14:paraId="3B248615" w14:textId="30D09319">
      <w:pPr>
        <w:pStyle w:val="Normal"/>
      </w:pPr>
    </w:p>
    <w:p w:rsidR="2BE361E1" w:rsidP="2BE361E1" w:rsidRDefault="2BE361E1" w14:paraId="62684091" w14:textId="7433D0D6">
      <w:pPr>
        <w:pStyle w:val="Normal"/>
      </w:pPr>
    </w:p>
    <w:p w:rsidR="2BE361E1" w:rsidP="2BE361E1" w:rsidRDefault="2BE361E1" w14:paraId="5905E1E4" w14:textId="014FBAFB">
      <w:pPr>
        <w:pStyle w:val="Normal"/>
      </w:pPr>
    </w:p>
    <w:p w:rsidR="2BE361E1" w:rsidP="2BE361E1" w:rsidRDefault="2BE361E1" w14:paraId="7E7B8FA9" w14:textId="33C30105">
      <w:pPr>
        <w:pStyle w:val="Normal"/>
      </w:pPr>
    </w:p>
    <w:p w:rsidR="2BE361E1" w:rsidP="2BE361E1" w:rsidRDefault="2BE361E1" w14:paraId="314ABA87" w14:textId="7E168A0D">
      <w:pPr>
        <w:pStyle w:val="Normal"/>
      </w:pPr>
    </w:p>
    <w:p w:rsidR="2BE361E1" w:rsidP="2BE361E1" w:rsidRDefault="2BE361E1" w14:paraId="67CAB055" w14:textId="2A1C7DB0">
      <w:pPr>
        <w:pStyle w:val="Normal"/>
      </w:pPr>
    </w:p>
    <w:p w:rsidR="2BE361E1" w:rsidP="2BE361E1" w:rsidRDefault="2BE361E1" w14:paraId="0A3830D3" w14:textId="2EA9D300">
      <w:pPr>
        <w:pStyle w:val="Normal"/>
      </w:pPr>
    </w:p>
    <w:p w:rsidR="2BE361E1" w:rsidP="2BE361E1" w:rsidRDefault="2BE361E1" w14:paraId="02BBCB44" w14:textId="13E83550">
      <w:pPr>
        <w:pStyle w:val="Normal"/>
      </w:pPr>
    </w:p>
    <w:p w:rsidR="2BE361E1" w:rsidP="2BE361E1" w:rsidRDefault="2BE361E1" w14:paraId="3435953F" w14:textId="6A8DA250">
      <w:pPr>
        <w:pStyle w:val="Normal"/>
      </w:pPr>
    </w:p>
    <w:p w:rsidR="2BE361E1" w:rsidP="2BE361E1" w:rsidRDefault="2BE361E1" w14:paraId="2B1478FF" w14:textId="209FAEED">
      <w:pPr>
        <w:pStyle w:val="Normal"/>
      </w:pPr>
    </w:p>
    <w:p w:rsidR="2BE361E1" w:rsidP="2BE361E1" w:rsidRDefault="2BE361E1" w14:paraId="254045F9" w14:textId="36D4F052">
      <w:pPr>
        <w:pStyle w:val="Normal"/>
      </w:pPr>
    </w:p>
    <w:p w:rsidR="2BE361E1" w:rsidP="2BE361E1" w:rsidRDefault="2BE361E1" w14:paraId="504975C4" w14:textId="34E80CF6">
      <w:pPr>
        <w:pStyle w:val="Normal"/>
      </w:pPr>
    </w:p>
    <w:p w:rsidR="2BE361E1" w:rsidP="2BE361E1" w:rsidRDefault="2BE361E1" w14:paraId="677669B6" w14:textId="6CF07601">
      <w:pPr>
        <w:pStyle w:val="Normal"/>
      </w:pPr>
    </w:p>
    <w:p w:rsidR="2BE361E1" w:rsidP="2BE361E1" w:rsidRDefault="2BE361E1" w14:paraId="6F683E9B" w14:textId="0E7FCD77">
      <w:pPr>
        <w:pStyle w:val="Normal"/>
      </w:pPr>
    </w:p>
    <w:p w:rsidR="2BE361E1" w:rsidP="2BE361E1" w:rsidRDefault="2BE361E1" w14:paraId="20696497" w14:textId="2C0A49D8">
      <w:pPr>
        <w:pStyle w:val="Normal"/>
      </w:pPr>
    </w:p>
    <w:p w:rsidR="2BE361E1" w:rsidP="2BE361E1" w:rsidRDefault="2BE361E1" w14:paraId="0DF7A23A" w14:textId="1FFDA0C7">
      <w:pPr>
        <w:pStyle w:val="Normal"/>
      </w:pPr>
    </w:p>
    <w:p w:rsidR="2BE361E1" w:rsidP="2BE361E1" w:rsidRDefault="2BE361E1" w14:paraId="281405D8" w14:textId="5EBF0D1F">
      <w:pPr>
        <w:pStyle w:val="Normal"/>
      </w:pPr>
    </w:p>
    <w:p w:rsidR="2BE361E1" w:rsidP="2BE361E1" w:rsidRDefault="2BE361E1" w14:paraId="0E87E8E9" w14:textId="120683F5">
      <w:pPr>
        <w:pStyle w:val="Normal"/>
      </w:pPr>
    </w:p>
    <w:p w:rsidR="2BE361E1" w:rsidP="2BE361E1" w:rsidRDefault="2BE361E1" w14:paraId="2CFC0AED" w14:textId="73ADB8CE">
      <w:pPr>
        <w:pStyle w:val="Normal"/>
      </w:pPr>
    </w:p>
    <w:p w:rsidR="2BE361E1" w:rsidP="2BE361E1" w:rsidRDefault="2BE361E1" w14:paraId="5F2F006E" w14:textId="370D3BA3">
      <w:pPr>
        <w:pStyle w:val="Normal"/>
      </w:pPr>
    </w:p>
    <w:p w:rsidR="2BE361E1" w:rsidP="2BE361E1" w:rsidRDefault="2BE361E1" w14:paraId="42DF8FCA" w14:textId="4ABE500F">
      <w:pPr>
        <w:pStyle w:val="Normal"/>
      </w:pPr>
    </w:p>
    <w:p w:rsidR="2BE361E1" w:rsidP="2BE361E1" w:rsidRDefault="2BE361E1" w14:paraId="4323B524" w14:textId="2E528252">
      <w:pPr>
        <w:pStyle w:val="Normal"/>
      </w:pPr>
    </w:p>
    <w:p w:rsidR="2BE361E1" w:rsidP="2BE361E1" w:rsidRDefault="2BE361E1" w14:paraId="719ABC01" w14:textId="3A45B483">
      <w:pPr>
        <w:pStyle w:val="Normal"/>
      </w:pPr>
    </w:p>
    <w:p w:rsidR="2BE361E1" w:rsidP="2BE361E1" w:rsidRDefault="2BE361E1" w14:paraId="47D32D8B" w14:textId="2401C8AC">
      <w:pPr>
        <w:pStyle w:val="Normal"/>
      </w:pPr>
    </w:p>
    <w:p w:rsidR="2BE361E1" w:rsidP="2BE361E1" w:rsidRDefault="2BE361E1" w14:paraId="7E0CA372" w14:textId="4DF20382">
      <w:pPr>
        <w:pStyle w:val="Normal"/>
      </w:pPr>
    </w:p>
    <w:p w:rsidR="2BE361E1" w:rsidP="2BE361E1" w:rsidRDefault="2BE361E1" w14:paraId="4BBCCADE" w14:textId="2ECBB483">
      <w:pPr>
        <w:pStyle w:val="Normal"/>
      </w:pPr>
    </w:p>
    <w:p w:rsidR="2BE361E1" w:rsidP="2BE361E1" w:rsidRDefault="2BE361E1" w14:paraId="70223801" w14:textId="27B18BAF">
      <w:pPr>
        <w:pStyle w:val="Normal"/>
      </w:pPr>
    </w:p>
    <w:p w:rsidR="2BE361E1" w:rsidP="2BE361E1" w:rsidRDefault="2BE361E1" w14:paraId="047CE7AF" w14:textId="2828A5EE">
      <w:pPr>
        <w:pStyle w:val="Normal"/>
      </w:pPr>
    </w:p>
    <w:p w:rsidR="2BE361E1" w:rsidP="2BE361E1" w:rsidRDefault="2BE361E1" w14:paraId="1E2999D1" w14:textId="51EB860D">
      <w:pPr>
        <w:pStyle w:val="Normal"/>
      </w:pPr>
    </w:p>
    <w:p w:rsidR="2BE361E1" w:rsidP="2BE361E1" w:rsidRDefault="2BE361E1" w14:paraId="52F71AE5" w14:textId="0180D4A7">
      <w:pPr>
        <w:pStyle w:val="Normal"/>
      </w:pPr>
    </w:p>
    <w:p w:rsidR="2BE361E1" w:rsidP="2BE361E1" w:rsidRDefault="2BE361E1" w14:paraId="5D6064A4" w14:textId="59D59D50">
      <w:pPr>
        <w:pStyle w:val="Normal"/>
      </w:pPr>
    </w:p>
    <w:p w:rsidR="2BE361E1" w:rsidP="2BE361E1" w:rsidRDefault="2BE361E1" w14:paraId="361D48AA" w14:textId="5CD9CFC1">
      <w:pPr>
        <w:pStyle w:val="Normal"/>
      </w:pPr>
    </w:p>
    <w:p w:rsidR="2BE361E1" w:rsidP="2BE361E1" w:rsidRDefault="2BE361E1" w14:paraId="2CE67725" w14:textId="55435CBB">
      <w:pPr>
        <w:pStyle w:val="Normal"/>
      </w:pPr>
    </w:p>
    <w:p w:rsidR="2BE361E1" w:rsidP="2BE361E1" w:rsidRDefault="2BE361E1" w14:paraId="29059644" w14:textId="33D43FC4">
      <w:pPr>
        <w:pStyle w:val="Normal"/>
      </w:pPr>
    </w:p>
    <w:p w:rsidR="2BE361E1" w:rsidP="2BE361E1" w:rsidRDefault="2BE361E1" w14:paraId="7E5259B5" w14:textId="36E7C442">
      <w:pPr>
        <w:pStyle w:val="Normal"/>
      </w:pPr>
    </w:p>
    <w:p w:rsidR="2BE361E1" w:rsidP="2BE361E1" w:rsidRDefault="2BE361E1" w14:paraId="2642CF52" w14:textId="53D80D06">
      <w:pPr>
        <w:pStyle w:val="Normal"/>
      </w:pPr>
    </w:p>
    <w:p w:rsidR="2BE361E1" w:rsidP="2BE361E1" w:rsidRDefault="2BE361E1" w14:paraId="099203CC" w14:textId="26EADC77">
      <w:pPr>
        <w:pStyle w:val="Normal"/>
      </w:pPr>
    </w:p>
    <w:p w:rsidR="2BE361E1" w:rsidP="2BE361E1" w:rsidRDefault="2BE361E1" w14:paraId="243D3037" w14:textId="1A99ADF1">
      <w:pPr>
        <w:pStyle w:val="Normal"/>
      </w:pPr>
    </w:p>
    <w:p w:rsidR="2BE361E1" w:rsidP="2BE361E1" w:rsidRDefault="2BE361E1" w14:paraId="652E3FBB" w14:textId="6D67D32E">
      <w:pPr>
        <w:pStyle w:val="Normal"/>
      </w:pPr>
    </w:p>
    <w:p w:rsidR="2BE361E1" w:rsidP="2BE361E1" w:rsidRDefault="2BE361E1" w14:paraId="60466E63" w14:textId="5D36309F">
      <w:pPr>
        <w:pStyle w:val="Normal"/>
      </w:pPr>
    </w:p>
    <w:p w:rsidR="2BE361E1" w:rsidP="2BE361E1" w:rsidRDefault="2BE361E1" w14:paraId="5B2E5B33" w14:textId="55112AE4">
      <w:pPr>
        <w:pStyle w:val="Normal"/>
      </w:pPr>
    </w:p>
    <w:p w:rsidR="2BE361E1" w:rsidP="2BE361E1" w:rsidRDefault="2BE361E1" w14:paraId="7E1438CF" w14:textId="369450BA">
      <w:pPr>
        <w:pStyle w:val="Normal"/>
      </w:pPr>
    </w:p>
    <w:p w:rsidR="2BE361E1" w:rsidP="2BE361E1" w:rsidRDefault="2BE361E1" w14:paraId="65F5B0A9" w14:textId="3F0FC0E1">
      <w:pPr>
        <w:pStyle w:val="Normal"/>
      </w:pPr>
    </w:p>
    <w:p w:rsidR="193538B9" w:rsidP="2BE361E1" w:rsidRDefault="193538B9" w14:paraId="3042F63A" w14:textId="3B2C56EF">
      <w:pPr>
        <w:pStyle w:val="Normal"/>
      </w:pPr>
      <w:r w:rsidR="193538B9">
        <w:rPr/>
        <w:t xml:space="preserve">Question 2 </w:t>
      </w:r>
    </w:p>
    <w:p w:rsidR="4EB47659" w:rsidP="2BE361E1" w:rsidRDefault="4EB47659" w14:paraId="29B689C1" w14:textId="3FA5335A">
      <w:pPr>
        <w:spacing w:line="276" w:lineRule="auto"/>
        <w:jc w:val="both"/>
      </w:pPr>
      <w:r w:rsidRPr="2BE361E1" w:rsidR="4EB47659">
        <w:rPr>
          <w:rFonts w:ascii="Calibri" w:hAnsi="Calibri" w:eastAsia="Calibri" w:cs="Calibri"/>
          <w:b w:val="1"/>
          <w:bCs w:val="1"/>
          <w:noProof w:val="0"/>
          <w:sz w:val="28"/>
          <w:szCs w:val="28"/>
          <w:lang w:val="en-US"/>
        </w:rPr>
        <w:t>Introduction</w:t>
      </w:r>
    </w:p>
    <w:p w:rsidR="4EB47659" w:rsidP="2BE361E1" w:rsidRDefault="4EB47659" w14:paraId="218CBA32" w14:textId="24504C72">
      <w:pPr>
        <w:spacing w:line="276" w:lineRule="auto"/>
        <w:jc w:val="both"/>
      </w:pPr>
      <w:r w:rsidRPr="2BE361E1" w:rsidR="4EB47659">
        <w:rPr>
          <w:rFonts w:ascii="Calibri" w:hAnsi="Calibri" w:eastAsia="Calibri" w:cs="Calibri"/>
          <w:noProof w:val="0"/>
          <w:sz w:val="28"/>
          <w:szCs w:val="28"/>
          <w:lang w:val="en-US"/>
        </w:rPr>
        <w:t>Free movement of workers is a fundamental principle of the Treaty, which is codified under Article 45 of the Pact on the Operation of the European Union and the further recognized by EU existing law and Court of Justice case law. Nationals of the EU shall be entitled to:</w:t>
      </w:r>
    </w:p>
    <w:p w:rsidR="4EB47659" w:rsidP="2BE361E1" w:rsidRDefault="4EB47659" w14:paraId="70F723A8" w14:textId="718067D1">
      <w:pPr>
        <w:pStyle w:val="ListParagraph"/>
        <w:numPr>
          <w:ilvl w:val="0"/>
          <w:numId w:val="1"/>
        </w:numPr>
        <w:spacing w:line="276" w:lineRule="auto"/>
        <w:rPr>
          <w:rFonts w:ascii="Calibri" w:hAnsi="Calibri" w:eastAsia="Calibri" w:cs="Calibri" w:asciiTheme="minorAscii" w:hAnsiTheme="minorAscii" w:eastAsiaTheme="minorAscii" w:cstheme="minorAscii"/>
          <w:sz w:val="28"/>
          <w:szCs w:val="28"/>
        </w:rPr>
      </w:pPr>
      <w:r w:rsidRPr="2BE361E1" w:rsidR="4EB47659">
        <w:rPr>
          <w:rFonts w:ascii="Calibri" w:hAnsi="Calibri" w:eastAsia="Calibri" w:cs="Calibri"/>
          <w:noProof w:val="0"/>
          <w:sz w:val="28"/>
          <w:szCs w:val="28"/>
          <w:lang w:val="en-US"/>
        </w:rPr>
        <w:t xml:space="preserve">try to find an employment in another EU state.   </w:t>
      </w:r>
    </w:p>
    <w:p w:rsidR="4EB47659" w:rsidP="2BE361E1" w:rsidRDefault="4EB47659" w14:paraId="18B1293D" w14:textId="004D854D">
      <w:pPr>
        <w:pStyle w:val="ListParagraph"/>
        <w:numPr>
          <w:ilvl w:val="0"/>
          <w:numId w:val="1"/>
        </w:numPr>
        <w:spacing w:line="276" w:lineRule="auto"/>
        <w:rPr>
          <w:rFonts w:ascii="Calibri" w:hAnsi="Calibri" w:eastAsia="Calibri" w:cs="Calibri" w:asciiTheme="minorAscii" w:hAnsiTheme="minorAscii" w:eastAsiaTheme="minorAscii" w:cstheme="minorAscii"/>
          <w:sz w:val="28"/>
          <w:szCs w:val="28"/>
        </w:rPr>
      </w:pPr>
      <w:r w:rsidRPr="2BE361E1" w:rsidR="4EB47659">
        <w:rPr>
          <w:rFonts w:ascii="Calibri" w:hAnsi="Calibri" w:eastAsia="Calibri" w:cs="Calibri"/>
          <w:noProof w:val="0"/>
          <w:sz w:val="28"/>
          <w:szCs w:val="28"/>
          <w:lang w:val="en-US"/>
        </w:rPr>
        <w:t xml:space="preserve"> working there without requiring a work permit</w:t>
      </w:r>
    </w:p>
    <w:p w:rsidR="4EB47659" w:rsidP="2BE361E1" w:rsidRDefault="4EB47659" w14:paraId="0426F614" w14:textId="4B3E6B65">
      <w:pPr>
        <w:pStyle w:val="ListParagraph"/>
        <w:numPr>
          <w:ilvl w:val="0"/>
          <w:numId w:val="1"/>
        </w:numPr>
        <w:spacing w:line="276" w:lineRule="auto"/>
        <w:rPr>
          <w:rFonts w:ascii="Calibri" w:hAnsi="Calibri" w:eastAsia="Calibri" w:cs="Calibri" w:asciiTheme="minorAscii" w:hAnsiTheme="minorAscii" w:eastAsiaTheme="minorAscii" w:cstheme="minorAscii"/>
          <w:sz w:val="28"/>
          <w:szCs w:val="28"/>
        </w:rPr>
      </w:pPr>
      <w:r w:rsidRPr="2BE361E1" w:rsidR="4EB47659">
        <w:rPr>
          <w:rFonts w:ascii="Calibri" w:hAnsi="Calibri" w:eastAsia="Calibri" w:cs="Calibri"/>
          <w:noProof w:val="0"/>
          <w:sz w:val="28"/>
          <w:szCs w:val="28"/>
          <w:lang w:val="en-US"/>
        </w:rPr>
        <w:t>live there for that proper objective.</w:t>
      </w:r>
    </w:p>
    <w:p w:rsidR="4EB47659" w:rsidP="2BE361E1" w:rsidRDefault="4EB47659" w14:paraId="6B57F793" w14:textId="1EC4A547">
      <w:pPr>
        <w:pStyle w:val="ListParagraph"/>
        <w:numPr>
          <w:ilvl w:val="0"/>
          <w:numId w:val="1"/>
        </w:numPr>
        <w:spacing w:line="276" w:lineRule="auto"/>
        <w:rPr>
          <w:rFonts w:ascii="Calibri" w:hAnsi="Calibri" w:eastAsia="Calibri" w:cs="Calibri" w:asciiTheme="minorAscii" w:hAnsiTheme="minorAscii" w:eastAsiaTheme="minorAscii" w:cstheme="minorAscii"/>
          <w:sz w:val="28"/>
          <w:szCs w:val="28"/>
        </w:rPr>
      </w:pPr>
      <w:r w:rsidRPr="2BE361E1" w:rsidR="4EB47659">
        <w:rPr>
          <w:rFonts w:ascii="Calibri" w:hAnsi="Calibri" w:eastAsia="Calibri" w:cs="Calibri"/>
          <w:noProof w:val="0"/>
          <w:sz w:val="28"/>
          <w:szCs w:val="28"/>
          <w:lang w:val="en-US"/>
        </w:rPr>
        <w:t>stay there even when employment has completed.</w:t>
      </w:r>
    </w:p>
    <w:p w:rsidR="4EB47659" w:rsidP="2BE361E1" w:rsidRDefault="4EB47659" w14:paraId="408459AE" w14:textId="48E014F5">
      <w:pPr>
        <w:pStyle w:val="ListParagraph"/>
        <w:numPr>
          <w:ilvl w:val="0"/>
          <w:numId w:val="1"/>
        </w:numPr>
        <w:spacing w:line="276" w:lineRule="auto"/>
        <w:rPr>
          <w:rFonts w:ascii="Calibri" w:hAnsi="Calibri" w:eastAsia="Calibri" w:cs="Calibri" w:asciiTheme="minorAscii" w:hAnsiTheme="minorAscii" w:eastAsiaTheme="minorAscii" w:cstheme="minorAscii"/>
          <w:sz w:val="28"/>
          <w:szCs w:val="28"/>
        </w:rPr>
      </w:pPr>
      <w:r w:rsidRPr="2BE361E1" w:rsidR="4EB47659">
        <w:rPr>
          <w:rFonts w:ascii="Calibri" w:hAnsi="Calibri" w:eastAsia="Calibri" w:cs="Calibri"/>
          <w:noProof w:val="0"/>
          <w:sz w:val="28"/>
          <w:szCs w:val="28"/>
          <w:lang w:val="en-US"/>
        </w:rPr>
        <w:t>be treated in the same way with nationals as regards access to employment, working environments and all the other social and fiscal rewards.</w:t>
      </w:r>
    </w:p>
    <w:p w:rsidR="4EB47659" w:rsidP="2BE361E1" w:rsidRDefault="4EB47659" w14:paraId="2A9D0E42" w14:textId="7D392895">
      <w:pPr>
        <w:spacing w:line="276" w:lineRule="auto"/>
        <w:jc w:val="both"/>
      </w:pPr>
      <w:r w:rsidRPr="2BE361E1" w:rsidR="4EB47659">
        <w:rPr>
          <w:rFonts w:ascii="Calibri" w:hAnsi="Calibri" w:eastAsia="Calibri" w:cs="Calibri"/>
          <w:noProof w:val="0"/>
          <w:sz w:val="28"/>
          <w:szCs w:val="28"/>
          <w:lang w:val="en-US"/>
        </w:rPr>
        <w:t>Certain forms of health and social protection measures for EU citizens can be moved to the country where they seek jobs. In addition, free movement of jobs also extends to states in the European Economic Area (Iceland, Liechtenstein, and Norway). Certain professions will be eligible to get their professional credentials officially recognized. People traveling within the EU, Iceland, Liechtenstein, Norway, and Switzerland are covered by EU social security coordination law.</w:t>
      </w:r>
    </w:p>
    <w:p w:rsidR="4EB47659" w:rsidP="2BE361E1" w:rsidRDefault="4EB47659" w14:paraId="6D5C43F0" w14:textId="79F2599A">
      <w:pPr>
        <w:spacing w:line="276" w:lineRule="auto"/>
        <w:ind w:firstLine="720"/>
        <w:jc w:val="both"/>
      </w:pPr>
      <w:r w:rsidRPr="2BE361E1" w:rsidR="4EB47659">
        <w:rPr>
          <w:rFonts w:ascii="Calibri" w:hAnsi="Calibri" w:eastAsia="Calibri" w:cs="Calibri"/>
          <w:noProof w:val="0"/>
          <w:sz w:val="28"/>
          <w:szCs w:val="28"/>
          <w:lang w:val="en-US"/>
        </w:rPr>
        <w:t>According to this movement, Mary can have health and social services in any member state of EU. She would have equal rights of job, study, health and in other social benefits.</w:t>
      </w:r>
    </w:p>
    <w:p w:rsidR="4EB47659" w:rsidP="2BE361E1" w:rsidRDefault="4EB47659" w14:paraId="6F61F78C" w14:textId="47C0660B">
      <w:pPr>
        <w:spacing w:line="276" w:lineRule="auto"/>
        <w:jc w:val="both"/>
      </w:pPr>
      <w:r w:rsidRPr="2BE361E1" w:rsidR="4EB47659">
        <w:rPr>
          <w:rFonts w:ascii="Calibri" w:hAnsi="Calibri" w:eastAsia="Calibri" w:cs="Calibri"/>
          <w:b w:val="1"/>
          <w:bCs w:val="1"/>
          <w:noProof w:val="0"/>
          <w:sz w:val="28"/>
          <w:szCs w:val="28"/>
          <w:lang w:val="en-US"/>
        </w:rPr>
        <w:t>Who can take advantage of this freedom:</w:t>
      </w:r>
    </w:p>
    <w:p w:rsidR="4EB47659" w:rsidP="2BE361E1" w:rsidRDefault="4EB47659" w14:paraId="1ACCCD55" w14:textId="53A5E7FA">
      <w:pPr>
        <w:pStyle w:val="ListParagraph"/>
        <w:numPr>
          <w:ilvl w:val="0"/>
          <w:numId w:val="1"/>
        </w:numPr>
        <w:tabs>
          <w:tab w:val="left" w:leader="none" w:pos="0"/>
          <w:tab w:val="left" w:leader="none" w:pos="720"/>
        </w:tabs>
        <w:spacing w:line="276" w:lineRule="auto"/>
        <w:jc w:val="both"/>
        <w:rPr>
          <w:rFonts w:ascii="Calibri" w:hAnsi="Calibri" w:eastAsia="Calibri" w:cs="Calibri" w:asciiTheme="minorAscii" w:hAnsiTheme="minorAscii" w:eastAsiaTheme="minorAscii" w:cstheme="minorAscii"/>
          <w:color w:val="000000" w:themeColor="text1" w:themeTint="FF" w:themeShade="FF"/>
          <w:sz w:val="28"/>
          <w:szCs w:val="28"/>
        </w:rPr>
      </w:pPr>
      <w:r w:rsidRPr="2BE361E1" w:rsidR="4EB47659">
        <w:rPr>
          <w:rFonts w:ascii="Calibri" w:hAnsi="Calibri" w:eastAsia="Calibri" w:cs="Calibri"/>
          <w:noProof w:val="0"/>
          <w:color w:val="000000" w:themeColor="text1" w:themeTint="FF" w:themeShade="FF"/>
          <w:sz w:val="28"/>
          <w:szCs w:val="28"/>
          <w:lang w:val="en-US"/>
        </w:rPr>
        <w:t>Job Seekers, i.e., EU citizens who moved to a different EU state to search for a job, under some circumstances.</w:t>
      </w:r>
    </w:p>
    <w:p w:rsidR="4EB47659" w:rsidP="2BE361E1" w:rsidRDefault="4EB47659" w14:paraId="2EEF8A37" w14:textId="2270A321">
      <w:pPr>
        <w:pStyle w:val="ListParagraph"/>
        <w:numPr>
          <w:ilvl w:val="0"/>
          <w:numId w:val="1"/>
        </w:numPr>
        <w:tabs>
          <w:tab w:val="left" w:leader="none" w:pos="0"/>
          <w:tab w:val="left" w:leader="none" w:pos="720"/>
        </w:tabs>
        <w:spacing w:line="276" w:lineRule="auto"/>
        <w:jc w:val="both"/>
        <w:rPr>
          <w:rFonts w:ascii="Calibri" w:hAnsi="Calibri" w:eastAsia="Calibri" w:cs="Calibri" w:asciiTheme="minorAscii" w:hAnsiTheme="minorAscii" w:eastAsiaTheme="minorAscii" w:cstheme="minorAscii"/>
          <w:color w:val="000000" w:themeColor="text1" w:themeTint="FF" w:themeShade="FF"/>
          <w:sz w:val="28"/>
          <w:szCs w:val="28"/>
        </w:rPr>
      </w:pPr>
      <w:r w:rsidRPr="2BE361E1" w:rsidR="4EB47659">
        <w:rPr>
          <w:rFonts w:ascii="Calibri" w:hAnsi="Calibri" w:eastAsia="Calibri" w:cs="Calibri"/>
          <w:noProof w:val="0"/>
          <w:color w:val="000000" w:themeColor="text1" w:themeTint="FF" w:themeShade="FF"/>
          <w:sz w:val="28"/>
          <w:szCs w:val="28"/>
          <w:lang w:val="en-US"/>
        </w:rPr>
        <w:t>EU citizens employed in another EU state.</w:t>
      </w:r>
    </w:p>
    <w:p w:rsidR="4EB47659" w:rsidP="2BE361E1" w:rsidRDefault="4EB47659" w14:paraId="355A676F" w14:textId="7E2F7349">
      <w:pPr>
        <w:pStyle w:val="ListParagraph"/>
        <w:numPr>
          <w:ilvl w:val="0"/>
          <w:numId w:val="1"/>
        </w:numPr>
        <w:tabs>
          <w:tab w:val="left" w:leader="none" w:pos="0"/>
          <w:tab w:val="left" w:leader="none" w:pos="720"/>
        </w:tabs>
        <w:spacing w:line="276" w:lineRule="auto"/>
        <w:jc w:val="both"/>
        <w:rPr>
          <w:rFonts w:ascii="Calibri" w:hAnsi="Calibri" w:eastAsia="Calibri" w:cs="Calibri" w:asciiTheme="minorAscii" w:hAnsiTheme="minorAscii" w:eastAsiaTheme="minorAscii" w:cstheme="minorAscii"/>
          <w:color w:val="000000" w:themeColor="text1" w:themeTint="FF" w:themeShade="FF"/>
          <w:sz w:val="28"/>
          <w:szCs w:val="28"/>
        </w:rPr>
      </w:pPr>
      <w:r w:rsidRPr="2BE361E1" w:rsidR="4EB47659">
        <w:rPr>
          <w:rFonts w:ascii="Calibri" w:hAnsi="Calibri" w:eastAsia="Calibri" w:cs="Calibri"/>
          <w:noProof w:val="0"/>
          <w:color w:val="000000" w:themeColor="text1" w:themeTint="FF" w:themeShade="FF"/>
          <w:sz w:val="28"/>
          <w:szCs w:val="28"/>
          <w:lang w:val="en-US"/>
        </w:rPr>
        <w:t>EU citizens who return to their states of descent after used to work abroad.</w:t>
      </w:r>
    </w:p>
    <w:p w:rsidR="4EB47659" w:rsidP="2BE361E1" w:rsidRDefault="4EB47659" w14:paraId="5E3363C9" w14:textId="7F8565AA">
      <w:pPr>
        <w:pStyle w:val="ListParagraph"/>
        <w:numPr>
          <w:ilvl w:val="0"/>
          <w:numId w:val="1"/>
        </w:numPr>
        <w:tabs>
          <w:tab w:val="left" w:leader="none" w:pos="0"/>
          <w:tab w:val="left" w:leader="none" w:pos="720"/>
        </w:tabs>
        <w:spacing w:line="276" w:lineRule="auto"/>
        <w:jc w:val="both"/>
        <w:rPr>
          <w:rFonts w:ascii="Calibri" w:hAnsi="Calibri" w:eastAsia="Calibri" w:cs="Calibri" w:asciiTheme="minorAscii" w:hAnsiTheme="minorAscii" w:eastAsiaTheme="minorAscii" w:cstheme="minorAscii"/>
          <w:color w:val="000000" w:themeColor="text1" w:themeTint="FF" w:themeShade="FF"/>
          <w:sz w:val="28"/>
          <w:szCs w:val="28"/>
        </w:rPr>
      </w:pPr>
      <w:r w:rsidRPr="2BE361E1" w:rsidR="4EB47659">
        <w:rPr>
          <w:rFonts w:ascii="Calibri" w:hAnsi="Calibri" w:eastAsia="Calibri" w:cs="Calibri"/>
          <w:noProof w:val="0"/>
          <w:color w:val="000000" w:themeColor="text1" w:themeTint="FF" w:themeShade="FF"/>
          <w:sz w:val="28"/>
          <w:szCs w:val="28"/>
          <w:lang w:val="en-US"/>
        </w:rPr>
        <w:t>Relatives of the beyond Self-employed citizens, students, and elderly people or else financially inactive individuals may have a different rights</w:t>
      </w:r>
    </w:p>
    <w:p w:rsidR="4EB47659" w:rsidP="2BE361E1" w:rsidRDefault="4EB47659" w14:paraId="2318A1F4" w14:textId="5550BE2A">
      <w:pPr>
        <w:spacing w:line="276" w:lineRule="auto"/>
        <w:jc w:val="both"/>
      </w:pPr>
      <w:r w:rsidRPr="2BE361E1" w:rsidR="4EB47659">
        <w:rPr>
          <w:rFonts w:ascii="Calibri" w:hAnsi="Calibri" w:eastAsia="Calibri" w:cs="Calibri"/>
          <w:b w:val="1"/>
          <w:bCs w:val="1"/>
          <w:noProof w:val="0"/>
          <w:color w:val="000000" w:themeColor="text1" w:themeTint="FF" w:themeShade="FF"/>
          <w:sz w:val="28"/>
          <w:szCs w:val="28"/>
          <w:lang w:val="en-US"/>
        </w:rPr>
        <w:t>Brief history</w:t>
      </w:r>
    </w:p>
    <w:p w:rsidR="4EB47659" w:rsidP="2BE361E1" w:rsidRDefault="4EB47659" w14:paraId="37BF09A3" w14:textId="1E229CA8">
      <w:pPr>
        <w:spacing w:line="276" w:lineRule="auto"/>
        <w:ind w:firstLine="720"/>
        <w:jc w:val="both"/>
      </w:pPr>
      <w:r w:rsidRPr="2BE361E1" w:rsidR="4EB47659">
        <w:rPr>
          <w:rFonts w:ascii="Calibri" w:hAnsi="Calibri" w:eastAsia="Calibri" w:cs="Calibri"/>
          <w:noProof w:val="0"/>
          <w:color w:val="000000" w:themeColor="text1" w:themeTint="FF" w:themeShade="FF"/>
          <w:sz w:val="28"/>
          <w:szCs w:val="28"/>
          <w:lang w:val="en-US"/>
        </w:rPr>
        <w:t>The Pact of Paris, which established the European Coal and Steel Community in 1951, established a right to free movement for workers in these industries, and the Treaty of Rome, which established the European Economic Community in 1957, recognized a right to free movement of laborers in the European Economic Community, which was to be applied within 12 years of the treaty's commencement. The Council Regulation No. 15 of 1961 was the first step toward achieving free movement of workers.</w:t>
      </w:r>
    </w:p>
    <w:p w:rsidR="4EB47659" w:rsidP="2BE361E1" w:rsidRDefault="4EB47659" w14:paraId="3C89CCCB" w14:textId="1C0DEA66">
      <w:pPr>
        <w:spacing w:line="276" w:lineRule="auto"/>
        <w:ind w:firstLine="720"/>
        <w:jc w:val="both"/>
      </w:pPr>
      <w:r w:rsidRPr="2BE361E1" w:rsidR="4EB47659">
        <w:rPr>
          <w:rFonts w:ascii="Calibri" w:hAnsi="Calibri" w:eastAsia="Calibri" w:cs="Calibri"/>
          <w:noProof w:val="0"/>
          <w:color w:val="000000" w:themeColor="text1" w:themeTint="FF" w:themeShade="FF"/>
          <w:sz w:val="28"/>
          <w:szCs w:val="28"/>
          <w:lang w:val="en-US"/>
        </w:rPr>
        <w:t>Which took effect on September 1, 1961. It granted subjects of the member countries the right to work in the other representative state if no nationals of that member state were eligible for the position. On May 1, 1964, the rule was overtaken by a new policy that increased workers' ability to seek jobs in another member state.  However, liberty movement of employees was not completely enforced within the Communities until November 8, 1968, when regulation (EEC) no 1612/68 came into force.</w:t>
      </w:r>
    </w:p>
    <w:p w:rsidR="4EB47659" w:rsidP="2BE361E1" w:rsidRDefault="4EB47659" w14:paraId="7E72BE8B" w14:textId="6A5FEEB4">
      <w:pPr>
        <w:spacing w:line="276" w:lineRule="auto"/>
        <w:ind w:firstLine="720"/>
        <w:jc w:val="both"/>
      </w:pPr>
      <w:r w:rsidRPr="2BE361E1" w:rsidR="4EB47659">
        <w:rPr>
          <w:rFonts w:ascii="Calibri" w:hAnsi="Calibri" w:eastAsia="Calibri" w:cs="Calibri"/>
          <w:noProof w:val="0"/>
          <w:color w:val="000000" w:themeColor="text1" w:themeTint="FF" w:themeShade="FF"/>
          <w:sz w:val="28"/>
          <w:szCs w:val="28"/>
          <w:lang w:val="en-US"/>
        </w:rPr>
        <w:t>The initial article 49 of the EEC accord was applied by this legislation, and all fellow citizens of the member countries acquired the right to work in the other member state under the same terms as the residents of that member state. The free movement of employees was therefore adopted prior to the EEC treaty's twelve-year term had elapsed. The Free Movement of Workers Regulation 2011 replaced this regulation on June 16, 2011.</w:t>
      </w:r>
    </w:p>
    <w:p w:rsidR="4EB47659" w:rsidP="2BE361E1" w:rsidRDefault="4EB47659" w14:paraId="4833B61E" w14:textId="7ED045F8">
      <w:pPr>
        <w:spacing w:line="276" w:lineRule="auto"/>
        <w:ind w:firstLine="720"/>
        <w:jc w:val="both"/>
      </w:pPr>
      <w:r w:rsidRPr="2BE361E1" w:rsidR="4EB47659">
        <w:rPr>
          <w:rFonts w:ascii="Calibri" w:hAnsi="Calibri" w:eastAsia="Calibri" w:cs="Calibri"/>
          <w:noProof w:val="0"/>
          <w:color w:val="000000" w:themeColor="text1" w:themeTint="FF" w:themeShade="FF"/>
          <w:sz w:val="28"/>
          <w:szCs w:val="28"/>
          <w:lang w:val="en-US"/>
        </w:rPr>
        <w:t>The Directive 2004/38/EC on a right to freely move and right to be moved into one text, replacing, for example, the directive 1968/360/EEC. It also clarifies procedural concerns and increases the rights of European citizens' family members who travel freely.</w:t>
      </w:r>
    </w:p>
    <w:p w:rsidR="4EB47659" w:rsidP="2BE361E1" w:rsidRDefault="4EB47659" w14:paraId="19F4D810" w14:textId="6C3BEE5B">
      <w:pPr>
        <w:spacing w:line="276" w:lineRule="auto"/>
        <w:jc w:val="both"/>
      </w:pPr>
      <w:r w:rsidRPr="2BE361E1" w:rsidR="4EB47659">
        <w:rPr>
          <w:rFonts w:ascii="Calibri" w:hAnsi="Calibri" w:eastAsia="Calibri" w:cs="Calibri"/>
          <w:b w:val="1"/>
          <w:bCs w:val="1"/>
          <w:noProof w:val="0"/>
          <w:sz w:val="28"/>
          <w:szCs w:val="28"/>
          <w:lang w:val="en-US"/>
        </w:rPr>
        <w:t>Nondiscrimination (Article 21)</w:t>
      </w:r>
    </w:p>
    <w:p w:rsidR="4EB47659" w:rsidP="2BE361E1" w:rsidRDefault="4EB47659" w14:paraId="5FEFEF58" w14:textId="3C0093E0">
      <w:pPr>
        <w:spacing w:line="276" w:lineRule="auto"/>
        <w:jc w:val="both"/>
      </w:pPr>
      <w:r w:rsidRPr="2BE361E1" w:rsidR="4EB47659">
        <w:rPr>
          <w:rFonts w:ascii="Calibri" w:hAnsi="Calibri" w:eastAsia="Calibri" w:cs="Calibri"/>
          <w:noProof w:val="0"/>
          <w:sz w:val="28"/>
          <w:szCs w:val="28"/>
          <w:lang w:val="en-US"/>
        </w:rPr>
        <w:t>According to this article 21, Mary, Nadine and Oscar would be treated equally, article 21 supports them in many contexts given below:</w:t>
      </w:r>
    </w:p>
    <w:p w:rsidR="4EB47659" w:rsidP="2BE361E1" w:rsidRDefault="4EB47659" w14:paraId="02B35037" w14:textId="29558E20">
      <w:pPr>
        <w:spacing w:line="276" w:lineRule="auto"/>
        <w:jc w:val="both"/>
      </w:pPr>
      <w:r w:rsidRPr="2BE361E1" w:rsidR="4EB47659">
        <w:rPr>
          <w:rFonts w:ascii="Calibri" w:hAnsi="Calibri" w:eastAsia="Calibri" w:cs="Calibri"/>
          <w:noProof w:val="0"/>
          <w:sz w:val="28"/>
          <w:szCs w:val="28"/>
          <w:lang w:val="en-US"/>
        </w:rPr>
        <w:t>1. Prejudice in accordance with the principle of sex, ethnicity, color, racial or social context, genomic characteristics, linguistic, faith or belief, political or other opinions, participation in a local minority, land, birth, persons with disabilities, age, or sexual preference are barred.</w:t>
      </w:r>
    </w:p>
    <w:p w:rsidR="4EB47659" w:rsidP="2BE361E1" w:rsidRDefault="4EB47659" w14:paraId="218CB21B" w14:textId="0EC5D4CF">
      <w:pPr>
        <w:spacing w:line="276" w:lineRule="auto"/>
        <w:jc w:val="both"/>
      </w:pPr>
      <w:r w:rsidRPr="2BE361E1" w:rsidR="4EB47659">
        <w:rPr>
          <w:rFonts w:ascii="Calibri" w:hAnsi="Calibri" w:eastAsia="Calibri" w:cs="Calibri"/>
          <w:noProof w:val="0"/>
          <w:sz w:val="28"/>
          <w:szCs w:val="28"/>
          <w:lang w:val="en-US"/>
        </w:rPr>
        <w:t>2. Any bias based on citizenship is prohibited within the scope of interpretation of the Treaties and without regard to any of their relevant provisions.</w:t>
      </w:r>
    </w:p>
    <w:p w:rsidR="4EB47659" w:rsidP="2BE361E1" w:rsidRDefault="4EB47659" w14:paraId="2FFD97DC" w14:textId="18B597A5">
      <w:pPr>
        <w:spacing w:line="276" w:lineRule="auto"/>
        <w:jc w:val="both"/>
      </w:pPr>
      <w:r w:rsidRPr="2BE361E1" w:rsidR="4EB47659">
        <w:rPr>
          <w:rFonts w:ascii="Calibri" w:hAnsi="Calibri" w:eastAsia="Calibri" w:cs="Calibri"/>
          <w:noProof w:val="0"/>
          <w:sz w:val="28"/>
          <w:szCs w:val="28"/>
          <w:lang w:val="en-US"/>
        </w:rPr>
        <w:t xml:space="preserve"> </w:t>
      </w:r>
    </w:p>
    <w:p w:rsidR="4EB47659" w:rsidP="2BE361E1" w:rsidRDefault="4EB47659" w14:paraId="5DE35BDD" w14:textId="4F2E7FC7">
      <w:pPr>
        <w:spacing w:line="276" w:lineRule="auto"/>
        <w:jc w:val="both"/>
      </w:pPr>
      <w:r w:rsidRPr="2BE361E1" w:rsidR="4EB47659">
        <w:rPr>
          <w:rFonts w:ascii="Calibri" w:hAnsi="Calibri" w:eastAsia="Calibri" w:cs="Calibri"/>
          <w:noProof w:val="0"/>
          <w:sz w:val="28"/>
          <w:szCs w:val="28"/>
          <w:lang w:val="en-US"/>
        </w:rPr>
        <w:t xml:space="preserve"> </w:t>
      </w:r>
    </w:p>
    <w:p w:rsidR="4EB47659" w:rsidP="2BE361E1" w:rsidRDefault="4EB47659" w14:paraId="1BE23C3D" w14:textId="41B52FAB">
      <w:pPr>
        <w:spacing w:line="276" w:lineRule="auto"/>
        <w:jc w:val="both"/>
      </w:pPr>
      <w:r w:rsidRPr="2BE361E1" w:rsidR="4EB47659">
        <w:rPr>
          <w:rFonts w:ascii="Calibri" w:hAnsi="Calibri" w:eastAsia="Calibri" w:cs="Calibri"/>
          <w:b w:val="1"/>
          <w:bCs w:val="1"/>
          <w:noProof w:val="0"/>
          <w:sz w:val="28"/>
          <w:szCs w:val="28"/>
          <w:lang w:val="en-US"/>
        </w:rPr>
        <w:t>Sufficient resources Article 8(4)</w:t>
      </w:r>
    </w:p>
    <w:p w:rsidR="4EB47659" w:rsidP="2BE361E1" w:rsidRDefault="4EB47659" w14:paraId="16AC6AE8" w14:textId="59363FDA">
      <w:pPr>
        <w:spacing w:line="276" w:lineRule="auto"/>
        <w:ind w:firstLine="720"/>
        <w:jc w:val="both"/>
      </w:pPr>
      <w:r w:rsidRPr="2BE361E1" w:rsidR="4EB47659">
        <w:rPr>
          <w:rFonts w:ascii="Calibri" w:hAnsi="Calibri" w:eastAsia="Calibri" w:cs="Calibri"/>
          <w:noProof w:val="0"/>
          <w:sz w:val="28"/>
          <w:szCs w:val="28"/>
          <w:lang w:val="en-US"/>
        </w:rPr>
        <w:t>Member States are not allowed to set a defined sum as "</w:t>
      </w:r>
      <w:r w:rsidRPr="2BE361E1" w:rsidR="4EB47659">
        <w:rPr>
          <w:rFonts w:ascii="Calibri" w:hAnsi="Calibri" w:eastAsia="Calibri" w:cs="Calibri"/>
          <w:i w:val="1"/>
          <w:iCs w:val="1"/>
          <w:noProof w:val="0"/>
          <w:sz w:val="28"/>
          <w:szCs w:val="28"/>
          <w:lang w:val="en-US"/>
        </w:rPr>
        <w:t>sufficient resources</w:t>
      </w:r>
      <w:r w:rsidRPr="2BE361E1" w:rsidR="4EB47659">
        <w:rPr>
          <w:rFonts w:ascii="Calibri" w:hAnsi="Calibri" w:eastAsia="Calibri" w:cs="Calibri"/>
          <w:noProof w:val="0"/>
          <w:sz w:val="28"/>
          <w:szCs w:val="28"/>
          <w:lang w:val="en-US"/>
        </w:rPr>
        <w:t>," although they should consider the individual's own circumstances. This sum should not be greater than the threshold at which citizens of the host Member State become eligible for social assistance, or, if this requirement is not applicable higher than the host Member State's minimum social security pension. As a result, it is impossible to say with certainty what the necessary minimum level of self-sufficiency should be, but it can't be higher than the level of income assistance.</w:t>
      </w:r>
    </w:p>
    <w:p w:rsidR="4EB47659" w:rsidP="2BE361E1" w:rsidRDefault="4EB47659" w14:paraId="00DDEEB4" w14:textId="6265A54D">
      <w:pPr>
        <w:spacing w:line="276" w:lineRule="auto"/>
        <w:ind w:firstLine="720"/>
        <w:jc w:val="both"/>
      </w:pPr>
      <w:r w:rsidRPr="2BE361E1" w:rsidR="4EB47659">
        <w:rPr>
          <w:rFonts w:ascii="Calibri" w:hAnsi="Calibri" w:eastAsia="Calibri" w:cs="Calibri"/>
          <w:noProof w:val="0"/>
          <w:sz w:val="28"/>
          <w:szCs w:val="28"/>
          <w:lang w:val="en-US"/>
        </w:rPr>
        <w:t>As a result, it is impossible to say with certainty what the least level of self-sufficiency is, but it cannot be higher than the level of income support provided to European citizens (once linked reimbursements such as housing advantage, council tax respite, free school meals and analogous should be considered as well).</w:t>
      </w:r>
    </w:p>
    <w:p w:rsidR="4EB47659" w:rsidP="2BE361E1" w:rsidRDefault="4EB47659" w14:paraId="1E2B2FC9" w14:textId="712A1C2D">
      <w:pPr>
        <w:spacing w:line="276" w:lineRule="auto"/>
        <w:ind w:firstLine="720"/>
        <w:jc w:val="both"/>
      </w:pPr>
      <w:r w:rsidRPr="2BE361E1" w:rsidR="4EB47659">
        <w:rPr>
          <w:rFonts w:ascii="Calibri" w:hAnsi="Calibri" w:eastAsia="Calibri" w:cs="Calibri"/>
          <w:noProof w:val="0"/>
          <w:sz w:val="28"/>
          <w:szCs w:val="28"/>
          <w:lang w:val="en-US"/>
        </w:rPr>
        <w:t>So this article also assists Mary, Nadine and Oscor them for their basic needs because of less resources after migration to new state.</w:t>
      </w:r>
    </w:p>
    <w:p w:rsidR="4EB47659" w:rsidP="2BE361E1" w:rsidRDefault="4EB47659" w14:paraId="6B614490" w14:textId="59CE0296">
      <w:pPr>
        <w:spacing w:line="276" w:lineRule="auto"/>
        <w:jc w:val="both"/>
      </w:pPr>
      <w:r w:rsidRPr="2BE361E1" w:rsidR="4EB47659">
        <w:rPr>
          <w:rFonts w:ascii="Calibri" w:hAnsi="Calibri" w:eastAsia="Calibri" w:cs="Calibri"/>
          <w:b w:val="1"/>
          <w:bCs w:val="1"/>
          <w:noProof w:val="0"/>
          <w:sz w:val="28"/>
          <w:szCs w:val="28"/>
          <w:lang w:val="en-US"/>
        </w:rPr>
        <w:t>State of the Netherlands assistance</w:t>
      </w:r>
    </w:p>
    <w:p w:rsidR="4EB47659" w:rsidP="2BE361E1" w:rsidRDefault="4EB47659" w14:paraId="08E94052" w14:textId="6C63EE88">
      <w:pPr>
        <w:spacing w:line="276" w:lineRule="auto"/>
        <w:ind w:firstLine="720"/>
        <w:jc w:val="both"/>
      </w:pPr>
      <w:r w:rsidRPr="2BE361E1" w:rsidR="4EB47659">
        <w:rPr>
          <w:rFonts w:ascii="Calibri" w:hAnsi="Calibri" w:eastAsia="Calibri" w:cs="Calibri"/>
          <w:noProof w:val="0"/>
          <w:sz w:val="28"/>
          <w:szCs w:val="28"/>
          <w:lang w:val="en-US"/>
        </w:rPr>
        <w:t>In response to the question raised to it by means of the Raad van State of the Netherlands by intermediary judgment of April 23, 1985, hereby rules: When an individual of one Adherent State engages in employment activities within the terrain of another Member State that may be considered actual and sincere work in and of themselves,the point is that he assertions financial support is to be paid out of the general public accounts Although part-time job is not barred from the application of the rules on workers' freedom of movement, such rules only apply to the pursuit of productive and genuine activities, excluding activities on such a limited scale that they are considered merely "</w:t>
      </w:r>
      <w:r w:rsidRPr="2BE361E1" w:rsidR="4EB47659">
        <w:rPr>
          <w:rFonts w:ascii="Calibri" w:hAnsi="Calibri" w:eastAsia="Calibri" w:cs="Calibri"/>
          <w:i w:val="1"/>
          <w:iCs w:val="1"/>
          <w:noProof w:val="0"/>
          <w:sz w:val="28"/>
          <w:szCs w:val="28"/>
          <w:lang w:val="en-US"/>
        </w:rPr>
        <w:t>marginal and ancillary</w:t>
      </w:r>
      <w:r w:rsidRPr="2BE361E1" w:rsidR="4EB47659">
        <w:rPr>
          <w:rFonts w:ascii="Calibri" w:hAnsi="Calibri" w:eastAsia="Calibri" w:cs="Calibri"/>
          <w:noProof w:val="0"/>
          <w:sz w:val="28"/>
          <w:szCs w:val="28"/>
          <w:lang w:val="en-US"/>
        </w:rPr>
        <w:t>." case law Kempf (1985)</w:t>
      </w:r>
    </w:p>
    <w:p w:rsidR="4EB47659" w:rsidP="2BE361E1" w:rsidRDefault="4EB47659" w14:paraId="6FDDE588" w14:textId="7FE9CBB6">
      <w:pPr>
        <w:spacing w:line="276" w:lineRule="auto"/>
        <w:ind w:firstLine="720"/>
        <w:jc w:val="both"/>
      </w:pPr>
      <w:r w:rsidRPr="2BE361E1" w:rsidR="4EB47659">
        <w:rPr>
          <w:rFonts w:ascii="Calibri" w:hAnsi="Calibri" w:eastAsia="Calibri" w:cs="Calibri"/>
          <w:noProof w:val="0"/>
          <w:sz w:val="28"/>
          <w:szCs w:val="28"/>
          <w:lang w:val="en-US"/>
        </w:rPr>
        <w:t>This assistance is from state of neither land where Mary want to move along with her aunt and son, This state law  would help Mary to find Part time job or any employment to manage her finance and day to day living needs and to help and support her aunt and Son.</w:t>
      </w:r>
    </w:p>
    <w:p w:rsidR="4EB47659" w:rsidP="2BE361E1" w:rsidRDefault="4EB47659" w14:paraId="5E4F7865" w14:textId="7D1AFE00">
      <w:pPr>
        <w:spacing w:line="276" w:lineRule="auto"/>
        <w:ind w:firstLine="720"/>
        <w:jc w:val="both"/>
      </w:pPr>
      <w:r w:rsidRPr="2BE361E1" w:rsidR="4EB47659">
        <w:rPr>
          <w:rFonts w:ascii="Calibri" w:hAnsi="Calibri" w:eastAsia="Calibri" w:cs="Calibri"/>
          <w:noProof w:val="0"/>
          <w:sz w:val="28"/>
          <w:szCs w:val="28"/>
          <w:lang w:val="en-US"/>
        </w:rPr>
        <w:t xml:space="preserve"> </w:t>
      </w:r>
    </w:p>
    <w:p w:rsidR="4EB47659" w:rsidP="2BE361E1" w:rsidRDefault="4EB47659" w14:paraId="484407D2" w14:textId="342336B4">
      <w:pPr>
        <w:spacing w:line="276" w:lineRule="auto"/>
        <w:ind w:firstLine="720"/>
        <w:jc w:val="both"/>
      </w:pPr>
      <w:r w:rsidRPr="2BE361E1" w:rsidR="4EB47659">
        <w:rPr>
          <w:rFonts w:ascii="Calibri" w:hAnsi="Calibri" w:eastAsia="Calibri" w:cs="Calibri"/>
          <w:noProof w:val="0"/>
          <w:sz w:val="28"/>
          <w:szCs w:val="28"/>
          <w:lang w:val="en-US"/>
        </w:rPr>
        <w:t xml:space="preserve"> </w:t>
      </w:r>
    </w:p>
    <w:p w:rsidR="4EB47659" w:rsidP="2BE361E1" w:rsidRDefault="4EB47659" w14:paraId="583A74D0" w14:textId="357D3A1B">
      <w:pPr>
        <w:spacing w:line="276" w:lineRule="auto"/>
        <w:ind w:firstLine="720"/>
        <w:jc w:val="both"/>
      </w:pPr>
      <w:r w:rsidRPr="2BE361E1" w:rsidR="4EB47659">
        <w:rPr>
          <w:rFonts w:ascii="Calibri" w:hAnsi="Calibri" w:eastAsia="Calibri" w:cs="Calibri"/>
          <w:noProof w:val="0"/>
          <w:sz w:val="28"/>
          <w:szCs w:val="28"/>
          <w:lang w:val="en-US"/>
        </w:rPr>
        <w:t xml:space="preserve"> </w:t>
      </w:r>
    </w:p>
    <w:p w:rsidR="4EB47659" w:rsidP="2BE361E1" w:rsidRDefault="4EB47659" w14:paraId="4A6B2A70" w14:textId="49CC30B4">
      <w:pPr>
        <w:spacing w:line="276" w:lineRule="auto"/>
        <w:jc w:val="both"/>
      </w:pPr>
      <w:r w:rsidRPr="2BE361E1" w:rsidR="4EB47659">
        <w:rPr>
          <w:rFonts w:ascii="Calibri" w:hAnsi="Calibri" w:eastAsia="Calibri" w:cs="Calibri"/>
          <w:b w:val="1"/>
          <w:bCs w:val="1"/>
          <w:noProof w:val="0"/>
          <w:sz w:val="28"/>
          <w:szCs w:val="28"/>
          <w:lang w:val="en-US"/>
        </w:rPr>
        <w:t>Article 3 (Ex Article 2 TEU)</w:t>
      </w:r>
    </w:p>
    <w:p w:rsidR="4EB47659" w:rsidP="2BE361E1" w:rsidRDefault="4EB47659" w14:paraId="03085154" w14:textId="3A884B1C">
      <w:pPr>
        <w:spacing w:line="276" w:lineRule="auto"/>
        <w:ind w:firstLine="720"/>
        <w:jc w:val="both"/>
      </w:pPr>
      <w:r w:rsidRPr="2BE361E1" w:rsidR="4EB47659">
        <w:rPr>
          <w:rFonts w:ascii="Calibri" w:hAnsi="Calibri" w:eastAsia="Calibri" w:cs="Calibri"/>
          <w:noProof w:val="0"/>
          <w:sz w:val="28"/>
          <w:szCs w:val="28"/>
          <w:lang w:val="en-US"/>
        </w:rPr>
        <w:t>The EU’s objective is to encourage peace, its principles, and the welfare of their inhabitants. It will fight social exclusion and discrimination, as well as foster social justice and safety, equality between the sexes, the generation harmony, and the safeguarding of the child's rights. In its dealings with the outside world, the EUs shall endorse and encourage its standards and concerns and support to the safeguard of its citizens. It will contribute to peace, safety, the sustainable growth of the Globe, harmony, and mutual respect between citizens, free and just trade, extermination of deprivation and the safeguarding of human rights, with respect to the rights of the children.</w:t>
      </w:r>
    </w:p>
    <w:p w:rsidR="4EB47659" w:rsidP="2BE361E1" w:rsidRDefault="4EB47659" w14:paraId="191E1889" w14:textId="50E6E4C0">
      <w:pPr>
        <w:spacing w:line="276" w:lineRule="auto"/>
        <w:ind w:firstLine="720"/>
        <w:jc w:val="both"/>
      </w:pPr>
      <w:r w:rsidRPr="2BE361E1" w:rsidR="4EB47659">
        <w:rPr>
          <w:rFonts w:ascii="Calibri" w:hAnsi="Calibri" w:eastAsia="Calibri" w:cs="Calibri"/>
          <w:noProof w:val="0"/>
          <w:sz w:val="28"/>
          <w:szCs w:val="28"/>
          <w:lang w:val="en-US"/>
        </w:rPr>
        <w:t>This law also ensures their freedom and peace, and civil rights ad also supports children rights which is applicable on Oscar and health facilities for Nadine</w:t>
      </w:r>
    </w:p>
    <w:p w:rsidR="4EB47659" w:rsidP="2BE361E1" w:rsidRDefault="4EB47659" w14:paraId="7681061C" w14:textId="0C3207FF">
      <w:pPr>
        <w:spacing w:line="276" w:lineRule="auto"/>
        <w:jc w:val="both"/>
      </w:pPr>
      <w:r w:rsidRPr="2BE361E1" w:rsidR="4EB47659">
        <w:rPr>
          <w:rFonts w:ascii="Calibri" w:hAnsi="Calibri" w:eastAsia="Calibri" w:cs="Calibri"/>
          <w:b w:val="1"/>
          <w:bCs w:val="1"/>
          <w:noProof w:val="0"/>
          <w:sz w:val="28"/>
          <w:szCs w:val="28"/>
          <w:lang w:val="en-US"/>
        </w:rPr>
        <w:t>Case c85/96 sala (Maria) [1998]</w:t>
      </w:r>
    </w:p>
    <w:p w:rsidR="4EB47659" w:rsidP="2BE361E1" w:rsidRDefault="4EB47659" w14:paraId="44E103DB" w14:textId="258EC0D8">
      <w:pPr>
        <w:spacing w:line="276" w:lineRule="auto"/>
        <w:jc w:val="both"/>
      </w:pPr>
      <w:r w:rsidRPr="2BE361E1" w:rsidR="4EB47659">
        <w:rPr>
          <w:rFonts w:ascii="Calibri" w:hAnsi="Calibri" w:eastAsia="Calibri" w:cs="Calibri"/>
          <w:noProof w:val="0"/>
          <w:sz w:val="28"/>
          <w:szCs w:val="28"/>
          <w:lang w:val="en-US"/>
        </w:rPr>
        <w:t xml:space="preserve">A Spanish citizen had been residing in the Germany for 25 years based on range of residency permits from Germany. She was refused a child raising allowance because she wasn’t German national ad didn’t receive residence permit. She wasn’t unlawfully resident because she had an extension to her residency certificate was being applied for. If she was a broken there would be no issue because EU secondary law would have entitled her to all welfare benefits available to nationals. However, her status was determined by German courts. In treating her as non-economic EU citizen, CJ held she was entitled to all welfare benefits available to German nationals in the same circumstances. </w:t>
      </w:r>
    </w:p>
    <w:p w:rsidR="4EB47659" w:rsidP="2BE361E1" w:rsidRDefault="4EB47659" w14:paraId="020C9E17" w14:textId="3798384E">
      <w:pPr>
        <w:spacing w:line="276" w:lineRule="auto"/>
        <w:ind w:firstLine="720"/>
        <w:jc w:val="both"/>
      </w:pPr>
      <w:r w:rsidRPr="2BE361E1" w:rsidR="4EB47659">
        <w:rPr>
          <w:rFonts w:ascii="Calibri" w:hAnsi="Calibri" w:eastAsia="Calibri" w:cs="Calibri"/>
          <w:noProof w:val="0"/>
          <w:sz w:val="28"/>
          <w:szCs w:val="28"/>
          <w:lang w:val="en-US"/>
        </w:rPr>
        <w:t>This equal treatment was on basis of Article 21 TEFEU and nondiscrimination principle of Article 18 TFEU.  Same way this law is applicable on Nadine as French resident and also for Mary and Oscar as they are Irish citizens. For residency services and other welfare benefits.</w:t>
      </w:r>
    </w:p>
    <w:p w:rsidR="4EB47659" w:rsidP="2BE361E1" w:rsidRDefault="4EB47659" w14:paraId="72627079" w14:textId="75B3C231">
      <w:pPr>
        <w:spacing w:line="276" w:lineRule="auto"/>
        <w:jc w:val="both"/>
      </w:pPr>
      <w:r w:rsidRPr="2BE361E1" w:rsidR="4EB47659">
        <w:rPr>
          <w:rFonts w:ascii="Calibri" w:hAnsi="Calibri" w:eastAsia="Calibri" w:cs="Calibri"/>
          <w:b w:val="1"/>
          <w:bCs w:val="1"/>
          <w:noProof w:val="0"/>
          <w:sz w:val="28"/>
          <w:szCs w:val="28"/>
          <w:lang w:val="en-US"/>
        </w:rPr>
        <w:t>Entry and residence rights from the CRD 2004/38</w:t>
      </w:r>
    </w:p>
    <w:p w:rsidR="4EB47659" w:rsidP="2BE361E1" w:rsidRDefault="4EB47659" w14:paraId="66AC7B82" w14:textId="1C3D3E6B">
      <w:pPr>
        <w:spacing w:line="276" w:lineRule="auto"/>
        <w:jc w:val="both"/>
      </w:pPr>
      <w:r w:rsidRPr="2BE361E1" w:rsidR="4EB47659">
        <w:rPr>
          <w:rFonts w:ascii="Calibri" w:hAnsi="Calibri" w:eastAsia="Calibri" w:cs="Calibri"/>
          <w:noProof w:val="0"/>
          <w:sz w:val="28"/>
          <w:szCs w:val="28"/>
          <w:lang w:val="en-US"/>
        </w:rPr>
        <w:t>Citizen’s Rights Directives 2004/38 replaced most of the secondary law relating to free movements of people. It introduces enhanced rights to move and reside freely for EU citizens and other family members. This law helps in residency of Mary, Nadine and Oscar in new state with whole benefits.</w:t>
      </w:r>
    </w:p>
    <w:p w:rsidR="4EB47659" w:rsidP="2BE361E1" w:rsidRDefault="4EB47659" w14:paraId="181A8A45" w14:textId="61C4A5A7">
      <w:pPr>
        <w:spacing w:line="276" w:lineRule="auto"/>
        <w:jc w:val="both"/>
      </w:pPr>
      <w:r w:rsidRPr="2BE361E1" w:rsidR="4EB47659">
        <w:rPr>
          <w:rFonts w:ascii="Calibri" w:hAnsi="Calibri" w:eastAsia="Calibri" w:cs="Calibri"/>
          <w:noProof w:val="0"/>
          <w:sz w:val="28"/>
          <w:szCs w:val="28"/>
          <w:lang w:val="en-US"/>
        </w:rPr>
        <w:t xml:space="preserve"> </w:t>
      </w:r>
    </w:p>
    <w:p w:rsidR="4EB47659" w:rsidP="2BE361E1" w:rsidRDefault="4EB47659" w14:paraId="5394A16D" w14:textId="7058787D">
      <w:pPr>
        <w:spacing w:line="276" w:lineRule="auto"/>
        <w:jc w:val="both"/>
      </w:pPr>
      <w:r w:rsidRPr="2BE361E1" w:rsidR="4EB47659">
        <w:rPr>
          <w:rFonts w:ascii="Calibri" w:hAnsi="Calibri" w:eastAsia="Calibri" w:cs="Calibri"/>
          <w:b w:val="1"/>
          <w:bCs w:val="1"/>
          <w:noProof w:val="0"/>
          <w:sz w:val="28"/>
          <w:szCs w:val="28"/>
          <w:lang w:val="en-US"/>
        </w:rPr>
        <w:t>Procedural safeguards</w:t>
      </w:r>
    </w:p>
    <w:p w:rsidR="4EB47659" w:rsidP="2BE361E1" w:rsidRDefault="4EB47659" w14:paraId="028C26C5" w14:textId="63B0AC5A">
      <w:pPr>
        <w:spacing w:line="276" w:lineRule="auto"/>
        <w:jc w:val="both"/>
      </w:pPr>
      <w:r w:rsidRPr="2BE361E1" w:rsidR="4EB47659">
        <w:rPr>
          <w:rFonts w:ascii="Calibri" w:hAnsi="Calibri" w:eastAsia="Calibri" w:cs="Calibri"/>
          <w:noProof w:val="0"/>
          <w:sz w:val="28"/>
          <w:szCs w:val="28"/>
          <w:lang w:val="en-US"/>
        </w:rPr>
        <w:t>Under Article 30-33 CRD procedural requirements and safeguards for MSs seek to rely on the exclusions.</w:t>
      </w:r>
      <w:r w:rsidRPr="2BE361E1" w:rsidR="4EB47659">
        <w:rPr>
          <w:rFonts w:ascii="Calibri" w:hAnsi="Calibri" w:eastAsia="Calibri" w:cs="Calibri"/>
          <w:b w:val="1"/>
          <w:bCs w:val="1"/>
          <w:noProof w:val="0"/>
          <w:sz w:val="28"/>
          <w:szCs w:val="28"/>
          <w:lang w:val="en-US"/>
        </w:rPr>
        <w:t xml:space="preserve"> </w:t>
      </w:r>
      <w:r w:rsidRPr="2BE361E1" w:rsidR="4EB47659">
        <w:rPr>
          <w:rFonts w:ascii="Calibri" w:hAnsi="Calibri" w:eastAsia="Calibri" w:cs="Calibri"/>
          <w:noProof w:val="0"/>
          <w:sz w:val="28"/>
          <w:szCs w:val="28"/>
          <w:lang w:val="en-US"/>
        </w:rPr>
        <w:t>There is an obligation on MSs to provide information to the relevant person such as clear reason for relying on a particular exceptions. Also, the person needs to be told if there is access to judicial reviews. Individuals subject to the derogation are to be given access to judicial or administrative procedures to appeal or review the decision of MSss</w:t>
      </w:r>
    </w:p>
    <w:p w:rsidR="4EB47659" w:rsidP="2BE361E1" w:rsidRDefault="4EB47659" w14:paraId="124447C9" w14:textId="54215B9F">
      <w:pPr>
        <w:spacing w:line="276" w:lineRule="auto"/>
        <w:jc w:val="both"/>
      </w:pPr>
      <w:r w:rsidRPr="2BE361E1" w:rsidR="4EB47659">
        <w:rPr>
          <w:rFonts w:ascii="Calibri" w:hAnsi="Calibri" w:eastAsia="Calibri" w:cs="Calibri"/>
          <w:noProof w:val="0"/>
          <w:sz w:val="28"/>
          <w:szCs w:val="28"/>
          <w:lang w:val="en-US"/>
        </w:rPr>
        <w:t>This legislation ensures accurateness of information being told to individuals who are migrants from any new state like Mary, Nadine and Oscar.</w:t>
      </w:r>
    </w:p>
    <w:p w:rsidR="4EB47659" w:rsidP="2BE361E1" w:rsidRDefault="4EB47659" w14:paraId="097C8BD4" w14:textId="7A46D263">
      <w:pPr>
        <w:spacing w:line="276" w:lineRule="auto"/>
        <w:jc w:val="both"/>
      </w:pPr>
      <w:r w:rsidRPr="2BE361E1" w:rsidR="4EB47659">
        <w:rPr>
          <w:rFonts w:ascii="Calibri" w:hAnsi="Calibri" w:eastAsia="Calibri" w:cs="Calibri"/>
          <w:b w:val="1"/>
          <w:bCs w:val="1"/>
          <w:noProof w:val="0"/>
          <w:sz w:val="28"/>
          <w:szCs w:val="28"/>
          <w:lang w:val="en-US"/>
        </w:rPr>
        <w:t>Additional rights for workers</w:t>
      </w:r>
    </w:p>
    <w:p w:rsidR="4EB47659" w:rsidP="2BE361E1" w:rsidRDefault="4EB47659" w14:paraId="332103D5" w14:textId="1E224A48">
      <w:pPr>
        <w:spacing w:line="276" w:lineRule="auto"/>
        <w:jc w:val="both"/>
      </w:pPr>
      <w:r w:rsidRPr="2BE361E1" w:rsidR="4EB47659">
        <w:rPr>
          <w:rFonts w:ascii="Calibri" w:hAnsi="Calibri" w:eastAsia="Calibri" w:cs="Calibri"/>
          <w:noProof w:val="0"/>
          <w:sz w:val="28"/>
          <w:szCs w:val="28"/>
          <w:lang w:val="en-US"/>
        </w:rPr>
        <w:t>EEC PACT introduced a principal of these movements of workers. This is now Article 45 TFEU, such free movements requires the abolition of judgment based on nationality in relative to access to employment, pay, and other conditions of employments. This law would help Mary to in workplace and finding appropriate job in new state.</w:t>
      </w:r>
    </w:p>
    <w:p w:rsidR="4EB47659" w:rsidP="2BE361E1" w:rsidRDefault="4EB47659" w14:paraId="02EA6A76" w14:textId="7D174508">
      <w:pPr>
        <w:spacing w:line="276" w:lineRule="auto"/>
        <w:jc w:val="both"/>
      </w:pPr>
      <w:r w:rsidRPr="2BE361E1" w:rsidR="4EB47659">
        <w:rPr>
          <w:rFonts w:ascii="Calibri" w:hAnsi="Calibri" w:eastAsia="Calibri" w:cs="Calibri"/>
          <w:noProof w:val="0"/>
          <w:sz w:val="28"/>
          <w:szCs w:val="28"/>
          <w:lang w:val="en-US"/>
        </w:rPr>
        <w:t xml:space="preserve"> </w:t>
      </w:r>
    </w:p>
    <w:p w:rsidR="4EB47659" w:rsidP="2BE361E1" w:rsidRDefault="4EB47659" w14:paraId="1302859E" w14:textId="370D27F2">
      <w:pPr>
        <w:spacing w:line="276" w:lineRule="auto"/>
        <w:jc w:val="both"/>
      </w:pPr>
      <w:r w:rsidRPr="2BE361E1" w:rsidR="4EB47659">
        <w:rPr>
          <w:rFonts w:ascii="Calibri" w:hAnsi="Calibri" w:eastAsia="Calibri" w:cs="Calibri"/>
          <w:noProof w:val="0"/>
          <w:sz w:val="28"/>
          <w:szCs w:val="28"/>
          <w:lang w:val="en-US"/>
        </w:rPr>
        <w:t xml:space="preserve"> </w:t>
      </w:r>
    </w:p>
    <w:p w:rsidR="4EB47659" w:rsidP="2BE361E1" w:rsidRDefault="4EB47659" w14:paraId="0210DD86" w14:textId="112ADFBA">
      <w:pPr>
        <w:spacing w:line="276" w:lineRule="auto"/>
        <w:jc w:val="both"/>
      </w:pPr>
      <w:r w:rsidRPr="2BE361E1" w:rsidR="4EB47659">
        <w:rPr>
          <w:rFonts w:ascii="Calibri" w:hAnsi="Calibri" w:eastAsia="Calibri" w:cs="Calibri"/>
          <w:noProof w:val="0"/>
          <w:sz w:val="28"/>
          <w:szCs w:val="28"/>
          <w:lang w:val="en-US"/>
        </w:rPr>
        <w:t xml:space="preserve"> </w:t>
      </w:r>
    </w:p>
    <w:p w:rsidR="4EB47659" w:rsidP="2BE361E1" w:rsidRDefault="4EB47659" w14:paraId="275D01FD" w14:textId="32780C10">
      <w:pPr>
        <w:spacing w:line="276" w:lineRule="auto"/>
        <w:jc w:val="both"/>
      </w:pPr>
      <w:r w:rsidRPr="2BE361E1" w:rsidR="4EB47659">
        <w:rPr>
          <w:rFonts w:ascii="Calibri" w:hAnsi="Calibri" w:eastAsia="Calibri" w:cs="Calibri"/>
          <w:noProof w:val="0"/>
          <w:sz w:val="28"/>
          <w:szCs w:val="28"/>
          <w:lang w:val="en-US"/>
        </w:rPr>
        <w:t xml:space="preserve"> </w:t>
      </w:r>
    </w:p>
    <w:p w:rsidR="4EB47659" w:rsidP="2BE361E1" w:rsidRDefault="4EB47659" w14:paraId="3BE76C60" w14:textId="4933FEE0">
      <w:pPr>
        <w:spacing w:line="276" w:lineRule="auto"/>
        <w:jc w:val="both"/>
      </w:pPr>
      <w:r w:rsidRPr="2BE361E1" w:rsidR="4EB47659">
        <w:rPr>
          <w:rFonts w:ascii="Calibri" w:hAnsi="Calibri" w:eastAsia="Calibri" w:cs="Calibri"/>
          <w:noProof w:val="0"/>
          <w:sz w:val="28"/>
          <w:szCs w:val="28"/>
          <w:lang w:val="en-US"/>
        </w:rPr>
        <w:t xml:space="preserve"> </w:t>
      </w:r>
    </w:p>
    <w:p w:rsidR="4EB47659" w:rsidP="2BE361E1" w:rsidRDefault="4EB47659" w14:paraId="47F449D5" w14:textId="76188ED7">
      <w:pPr>
        <w:spacing w:line="276" w:lineRule="auto"/>
        <w:ind w:firstLine="720"/>
        <w:jc w:val="both"/>
      </w:pPr>
      <w:r w:rsidRPr="2BE361E1" w:rsidR="4EB47659">
        <w:rPr>
          <w:rFonts w:ascii="Calibri" w:hAnsi="Calibri" w:eastAsia="Calibri" w:cs="Calibri"/>
          <w:noProof w:val="0"/>
          <w:sz w:val="28"/>
          <w:szCs w:val="28"/>
          <w:lang w:val="en-US"/>
        </w:rPr>
        <w:t xml:space="preserve"> </w:t>
      </w:r>
    </w:p>
    <w:p w:rsidR="4EB47659" w:rsidP="2BE361E1" w:rsidRDefault="4EB47659" w14:paraId="5C3E0892" w14:textId="4E75DF47">
      <w:pPr>
        <w:spacing w:line="276" w:lineRule="auto"/>
        <w:jc w:val="both"/>
      </w:pPr>
      <w:r w:rsidRPr="2BE361E1" w:rsidR="4EB47659">
        <w:rPr>
          <w:rFonts w:ascii="Calibri" w:hAnsi="Calibri" w:eastAsia="Calibri" w:cs="Calibri"/>
          <w:noProof w:val="0"/>
          <w:sz w:val="28"/>
          <w:szCs w:val="28"/>
          <w:lang w:val="en-US"/>
        </w:rPr>
        <w:t xml:space="preserve"> </w:t>
      </w:r>
    </w:p>
    <w:p w:rsidR="4EB47659" w:rsidP="2BE361E1" w:rsidRDefault="4EB47659" w14:paraId="52EC6734" w14:textId="1AE32C91">
      <w:pPr>
        <w:spacing w:line="276" w:lineRule="auto"/>
        <w:ind w:firstLine="720"/>
        <w:jc w:val="both"/>
      </w:pPr>
      <w:r w:rsidRPr="2BE361E1" w:rsidR="4EB47659">
        <w:rPr>
          <w:rFonts w:ascii="Calibri" w:hAnsi="Calibri" w:eastAsia="Calibri" w:cs="Calibri"/>
          <w:noProof w:val="0"/>
          <w:sz w:val="28"/>
          <w:szCs w:val="28"/>
          <w:lang w:val="en-US"/>
        </w:rPr>
        <w:t xml:space="preserve"> </w:t>
      </w:r>
    </w:p>
    <w:p w:rsidR="2BE361E1" w:rsidP="2BE361E1" w:rsidRDefault="2BE361E1" w14:paraId="7DEEF18A" w14:textId="1230B0B0">
      <w:pPr>
        <w:spacing w:line="276" w:lineRule="auto"/>
        <w:jc w:val="both"/>
        <w:rPr>
          <w:rFonts w:ascii="Calibri" w:hAnsi="Calibri" w:eastAsia="Calibri" w:cs="Calibri"/>
          <w:noProof w:val="0"/>
          <w:sz w:val="28"/>
          <w:szCs w:val="28"/>
          <w:lang w:val="en-US"/>
        </w:rPr>
      </w:pPr>
    </w:p>
    <w:p w:rsidR="2BE361E1" w:rsidP="2BE361E1" w:rsidRDefault="2BE361E1" w14:paraId="6D21B7A3" w14:textId="33AEAE45">
      <w:pPr>
        <w:pStyle w:val="Normal"/>
      </w:pPr>
    </w:p>
    <w:p w:rsidR="2BE361E1" w:rsidP="2BE361E1" w:rsidRDefault="2BE361E1" w14:paraId="314ADEBF" w14:textId="18B493DE">
      <w:pPr>
        <w:pStyle w:val="Normal"/>
      </w:pPr>
    </w:p>
    <w:p w:rsidR="2BE361E1" w:rsidP="2BE361E1" w:rsidRDefault="2BE361E1" w14:paraId="5D6A229C" w14:textId="3982F292">
      <w:pPr>
        <w:pStyle w:val="Normal"/>
      </w:pPr>
    </w:p>
    <w:p w:rsidR="2BE361E1" w:rsidP="2BE361E1" w:rsidRDefault="2BE361E1" w14:paraId="1B2FC0BA" w14:textId="68BF7D2E">
      <w:pPr>
        <w:pStyle w:val="Normal"/>
      </w:pPr>
    </w:p>
    <w:p w:rsidR="2BE361E1" w:rsidP="2BE361E1" w:rsidRDefault="2BE361E1" w14:paraId="3ED44754" w14:textId="391FE3E7">
      <w:pPr>
        <w:pStyle w:val="Normal"/>
      </w:pPr>
    </w:p>
    <w:p w:rsidR="2BE361E1" w:rsidP="2BE361E1" w:rsidRDefault="2BE361E1" w14:paraId="6803F19C" w14:textId="679633F2">
      <w:pPr>
        <w:pStyle w:val="Normal"/>
      </w:pPr>
    </w:p>
    <w:p w:rsidR="2BE361E1" w:rsidP="2BE361E1" w:rsidRDefault="2BE361E1" w14:paraId="0A0527BF" w14:textId="14D0D020">
      <w:pPr>
        <w:pStyle w:val="Normal"/>
      </w:pPr>
    </w:p>
    <w:p w:rsidR="2BE361E1" w:rsidP="2BE361E1" w:rsidRDefault="2BE361E1" w14:paraId="0F73D188" w14:textId="380DE01A">
      <w:pPr>
        <w:pStyle w:val="Normal"/>
      </w:pPr>
    </w:p>
    <w:p w:rsidR="2BE361E1" w:rsidP="2BE361E1" w:rsidRDefault="2BE361E1" w14:paraId="48E875A3" w14:textId="5DC41ACE">
      <w:pPr>
        <w:pStyle w:val="Normal"/>
      </w:pPr>
    </w:p>
    <w:p w:rsidR="2BE361E1" w:rsidP="2BE361E1" w:rsidRDefault="2BE361E1" w14:paraId="40844A40" w14:textId="24CC29E7">
      <w:pPr>
        <w:pStyle w:val="Normal"/>
      </w:pPr>
    </w:p>
    <w:p w:rsidR="2BE361E1" w:rsidP="2BE361E1" w:rsidRDefault="2BE361E1" w14:paraId="25CDD0F2" w14:textId="0695DD23">
      <w:pPr>
        <w:pStyle w:val="Normal"/>
      </w:pPr>
    </w:p>
    <w:p w:rsidR="2BE361E1" w:rsidP="2BE361E1" w:rsidRDefault="2BE361E1" w14:paraId="72C59533" w14:textId="06EF3E35">
      <w:pPr>
        <w:pStyle w:val="Normal"/>
      </w:pPr>
    </w:p>
    <w:p w:rsidR="2BE361E1" w:rsidP="2BE361E1" w:rsidRDefault="2BE361E1" w14:paraId="45751DE2" w14:textId="5ED6DA9D">
      <w:pPr>
        <w:pStyle w:val="Normal"/>
      </w:pPr>
    </w:p>
    <w:p w:rsidR="2BE361E1" w:rsidP="2BE361E1" w:rsidRDefault="2BE361E1" w14:paraId="093B8E04" w14:textId="44A38BD7">
      <w:pPr>
        <w:pStyle w:val="Normal"/>
      </w:pPr>
    </w:p>
    <w:p w:rsidR="2BE361E1" w:rsidP="2BE361E1" w:rsidRDefault="2BE361E1" w14:paraId="641F1A51" w14:textId="7D679CC2">
      <w:pPr>
        <w:pStyle w:val="Normal"/>
      </w:pPr>
    </w:p>
    <w:p w:rsidR="2BE361E1" w:rsidP="2BE361E1" w:rsidRDefault="2BE361E1" w14:paraId="1CE60C63" w14:textId="12684C51">
      <w:pPr>
        <w:pStyle w:val="Normal"/>
      </w:pPr>
    </w:p>
    <w:p w:rsidR="2BE361E1" w:rsidP="2BE361E1" w:rsidRDefault="2BE361E1" w14:paraId="6071B021" w14:textId="7E11B55B">
      <w:pPr>
        <w:pStyle w:val="Normal"/>
      </w:pPr>
    </w:p>
    <w:p w:rsidR="2BE361E1" w:rsidP="2BE361E1" w:rsidRDefault="2BE361E1" w14:paraId="6B97F5DB" w14:textId="789D1AC2">
      <w:pPr>
        <w:pStyle w:val="Normal"/>
      </w:pPr>
    </w:p>
    <w:p w:rsidR="2BE361E1" w:rsidP="2BE361E1" w:rsidRDefault="2BE361E1" w14:paraId="26AC3424" w14:textId="68E69746">
      <w:pPr>
        <w:pStyle w:val="Normal"/>
      </w:pPr>
    </w:p>
    <w:p w:rsidR="2BE361E1" w:rsidP="2BE361E1" w:rsidRDefault="2BE361E1" w14:paraId="61681073" w14:textId="4B8C96AE">
      <w:pPr>
        <w:pStyle w:val="Normal"/>
      </w:pPr>
    </w:p>
    <w:p w:rsidR="2BE361E1" w:rsidP="2BE361E1" w:rsidRDefault="2BE361E1" w14:paraId="4347A191" w14:textId="6748AF8D">
      <w:pPr>
        <w:pStyle w:val="Normal"/>
      </w:pPr>
    </w:p>
    <w:p w:rsidR="2BE361E1" w:rsidP="2BE361E1" w:rsidRDefault="2BE361E1" w14:paraId="6A5719D3" w14:textId="45BFD84F">
      <w:pPr>
        <w:pStyle w:val="Normal"/>
      </w:pPr>
    </w:p>
    <w:p w:rsidR="2BE361E1" w:rsidP="2BE361E1" w:rsidRDefault="2BE361E1" w14:paraId="54202F43" w14:textId="1D069DA5">
      <w:pPr>
        <w:pStyle w:val="Normal"/>
      </w:pPr>
    </w:p>
    <w:p w:rsidR="2BE361E1" w:rsidP="2BE361E1" w:rsidRDefault="2BE361E1" w14:paraId="0F70419D" w14:textId="33865254">
      <w:pPr>
        <w:pStyle w:val="Normal"/>
      </w:pPr>
    </w:p>
    <w:p w:rsidR="2BE361E1" w:rsidP="2BE361E1" w:rsidRDefault="2BE361E1" w14:paraId="45E3CE7E" w14:textId="4597E823">
      <w:pPr>
        <w:pStyle w:val="Normal"/>
      </w:pPr>
    </w:p>
    <w:p w:rsidR="2BE361E1" w:rsidP="2BE361E1" w:rsidRDefault="2BE361E1" w14:paraId="7C38DD1D" w14:textId="6858A88B">
      <w:pPr>
        <w:pStyle w:val="Normal"/>
      </w:pPr>
    </w:p>
    <w:p w:rsidR="2BE361E1" w:rsidP="2BE361E1" w:rsidRDefault="2BE361E1" w14:paraId="6ABCC4A1" w14:textId="23641FCA">
      <w:pPr>
        <w:pStyle w:val="Normal"/>
      </w:pPr>
    </w:p>
    <w:p w:rsidR="2BE361E1" w:rsidP="2BE361E1" w:rsidRDefault="2BE361E1" w14:paraId="443758CB" w14:textId="111FF1BC">
      <w:pPr>
        <w:pStyle w:val="Normal"/>
      </w:pPr>
    </w:p>
    <w:p w:rsidR="2BE361E1" w:rsidP="2BE361E1" w:rsidRDefault="2BE361E1" w14:paraId="49A833BF" w14:textId="18EA49B8">
      <w:pPr>
        <w:pStyle w:val="Normal"/>
      </w:pPr>
    </w:p>
    <w:p w:rsidR="2BE361E1" w:rsidP="2BE361E1" w:rsidRDefault="2BE361E1" w14:paraId="712E83F7" w14:textId="5D52A10C">
      <w:pPr>
        <w:pStyle w:val="Normal"/>
      </w:pPr>
    </w:p>
    <w:p w:rsidR="2BE361E1" w:rsidP="2BE361E1" w:rsidRDefault="2BE361E1" w14:paraId="342D108A" w14:textId="20470A3D">
      <w:pPr>
        <w:pStyle w:val="Normal"/>
      </w:pPr>
    </w:p>
    <w:p w:rsidR="2BE361E1" w:rsidP="2BE361E1" w:rsidRDefault="2BE361E1" w14:paraId="5AECB2C4" w14:textId="39F4D124">
      <w:pPr>
        <w:pStyle w:val="Normal"/>
      </w:pPr>
    </w:p>
    <w:p w:rsidR="2BE361E1" w:rsidP="2BE361E1" w:rsidRDefault="2BE361E1" w14:paraId="029458DD" w14:textId="55F66DD8">
      <w:pPr>
        <w:pStyle w:val="Normal"/>
      </w:pPr>
    </w:p>
    <w:p w:rsidR="2BE361E1" w:rsidP="2BE361E1" w:rsidRDefault="2BE361E1" w14:paraId="3F9683E7" w14:textId="50D130AF">
      <w:pPr>
        <w:pStyle w:val="Normal"/>
      </w:pPr>
    </w:p>
    <w:p w:rsidR="2BE361E1" w:rsidP="2BE361E1" w:rsidRDefault="2BE361E1" w14:paraId="5F37CE57" w14:textId="540174FD">
      <w:pPr>
        <w:pStyle w:val="Normal"/>
      </w:pPr>
    </w:p>
    <w:p w:rsidR="2BE361E1" w:rsidP="2BE361E1" w:rsidRDefault="2BE361E1" w14:paraId="3C128A2E" w14:textId="787C9288">
      <w:pPr>
        <w:pStyle w:val="Normal"/>
      </w:pPr>
    </w:p>
    <w:p w:rsidR="2BE361E1" w:rsidP="2BE361E1" w:rsidRDefault="2BE361E1" w14:paraId="1AC89B5B" w14:textId="20D1755E">
      <w:pPr>
        <w:pStyle w:val="Normal"/>
      </w:pPr>
    </w:p>
    <w:p w:rsidR="2BE361E1" w:rsidP="2BE361E1" w:rsidRDefault="2BE361E1" w14:paraId="26A0E0DE" w14:textId="18A6D656">
      <w:pPr>
        <w:pStyle w:val="Normal"/>
      </w:pPr>
    </w:p>
    <w:p w:rsidR="2BE361E1" w:rsidP="2BE361E1" w:rsidRDefault="2BE361E1" w14:paraId="1E6CFFA5" w14:textId="2F97E1BA">
      <w:pPr>
        <w:pStyle w:val="Normal"/>
      </w:pPr>
    </w:p>
    <w:p w:rsidR="2BE361E1" w:rsidP="2BE361E1" w:rsidRDefault="2BE361E1" w14:paraId="140AB636" w14:textId="7A543D47">
      <w:pPr>
        <w:pStyle w:val="Normal"/>
      </w:pPr>
    </w:p>
    <w:p w:rsidR="2BE361E1" w:rsidP="2BE361E1" w:rsidRDefault="2BE361E1" w14:paraId="7242F1BF" w14:textId="25BD034A">
      <w:pPr>
        <w:pStyle w:val="Normal"/>
      </w:pPr>
    </w:p>
    <w:p w:rsidR="2BE361E1" w:rsidP="2BE361E1" w:rsidRDefault="2BE361E1" w14:paraId="12C9C76A" w14:textId="7AEF5DDD">
      <w:pPr>
        <w:pStyle w:val="Normal"/>
      </w:pPr>
    </w:p>
    <w:p w:rsidR="193538B9" w:rsidP="2BE361E1" w:rsidRDefault="193538B9" w14:paraId="01DFD4DD" w14:textId="0EBD2B28">
      <w:pPr>
        <w:pStyle w:val="Normal"/>
      </w:pPr>
      <w:r w:rsidR="193538B9">
        <w:rPr/>
        <w:t>References:</w:t>
      </w:r>
    </w:p>
    <w:p w:rsidR="2BE361E1" w:rsidP="2BE361E1" w:rsidRDefault="2BE361E1" w14:paraId="154D5230" w14:textId="60610E8F">
      <w:pPr>
        <w:pStyle w:val="Normal"/>
      </w:pPr>
    </w:p>
    <w:p w:rsidR="2BE361E1" w:rsidP="2BE361E1" w:rsidRDefault="2BE361E1" w14:paraId="78E29B1C" w14:textId="012D85C4">
      <w:pPr>
        <w:pStyle w:val="Normal"/>
      </w:pPr>
    </w:p>
    <w:p w:rsidR="2BE361E1" w:rsidP="2BE361E1" w:rsidRDefault="2BE361E1" w14:paraId="2804B718" w14:textId="6DBEE0BF">
      <w:pPr>
        <w:pStyle w:val="Normal"/>
      </w:pPr>
    </w:p>
    <w:p w:rsidR="2BE361E1" w:rsidP="2BE361E1" w:rsidRDefault="2BE361E1" w14:paraId="2ED13C8F" w14:textId="09BD0E71">
      <w:pPr>
        <w:pStyle w:val="Normal"/>
      </w:pPr>
    </w:p>
    <w:p w:rsidR="2BE361E1" w:rsidP="2BE361E1" w:rsidRDefault="2BE361E1" w14:paraId="48616006" w14:textId="5D4E4CCA">
      <w:pPr>
        <w:pStyle w:val="Normal"/>
      </w:pPr>
    </w:p>
    <w:p w:rsidR="2BE361E1" w:rsidP="2BE361E1" w:rsidRDefault="2BE361E1" w14:paraId="63C6634B" w14:textId="29B24383">
      <w:pPr>
        <w:pStyle w:val="Normal"/>
      </w:pPr>
    </w:p>
    <w:p w:rsidR="2BE361E1" w:rsidP="2BE361E1" w:rsidRDefault="2BE361E1" w14:paraId="5F2BB84F" w14:textId="6908BC26">
      <w:pPr>
        <w:pStyle w:val="Normal"/>
      </w:pPr>
    </w:p>
    <w:p w:rsidR="2BE361E1" w:rsidP="2BE361E1" w:rsidRDefault="2BE361E1" w14:paraId="157BB7CB" w14:textId="2F90EC47">
      <w:pPr>
        <w:pStyle w:val="Normal"/>
      </w:pPr>
    </w:p>
    <w:p w:rsidR="2BE361E1" w:rsidP="2BE361E1" w:rsidRDefault="2BE361E1" w14:paraId="501DE507" w14:textId="74F91BC6">
      <w:pPr>
        <w:pStyle w:val="Normal"/>
      </w:pPr>
    </w:p>
    <w:p w:rsidR="2BE361E1" w:rsidP="2BE361E1" w:rsidRDefault="2BE361E1" w14:paraId="19076C75" w14:textId="47225DD6">
      <w:pPr>
        <w:pStyle w:val="Normal"/>
      </w:pPr>
    </w:p>
    <w:p w:rsidR="2BE361E1" w:rsidP="2BE361E1" w:rsidRDefault="2BE361E1" w14:paraId="545B9DF4" w14:textId="4D55F4BB">
      <w:pPr>
        <w:pStyle w:val="Normal"/>
      </w:pPr>
    </w:p>
    <w:p w:rsidR="2BE361E1" w:rsidP="2BE361E1" w:rsidRDefault="2BE361E1" w14:paraId="433F4F21" w14:textId="6EA14FB1">
      <w:pPr>
        <w:pStyle w:val="Normal"/>
      </w:pPr>
    </w:p>
    <w:p w:rsidR="2BE361E1" w:rsidP="2BE361E1" w:rsidRDefault="2BE361E1" w14:paraId="4A2CE7AC" w14:textId="1C7F02D3">
      <w:pPr>
        <w:pStyle w:val="Normal"/>
      </w:pPr>
    </w:p>
    <w:p w:rsidR="193538B9" w:rsidP="2BE361E1" w:rsidRDefault="193538B9" w14:paraId="6E2A07A4" w14:textId="795A9B3E">
      <w:pPr>
        <w:pStyle w:val="Normal"/>
      </w:pPr>
      <w:r w:rsidR="193538B9">
        <w:rPr/>
        <w:t>Case Law:</w:t>
      </w:r>
    </w:p>
    <w:p w:rsidR="2BE361E1" w:rsidP="2BE361E1" w:rsidRDefault="2BE361E1" w14:paraId="55DC4EF1" w14:textId="2480B2FA">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6096FA4"/>
    <w:rsid w:val="0121549E"/>
    <w:rsid w:val="0130DB3B"/>
    <w:rsid w:val="024E9295"/>
    <w:rsid w:val="027901EC"/>
    <w:rsid w:val="039BD45E"/>
    <w:rsid w:val="047E8ED2"/>
    <w:rsid w:val="04DAB56B"/>
    <w:rsid w:val="0504C832"/>
    <w:rsid w:val="06096FA4"/>
    <w:rsid w:val="0646BF68"/>
    <w:rsid w:val="0742BE73"/>
    <w:rsid w:val="077210EA"/>
    <w:rsid w:val="081EE3B1"/>
    <w:rsid w:val="088B1632"/>
    <w:rsid w:val="08FA41F2"/>
    <w:rsid w:val="096FFF86"/>
    <w:rsid w:val="0975FB7C"/>
    <w:rsid w:val="0A21A6DD"/>
    <w:rsid w:val="0BED570A"/>
    <w:rsid w:val="0C58D422"/>
    <w:rsid w:val="0CF4C1C5"/>
    <w:rsid w:val="0DF7A90E"/>
    <w:rsid w:val="0F413BF1"/>
    <w:rsid w:val="0F609CE2"/>
    <w:rsid w:val="114086D1"/>
    <w:rsid w:val="137795B4"/>
    <w:rsid w:val="14DAF10B"/>
    <w:rsid w:val="15549907"/>
    <w:rsid w:val="15CEB3FE"/>
    <w:rsid w:val="16F50ABE"/>
    <w:rsid w:val="177BBF36"/>
    <w:rsid w:val="191E2ECD"/>
    <w:rsid w:val="193538B9"/>
    <w:rsid w:val="1A9A379B"/>
    <w:rsid w:val="1AA22521"/>
    <w:rsid w:val="1B2C95C4"/>
    <w:rsid w:val="1C4F3059"/>
    <w:rsid w:val="1DD9C5E3"/>
    <w:rsid w:val="1FC3B5C0"/>
    <w:rsid w:val="201BD798"/>
    <w:rsid w:val="20484354"/>
    <w:rsid w:val="218FAFF7"/>
    <w:rsid w:val="21D7E20B"/>
    <w:rsid w:val="235CA819"/>
    <w:rsid w:val="25DCEA42"/>
    <w:rsid w:val="26878741"/>
    <w:rsid w:val="2BE361E1"/>
    <w:rsid w:val="2C4C2BC6"/>
    <w:rsid w:val="2C5D669D"/>
    <w:rsid w:val="2DEFE9AD"/>
    <w:rsid w:val="2EA50ED3"/>
    <w:rsid w:val="2F7291B1"/>
    <w:rsid w:val="30714BCA"/>
    <w:rsid w:val="31278A6F"/>
    <w:rsid w:val="318CAB64"/>
    <w:rsid w:val="32C35AD0"/>
    <w:rsid w:val="33B051F6"/>
    <w:rsid w:val="33B5CF73"/>
    <w:rsid w:val="34D78C1D"/>
    <w:rsid w:val="373AC99D"/>
    <w:rsid w:val="38583E2C"/>
    <w:rsid w:val="38697903"/>
    <w:rsid w:val="3A717C59"/>
    <w:rsid w:val="3A831057"/>
    <w:rsid w:val="3AA73FB4"/>
    <w:rsid w:val="3BE4A556"/>
    <w:rsid w:val="3BF5B5FB"/>
    <w:rsid w:val="3C7B77ED"/>
    <w:rsid w:val="3D2BAF4F"/>
    <w:rsid w:val="3D9D365A"/>
    <w:rsid w:val="3DB91007"/>
    <w:rsid w:val="3EE0A80D"/>
    <w:rsid w:val="3F0D5A8C"/>
    <w:rsid w:val="3FCF39D5"/>
    <w:rsid w:val="4041FDC0"/>
    <w:rsid w:val="4274213C"/>
    <w:rsid w:val="42ADE0FB"/>
    <w:rsid w:val="42D19114"/>
    <w:rsid w:val="454FE991"/>
    <w:rsid w:val="45CA146F"/>
    <w:rsid w:val="46A0046D"/>
    <w:rsid w:val="49F3D193"/>
    <w:rsid w:val="4A5C2A08"/>
    <w:rsid w:val="4BA602B8"/>
    <w:rsid w:val="4C919BB7"/>
    <w:rsid w:val="4D4503CD"/>
    <w:rsid w:val="4D64EE20"/>
    <w:rsid w:val="4EB47659"/>
    <w:rsid w:val="4FB801A2"/>
    <w:rsid w:val="50BFCBF1"/>
    <w:rsid w:val="513AA9A6"/>
    <w:rsid w:val="51482C8C"/>
    <w:rsid w:val="5201C91B"/>
    <w:rsid w:val="53C36158"/>
    <w:rsid w:val="55A3F0C8"/>
    <w:rsid w:val="576424E2"/>
    <w:rsid w:val="5B70FBEA"/>
    <w:rsid w:val="5D6931BA"/>
    <w:rsid w:val="5D9A6F5B"/>
    <w:rsid w:val="5EEACF90"/>
    <w:rsid w:val="5F1E2A78"/>
    <w:rsid w:val="61191DD0"/>
    <w:rsid w:val="61E7A007"/>
    <w:rsid w:val="622B6806"/>
    <w:rsid w:val="6255CB3A"/>
    <w:rsid w:val="62E71698"/>
    <w:rsid w:val="633EF28C"/>
    <w:rsid w:val="63C73867"/>
    <w:rsid w:val="63D8733E"/>
    <w:rsid w:val="63E060C4"/>
    <w:rsid w:val="642D2803"/>
    <w:rsid w:val="64A3210B"/>
    <w:rsid w:val="659D4C35"/>
    <w:rsid w:val="66FED929"/>
    <w:rsid w:val="67180186"/>
    <w:rsid w:val="67F96277"/>
    <w:rsid w:val="68083CE3"/>
    <w:rsid w:val="68ABE461"/>
    <w:rsid w:val="68F7AD57"/>
    <w:rsid w:val="6A40CF6A"/>
    <w:rsid w:val="6A4FA248"/>
    <w:rsid w:val="6B2A3CDE"/>
    <w:rsid w:val="6B7FB077"/>
    <w:rsid w:val="6BE38523"/>
    <w:rsid w:val="6BEB72A9"/>
    <w:rsid w:val="6C6E9018"/>
    <w:rsid w:val="6CBACE55"/>
    <w:rsid w:val="6D15DAEA"/>
    <w:rsid w:val="6D87430A"/>
    <w:rsid w:val="6F7E287F"/>
    <w:rsid w:val="7083E4D9"/>
    <w:rsid w:val="7188438B"/>
    <w:rsid w:val="732413EC"/>
    <w:rsid w:val="740C43F9"/>
    <w:rsid w:val="7426AB12"/>
    <w:rsid w:val="749C7C78"/>
    <w:rsid w:val="750B6CC4"/>
    <w:rsid w:val="758165CC"/>
    <w:rsid w:val="76517E2F"/>
    <w:rsid w:val="772E2550"/>
    <w:rsid w:val="77C4F7E7"/>
    <w:rsid w:val="77E4D583"/>
    <w:rsid w:val="7A944C2E"/>
    <w:rsid w:val="7A98BF87"/>
    <w:rsid w:val="7B2F25D1"/>
    <w:rsid w:val="7CCAF632"/>
    <w:rsid w:val="7CED6BE0"/>
    <w:rsid w:val="7E741F06"/>
    <w:rsid w:val="7F200E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096FA4"/>
  <w15:chartTrackingRefBased/>
  <w15:docId w15:val="{c3640e19-7068-4bf9-8564-962b92d7f79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1e1b44eec5734a7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David Jones (1902712)</dc:creator>
  <keywords/>
  <dc:description/>
  <lastModifiedBy>David Jones (1902712)</lastModifiedBy>
  <revision>3</revision>
  <dcterms:created xsi:type="dcterms:W3CDTF">2021-05-14T02:19:46.3801023Z</dcterms:created>
  <dcterms:modified xsi:type="dcterms:W3CDTF">2021-05-14T20:12:35.2868259Z</dcterms:modified>
</coreProperties>
</file>