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823F4" w:rsidRDefault="008823F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00000002" w14:textId="77777777" w:rsidR="008823F4" w:rsidRDefault="008823F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00000003" w14:textId="77777777" w:rsidR="008823F4" w:rsidRDefault="008823F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00000004" w14:textId="77777777" w:rsidR="008823F4" w:rsidRDefault="008823F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00000005" w14:textId="77777777" w:rsidR="008823F4" w:rsidRDefault="008823F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00000006" w14:textId="77777777" w:rsidR="008823F4" w:rsidRPr="00684ED9" w:rsidRDefault="008823F4">
      <w:pPr>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00000007" w14:textId="77777777" w:rsidR="008823F4" w:rsidRPr="00684ED9" w:rsidRDefault="008823F4">
      <w:pPr>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00000008" w14:textId="77777777" w:rsidR="008823F4" w:rsidRPr="00684ED9" w:rsidRDefault="008823F4">
      <w:pPr>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00000009" w14:textId="77777777" w:rsidR="008823F4" w:rsidRPr="00684ED9" w:rsidRDefault="008823F4">
      <w:pPr>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0000000A" w14:textId="77777777" w:rsidR="008823F4" w:rsidRPr="00684ED9" w:rsidRDefault="008823F4">
      <w:pPr>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0000000B" w14:textId="77777777" w:rsidR="008823F4" w:rsidRPr="00684ED9" w:rsidRDefault="008823F4">
      <w:pPr>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0CE91738" w14:textId="77777777" w:rsidR="005D2182" w:rsidRDefault="000D39D4">
      <w:pPr>
        <w:pBdr>
          <w:top w:val="nil"/>
          <w:left w:val="nil"/>
          <w:bottom w:val="nil"/>
          <w:right w:val="nil"/>
          <w:between w:val="nil"/>
        </w:pBdr>
        <w:spacing w:line="360" w:lineRule="auto"/>
        <w:jc w:val="center"/>
        <w:rPr>
          <w:rFonts w:ascii="Times New Roman" w:eastAsia="Times New Roman" w:hAnsi="Times New Roman" w:cs="Times New Roman"/>
          <w:b/>
          <w:sz w:val="32"/>
          <w:szCs w:val="32"/>
        </w:rPr>
      </w:pPr>
      <w:r w:rsidRPr="00684ED9">
        <w:rPr>
          <w:rFonts w:ascii="Times New Roman" w:eastAsia="Times New Roman" w:hAnsi="Times New Roman" w:cs="Times New Roman"/>
          <w:b/>
          <w:sz w:val="32"/>
          <w:szCs w:val="32"/>
        </w:rPr>
        <w:t xml:space="preserve">CRIMINAL LITIGATION </w:t>
      </w:r>
    </w:p>
    <w:p w14:paraId="0000000C" w14:textId="25CB8CE6" w:rsidR="008823F4" w:rsidRPr="00684ED9" w:rsidRDefault="00E174E8">
      <w:pPr>
        <w:pBdr>
          <w:top w:val="nil"/>
          <w:left w:val="nil"/>
          <w:bottom w:val="nil"/>
          <w:right w:val="nil"/>
          <w:between w:val="nil"/>
        </w:pBd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2</w:t>
      </w:r>
    </w:p>
    <w:p w14:paraId="323FD6D8" w14:textId="0B7B89C7" w:rsidR="00684ED9" w:rsidRPr="00684ED9" w:rsidRDefault="00684ED9">
      <w:pPr>
        <w:pBdr>
          <w:top w:val="nil"/>
          <w:left w:val="nil"/>
          <w:bottom w:val="nil"/>
          <w:right w:val="nil"/>
          <w:between w:val="nil"/>
        </w:pBdr>
        <w:spacing w:line="360" w:lineRule="auto"/>
        <w:jc w:val="center"/>
        <w:rPr>
          <w:rFonts w:ascii="Times New Roman" w:eastAsia="Times New Roman" w:hAnsi="Times New Roman" w:cs="Times New Roman"/>
          <w:b/>
          <w:sz w:val="32"/>
          <w:szCs w:val="32"/>
        </w:rPr>
      </w:pPr>
      <w:r w:rsidRPr="00684ED9">
        <w:rPr>
          <w:rFonts w:ascii="Times New Roman" w:eastAsia="Times New Roman" w:hAnsi="Times New Roman" w:cs="Times New Roman"/>
          <w:b/>
          <w:sz w:val="32"/>
          <w:szCs w:val="32"/>
        </w:rPr>
        <w:t>Mohammed Mannan</w:t>
      </w:r>
    </w:p>
    <w:p w14:paraId="0000000D" w14:textId="77777777" w:rsidR="008823F4" w:rsidRPr="00684ED9" w:rsidRDefault="000D39D4">
      <w:pPr>
        <w:rPr>
          <w:rFonts w:ascii="Times New Roman" w:eastAsia="Times New Roman" w:hAnsi="Times New Roman" w:cs="Times New Roman"/>
          <w:b/>
          <w:sz w:val="32"/>
          <w:szCs w:val="32"/>
        </w:rPr>
      </w:pPr>
      <w:r w:rsidRPr="00684ED9">
        <w:br w:type="page"/>
      </w:r>
    </w:p>
    <w:p w14:paraId="0000000E" w14:textId="77777777" w:rsidR="008823F4" w:rsidRPr="00684ED9" w:rsidRDefault="000D39D4">
      <w:pPr>
        <w:keepNext/>
        <w:keepLines/>
        <w:pBdr>
          <w:top w:val="nil"/>
          <w:left w:val="nil"/>
          <w:bottom w:val="nil"/>
          <w:right w:val="nil"/>
          <w:between w:val="nil"/>
        </w:pBdr>
        <w:spacing w:before="480"/>
        <w:jc w:val="center"/>
        <w:rPr>
          <w:rFonts w:ascii="Times New Roman" w:eastAsia="Times New Roman" w:hAnsi="Times New Roman" w:cs="Times New Roman"/>
          <w:b/>
          <w:sz w:val="24"/>
          <w:szCs w:val="24"/>
        </w:rPr>
      </w:pPr>
      <w:r w:rsidRPr="00684ED9">
        <w:rPr>
          <w:rFonts w:ascii="Times New Roman" w:eastAsia="Times New Roman" w:hAnsi="Times New Roman" w:cs="Times New Roman"/>
          <w:b/>
          <w:sz w:val="28"/>
          <w:szCs w:val="28"/>
        </w:rPr>
        <w:lastRenderedPageBreak/>
        <w:t>Table of Contents</w:t>
      </w:r>
    </w:p>
    <w:sdt>
      <w:sdtPr>
        <w:id w:val="38019593"/>
        <w:docPartObj>
          <w:docPartGallery w:val="Table of Contents"/>
          <w:docPartUnique/>
        </w:docPartObj>
      </w:sdtPr>
      <w:sdtEndPr/>
      <w:sdtContent>
        <w:p w14:paraId="0000000F" w14:textId="77777777" w:rsidR="008823F4" w:rsidRPr="00684ED9" w:rsidRDefault="000D39D4">
          <w:pPr>
            <w:pBdr>
              <w:top w:val="nil"/>
              <w:left w:val="nil"/>
              <w:bottom w:val="nil"/>
              <w:right w:val="nil"/>
              <w:between w:val="nil"/>
            </w:pBdr>
            <w:tabs>
              <w:tab w:val="right" w:pos="9350"/>
            </w:tabs>
            <w:spacing w:after="100"/>
            <w:jc w:val="both"/>
            <w:rPr>
              <w:rFonts w:ascii="Times New Roman" w:eastAsia="Times New Roman" w:hAnsi="Times New Roman" w:cs="Times New Roman"/>
              <w:sz w:val="24"/>
              <w:szCs w:val="24"/>
            </w:rPr>
          </w:pPr>
          <w:r w:rsidRPr="00684ED9">
            <w:fldChar w:fldCharType="begin"/>
          </w:r>
          <w:r w:rsidRPr="00684ED9">
            <w:instrText xml:space="preserve"> TOC \h \u \z </w:instrText>
          </w:r>
          <w:r w:rsidRPr="00684ED9">
            <w:fldChar w:fldCharType="separate"/>
          </w:r>
          <w:hyperlink w:anchor="_heading=h.gjdgxs">
            <w:r w:rsidRPr="00684ED9">
              <w:rPr>
                <w:rFonts w:ascii="Times New Roman" w:eastAsia="Times New Roman" w:hAnsi="Times New Roman" w:cs="Times New Roman"/>
                <w:sz w:val="24"/>
                <w:szCs w:val="24"/>
              </w:rPr>
              <w:t>Part 1</w:t>
            </w:r>
            <w:r w:rsidRPr="00684ED9">
              <w:rPr>
                <w:rFonts w:ascii="Times New Roman" w:eastAsia="Times New Roman" w:hAnsi="Times New Roman" w:cs="Times New Roman"/>
                <w:sz w:val="24"/>
                <w:szCs w:val="24"/>
              </w:rPr>
              <w:tab/>
              <w:t>3</w:t>
            </w:r>
          </w:hyperlink>
        </w:p>
        <w:p w14:paraId="00000010" w14:textId="77777777" w:rsidR="008823F4" w:rsidRPr="00684ED9" w:rsidRDefault="00F924F5">
          <w:pPr>
            <w:pBdr>
              <w:top w:val="nil"/>
              <w:left w:val="nil"/>
              <w:bottom w:val="nil"/>
              <w:right w:val="nil"/>
              <w:between w:val="nil"/>
            </w:pBdr>
            <w:tabs>
              <w:tab w:val="right" w:pos="9350"/>
            </w:tabs>
            <w:spacing w:after="100"/>
            <w:jc w:val="both"/>
            <w:rPr>
              <w:rFonts w:ascii="Times New Roman" w:eastAsia="Times New Roman" w:hAnsi="Times New Roman" w:cs="Times New Roman"/>
              <w:sz w:val="24"/>
              <w:szCs w:val="24"/>
            </w:rPr>
          </w:pPr>
          <w:hyperlink w:anchor="_heading=h.30j0zll">
            <w:r w:rsidR="000D39D4" w:rsidRPr="00684ED9">
              <w:rPr>
                <w:rFonts w:ascii="Times New Roman" w:eastAsia="Times New Roman" w:hAnsi="Times New Roman" w:cs="Times New Roman"/>
                <w:sz w:val="24"/>
                <w:szCs w:val="24"/>
              </w:rPr>
              <w:t>Part 2</w:t>
            </w:r>
            <w:r w:rsidR="000D39D4" w:rsidRPr="00684ED9">
              <w:rPr>
                <w:rFonts w:ascii="Times New Roman" w:eastAsia="Times New Roman" w:hAnsi="Times New Roman" w:cs="Times New Roman"/>
                <w:sz w:val="24"/>
                <w:szCs w:val="24"/>
              </w:rPr>
              <w:tab/>
              <w:t>4</w:t>
            </w:r>
          </w:hyperlink>
        </w:p>
        <w:p w14:paraId="00000011" w14:textId="77777777" w:rsidR="008823F4" w:rsidRPr="00684ED9" w:rsidRDefault="00F924F5">
          <w:pPr>
            <w:pBdr>
              <w:top w:val="nil"/>
              <w:left w:val="nil"/>
              <w:bottom w:val="nil"/>
              <w:right w:val="nil"/>
              <w:between w:val="nil"/>
            </w:pBdr>
            <w:tabs>
              <w:tab w:val="right" w:pos="9350"/>
            </w:tabs>
            <w:spacing w:after="100"/>
            <w:jc w:val="both"/>
            <w:rPr>
              <w:rFonts w:ascii="Times New Roman" w:eastAsia="Times New Roman" w:hAnsi="Times New Roman" w:cs="Times New Roman"/>
              <w:sz w:val="24"/>
              <w:szCs w:val="24"/>
            </w:rPr>
          </w:pPr>
          <w:hyperlink w:anchor="_heading=h.1fob9te">
            <w:r w:rsidR="000D39D4" w:rsidRPr="00684ED9">
              <w:rPr>
                <w:rFonts w:ascii="Times New Roman" w:eastAsia="Times New Roman" w:hAnsi="Times New Roman" w:cs="Times New Roman"/>
                <w:sz w:val="24"/>
                <w:szCs w:val="24"/>
              </w:rPr>
              <w:t>Reference list</w:t>
            </w:r>
            <w:r w:rsidR="000D39D4" w:rsidRPr="00684ED9">
              <w:rPr>
                <w:rFonts w:ascii="Times New Roman" w:eastAsia="Times New Roman" w:hAnsi="Times New Roman" w:cs="Times New Roman"/>
                <w:sz w:val="24"/>
                <w:szCs w:val="24"/>
              </w:rPr>
              <w:tab/>
              <w:t>7</w:t>
            </w:r>
          </w:hyperlink>
        </w:p>
        <w:p w14:paraId="00000012" w14:textId="77777777" w:rsidR="008823F4" w:rsidRPr="00684ED9" w:rsidRDefault="000D39D4">
          <w:pPr>
            <w:jc w:val="both"/>
            <w:rPr>
              <w:rFonts w:ascii="Times New Roman" w:eastAsia="Times New Roman" w:hAnsi="Times New Roman" w:cs="Times New Roman"/>
              <w:sz w:val="24"/>
              <w:szCs w:val="24"/>
            </w:rPr>
          </w:pPr>
          <w:r w:rsidRPr="00684ED9">
            <w:fldChar w:fldCharType="end"/>
          </w:r>
        </w:p>
      </w:sdtContent>
    </w:sdt>
    <w:p w14:paraId="00000013" w14:textId="77777777" w:rsidR="008823F4" w:rsidRPr="00684ED9" w:rsidRDefault="000D39D4">
      <w:pPr>
        <w:pBdr>
          <w:top w:val="nil"/>
          <w:left w:val="nil"/>
          <w:bottom w:val="nil"/>
          <w:right w:val="nil"/>
          <w:between w:val="nil"/>
        </w:pBdr>
        <w:spacing w:line="360" w:lineRule="auto"/>
        <w:jc w:val="center"/>
        <w:rPr>
          <w:rFonts w:ascii="Times New Roman" w:eastAsia="Times New Roman" w:hAnsi="Times New Roman" w:cs="Times New Roman"/>
          <w:b/>
          <w:sz w:val="32"/>
          <w:szCs w:val="32"/>
        </w:rPr>
      </w:pPr>
      <w:r w:rsidRPr="00684ED9">
        <w:br w:type="page"/>
      </w:r>
    </w:p>
    <w:p w14:paraId="00000014" w14:textId="77777777" w:rsidR="008823F4" w:rsidRPr="00684ED9" w:rsidRDefault="000D39D4">
      <w:pPr>
        <w:pStyle w:val="Heading1"/>
      </w:pPr>
      <w:bookmarkStart w:id="0" w:name="_heading=h.gjdgxs" w:colFirst="0" w:colLast="0"/>
      <w:bookmarkEnd w:id="0"/>
      <w:r w:rsidRPr="00684ED9">
        <w:lastRenderedPageBreak/>
        <w:t>Part 1</w:t>
      </w:r>
    </w:p>
    <w:p w14:paraId="00000015" w14:textId="77777777" w:rsidR="008823F4" w:rsidRPr="00684ED9" w:rsidRDefault="000D39D4">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84ED9">
        <w:rPr>
          <w:rFonts w:ascii="Times New Roman" w:eastAsia="Times New Roman" w:hAnsi="Times New Roman" w:cs="Times New Roman"/>
          <w:sz w:val="24"/>
          <w:szCs w:val="24"/>
        </w:rPr>
        <w:t>The criminal justice system consists of a network of consumer as well as business institutions tasked with managing convicts who have been charged as well as convicted. Academics, police forces, forensic agencies, as well as judiciary, as well as corrections are among the interconnected components of such criminal justice. Several principles have been designed to uphold legal justice ideas (</w:t>
      </w:r>
      <w:proofErr w:type="spellStart"/>
      <w:r w:rsidRPr="00684ED9">
        <w:rPr>
          <w:rFonts w:ascii="Times New Roman" w:eastAsia="Times New Roman" w:hAnsi="Times New Roman" w:cs="Times New Roman"/>
          <w:sz w:val="24"/>
          <w:szCs w:val="24"/>
          <w:highlight w:val="white"/>
        </w:rPr>
        <w:t>Aurasu</w:t>
      </w:r>
      <w:proofErr w:type="spellEnd"/>
      <w:r w:rsidRPr="00684ED9">
        <w:rPr>
          <w:rFonts w:ascii="Times New Roman" w:eastAsia="Times New Roman" w:hAnsi="Times New Roman" w:cs="Times New Roman"/>
          <w:sz w:val="24"/>
          <w:szCs w:val="24"/>
          <w:highlight w:val="white"/>
        </w:rPr>
        <w:t xml:space="preserve"> and Rahman, 2018</w:t>
      </w:r>
      <w:r w:rsidRPr="00684ED9">
        <w:rPr>
          <w:rFonts w:ascii="Times New Roman" w:eastAsia="Times New Roman" w:hAnsi="Times New Roman" w:cs="Times New Roman"/>
          <w:sz w:val="24"/>
          <w:szCs w:val="24"/>
        </w:rPr>
        <w:t>). Constitutional freedoms are forged with the administration's matching responsibility to secure as well as preserve certain rights – referred to as judicial oversight – towards the production of legal justice.</w:t>
      </w:r>
    </w:p>
    <w:p w14:paraId="00000016" w14:textId="77777777" w:rsidR="008823F4" w:rsidRPr="00684ED9" w:rsidRDefault="000D39D4">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84ED9">
        <w:rPr>
          <w:rFonts w:ascii="Times New Roman" w:eastAsia="Times New Roman" w:hAnsi="Times New Roman" w:cs="Times New Roman"/>
          <w:sz w:val="24"/>
          <w:szCs w:val="24"/>
        </w:rPr>
        <w:t xml:space="preserve">Here, to talk about the scenario it can be noticed that at around 0400 hours, a police man named PC Stevens was on his duty hours, and by that time he got a call that a burglary was taking place inside 10 Chesterfield Street. There was another one named   Thomas Becker, who was an eyewitness account, and saw a man, who was nearly 5'10 with very dark brown hair, and dressed in grey dark tracksuit bottoms along with the hooded sweatshirt jumper, as well as was attempting to force through his </w:t>
      </w:r>
      <w:proofErr w:type="spellStart"/>
      <w:r w:rsidRPr="00684ED9">
        <w:rPr>
          <w:rFonts w:ascii="Times New Roman" w:eastAsia="Times New Roman" w:hAnsi="Times New Roman" w:cs="Times New Roman"/>
          <w:sz w:val="24"/>
          <w:szCs w:val="24"/>
        </w:rPr>
        <w:t>neighbor's</w:t>
      </w:r>
      <w:proofErr w:type="spellEnd"/>
      <w:r w:rsidRPr="00684ED9">
        <w:rPr>
          <w:rFonts w:ascii="Times New Roman" w:eastAsia="Times New Roman" w:hAnsi="Times New Roman" w:cs="Times New Roman"/>
          <w:sz w:val="24"/>
          <w:szCs w:val="24"/>
        </w:rPr>
        <w:t xml:space="preserve"> back entrance. PC Stevens then noticed that Malcolm Harvey was fleeing out of that same Chesterfield Street as he approached towards the Chesterfield Street. He was dressed in grey tracksuit pants along with the black hooded sweater as similar to the Thomas Becker's given description; along with this then he's carrying a heavy backpack over his shoulders.</w:t>
      </w:r>
    </w:p>
    <w:p w14:paraId="00000017" w14:textId="77777777" w:rsidR="008823F4" w:rsidRPr="00684ED9" w:rsidRDefault="000D39D4">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84ED9">
        <w:rPr>
          <w:rFonts w:ascii="Times New Roman" w:eastAsia="Times New Roman" w:hAnsi="Times New Roman" w:cs="Times New Roman"/>
          <w:sz w:val="24"/>
          <w:szCs w:val="24"/>
        </w:rPr>
        <w:t>Police cases such as this case, along with all other matters processed by only the Crown Prosecutor's Office, shall be evaluated along with the results only with the Crown Prosecutor's Act. Since policeman representation organizations operate upon a nationwide level, such situations have such a higher risk of generating claims of inconsistencies (</w:t>
      </w:r>
      <w:r w:rsidRPr="00684ED9">
        <w:rPr>
          <w:rFonts w:ascii="Times New Roman" w:eastAsia="Times New Roman" w:hAnsi="Times New Roman" w:cs="Times New Roman"/>
          <w:sz w:val="24"/>
          <w:szCs w:val="24"/>
          <w:highlight w:val="white"/>
        </w:rPr>
        <w:t>Bond and Tyrrell, 2021</w:t>
      </w:r>
      <w:r w:rsidRPr="00684ED9">
        <w:rPr>
          <w:rFonts w:ascii="Times New Roman" w:eastAsia="Times New Roman" w:hAnsi="Times New Roman" w:cs="Times New Roman"/>
          <w:sz w:val="24"/>
          <w:szCs w:val="24"/>
        </w:rPr>
        <w:t>). So as a result, maintaining the high standards for taking the decisions, applying appropriate investigation standards throughout all levels, as well as ensuring this case outcomes remain compatible with previous processes remain critical (</w:t>
      </w:r>
      <w:proofErr w:type="spellStart"/>
      <w:r w:rsidRPr="00684ED9">
        <w:rPr>
          <w:rFonts w:ascii="Times New Roman" w:eastAsia="Times New Roman" w:hAnsi="Times New Roman" w:cs="Times New Roman"/>
          <w:sz w:val="24"/>
          <w:szCs w:val="24"/>
          <w:highlight w:val="white"/>
        </w:rPr>
        <w:t>Dehaghani</w:t>
      </w:r>
      <w:proofErr w:type="spellEnd"/>
      <w:r w:rsidRPr="00684ED9">
        <w:rPr>
          <w:rFonts w:ascii="Times New Roman" w:eastAsia="Times New Roman" w:hAnsi="Times New Roman" w:cs="Times New Roman"/>
          <w:sz w:val="24"/>
          <w:szCs w:val="24"/>
          <w:highlight w:val="white"/>
        </w:rPr>
        <w:t xml:space="preserve"> and Newman, 2021</w:t>
      </w:r>
      <w:r w:rsidRPr="00684ED9">
        <w:rPr>
          <w:rFonts w:ascii="Times New Roman" w:eastAsia="Times New Roman" w:hAnsi="Times New Roman" w:cs="Times New Roman"/>
          <w:sz w:val="24"/>
          <w:szCs w:val="24"/>
        </w:rPr>
        <w:t xml:space="preserve">). Usually the "Independent Office of Police Conduct" and the "Professional Services Department" of both the agency that serves the agent(s) in issue investigate accusations of major crimes as well as grievances concerning them. In this case the "Independent Office of Police Conduct" will perform the operation to ensure the success of the case. According to the “Police and Criminal Evidence Act 1984 s 26(2) and schedule 2; 3” PC Stevens can arrest Malcolm Harvey without any warrant since he has a limited number of the enactments which are statutory. Apprehend with the presence or with the absence of the warrant under the Part X of "the Criminal Justice and Public Order Act </w:t>
      </w:r>
      <w:r w:rsidRPr="00684ED9">
        <w:rPr>
          <w:rFonts w:ascii="Times New Roman" w:eastAsia="Times New Roman" w:hAnsi="Times New Roman" w:cs="Times New Roman"/>
          <w:sz w:val="24"/>
          <w:szCs w:val="24"/>
        </w:rPr>
        <w:lastRenderedPageBreak/>
        <w:t>1994"; along with this The legal system strength of taking Malcolm to the custody for disturbing the peace, forcefully breaking the back door and making the criminal act. The Section 28 of "the Police and Criminal Evidence Act" of 1984" states that almost no investigation is allowed except if the individual apprehended is advised of the following: that the individual is undergoing custody as quickly as feasible following the custody; of the circumstances regarding the capture just at the moment of this incident, or even as immediately as possible thereafter (</w:t>
      </w:r>
      <w:proofErr w:type="spellStart"/>
      <w:r w:rsidRPr="00684ED9">
        <w:rPr>
          <w:rFonts w:ascii="Times New Roman" w:eastAsia="Times New Roman" w:hAnsi="Times New Roman" w:cs="Times New Roman"/>
          <w:sz w:val="24"/>
          <w:szCs w:val="24"/>
          <w:highlight w:val="white"/>
        </w:rPr>
        <w:t>Fawei</w:t>
      </w:r>
      <w:proofErr w:type="spellEnd"/>
      <w:r w:rsidRPr="00684ED9">
        <w:rPr>
          <w:rFonts w:ascii="Times New Roman" w:eastAsia="Times New Roman" w:hAnsi="Times New Roman" w:cs="Times New Roman"/>
          <w:sz w:val="24"/>
          <w:szCs w:val="24"/>
          <w:highlight w:val="white"/>
        </w:rPr>
        <w:t xml:space="preserve"> </w:t>
      </w:r>
      <w:r w:rsidRPr="00684ED9">
        <w:rPr>
          <w:rFonts w:ascii="Times New Roman" w:eastAsia="Times New Roman" w:hAnsi="Times New Roman" w:cs="Times New Roman"/>
          <w:i/>
          <w:sz w:val="24"/>
          <w:szCs w:val="24"/>
          <w:highlight w:val="white"/>
        </w:rPr>
        <w:t>et al.</w:t>
      </w:r>
      <w:r w:rsidRPr="00684ED9">
        <w:rPr>
          <w:rFonts w:ascii="Times New Roman" w:eastAsia="Times New Roman" w:hAnsi="Times New Roman" w:cs="Times New Roman"/>
          <w:sz w:val="24"/>
          <w:szCs w:val="24"/>
          <w:highlight w:val="white"/>
        </w:rPr>
        <w:t xml:space="preserve"> 2018</w:t>
      </w:r>
      <w:r w:rsidRPr="00684ED9">
        <w:rPr>
          <w:rFonts w:ascii="Times New Roman" w:eastAsia="Times New Roman" w:hAnsi="Times New Roman" w:cs="Times New Roman"/>
          <w:sz w:val="24"/>
          <w:szCs w:val="24"/>
        </w:rPr>
        <w:t>). When police forces along with others investigating the crime execute the unlawful detention, the force often utilized to accomplish the arrest could be illegal as well as constitute criminal offense. In contrast, "Section 117 of the Police and Criminal Evidence Act 1984" empowers a policeman to use appropriate force, if required, while executing duties granted by such an Act (</w:t>
      </w:r>
      <w:proofErr w:type="spellStart"/>
      <w:r w:rsidRPr="00684ED9">
        <w:rPr>
          <w:rFonts w:ascii="Times New Roman" w:eastAsia="Times New Roman" w:hAnsi="Times New Roman" w:cs="Times New Roman"/>
          <w:sz w:val="24"/>
          <w:szCs w:val="24"/>
          <w:highlight w:val="white"/>
        </w:rPr>
        <w:t>Francese</w:t>
      </w:r>
      <w:proofErr w:type="spellEnd"/>
      <w:r w:rsidRPr="00684ED9">
        <w:rPr>
          <w:rFonts w:ascii="Times New Roman" w:eastAsia="Times New Roman" w:hAnsi="Times New Roman" w:cs="Times New Roman"/>
          <w:sz w:val="24"/>
          <w:szCs w:val="24"/>
          <w:highlight w:val="white"/>
        </w:rPr>
        <w:t>, 2019</w:t>
      </w:r>
      <w:r w:rsidRPr="00684ED9">
        <w:rPr>
          <w:rFonts w:ascii="Times New Roman" w:eastAsia="Times New Roman" w:hAnsi="Times New Roman" w:cs="Times New Roman"/>
          <w:sz w:val="24"/>
          <w:szCs w:val="24"/>
        </w:rPr>
        <w:t>). Officers might not be using force, therefore, if indeed this Act stipulates that perhaps the authority might be applied just with the agreement of anyone else but not a law enforcement officer. For this, there are mainly 2 questions that must be answered in order to determine overall appropriateness of such force utilized: Was the usage of violence justifiable inside the conditions that was any action required? Along with another question, was the force employed disproportionate inside the conditions? Whenever it comes to using violence to defend any kind of crime as well as apprehend the individual, urgency might not always correspond to the proportionality. The scope as well as nature of the force said by an individual obstructing is justice against a policeman. A lead investigator might disclose details regarding the officer's instruction or instruction, such as when it comes to the utilization of batons. Evaluation of this advice might aid in evaluating what's really acceptable, and this should never be considered final. While determining whether using the force has been appropriate as well as necessary, relevant factors should always be weighed carefully.</w:t>
      </w:r>
    </w:p>
    <w:p w14:paraId="00000018" w14:textId="77777777" w:rsidR="008823F4" w:rsidRPr="00684ED9" w:rsidRDefault="000D39D4">
      <w:pPr>
        <w:pStyle w:val="Heading1"/>
      </w:pPr>
      <w:bookmarkStart w:id="1" w:name="_heading=h.30j0zll" w:colFirst="0" w:colLast="0"/>
      <w:bookmarkEnd w:id="1"/>
      <w:r w:rsidRPr="00684ED9">
        <w:t>Part 2</w:t>
      </w:r>
    </w:p>
    <w:p w14:paraId="00000019" w14:textId="77777777" w:rsidR="008823F4" w:rsidRPr="00684ED9" w:rsidRDefault="000D39D4">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84ED9">
        <w:rPr>
          <w:rFonts w:ascii="Times New Roman" w:eastAsia="Times New Roman" w:hAnsi="Times New Roman" w:cs="Times New Roman"/>
          <w:sz w:val="24"/>
          <w:szCs w:val="24"/>
        </w:rPr>
        <w:t xml:space="preserve">To explain the situation, a police officer named PC Stevens was on duty at around 0400 hours, when he received a call that a burglary was taking place inside 10 Chesterfield Street. Another person, Thomas Becker, was an eyewitness report who spotted a man who was approximately 5'10 with very dark brown hair, dressed in grey dark tracksuit bottoms and a hooded hoodie jumper, and was attempting to force his way into his </w:t>
      </w:r>
      <w:proofErr w:type="spellStart"/>
      <w:r w:rsidRPr="00684ED9">
        <w:rPr>
          <w:rFonts w:ascii="Times New Roman" w:eastAsia="Times New Roman" w:hAnsi="Times New Roman" w:cs="Times New Roman"/>
          <w:sz w:val="24"/>
          <w:szCs w:val="24"/>
        </w:rPr>
        <w:t>neighbor's</w:t>
      </w:r>
      <w:proofErr w:type="spellEnd"/>
      <w:r w:rsidRPr="00684ED9">
        <w:rPr>
          <w:rFonts w:ascii="Times New Roman" w:eastAsia="Times New Roman" w:hAnsi="Times New Roman" w:cs="Times New Roman"/>
          <w:sz w:val="24"/>
          <w:szCs w:val="24"/>
        </w:rPr>
        <w:t xml:space="preserve"> back entry. As PC Stevens neared Chesterfield Street, he observed Malcolm Harvey escaping out of that same Chesterfield Street. </w:t>
      </w:r>
      <w:r w:rsidRPr="00684ED9">
        <w:rPr>
          <w:rFonts w:ascii="Times New Roman" w:eastAsia="Times New Roman" w:hAnsi="Times New Roman" w:cs="Times New Roman"/>
          <w:sz w:val="24"/>
          <w:szCs w:val="24"/>
        </w:rPr>
        <w:lastRenderedPageBreak/>
        <w:t>He was clothed in grey tracksuit trousers and a black hooded sweater, similar to the description given by Thomas Becker, and he was carrying a hefty rucksack over his shoulders.</w:t>
      </w:r>
    </w:p>
    <w:p w14:paraId="0000001A" w14:textId="77777777" w:rsidR="008823F4" w:rsidRPr="00684ED9" w:rsidRDefault="000D39D4">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84ED9">
        <w:rPr>
          <w:rFonts w:ascii="Times New Roman" w:eastAsia="Times New Roman" w:hAnsi="Times New Roman" w:cs="Times New Roman"/>
          <w:sz w:val="24"/>
          <w:szCs w:val="24"/>
        </w:rPr>
        <w:t xml:space="preserve">Now the point is if, now Mr. Malcolm Harvey who has been arrested by the policeman PC Steven, there are still ways for Mr. Harvey to discuss as well as know about his rights for various options for to get released from the police station. </w:t>
      </w:r>
    </w:p>
    <w:p w14:paraId="0000001B" w14:textId="77777777" w:rsidR="008823F4" w:rsidRPr="00684ED9" w:rsidRDefault="000D39D4">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84ED9">
        <w:rPr>
          <w:rFonts w:ascii="Times New Roman" w:eastAsia="Times New Roman" w:hAnsi="Times New Roman" w:cs="Times New Roman"/>
          <w:sz w:val="24"/>
          <w:szCs w:val="24"/>
        </w:rPr>
        <w:t>The Legal Advisor who has been educated to provide anyone advice if indeed for any reason  If anyone has to go to the police station or even the court, several of them could help the suspected person to prepare the evidence. Somebody could be a professional or anyone licensed to provide consumers legal advice through "the Legal Aid Agency" (</w:t>
      </w:r>
      <w:r w:rsidRPr="00684ED9">
        <w:rPr>
          <w:rFonts w:ascii="Times New Roman" w:eastAsia="Times New Roman" w:hAnsi="Times New Roman" w:cs="Times New Roman"/>
          <w:sz w:val="24"/>
          <w:szCs w:val="24"/>
          <w:highlight w:val="white"/>
        </w:rPr>
        <w:t xml:space="preserve">Harper </w:t>
      </w:r>
      <w:r w:rsidRPr="00684ED9">
        <w:rPr>
          <w:rFonts w:ascii="Times New Roman" w:eastAsia="Times New Roman" w:hAnsi="Times New Roman" w:cs="Times New Roman"/>
          <w:i/>
          <w:sz w:val="24"/>
          <w:szCs w:val="24"/>
          <w:highlight w:val="white"/>
        </w:rPr>
        <w:t>et al.</w:t>
      </w:r>
      <w:r w:rsidRPr="00684ED9">
        <w:rPr>
          <w:rFonts w:ascii="Times New Roman" w:eastAsia="Times New Roman" w:hAnsi="Times New Roman" w:cs="Times New Roman"/>
          <w:sz w:val="24"/>
          <w:szCs w:val="24"/>
          <w:highlight w:val="white"/>
        </w:rPr>
        <w:t xml:space="preserve"> 2020</w:t>
      </w:r>
      <w:r w:rsidRPr="00684ED9">
        <w:rPr>
          <w:rFonts w:ascii="Times New Roman" w:eastAsia="Times New Roman" w:hAnsi="Times New Roman" w:cs="Times New Roman"/>
          <w:sz w:val="24"/>
          <w:szCs w:val="24"/>
        </w:rPr>
        <w:t>). If the person is arrested and detained since authorities believe that the person has committed the criminal act, I have the ability to discuss it with a lawyer.  When they are unable to secure their personal legal representation, Mr. Harvey may use "the police station duty solicitor scheme".  Anyone could consult a lawyer individually, on paper, and over the cell phone. These services are provided for free, as well as these are not affiliated with the authorities. Individuals might want to hire their personal lawyer. Anyone could accomplish it, and one will almost certainly have to charge for professional help. An essential concept of "the human rights act 1998", is the right for liberty. Particularly, the use of the arresting authority is indeed a severe infringement on such rights. As a result, every capture should be legal. “The Police and Criminal Evidence Act of 1984" governs actual arresting capabilities of the policeman. And being legal, a policeman's custody should be justified under lawful authority outlined in "PACE 1984" (</w:t>
      </w:r>
      <w:r w:rsidRPr="00684ED9">
        <w:rPr>
          <w:rFonts w:ascii="Times New Roman" w:eastAsia="Times New Roman" w:hAnsi="Times New Roman" w:cs="Times New Roman"/>
          <w:sz w:val="24"/>
          <w:szCs w:val="24"/>
          <w:highlight w:val="white"/>
        </w:rPr>
        <w:t>Hine and Murphy, 2019</w:t>
      </w:r>
      <w:r w:rsidRPr="00684ED9">
        <w:rPr>
          <w:rFonts w:ascii="Times New Roman" w:eastAsia="Times New Roman" w:hAnsi="Times New Roman" w:cs="Times New Roman"/>
          <w:sz w:val="24"/>
          <w:szCs w:val="24"/>
        </w:rPr>
        <w:t xml:space="preserve">). Further guidelines as well as guidelines on using such authorities have been provided inside the "PACE 1984 Code of Practice G", which is mandatory viewing across all attorneys consulting upon the field of law. Bail allows any suspect within detention who has already been criminally charged to somehow be freed upon that understanding provided they will attend court as well as follow some other terms imposed. Bail regulations aim to tread a fine line among not intruding just on liberties of such an alleged perpetrator who has been allowed to a judicial process on the first side, while guaranteeing that an alleged offender enters court as well as does not influence with evidence or conduct criminal violations on another side. As according to "The Bail Act" was signed into law by the Queen in the month of November in the year 1976 (Willmott </w:t>
      </w:r>
      <w:r w:rsidRPr="00684ED9">
        <w:rPr>
          <w:rFonts w:ascii="Times New Roman" w:eastAsia="Times New Roman" w:hAnsi="Times New Roman" w:cs="Times New Roman"/>
          <w:i/>
          <w:sz w:val="24"/>
          <w:szCs w:val="24"/>
        </w:rPr>
        <w:t>et al.</w:t>
      </w:r>
      <w:r w:rsidRPr="00684ED9">
        <w:rPr>
          <w:rFonts w:ascii="Times New Roman" w:eastAsia="Times New Roman" w:hAnsi="Times New Roman" w:cs="Times New Roman"/>
          <w:sz w:val="24"/>
          <w:szCs w:val="24"/>
        </w:rPr>
        <w:t xml:space="preserve"> 2018). Its most significant component is the establishment of a legislative “presumption “through support of the process of bail. Apart from this if the authorities have been convinced which each of the exceptions stated </w:t>
      </w:r>
      <w:r w:rsidRPr="00684ED9">
        <w:rPr>
          <w:rFonts w:ascii="Times New Roman" w:eastAsia="Times New Roman" w:hAnsi="Times New Roman" w:cs="Times New Roman"/>
          <w:sz w:val="24"/>
          <w:szCs w:val="24"/>
        </w:rPr>
        <w:lastRenderedPageBreak/>
        <w:t>under Schedule 1 towards the Constitution applicable towards the matter, and the authorities generally obligated to issue bail to charged individuals. According to the “Elkington v DPP (2012)”, in the researchers point of view given the incidents which shows that there was the strong evidence against Mr. Harvey. And the dressing description given by the eye witness was matched with Mr. Harvey as well. Irrespective of such severity of the crime, most criminal prosecutions commence within the magistrates' courtroom (</w:t>
      </w:r>
      <w:r w:rsidRPr="00684ED9">
        <w:rPr>
          <w:rFonts w:ascii="Times New Roman" w:eastAsia="Times New Roman" w:hAnsi="Times New Roman" w:cs="Times New Roman"/>
          <w:sz w:val="24"/>
          <w:szCs w:val="24"/>
          <w:highlight w:val="white"/>
        </w:rPr>
        <w:t xml:space="preserve">Macdonald </w:t>
      </w:r>
      <w:r w:rsidRPr="00684ED9">
        <w:rPr>
          <w:rFonts w:ascii="Times New Roman" w:eastAsia="Times New Roman" w:hAnsi="Times New Roman" w:cs="Times New Roman"/>
          <w:i/>
          <w:sz w:val="24"/>
          <w:szCs w:val="24"/>
          <w:highlight w:val="white"/>
        </w:rPr>
        <w:t>et al.</w:t>
      </w:r>
      <w:r w:rsidRPr="00684ED9">
        <w:rPr>
          <w:rFonts w:ascii="Times New Roman" w:eastAsia="Times New Roman" w:hAnsi="Times New Roman" w:cs="Times New Roman"/>
          <w:sz w:val="24"/>
          <w:szCs w:val="24"/>
          <w:highlight w:val="white"/>
        </w:rPr>
        <w:t xml:space="preserve"> 2019</w:t>
      </w:r>
      <w:r w:rsidRPr="00684ED9">
        <w:rPr>
          <w:rFonts w:ascii="Times New Roman" w:eastAsia="Times New Roman" w:hAnsi="Times New Roman" w:cs="Times New Roman"/>
          <w:sz w:val="24"/>
          <w:szCs w:val="24"/>
        </w:rPr>
        <w:t xml:space="preserve">). There have been, therefore, a range of methods to begin court prosecutions within the United Kingdom. Usually police might investigate as well as prosecute the offender, as well as they may be hauled before first supervisors' courtroom. A meaningful prosecuting attorney might very well send a letter charge along with a procurement needing the respondent to appear before a judge on a designated date and time. The defendant could indeed implement the state officials' trial again for a problem of a notice to appear (as </w:t>
      </w:r>
      <w:proofErr w:type="spellStart"/>
      <w:r w:rsidRPr="00684ED9">
        <w:rPr>
          <w:rFonts w:ascii="Times New Roman" w:eastAsia="Times New Roman" w:hAnsi="Times New Roman" w:cs="Times New Roman"/>
          <w:sz w:val="24"/>
          <w:szCs w:val="24"/>
        </w:rPr>
        <w:t>well known</w:t>
      </w:r>
      <w:proofErr w:type="spellEnd"/>
      <w:r w:rsidRPr="00684ED9">
        <w:rPr>
          <w:rFonts w:ascii="Times New Roman" w:eastAsia="Times New Roman" w:hAnsi="Times New Roman" w:cs="Times New Roman"/>
          <w:sz w:val="24"/>
          <w:szCs w:val="24"/>
        </w:rPr>
        <w:t xml:space="preserve"> as 'putting the details') needing the respondent to appear before a judge on such a given time.</w:t>
      </w:r>
      <w:r w:rsidRPr="00684ED9">
        <w:br w:type="page"/>
      </w:r>
    </w:p>
    <w:p w14:paraId="0000001C" w14:textId="77777777" w:rsidR="008823F4" w:rsidRPr="00684ED9" w:rsidRDefault="000D39D4">
      <w:pPr>
        <w:pStyle w:val="Heading1"/>
        <w:pBdr>
          <w:top w:val="nil"/>
          <w:left w:val="nil"/>
          <w:bottom w:val="nil"/>
          <w:right w:val="nil"/>
          <w:between w:val="nil"/>
        </w:pBdr>
        <w:rPr>
          <w:rFonts w:eastAsia="Times New Roman" w:cs="Times New Roman"/>
          <w:szCs w:val="28"/>
        </w:rPr>
      </w:pPr>
      <w:bookmarkStart w:id="2" w:name="_heading=h.68xpmqw3l9b0" w:colFirst="0" w:colLast="0"/>
      <w:bookmarkEnd w:id="2"/>
      <w:r w:rsidRPr="00684ED9">
        <w:rPr>
          <w:rFonts w:eastAsia="Times New Roman" w:cs="Times New Roman"/>
          <w:szCs w:val="28"/>
        </w:rPr>
        <w:lastRenderedPageBreak/>
        <w:t>Reference List</w:t>
      </w:r>
    </w:p>
    <w:p w14:paraId="0000001D" w14:textId="77777777" w:rsidR="008823F4" w:rsidRPr="00684ED9" w:rsidRDefault="000D39D4">
      <w:pPr>
        <w:spacing w:before="240" w:after="240" w:line="360" w:lineRule="auto"/>
        <w:jc w:val="both"/>
        <w:rPr>
          <w:rFonts w:ascii="Times New Roman" w:eastAsia="Times New Roman" w:hAnsi="Times New Roman" w:cs="Times New Roman"/>
          <w:b/>
          <w:sz w:val="24"/>
          <w:szCs w:val="24"/>
        </w:rPr>
      </w:pPr>
      <w:r w:rsidRPr="00684ED9">
        <w:rPr>
          <w:rFonts w:ascii="Times New Roman" w:eastAsia="Times New Roman" w:hAnsi="Times New Roman" w:cs="Times New Roman"/>
          <w:b/>
          <w:sz w:val="24"/>
          <w:szCs w:val="24"/>
        </w:rPr>
        <w:t>Journals</w:t>
      </w:r>
    </w:p>
    <w:p w14:paraId="0000001E" w14:textId="77777777" w:rsidR="008823F4" w:rsidRPr="00684ED9" w:rsidRDefault="000D39D4">
      <w:pPr>
        <w:spacing w:before="240" w:after="240" w:line="360" w:lineRule="auto"/>
        <w:jc w:val="both"/>
        <w:rPr>
          <w:rFonts w:ascii="Times New Roman" w:eastAsia="Times New Roman" w:hAnsi="Times New Roman" w:cs="Times New Roman"/>
          <w:sz w:val="24"/>
          <w:szCs w:val="24"/>
        </w:rPr>
      </w:pPr>
      <w:proofErr w:type="spellStart"/>
      <w:r w:rsidRPr="00684ED9">
        <w:rPr>
          <w:rFonts w:ascii="Times New Roman" w:eastAsia="Times New Roman" w:hAnsi="Times New Roman" w:cs="Times New Roman"/>
          <w:sz w:val="24"/>
          <w:szCs w:val="24"/>
          <w:highlight w:val="white"/>
        </w:rPr>
        <w:t>Aurasu</w:t>
      </w:r>
      <w:proofErr w:type="spellEnd"/>
      <w:r w:rsidRPr="00684ED9">
        <w:rPr>
          <w:rFonts w:ascii="Times New Roman" w:eastAsia="Times New Roman" w:hAnsi="Times New Roman" w:cs="Times New Roman"/>
          <w:sz w:val="24"/>
          <w:szCs w:val="24"/>
          <w:highlight w:val="white"/>
        </w:rPr>
        <w:t xml:space="preserve">, A. and Rahman, A.A., 2018. Forfeiture of criminal proceeds under anti-money laundering laws: A comparative analysis between Malaysia and United Kingdom (UK). </w:t>
      </w:r>
      <w:r w:rsidRPr="00684ED9">
        <w:rPr>
          <w:rFonts w:ascii="Times New Roman" w:eastAsia="Times New Roman" w:hAnsi="Times New Roman" w:cs="Times New Roman"/>
          <w:i/>
          <w:sz w:val="24"/>
          <w:szCs w:val="24"/>
        </w:rPr>
        <w:t>Journal of Money Laundering Control</w:t>
      </w:r>
      <w:r w:rsidRPr="00684ED9">
        <w:rPr>
          <w:rFonts w:ascii="Times New Roman" w:eastAsia="Times New Roman" w:hAnsi="Times New Roman" w:cs="Times New Roman"/>
          <w:sz w:val="24"/>
          <w:szCs w:val="24"/>
        </w:rPr>
        <w:t>.</w:t>
      </w:r>
    </w:p>
    <w:p w14:paraId="0000001F" w14:textId="77777777" w:rsidR="008823F4" w:rsidRPr="00684ED9" w:rsidRDefault="000D39D4">
      <w:pPr>
        <w:spacing w:before="240" w:after="240" w:line="360" w:lineRule="auto"/>
        <w:jc w:val="both"/>
        <w:rPr>
          <w:rFonts w:ascii="Times New Roman" w:eastAsia="Times New Roman" w:hAnsi="Times New Roman" w:cs="Times New Roman"/>
          <w:sz w:val="24"/>
          <w:szCs w:val="24"/>
        </w:rPr>
      </w:pPr>
      <w:r w:rsidRPr="00684ED9">
        <w:rPr>
          <w:rFonts w:ascii="Times New Roman" w:eastAsia="Times New Roman" w:hAnsi="Times New Roman" w:cs="Times New Roman"/>
          <w:sz w:val="24"/>
          <w:szCs w:val="24"/>
          <w:highlight w:val="white"/>
        </w:rPr>
        <w:t xml:space="preserve">Bond, E. and Tyrrell, K., 2021. Understanding revenge pornography: A national survey of police officers and staff in England and Wales. </w:t>
      </w:r>
      <w:r w:rsidRPr="00684ED9">
        <w:rPr>
          <w:rFonts w:ascii="Times New Roman" w:eastAsia="Times New Roman" w:hAnsi="Times New Roman" w:cs="Times New Roman"/>
          <w:i/>
          <w:sz w:val="24"/>
          <w:szCs w:val="24"/>
        </w:rPr>
        <w:t>Journal of interpersonal violence</w:t>
      </w:r>
      <w:r w:rsidRPr="00684ED9">
        <w:rPr>
          <w:rFonts w:ascii="Times New Roman" w:eastAsia="Times New Roman" w:hAnsi="Times New Roman" w:cs="Times New Roman"/>
          <w:sz w:val="24"/>
          <w:szCs w:val="24"/>
        </w:rPr>
        <w:t xml:space="preserve">, </w:t>
      </w:r>
      <w:r w:rsidRPr="00684ED9">
        <w:rPr>
          <w:rFonts w:ascii="Times New Roman" w:eastAsia="Times New Roman" w:hAnsi="Times New Roman" w:cs="Times New Roman"/>
          <w:i/>
          <w:sz w:val="24"/>
          <w:szCs w:val="24"/>
        </w:rPr>
        <w:t>36</w:t>
      </w:r>
      <w:r w:rsidRPr="00684ED9">
        <w:rPr>
          <w:rFonts w:ascii="Times New Roman" w:eastAsia="Times New Roman" w:hAnsi="Times New Roman" w:cs="Times New Roman"/>
          <w:sz w:val="24"/>
          <w:szCs w:val="24"/>
        </w:rPr>
        <w:t>(5-6), pp.2166-2181.</w:t>
      </w:r>
    </w:p>
    <w:p w14:paraId="00000020" w14:textId="77777777" w:rsidR="008823F4" w:rsidRPr="00684ED9" w:rsidRDefault="000D39D4">
      <w:pPr>
        <w:spacing w:before="240" w:after="240" w:line="360" w:lineRule="auto"/>
        <w:jc w:val="both"/>
        <w:rPr>
          <w:rFonts w:ascii="Times New Roman" w:eastAsia="Times New Roman" w:hAnsi="Times New Roman" w:cs="Times New Roman"/>
          <w:sz w:val="24"/>
          <w:szCs w:val="24"/>
        </w:rPr>
      </w:pPr>
      <w:proofErr w:type="spellStart"/>
      <w:r w:rsidRPr="00684ED9">
        <w:rPr>
          <w:rFonts w:ascii="Times New Roman" w:eastAsia="Times New Roman" w:hAnsi="Times New Roman" w:cs="Times New Roman"/>
          <w:sz w:val="24"/>
          <w:szCs w:val="24"/>
          <w:highlight w:val="white"/>
        </w:rPr>
        <w:t>Dehaghani</w:t>
      </w:r>
      <w:proofErr w:type="spellEnd"/>
      <w:r w:rsidRPr="00684ED9">
        <w:rPr>
          <w:rFonts w:ascii="Times New Roman" w:eastAsia="Times New Roman" w:hAnsi="Times New Roman" w:cs="Times New Roman"/>
          <w:sz w:val="24"/>
          <w:szCs w:val="24"/>
          <w:highlight w:val="white"/>
        </w:rPr>
        <w:t xml:space="preserve">, R. and Newman, D., 2021. The crisis in legally aided criminal defence in Wales: bringing Wales into discussions of England and Wales. </w:t>
      </w:r>
      <w:r w:rsidRPr="00684ED9">
        <w:rPr>
          <w:rFonts w:ascii="Times New Roman" w:eastAsia="Times New Roman" w:hAnsi="Times New Roman" w:cs="Times New Roman"/>
          <w:i/>
          <w:sz w:val="24"/>
          <w:szCs w:val="24"/>
        </w:rPr>
        <w:t>Legal Studies</w:t>
      </w:r>
      <w:r w:rsidRPr="00684ED9">
        <w:rPr>
          <w:rFonts w:ascii="Times New Roman" w:eastAsia="Times New Roman" w:hAnsi="Times New Roman" w:cs="Times New Roman"/>
          <w:sz w:val="24"/>
          <w:szCs w:val="24"/>
        </w:rPr>
        <w:t xml:space="preserve">, </w:t>
      </w:r>
      <w:r w:rsidRPr="00684ED9">
        <w:rPr>
          <w:rFonts w:ascii="Times New Roman" w:eastAsia="Times New Roman" w:hAnsi="Times New Roman" w:cs="Times New Roman"/>
          <w:i/>
          <w:sz w:val="24"/>
          <w:szCs w:val="24"/>
        </w:rPr>
        <w:t>41</w:t>
      </w:r>
      <w:r w:rsidRPr="00684ED9">
        <w:rPr>
          <w:rFonts w:ascii="Times New Roman" w:eastAsia="Times New Roman" w:hAnsi="Times New Roman" w:cs="Times New Roman"/>
          <w:sz w:val="24"/>
          <w:szCs w:val="24"/>
        </w:rPr>
        <w:t>(2), pp.234-251.</w:t>
      </w:r>
    </w:p>
    <w:p w14:paraId="00000021" w14:textId="77777777" w:rsidR="008823F4" w:rsidRPr="00684ED9" w:rsidRDefault="000D39D4">
      <w:pPr>
        <w:spacing w:before="240" w:after="240" w:line="360" w:lineRule="auto"/>
        <w:jc w:val="both"/>
        <w:rPr>
          <w:rFonts w:ascii="Times New Roman" w:eastAsia="Times New Roman" w:hAnsi="Times New Roman" w:cs="Times New Roman"/>
          <w:sz w:val="24"/>
          <w:szCs w:val="24"/>
        </w:rPr>
      </w:pPr>
      <w:proofErr w:type="spellStart"/>
      <w:r w:rsidRPr="00684ED9">
        <w:rPr>
          <w:rFonts w:ascii="Times New Roman" w:eastAsia="Times New Roman" w:hAnsi="Times New Roman" w:cs="Times New Roman"/>
          <w:sz w:val="24"/>
          <w:szCs w:val="24"/>
          <w:highlight w:val="white"/>
        </w:rPr>
        <w:t>Fawei</w:t>
      </w:r>
      <w:proofErr w:type="spellEnd"/>
      <w:r w:rsidRPr="00684ED9">
        <w:rPr>
          <w:rFonts w:ascii="Times New Roman" w:eastAsia="Times New Roman" w:hAnsi="Times New Roman" w:cs="Times New Roman"/>
          <w:sz w:val="24"/>
          <w:szCs w:val="24"/>
          <w:highlight w:val="white"/>
        </w:rPr>
        <w:t xml:space="preserve">, B., Pan, J.Z., </w:t>
      </w:r>
      <w:proofErr w:type="spellStart"/>
      <w:r w:rsidRPr="00684ED9">
        <w:rPr>
          <w:rFonts w:ascii="Times New Roman" w:eastAsia="Times New Roman" w:hAnsi="Times New Roman" w:cs="Times New Roman"/>
          <w:sz w:val="24"/>
          <w:szCs w:val="24"/>
          <w:highlight w:val="white"/>
        </w:rPr>
        <w:t>Kollingbaum</w:t>
      </w:r>
      <w:proofErr w:type="spellEnd"/>
      <w:r w:rsidRPr="00684ED9">
        <w:rPr>
          <w:rFonts w:ascii="Times New Roman" w:eastAsia="Times New Roman" w:hAnsi="Times New Roman" w:cs="Times New Roman"/>
          <w:sz w:val="24"/>
          <w:szCs w:val="24"/>
          <w:highlight w:val="white"/>
        </w:rPr>
        <w:t xml:space="preserve">, M. and </w:t>
      </w:r>
      <w:proofErr w:type="spellStart"/>
      <w:r w:rsidRPr="00684ED9">
        <w:rPr>
          <w:rFonts w:ascii="Times New Roman" w:eastAsia="Times New Roman" w:hAnsi="Times New Roman" w:cs="Times New Roman"/>
          <w:sz w:val="24"/>
          <w:szCs w:val="24"/>
          <w:highlight w:val="white"/>
        </w:rPr>
        <w:t>Wyner</w:t>
      </w:r>
      <w:proofErr w:type="spellEnd"/>
      <w:r w:rsidRPr="00684ED9">
        <w:rPr>
          <w:rFonts w:ascii="Times New Roman" w:eastAsia="Times New Roman" w:hAnsi="Times New Roman" w:cs="Times New Roman"/>
          <w:sz w:val="24"/>
          <w:szCs w:val="24"/>
          <w:highlight w:val="white"/>
        </w:rPr>
        <w:t xml:space="preserve">, A.Z., 2018, November. A methodology for a criminal law and procedure ontology for legal question answering. In </w:t>
      </w:r>
      <w:r w:rsidRPr="00684ED9">
        <w:rPr>
          <w:rFonts w:ascii="Times New Roman" w:eastAsia="Times New Roman" w:hAnsi="Times New Roman" w:cs="Times New Roman"/>
          <w:i/>
          <w:sz w:val="24"/>
          <w:szCs w:val="24"/>
        </w:rPr>
        <w:t>Joint International Semantic Technology Conference</w:t>
      </w:r>
      <w:r w:rsidRPr="00684ED9">
        <w:rPr>
          <w:rFonts w:ascii="Times New Roman" w:eastAsia="Times New Roman" w:hAnsi="Times New Roman" w:cs="Times New Roman"/>
          <w:sz w:val="24"/>
          <w:szCs w:val="24"/>
        </w:rPr>
        <w:t xml:space="preserve"> (pp. 198-214). Springer, Cham.</w:t>
      </w:r>
    </w:p>
    <w:p w14:paraId="00000022" w14:textId="77777777" w:rsidR="008823F4" w:rsidRPr="00684ED9" w:rsidRDefault="000D39D4">
      <w:pPr>
        <w:spacing w:before="240" w:after="240" w:line="360" w:lineRule="auto"/>
        <w:jc w:val="both"/>
        <w:rPr>
          <w:rFonts w:ascii="Times New Roman" w:eastAsia="Times New Roman" w:hAnsi="Times New Roman" w:cs="Times New Roman"/>
          <w:sz w:val="24"/>
          <w:szCs w:val="24"/>
        </w:rPr>
      </w:pPr>
      <w:proofErr w:type="spellStart"/>
      <w:r w:rsidRPr="00684ED9">
        <w:rPr>
          <w:rFonts w:ascii="Times New Roman" w:eastAsia="Times New Roman" w:hAnsi="Times New Roman" w:cs="Times New Roman"/>
          <w:sz w:val="24"/>
          <w:szCs w:val="24"/>
          <w:highlight w:val="white"/>
        </w:rPr>
        <w:t>Francese</w:t>
      </w:r>
      <w:proofErr w:type="spellEnd"/>
      <w:r w:rsidRPr="00684ED9">
        <w:rPr>
          <w:rFonts w:ascii="Times New Roman" w:eastAsia="Times New Roman" w:hAnsi="Times New Roman" w:cs="Times New Roman"/>
          <w:sz w:val="24"/>
          <w:szCs w:val="24"/>
          <w:highlight w:val="white"/>
        </w:rPr>
        <w:t xml:space="preserve">, S., 2019. Criminal profiling through MALDI MS based technologies–breaking barriers towards border-free forensic science. </w:t>
      </w:r>
      <w:r w:rsidRPr="00684ED9">
        <w:rPr>
          <w:rFonts w:ascii="Times New Roman" w:eastAsia="Times New Roman" w:hAnsi="Times New Roman" w:cs="Times New Roman"/>
          <w:i/>
          <w:sz w:val="24"/>
          <w:szCs w:val="24"/>
        </w:rPr>
        <w:t>Australian journal of forensic sciences</w:t>
      </w:r>
      <w:r w:rsidRPr="00684ED9">
        <w:rPr>
          <w:rFonts w:ascii="Times New Roman" w:eastAsia="Times New Roman" w:hAnsi="Times New Roman" w:cs="Times New Roman"/>
          <w:sz w:val="24"/>
          <w:szCs w:val="24"/>
        </w:rPr>
        <w:t xml:space="preserve">, </w:t>
      </w:r>
      <w:r w:rsidRPr="00684ED9">
        <w:rPr>
          <w:rFonts w:ascii="Times New Roman" w:eastAsia="Times New Roman" w:hAnsi="Times New Roman" w:cs="Times New Roman"/>
          <w:i/>
          <w:sz w:val="24"/>
          <w:szCs w:val="24"/>
        </w:rPr>
        <w:t>51</w:t>
      </w:r>
      <w:r w:rsidRPr="00684ED9">
        <w:rPr>
          <w:rFonts w:ascii="Times New Roman" w:eastAsia="Times New Roman" w:hAnsi="Times New Roman" w:cs="Times New Roman"/>
          <w:sz w:val="24"/>
          <w:szCs w:val="24"/>
        </w:rPr>
        <w:t>(6), pp.623-635.</w:t>
      </w:r>
    </w:p>
    <w:p w14:paraId="00000023" w14:textId="77777777" w:rsidR="008823F4" w:rsidRPr="00684ED9" w:rsidRDefault="000D39D4">
      <w:pPr>
        <w:spacing w:before="240" w:after="240" w:line="360" w:lineRule="auto"/>
        <w:jc w:val="both"/>
        <w:rPr>
          <w:rFonts w:ascii="Times New Roman" w:eastAsia="Times New Roman" w:hAnsi="Times New Roman" w:cs="Times New Roman"/>
          <w:sz w:val="24"/>
          <w:szCs w:val="24"/>
        </w:rPr>
      </w:pPr>
      <w:r w:rsidRPr="00684ED9">
        <w:rPr>
          <w:rFonts w:ascii="Times New Roman" w:eastAsia="Times New Roman" w:hAnsi="Times New Roman" w:cs="Times New Roman"/>
          <w:sz w:val="24"/>
          <w:szCs w:val="24"/>
          <w:highlight w:val="white"/>
        </w:rPr>
        <w:t xml:space="preserve">Harper, C.A., Franco, V. and Wills, M., 2020. Excusing and justifying rape cognitions in judgments of sexually coercive dating scenarios. </w:t>
      </w:r>
      <w:r w:rsidRPr="00684ED9">
        <w:rPr>
          <w:rFonts w:ascii="Times New Roman" w:eastAsia="Times New Roman" w:hAnsi="Times New Roman" w:cs="Times New Roman"/>
          <w:i/>
          <w:sz w:val="24"/>
          <w:szCs w:val="24"/>
        </w:rPr>
        <w:t>Sexual Abuse</w:t>
      </w:r>
      <w:r w:rsidRPr="00684ED9">
        <w:rPr>
          <w:rFonts w:ascii="Times New Roman" w:eastAsia="Times New Roman" w:hAnsi="Times New Roman" w:cs="Times New Roman"/>
          <w:sz w:val="24"/>
          <w:szCs w:val="24"/>
        </w:rPr>
        <w:t xml:space="preserve">, </w:t>
      </w:r>
      <w:r w:rsidRPr="00684ED9">
        <w:rPr>
          <w:rFonts w:ascii="Times New Roman" w:eastAsia="Times New Roman" w:hAnsi="Times New Roman" w:cs="Times New Roman"/>
          <w:i/>
          <w:sz w:val="24"/>
          <w:szCs w:val="24"/>
        </w:rPr>
        <w:t>32</w:t>
      </w:r>
      <w:r w:rsidRPr="00684ED9">
        <w:rPr>
          <w:rFonts w:ascii="Times New Roman" w:eastAsia="Times New Roman" w:hAnsi="Times New Roman" w:cs="Times New Roman"/>
          <w:sz w:val="24"/>
          <w:szCs w:val="24"/>
        </w:rPr>
        <w:t>(5), pp.543-566.</w:t>
      </w:r>
    </w:p>
    <w:p w14:paraId="00000024" w14:textId="77777777" w:rsidR="008823F4" w:rsidRPr="00684ED9" w:rsidRDefault="000D39D4">
      <w:pPr>
        <w:spacing w:before="240" w:after="240" w:line="360" w:lineRule="auto"/>
        <w:jc w:val="both"/>
        <w:rPr>
          <w:rFonts w:ascii="Times New Roman" w:eastAsia="Times New Roman" w:hAnsi="Times New Roman" w:cs="Times New Roman"/>
          <w:sz w:val="24"/>
          <w:szCs w:val="24"/>
        </w:rPr>
      </w:pPr>
      <w:r w:rsidRPr="00684ED9">
        <w:rPr>
          <w:rFonts w:ascii="Times New Roman" w:eastAsia="Times New Roman" w:hAnsi="Times New Roman" w:cs="Times New Roman"/>
          <w:sz w:val="24"/>
          <w:szCs w:val="24"/>
          <w:highlight w:val="white"/>
        </w:rPr>
        <w:t>Hine, B. and Murphy, A., 2019. The influence of ‘High’vs.‘</w:t>
      </w:r>
      <w:proofErr w:type="spellStart"/>
      <w:r w:rsidRPr="00684ED9">
        <w:rPr>
          <w:rFonts w:ascii="Times New Roman" w:eastAsia="Times New Roman" w:hAnsi="Times New Roman" w:cs="Times New Roman"/>
          <w:sz w:val="24"/>
          <w:szCs w:val="24"/>
          <w:highlight w:val="white"/>
        </w:rPr>
        <w:t>Low’rape</w:t>
      </w:r>
      <w:proofErr w:type="spellEnd"/>
      <w:r w:rsidRPr="00684ED9">
        <w:rPr>
          <w:rFonts w:ascii="Times New Roman" w:eastAsia="Times New Roman" w:hAnsi="Times New Roman" w:cs="Times New Roman"/>
          <w:sz w:val="24"/>
          <w:szCs w:val="24"/>
          <w:highlight w:val="white"/>
        </w:rPr>
        <w:t xml:space="preserve"> myth acceptance on police officers' judgements of victim and perpetrator responsibility, and rape authenticity. </w:t>
      </w:r>
      <w:r w:rsidRPr="00684ED9">
        <w:rPr>
          <w:rFonts w:ascii="Times New Roman" w:eastAsia="Times New Roman" w:hAnsi="Times New Roman" w:cs="Times New Roman"/>
          <w:i/>
          <w:sz w:val="24"/>
          <w:szCs w:val="24"/>
        </w:rPr>
        <w:t>Journal of Criminal Justice</w:t>
      </w:r>
      <w:r w:rsidRPr="00684ED9">
        <w:rPr>
          <w:rFonts w:ascii="Times New Roman" w:eastAsia="Times New Roman" w:hAnsi="Times New Roman" w:cs="Times New Roman"/>
          <w:sz w:val="24"/>
          <w:szCs w:val="24"/>
        </w:rPr>
        <w:t xml:space="preserve">, </w:t>
      </w:r>
      <w:r w:rsidRPr="00684ED9">
        <w:rPr>
          <w:rFonts w:ascii="Times New Roman" w:eastAsia="Times New Roman" w:hAnsi="Times New Roman" w:cs="Times New Roman"/>
          <w:i/>
          <w:sz w:val="24"/>
          <w:szCs w:val="24"/>
        </w:rPr>
        <w:t>60</w:t>
      </w:r>
      <w:r w:rsidRPr="00684ED9">
        <w:rPr>
          <w:rFonts w:ascii="Times New Roman" w:eastAsia="Times New Roman" w:hAnsi="Times New Roman" w:cs="Times New Roman"/>
          <w:sz w:val="24"/>
          <w:szCs w:val="24"/>
        </w:rPr>
        <w:t>, pp.100-107.</w:t>
      </w:r>
    </w:p>
    <w:p w14:paraId="00000025" w14:textId="77777777" w:rsidR="008823F4" w:rsidRPr="00684ED9" w:rsidRDefault="000D39D4">
      <w:pPr>
        <w:spacing w:before="240" w:after="240" w:line="360" w:lineRule="auto"/>
        <w:jc w:val="both"/>
        <w:rPr>
          <w:rFonts w:ascii="Times New Roman" w:eastAsia="Times New Roman" w:hAnsi="Times New Roman" w:cs="Times New Roman"/>
          <w:sz w:val="24"/>
          <w:szCs w:val="24"/>
        </w:rPr>
      </w:pPr>
      <w:r w:rsidRPr="00684ED9">
        <w:rPr>
          <w:rFonts w:ascii="Times New Roman" w:eastAsia="Times New Roman" w:hAnsi="Times New Roman" w:cs="Times New Roman"/>
          <w:sz w:val="24"/>
          <w:szCs w:val="24"/>
          <w:highlight w:val="white"/>
        </w:rPr>
        <w:t xml:space="preserve">Macdonald, S., Jarvis, L. and </w:t>
      </w:r>
      <w:proofErr w:type="spellStart"/>
      <w:r w:rsidRPr="00684ED9">
        <w:rPr>
          <w:rFonts w:ascii="Times New Roman" w:eastAsia="Times New Roman" w:hAnsi="Times New Roman" w:cs="Times New Roman"/>
          <w:sz w:val="24"/>
          <w:szCs w:val="24"/>
          <w:highlight w:val="white"/>
        </w:rPr>
        <w:t>Lavis</w:t>
      </w:r>
      <w:proofErr w:type="spellEnd"/>
      <w:r w:rsidRPr="00684ED9">
        <w:rPr>
          <w:rFonts w:ascii="Times New Roman" w:eastAsia="Times New Roman" w:hAnsi="Times New Roman" w:cs="Times New Roman"/>
          <w:sz w:val="24"/>
          <w:szCs w:val="24"/>
          <w:highlight w:val="white"/>
        </w:rPr>
        <w:t xml:space="preserve">, S.M., 2019. Cyberterrorism today? Findings from a follow-on survey of researchers. </w:t>
      </w:r>
      <w:r w:rsidRPr="00684ED9">
        <w:rPr>
          <w:rFonts w:ascii="Times New Roman" w:eastAsia="Times New Roman" w:hAnsi="Times New Roman" w:cs="Times New Roman"/>
          <w:i/>
          <w:sz w:val="24"/>
          <w:szCs w:val="24"/>
        </w:rPr>
        <w:t>Studies in Conflict &amp; Terrorism</w:t>
      </w:r>
      <w:r w:rsidRPr="00684ED9">
        <w:rPr>
          <w:rFonts w:ascii="Times New Roman" w:eastAsia="Times New Roman" w:hAnsi="Times New Roman" w:cs="Times New Roman"/>
          <w:sz w:val="24"/>
          <w:szCs w:val="24"/>
        </w:rPr>
        <w:t>, pp.1-26.</w:t>
      </w:r>
    </w:p>
    <w:p w14:paraId="0000002A" w14:textId="34FD7A9B" w:rsidR="008823F4" w:rsidRPr="00684ED9" w:rsidRDefault="000D39D4" w:rsidP="00AC2F05">
      <w:pPr>
        <w:spacing w:before="240" w:after="240" w:line="360" w:lineRule="auto"/>
        <w:jc w:val="both"/>
        <w:rPr>
          <w:rFonts w:ascii="Times New Roman" w:eastAsia="Times New Roman" w:hAnsi="Times New Roman" w:cs="Times New Roman"/>
          <w:sz w:val="24"/>
          <w:szCs w:val="24"/>
        </w:rPr>
      </w:pPr>
      <w:r w:rsidRPr="00684ED9">
        <w:rPr>
          <w:rFonts w:ascii="Times New Roman" w:eastAsia="Times New Roman" w:hAnsi="Times New Roman" w:cs="Times New Roman"/>
          <w:sz w:val="24"/>
          <w:szCs w:val="24"/>
          <w:highlight w:val="white"/>
        </w:rPr>
        <w:t xml:space="preserve">Willmott, D., </w:t>
      </w:r>
      <w:proofErr w:type="spellStart"/>
      <w:r w:rsidRPr="00684ED9">
        <w:rPr>
          <w:rFonts w:ascii="Times New Roman" w:eastAsia="Times New Roman" w:hAnsi="Times New Roman" w:cs="Times New Roman"/>
          <w:sz w:val="24"/>
          <w:szCs w:val="24"/>
          <w:highlight w:val="white"/>
        </w:rPr>
        <w:t>Boduszek</w:t>
      </w:r>
      <w:proofErr w:type="spellEnd"/>
      <w:r w:rsidRPr="00684ED9">
        <w:rPr>
          <w:rFonts w:ascii="Times New Roman" w:eastAsia="Times New Roman" w:hAnsi="Times New Roman" w:cs="Times New Roman"/>
          <w:sz w:val="24"/>
          <w:szCs w:val="24"/>
          <w:highlight w:val="white"/>
        </w:rPr>
        <w:t xml:space="preserve">, D., </w:t>
      </w:r>
      <w:proofErr w:type="spellStart"/>
      <w:r w:rsidRPr="00684ED9">
        <w:rPr>
          <w:rFonts w:ascii="Times New Roman" w:eastAsia="Times New Roman" w:hAnsi="Times New Roman" w:cs="Times New Roman"/>
          <w:sz w:val="24"/>
          <w:szCs w:val="24"/>
          <w:highlight w:val="white"/>
        </w:rPr>
        <w:t>Debowska</w:t>
      </w:r>
      <w:proofErr w:type="spellEnd"/>
      <w:r w:rsidRPr="00684ED9">
        <w:rPr>
          <w:rFonts w:ascii="Times New Roman" w:eastAsia="Times New Roman" w:hAnsi="Times New Roman" w:cs="Times New Roman"/>
          <w:sz w:val="24"/>
          <w:szCs w:val="24"/>
          <w:highlight w:val="white"/>
        </w:rPr>
        <w:t xml:space="preserve">, A. and Woodfield, R., 2018. Introduction and validation of the juror decision scale (JDS): an empirical investigation of the story model. </w:t>
      </w:r>
      <w:r w:rsidRPr="00684ED9">
        <w:rPr>
          <w:rFonts w:ascii="Times New Roman" w:eastAsia="Times New Roman" w:hAnsi="Times New Roman" w:cs="Times New Roman"/>
          <w:i/>
          <w:sz w:val="24"/>
          <w:szCs w:val="24"/>
        </w:rPr>
        <w:t>Journal of Criminal Justice</w:t>
      </w:r>
      <w:r w:rsidRPr="00684ED9">
        <w:rPr>
          <w:rFonts w:ascii="Times New Roman" w:eastAsia="Times New Roman" w:hAnsi="Times New Roman" w:cs="Times New Roman"/>
          <w:sz w:val="24"/>
          <w:szCs w:val="24"/>
        </w:rPr>
        <w:t xml:space="preserve">, </w:t>
      </w:r>
      <w:r w:rsidRPr="00684ED9">
        <w:rPr>
          <w:rFonts w:ascii="Times New Roman" w:eastAsia="Times New Roman" w:hAnsi="Times New Roman" w:cs="Times New Roman"/>
          <w:i/>
          <w:sz w:val="24"/>
          <w:szCs w:val="24"/>
        </w:rPr>
        <w:t>57</w:t>
      </w:r>
      <w:r w:rsidRPr="00684ED9">
        <w:rPr>
          <w:rFonts w:ascii="Times New Roman" w:eastAsia="Times New Roman" w:hAnsi="Times New Roman" w:cs="Times New Roman"/>
          <w:sz w:val="24"/>
          <w:szCs w:val="24"/>
        </w:rPr>
        <w:t>, pp.26-34.</w:t>
      </w:r>
    </w:p>
    <w:sectPr w:rsidR="008823F4" w:rsidRPr="00684ED9" w:rsidSect="00AC2F05">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6F613" w14:textId="77777777" w:rsidR="00F924F5" w:rsidRDefault="00F924F5">
      <w:pPr>
        <w:spacing w:line="240" w:lineRule="auto"/>
      </w:pPr>
      <w:r>
        <w:separator/>
      </w:r>
    </w:p>
  </w:endnote>
  <w:endnote w:type="continuationSeparator" w:id="0">
    <w:p w14:paraId="591284A8" w14:textId="77777777" w:rsidR="00F924F5" w:rsidRDefault="00F924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B" w14:textId="77777777" w:rsidR="008823F4" w:rsidRDefault="000D39D4">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AC2F05">
      <w:rPr>
        <w:noProof/>
        <w:color w:val="000000"/>
      </w:rPr>
      <w:t>6</w:t>
    </w:r>
    <w:r>
      <w:rPr>
        <w:color w:val="000000"/>
      </w:rPr>
      <w:fldChar w:fldCharType="end"/>
    </w:r>
  </w:p>
  <w:p w14:paraId="0000002C" w14:textId="77777777" w:rsidR="008823F4" w:rsidRDefault="008823F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32073" w14:textId="77777777" w:rsidR="00F924F5" w:rsidRDefault="00F924F5">
      <w:pPr>
        <w:spacing w:line="240" w:lineRule="auto"/>
      </w:pPr>
      <w:r>
        <w:separator/>
      </w:r>
    </w:p>
  </w:footnote>
  <w:footnote w:type="continuationSeparator" w:id="0">
    <w:p w14:paraId="74E00A58" w14:textId="77777777" w:rsidR="00F924F5" w:rsidRDefault="00F924F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3F4"/>
    <w:rsid w:val="000D39D4"/>
    <w:rsid w:val="002F7F0B"/>
    <w:rsid w:val="004F7959"/>
    <w:rsid w:val="005D2182"/>
    <w:rsid w:val="005F3027"/>
    <w:rsid w:val="00684ED9"/>
    <w:rsid w:val="00793DC3"/>
    <w:rsid w:val="008823F4"/>
    <w:rsid w:val="00AC2F05"/>
    <w:rsid w:val="00E174E8"/>
    <w:rsid w:val="00F924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92703"/>
  <w15:docId w15:val="{11CA1B07-DFE8-264A-866B-F81763E17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5659DB"/>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D93796"/>
    <w:pPr>
      <w:keepNext/>
      <w:keepLines/>
      <w:spacing w:before="360" w:after="120"/>
      <w:outlineLvl w:val="1"/>
    </w:pPr>
    <w:rPr>
      <w:sz w:val="32"/>
      <w:szCs w:val="32"/>
    </w:rPr>
  </w:style>
  <w:style w:type="paragraph" w:styleId="Heading3">
    <w:name w:val="heading 3"/>
    <w:basedOn w:val="Normal1"/>
    <w:next w:val="Normal1"/>
    <w:rsid w:val="00D93796"/>
    <w:pPr>
      <w:keepNext/>
      <w:keepLines/>
      <w:spacing w:before="320" w:after="80"/>
      <w:outlineLvl w:val="2"/>
    </w:pPr>
    <w:rPr>
      <w:color w:val="434343"/>
      <w:sz w:val="28"/>
      <w:szCs w:val="28"/>
    </w:rPr>
  </w:style>
  <w:style w:type="paragraph" w:styleId="Heading4">
    <w:name w:val="heading 4"/>
    <w:basedOn w:val="Normal1"/>
    <w:next w:val="Normal1"/>
    <w:rsid w:val="00D93796"/>
    <w:pPr>
      <w:keepNext/>
      <w:keepLines/>
      <w:spacing w:before="280" w:after="80"/>
      <w:outlineLvl w:val="3"/>
    </w:pPr>
    <w:rPr>
      <w:color w:val="666666"/>
      <w:sz w:val="24"/>
      <w:szCs w:val="24"/>
    </w:rPr>
  </w:style>
  <w:style w:type="paragraph" w:styleId="Heading5">
    <w:name w:val="heading 5"/>
    <w:basedOn w:val="Normal1"/>
    <w:next w:val="Normal1"/>
    <w:rsid w:val="00D93796"/>
    <w:pPr>
      <w:keepNext/>
      <w:keepLines/>
      <w:spacing w:before="240" w:after="80"/>
      <w:outlineLvl w:val="4"/>
    </w:pPr>
    <w:rPr>
      <w:color w:val="666666"/>
    </w:rPr>
  </w:style>
  <w:style w:type="paragraph" w:styleId="Heading6">
    <w:name w:val="heading 6"/>
    <w:basedOn w:val="Normal1"/>
    <w:next w:val="Normal1"/>
    <w:rsid w:val="00D9379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D93796"/>
    <w:pPr>
      <w:keepNext/>
      <w:keepLines/>
      <w:spacing w:after="60"/>
    </w:pPr>
    <w:rPr>
      <w:sz w:val="52"/>
      <w:szCs w:val="52"/>
    </w:rPr>
  </w:style>
  <w:style w:type="paragraph" w:customStyle="1" w:styleId="Normal1">
    <w:name w:val="Normal1"/>
    <w:rsid w:val="00D93796"/>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semiHidden/>
    <w:unhideWhenUsed/>
    <w:rsid w:val="00D475A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475A6"/>
  </w:style>
  <w:style w:type="paragraph" w:styleId="Footer">
    <w:name w:val="footer"/>
    <w:basedOn w:val="Normal"/>
    <w:link w:val="FooterChar"/>
    <w:uiPriority w:val="99"/>
    <w:unhideWhenUsed/>
    <w:rsid w:val="00D475A6"/>
    <w:pPr>
      <w:tabs>
        <w:tab w:val="center" w:pos="4680"/>
        <w:tab w:val="right" w:pos="9360"/>
      </w:tabs>
      <w:spacing w:line="240" w:lineRule="auto"/>
    </w:pPr>
  </w:style>
  <w:style w:type="character" w:customStyle="1" w:styleId="FooterChar">
    <w:name w:val="Footer Char"/>
    <w:basedOn w:val="DefaultParagraphFont"/>
    <w:link w:val="Footer"/>
    <w:uiPriority w:val="99"/>
    <w:rsid w:val="00D475A6"/>
  </w:style>
  <w:style w:type="paragraph" w:styleId="TOCHeading">
    <w:name w:val="TOC Heading"/>
    <w:basedOn w:val="Heading1"/>
    <w:next w:val="Normal"/>
    <w:uiPriority w:val="39"/>
    <w:semiHidden/>
    <w:unhideWhenUsed/>
    <w:qFormat/>
    <w:rsid w:val="005659DB"/>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5659DB"/>
    <w:pPr>
      <w:spacing w:after="100"/>
    </w:pPr>
  </w:style>
  <w:style w:type="character" w:styleId="Hyperlink">
    <w:name w:val="Hyperlink"/>
    <w:basedOn w:val="DefaultParagraphFont"/>
    <w:uiPriority w:val="99"/>
    <w:unhideWhenUsed/>
    <w:rsid w:val="005659DB"/>
    <w:rPr>
      <w:color w:val="0000FF" w:themeColor="hyperlink"/>
      <w:u w:val="single"/>
    </w:rPr>
  </w:style>
  <w:style w:type="paragraph" w:styleId="BalloonText">
    <w:name w:val="Balloon Text"/>
    <w:basedOn w:val="Normal"/>
    <w:link w:val="BalloonTextChar"/>
    <w:uiPriority w:val="99"/>
    <w:semiHidden/>
    <w:unhideWhenUsed/>
    <w:rsid w:val="005659D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59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5F5I+COWHDpDCLUWd1VG4jLhRnA==">AMUW2mW1nSViVELFF+iFpcWAC56BASJS3pbcP/FISErcyR5ueMTXzTWlo5kvRSrT1D2r8BbqEpiZsirFwDkRWyH0QIAPKyxAf9Nr6rst6xjaK9RNOh1HnOK248yVBIuxh0AiLWhkfF90SYyh3fYf8eXSs7aVLTgGlA==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1750</Words>
  <Characters>9975</Characters>
  <Application>Microsoft Office Word</Application>
  <DocSecurity>0</DocSecurity>
  <Lines>83</Lines>
  <Paragraphs>23</Paragraphs>
  <ScaleCrop>false</ScaleCrop>
  <Company/>
  <LinksUpToDate>false</LinksUpToDate>
  <CharactersWithSpaces>11702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Abdul Mannan (2111488)</cp:lastModifiedBy>
  <cp:revision>5</cp:revision>
  <dcterms:created xsi:type="dcterms:W3CDTF">2022-01-08T12:20:00Z</dcterms:created>
  <dcterms:modified xsi:type="dcterms:W3CDTF">2022-01-12T03:03:00Z</dcterms:modified>
</cp:coreProperties>
</file>