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4AE" w:rsidRPr="009A1C81" w:rsidRDefault="006541E3">
      <w:pPr>
        <w:rPr>
          <w:rFonts w:cstheme="minorHAnsi"/>
          <w:b/>
          <w:lang w:val="en"/>
        </w:rPr>
      </w:pPr>
      <w:r w:rsidRPr="009A1C81">
        <w:rPr>
          <w:rFonts w:cstheme="minorHAnsi"/>
          <w:b/>
          <w:lang w:val="en"/>
        </w:rPr>
        <w:t>Is there such a thing as a single 'Judaism'?</w:t>
      </w:r>
    </w:p>
    <w:p w:rsidR="006541E3" w:rsidRPr="009A1C81" w:rsidRDefault="00F476F7">
      <w:pPr>
        <w:rPr>
          <w:rFonts w:cstheme="minorHAnsi"/>
          <w:lang w:val="en"/>
        </w:rPr>
      </w:pPr>
      <w:r>
        <w:rPr>
          <w:rFonts w:cstheme="minorHAnsi"/>
          <w:lang w:val="en"/>
        </w:rPr>
        <w:t>As an outsider looking i</w:t>
      </w:r>
      <w:r w:rsidR="00134547" w:rsidRPr="009A1C81">
        <w:rPr>
          <w:rFonts w:cstheme="minorHAnsi"/>
          <w:lang w:val="en"/>
        </w:rPr>
        <w:t>n</w:t>
      </w:r>
      <w:r w:rsidR="005B2A34">
        <w:rPr>
          <w:rFonts w:cstheme="minorHAnsi"/>
          <w:lang w:val="en"/>
        </w:rPr>
        <w:t xml:space="preserve">, </w:t>
      </w:r>
      <w:r w:rsidR="0095395D">
        <w:rPr>
          <w:rFonts w:cstheme="minorHAnsi"/>
          <w:lang w:val="en"/>
        </w:rPr>
        <w:t>without any prior knowledge of specific religions except the names of them and that they exist</w:t>
      </w:r>
      <w:r w:rsidR="00134547" w:rsidRPr="009A1C81">
        <w:rPr>
          <w:rFonts w:cstheme="minorHAnsi"/>
          <w:lang w:val="en"/>
        </w:rPr>
        <w:t xml:space="preserve">, </w:t>
      </w:r>
      <w:r w:rsidR="006541E3" w:rsidRPr="009A1C81">
        <w:rPr>
          <w:rFonts w:cstheme="minorHAnsi"/>
          <w:lang w:val="en"/>
        </w:rPr>
        <w:t xml:space="preserve">we </w:t>
      </w:r>
      <w:r w:rsidR="00E27B79">
        <w:rPr>
          <w:rFonts w:cstheme="minorHAnsi"/>
          <w:lang w:val="en"/>
        </w:rPr>
        <w:t xml:space="preserve">may </w:t>
      </w:r>
      <w:r w:rsidR="000531DA">
        <w:rPr>
          <w:rFonts w:cstheme="minorHAnsi"/>
          <w:lang w:val="en"/>
        </w:rPr>
        <w:t>presume</w:t>
      </w:r>
      <w:r w:rsidR="0095395D">
        <w:rPr>
          <w:rFonts w:cstheme="minorHAnsi"/>
          <w:lang w:val="en"/>
        </w:rPr>
        <w:t xml:space="preserve"> that </w:t>
      </w:r>
      <w:r w:rsidR="006541E3" w:rsidRPr="009A1C81">
        <w:rPr>
          <w:rFonts w:cstheme="minorHAnsi"/>
          <w:lang w:val="en"/>
        </w:rPr>
        <w:t>there is one `Judaism`</w:t>
      </w:r>
      <w:r w:rsidR="00134547" w:rsidRPr="009A1C81">
        <w:rPr>
          <w:rFonts w:cstheme="minorHAnsi"/>
          <w:lang w:val="en"/>
        </w:rPr>
        <w:t>,</w:t>
      </w:r>
      <w:r w:rsidR="006541E3" w:rsidRPr="009A1C81">
        <w:rPr>
          <w:rFonts w:cstheme="minorHAnsi"/>
          <w:lang w:val="en"/>
        </w:rPr>
        <w:t xml:space="preserve"> as much as there may seem to</w:t>
      </w:r>
      <w:r w:rsidR="00302229">
        <w:rPr>
          <w:rFonts w:cstheme="minorHAnsi"/>
          <w:lang w:val="en"/>
        </w:rPr>
        <w:t xml:space="preserve"> be one` Islam` or one `Christianity</w:t>
      </w:r>
      <w:r w:rsidR="006541E3" w:rsidRPr="009A1C81">
        <w:rPr>
          <w:rFonts w:cstheme="minorHAnsi"/>
          <w:lang w:val="en"/>
        </w:rPr>
        <w:t>`, just a unified set of beliefs and pract</w:t>
      </w:r>
      <w:r w:rsidR="008F18E8">
        <w:rPr>
          <w:rFonts w:cstheme="minorHAnsi"/>
          <w:lang w:val="en"/>
        </w:rPr>
        <w:t xml:space="preserve">ices that </w:t>
      </w:r>
      <w:r w:rsidR="000531DA">
        <w:rPr>
          <w:rFonts w:cstheme="minorHAnsi"/>
          <w:lang w:val="en"/>
        </w:rPr>
        <w:t xml:space="preserve">has </w:t>
      </w:r>
      <w:r w:rsidR="008F18E8">
        <w:rPr>
          <w:rFonts w:cstheme="minorHAnsi"/>
          <w:lang w:val="en"/>
        </w:rPr>
        <w:t>remain</w:t>
      </w:r>
      <w:r w:rsidR="000531DA">
        <w:rPr>
          <w:rFonts w:cstheme="minorHAnsi"/>
          <w:lang w:val="en"/>
        </w:rPr>
        <w:t xml:space="preserve">ed </w:t>
      </w:r>
      <w:r w:rsidR="000531DA" w:rsidRPr="00667D92">
        <w:rPr>
          <w:rFonts w:cstheme="minorHAnsi"/>
          <w:lang w:val="en"/>
        </w:rPr>
        <w:t>consistent</w:t>
      </w:r>
      <w:r w:rsidR="008F18E8" w:rsidRPr="00667D92">
        <w:rPr>
          <w:rFonts w:cstheme="minorHAnsi"/>
          <w:lang w:val="en"/>
        </w:rPr>
        <w:t>. This essay</w:t>
      </w:r>
      <w:r w:rsidR="00A5581A" w:rsidRPr="00667D92">
        <w:rPr>
          <w:rFonts w:cstheme="minorHAnsi"/>
          <w:lang w:val="en"/>
        </w:rPr>
        <w:t xml:space="preserve"> will </w:t>
      </w:r>
      <w:r w:rsidR="003842F6" w:rsidRPr="00667D92">
        <w:rPr>
          <w:rFonts w:cstheme="minorHAnsi"/>
          <w:lang w:val="en"/>
        </w:rPr>
        <w:t>consider</w:t>
      </w:r>
      <w:r w:rsidR="006541E3" w:rsidRPr="00667D92">
        <w:rPr>
          <w:rFonts w:cstheme="minorHAnsi"/>
          <w:lang w:val="en"/>
        </w:rPr>
        <w:t xml:space="preserve"> this possibil</w:t>
      </w:r>
      <w:r w:rsidR="007417D2" w:rsidRPr="00667D92">
        <w:rPr>
          <w:rFonts w:cstheme="minorHAnsi"/>
          <w:lang w:val="en"/>
        </w:rPr>
        <w:t>ity of an existing `Mono-</w:t>
      </w:r>
      <w:r w:rsidR="001B6FAF">
        <w:rPr>
          <w:rFonts w:cstheme="minorHAnsi"/>
          <w:lang w:val="en"/>
        </w:rPr>
        <w:t>Judaism`</w:t>
      </w:r>
      <w:r w:rsidR="007417D2" w:rsidRPr="00667D92">
        <w:rPr>
          <w:rFonts w:cstheme="minorHAnsi"/>
          <w:lang w:val="en"/>
        </w:rPr>
        <w:t xml:space="preserve">, </w:t>
      </w:r>
      <w:r w:rsidR="001F4618">
        <w:rPr>
          <w:rFonts w:cstheme="minorHAnsi"/>
          <w:lang w:val="en"/>
        </w:rPr>
        <w:t xml:space="preserve">however, </w:t>
      </w:r>
      <w:r w:rsidR="001B6FAF">
        <w:rPr>
          <w:rFonts w:cstheme="minorHAnsi"/>
          <w:lang w:val="en"/>
        </w:rPr>
        <w:t>it</w:t>
      </w:r>
      <w:r w:rsidR="00D4307C">
        <w:rPr>
          <w:rFonts w:cstheme="minorHAnsi"/>
          <w:lang w:val="en"/>
        </w:rPr>
        <w:t xml:space="preserve"> will </w:t>
      </w:r>
      <w:r w:rsidR="001B6FAF">
        <w:rPr>
          <w:rFonts w:cstheme="minorHAnsi"/>
          <w:lang w:val="en"/>
        </w:rPr>
        <w:t xml:space="preserve">principally </w:t>
      </w:r>
      <w:r w:rsidR="00D4307C">
        <w:rPr>
          <w:rFonts w:cstheme="minorHAnsi"/>
          <w:lang w:val="en"/>
        </w:rPr>
        <w:t xml:space="preserve">argue </w:t>
      </w:r>
      <w:r w:rsidR="007417D2" w:rsidRPr="00667D92">
        <w:rPr>
          <w:rFonts w:cstheme="minorHAnsi"/>
          <w:lang w:val="en"/>
        </w:rPr>
        <w:t>the opposing view</w:t>
      </w:r>
      <w:r w:rsidR="00831DCB">
        <w:rPr>
          <w:rFonts w:cstheme="minorHAnsi"/>
          <w:lang w:val="en"/>
        </w:rPr>
        <w:t>,</w:t>
      </w:r>
      <w:r w:rsidR="007417D2" w:rsidRPr="00667D92">
        <w:rPr>
          <w:rFonts w:cstheme="minorHAnsi"/>
          <w:lang w:val="en"/>
        </w:rPr>
        <w:t xml:space="preserve"> that there is certainly more than one </w:t>
      </w:r>
      <w:r w:rsidR="00781300" w:rsidRPr="00667D92">
        <w:rPr>
          <w:rFonts w:cstheme="minorHAnsi"/>
          <w:lang w:val="en"/>
        </w:rPr>
        <w:t>form of Judaism</w:t>
      </w:r>
      <w:r w:rsidR="001B6FAF">
        <w:rPr>
          <w:rFonts w:cstheme="minorHAnsi"/>
          <w:lang w:val="en"/>
        </w:rPr>
        <w:t>. This will involve</w:t>
      </w:r>
      <w:r w:rsidR="00781300">
        <w:rPr>
          <w:rFonts w:cstheme="minorHAnsi"/>
          <w:lang w:val="en"/>
        </w:rPr>
        <w:t xml:space="preserve"> </w:t>
      </w:r>
      <w:r w:rsidR="00CA689F">
        <w:rPr>
          <w:rFonts w:cstheme="minorHAnsi"/>
          <w:lang w:val="en"/>
        </w:rPr>
        <w:t>giving historical</w:t>
      </w:r>
      <w:r w:rsidR="006541E3" w:rsidRPr="009A1C81">
        <w:rPr>
          <w:rFonts w:cstheme="minorHAnsi"/>
          <w:lang w:val="en"/>
        </w:rPr>
        <w:t xml:space="preserve"> evidence </w:t>
      </w:r>
      <w:r w:rsidR="00134547" w:rsidRPr="009A1C81">
        <w:rPr>
          <w:rFonts w:cstheme="minorHAnsi"/>
          <w:lang w:val="en"/>
        </w:rPr>
        <w:t>that may</w:t>
      </w:r>
      <w:r w:rsidR="007417D2" w:rsidRPr="009A1C81">
        <w:rPr>
          <w:rFonts w:cstheme="minorHAnsi"/>
          <w:lang w:val="en"/>
        </w:rPr>
        <w:t xml:space="preserve"> confirm either </w:t>
      </w:r>
      <w:r w:rsidR="006541E3" w:rsidRPr="009A1C81">
        <w:rPr>
          <w:rFonts w:cstheme="minorHAnsi"/>
          <w:lang w:val="en"/>
        </w:rPr>
        <w:t>perspective</w:t>
      </w:r>
      <w:r w:rsidR="001B6FAF">
        <w:rPr>
          <w:rFonts w:cstheme="minorHAnsi"/>
          <w:lang w:val="en"/>
        </w:rPr>
        <w:t xml:space="preserve">, predominantly focusing upon </w:t>
      </w:r>
      <w:r w:rsidR="00955762">
        <w:rPr>
          <w:rFonts w:cstheme="minorHAnsi"/>
          <w:lang w:val="en"/>
        </w:rPr>
        <w:t>first c</w:t>
      </w:r>
      <w:r w:rsidR="00CA689F">
        <w:rPr>
          <w:rFonts w:cstheme="minorHAnsi"/>
          <w:lang w:val="en"/>
        </w:rPr>
        <w:t>entury Judaism</w:t>
      </w:r>
      <w:r w:rsidR="006541E3" w:rsidRPr="009A1C81">
        <w:rPr>
          <w:rFonts w:cstheme="minorHAnsi"/>
          <w:lang w:val="en"/>
        </w:rPr>
        <w:t xml:space="preserve">. </w:t>
      </w:r>
    </w:p>
    <w:p w:rsidR="006C7054" w:rsidRPr="009A1C81" w:rsidRDefault="001B6FAF" w:rsidP="006C7054">
      <w:pPr>
        <w:rPr>
          <w:rFonts w:cstheme="minorHAnsi"/>
          <w:b/>
          <w:lang w:val="en"/>
        </w:rPr>
      </w:pPr>
      <w:r>
        <w:rPr>
          <w:rFonts w:cstheme="minorHAnsi"/>
          <w:lang w:val="en"/>
        </w:rPr>
        <w:t>The</w:t>
      </w:r>
      <w:r w:rsidR="00CE4CF2">
        <w:rPr>
          <w:rFonts w:cstheme="minorHAnsi"/>
          <w:lang w:val="en"/>
        </w:rPr>
        <w:t xml:space="preserve"> Roman historian </w:t>
      </w:r>
      <w:r w:rsidR="009A1C81" w:rsidRPr="009A1C81">
        <w:rPr>
          <w:rFonts w:cstheme="minorHAnsi"/>
          <w:lang w:val="en"/>
        </w:rPr>
        <w:t>Flavius Josephus</w:t>
      </w:r>
      <w:r w:rsidR="00955762">
        <w:rPr>
          <w:rFonts w:cstheme="minorHAnsi"/>
          <w:lang w:val="en"/>
        </w:rPr>
        <w:t xml:space="preserve"> states in his book,</w:t>
      </w:r>
      <w:r w:rsidR="006541E3" w:rsidRPr="009A1C81">
        <w:rPr>
          <w:rFonts w:cstheme="minorHAnsi"/>
          <w:lang w:val="en"/>
        </w:rPr>
        <w:t xml:space="preserve"> </w:t>
      </w:r>
      <w:r w:rsidR="006541E3" w:rsidRPr="003F2029">
        <w:rPr>
          <w:rFonts w:cstheme="minorHAnsi"/>
          <w:i/>
          <w:lang w:val="en"/>
        </w:rPr>
        <w:t>An</w:t>
      </w:r>
      <w:r w:rsidR="007513C6" w:rsidRPr="003F2029">
        <w:rPr>
          <w:rFonts w:cstheme="minorHAnsi"/>
          <w:i/>
          <w:lang w:val="en"/>
        </w:rPr>
        <w:t>tiquities of the Jews</w:t>
      </w:r>
      <w:r w:rsidR="00955762">
        <w:rPr>
          <w:rFonts w:cstheme="minorHAnsi"/>
          <w:lang w:val="en"/>
        </w:rPr>
        <w:t xml:space="preserve">, </w:t>
      </w:r>
      <w:r w:rsidR="00927F7B">
        <w:rPr>
          <w:rFonts w:cstheme="minorHAnsi"/>
          <w:lang w:val="en"/>
        </w:rPr>
        <w:t>that there is “</w:t>
      </w:r>
      <w:r w:rsidR="007513C6" w:rsidRPr="009A1C81">
        <w:rPr>
          <w:rFonts w:cstheme="minorHAnsi"/>
          <w:lang w:val="en"/>
        </w:rPr>
        <w:t xml:space="preserve">one and the same </w:t>
      </w:r>
      <w:r w:rsidR="00927F7B">
        <w:rPr>
          <w:rFonts w:cstheme="minorHAnsi"/>
          <w:lang w:val="en"/>
        </w:rPr>
        <w:t>common God with all the Hebrew”</w:t>
      </w:r>
      <w:r w:rsidR="00D57C2A">
        <w:rPr>
          <w:rFonts w:cstheme="minorHAnsi"/>
          <w:lang w:val="en"/>
        </w:rPr>
        <w:t xml:space="preserve"> (</w:t>
      </w:r>
      <w:r w:rsidR="00D57C2A" w:rsidRPr="00D57C2A">
        <w:rPr>
          <w:rFonts w:cstheme="minorHAnsi"/>
          <w:i/>
          <w:lang w:val="en"/>
        </w:rPr>
        <w:t>Ant.</w:t>
      </w:r>
      <w:r w:rsidR="00D57C2A">
        <w:rPr>
          <w:rFonts w:cstheme="minorHAnsi"/>
          <w:lang w:val="en"/>
        </w:rPr>
        <w:t xml:space="preserve"> 5 1.27) </w:t>
      </w:r>
      <w:r>
        <w:rPr>
          <w:rFonts w:cstheme="minorHAnsi"/>
          <w:lang w:val="en"/>
        </w:rPr>
        <w:t>he is referring to</w:t>
      </w:r>
      <w:r w:rsidR="00302229">
        <w:rPr>
          <w:rFonts w:cstheme="minorHAnsi"/>
          <w:lang w:val="en"/>
        </w:rPr>
        <w:t>,</w:t>
      </w:r>
      <w:r w:rsidR="007513C6" w:rsidRPr="009A1C81">
        <w:rPr>
          <w:rFonts w:cstheme="minorHAnsi"/>
          <w:lang w:val="en"/>
        </w:rPr>
        <w:t xml:space="preserve"> </w:t>
      </w:r>
      <w:r w:rsidR="007417D2" w:rsidRPr="009A1C81">
        <w:rPr>
          <w:rFonts w:cstheme="minorHAnsi"/>
          <w:lang w:val="en"/>
        </w:rPr>
        <w:t>the God of Israel, the God of Abraham</w:t>
      </w:r>
      <w:r w:rsidR="00302229">
        <w:rPr>
          <w:rFonts w:cstheme="minorHAnsi"/>
          <w:lang w:val="en"/>
        </w:rPr>
        <w:t>,</w:t>
      </w:r>
      <w:r w:rsidR="007417D2" w:rsidRPr="009A1C81">
        <w:rPr>
          <w:rFonts w:cstheme="minorHAnsi"/>
          <w:lang w:val="en"/>
        </w:rPr>
        <w:t xml:space="preserve"> </w:t>
      </w:r>
      <w:r w:rsidR="009A1C81">
        <w:rPr>
          <w:rFonts w:cstheme="minorHAnsi"/>
          <w:lang w:val="en"/>
        </w:rPr>
        <w:t>who is revealed in the</w:t>
      </w:r>
      <w:r w:rsidR="007417D2" w:rsidRPr="009A1C81">
        <w:rPr>
          <w:rFonts w:cstheme="minorHAnsi"/>
          <w:lang w:val="en"/>
        </w:rPr>
        <w:t xml:space="preserve"> Sacred text known</w:t>
      </w:r>
      <w:r w:rsidR="00134547" w:rsidRPr="009A1C81">
        <w:rPr>
          <w:rFonts w:cstheme="minorHAnsi"/>
          <w:lang w:val="en"/>
        </w:rPr>
        <w:t xml:space="preserve"> as the </w:t>
      </w:r>
      <w:proofErr w:type="spellStart"/>
      <w:r w:rsidR="00134547" w:rsidRPr="009A1C81">
        <w:rPr>
          <w:rStyle w:val="tgc"/>
          <w:rFonts w:cstheme="minorHAnsi"/>
          <w:bCs/>
          <w:color w:val="222222"/>
        </w:rPr>
        <w:t>Tanakh</w:t>
      </w:r>
      <w:proofErr w:type="spellEnd"/>
      <w:r w:rsidR="00134547" w:rsidRPr="009A1C81">
        <w:rPr>
          <w:rFonts w:cstheme="minorHAnsi"/>
          <w:lang w:val="en"/>
        </w:rPr>
        <w:t xml:space="preserve"> (T</w:t>
      </w:r>
      <w:r w:rsidR="007417D2" w:rsidRPr="009A1C81">
        <w:rPr>
          <w:rFonts w:cstheme="minorHAnsi"/>
          <w:lang w:val="en"/>
        </w:rPr>
        <w:t>he Hebrew Bible)</w:t>
      </w:r>
      <w:r w:rsidR="00134547" w:rsidRPr="009A1C81">
        <w:rPr>
          <w:rFonts w:cstheme="minorHAnsi"/>
          <w:lang w:val="en"/>
        </w:rPr>
        <w:t xml:space="preserve"> which consists of the Torah (Teachings), the Nevi`im (Prophets) and the Ketuvim (Writings)</w:t>
      </w:r>
      <w:r w:rsidR="007417D2" w:rsidRPr="009A1C81">
        <w:rPr>
          <w:rFonts w:cstheme="minorHAnsi"/>
          <w:lang w:val="en"/>
        </w:rPr>
        <w:t xml:space="preserve">. </w:t>
      </w:r>
      <w:r>
        <w:rPr>
          <w:rFonts w:cstheme="minorHAnsi"/>
          <w:lang w:val="en"/>
        </w:rPr>
        <w:t>Superficially</w:t>
      </w:r>
      <w:r w:rsidR="00134547" w:rsidRPr="009A1C81">
        <w:rPr>
          <w:rFonts w:cstheme="minorHAnsi"/>
          <w:lang w:val="en"/>
        </w:rPr>
        <w:t xml:space="preserve">, this </w:t>
      </w:r>
      <w:r w:rsidR="007417D2" w:rsidRPr="009A1C81">
        <w:rPr>
          <w:rFonts w:cstheme="minorHAnsi"/>
          <w:lang w:val="en"/>
        </w:rPr>
        <w:t>shows a religio</w:t>
      </w:r>
      <w:r w:rsidR="005127F8">
        <w:rPr>
          <w:rFonts w:cstheme="minorHAnsi"/>
          <w:lang w:val="en"/>
        </w:rPr>
        <w:t>n that is unified in its beli</w:t>
      </w:r>
      <w:r>
        <w:rPr>
          <w:rFonts w:cstheme="minorHAnsi"/>
          <w:lang w:val="en"/>
        </w:rPr>
        <w:t>ef, having the same Deity as well as</w:t>
      </w:r>
      <w:r w:rsidR="005127F8">
        <w:rPr>
          <w:rFonts w:cstheme="minorHAnsi"/>
          <w:lang w:val="en"/>
        </w:rPr>
        <w:t xml:space="preserve"> the same Sacred texts,</w:t>
      </w:r>
      <w:r w:rsidR="007417D2" w:rsidRPr="009A1C81">
        <w:rPr>
          <w:rFonts w:cstheme="minorHAnsi"/>
          <w:lang w:val="en"/>
        </w:rPr>
        <w:t xml:space="preserve"> perhaps something we can name as</w:t>
      </w:r>
      <w:r w:rsidR="005127F8">
        <w:rPr>
          <w:rFonts w:cstheme="minorHAnsi"/>
          <w:lang w:val="en"/>
        </w:rPr>
        <w:t xml:space="preserve"> a</w:t>
      </w:r>
      <w:r w:rsidR="007417D2" w:rsidRPr="009A1C81">
        <w:rPr>
          <w:rFonts w:cstheme="minorHAnsi"/>
          <w:lang w:val="en"/>
        </w:rPr>
        <w:t xml:space="preserve"> single `Judaism`. </w:t>
      </w:r>
      <w:r w:rsidR="003F2029">
        <w:rPr>
          <w:rFonts w:cstheme="minorHAnsi"/>
          <w:lang w:val="en"/>
        </w:rPr>
        <w:t>However,</w:t>
      </w:r>
      <w:r w:rsidR="00A52BEA">
        <w:rPr>
          <w:rFonts w:cstheme="minorHAnsi"/>
          <w:lang w:val="en"/>
        </w:rPr>
        <w:t xml:space="preserve"> whilst t</w:t>
      </w:r>
      <w:r>
        <w:rPr>
          <w:rFonts w:cstheme="minorHAnsi"/>
          <w:lang w:val="en"/>
        </w:rPr>
        <w:t>he Torah is universally accepted</w:t>
      </w:r>
      <w:r w:rsidR="00A52BEA">
        <w:rPr>
          <w:rFonts w:cstheme="minorHAnsi"/>
          <w:lang w:val="en"/>
        </w:rPr>
        <w:t>,</w:t>
      </w:r>
      <w:r w:rsidR="00DE215E">
        <w:rPr>
          <w:rFonts w:cstheme="minorHAnsi"/>
          <w:lang w:val="en"/>
        </w:rPr>
        <w:t xml:space="preserve"> there has</w:t>
      </w:r>
      <w:r>
        <w:rPr>
          <w:rFonts w:cstheme="minorHAnsi"/>
          <w:lang w:val="en"/>
        </w:rPr>
        <w:t xml:space="preserve"> been</w:t>
      </w:r>
      <w:r w:rsidR="00302229">
        <w:rPr>
          <w:rFonts w:cstheme="minorHAnsi"/>
          <w:lang w:val="en"/>
        </w:rPr>
        <w:t>,</w:t>
      </w:r>
      <w:r w:rsidR="00DE215E">
        <w:rPr>
          <w:rFonts w:cstheme="minorHAnsi"/>
          <w:lang w:val="en"/>
        </w:rPr>
        <w:t xml:space="preserve"> and arguably still is</w:t>
      </w:r>
      <w:r w:rsidR="00302229">
        <w:rPr>
          <w:rFonts w:cstheme="minorHAnsi"/>
          <w:lang w:val="en"/>
        </w:rPr>
        <w:t>,</w:t>
      </w:r>
      <w:r w:rsidR="00DE215E">
        <w:rPr>
          <w:rFonts w:cstheme="minorHAnsi"/>
          <w:lang w:val="en"/>
        </w:rPr>
        <w:t xml:space="preserve"> </w:t>
      </w:r>
      <w:r w:rsidR="00ED17AB">
        <w:rPr>
          <w:rFonts w:cstheme="minorHAnsi"/>
          <w:lang w:val="en"/>
        </w:rPr>
        <w:t xml:space="preserve">dispute with regards to what </w:t>
      </w:r>
      <w:r w:rsidR="003F2029">
        <w:rPr>
          <w:rFonts w:cstheme="minorHAnsi"/>
          <w:lang w:val="en"/>
        </w:rPr>
        <w:t>should</w:t>
      </w:r>
      <w:r w:rsidR="00A52BEA">
        <w:rPr>
          <w:rFonts w:cstheme="minorHAnsi"/>
          <w:lang w:val="en"/>
        </w:rPr>
        <w:t xml:space="preserve"> be</w:t>
      </w:r>
      <w:r w:rsidR="003F2029">
        <w:rPr>
          <w:rFonts w:cstheme="minorHAnsi"/>
          <w:lang w:val="en"/>
        </w:rPr>
        <w:t xml:space="preserve"> canonical</w:t>
      </w:r>
      <w:r w:rsidR="00B102EB">
        <w:rPr>
          <w:rFonts w:cstheme="minorHAnsi"/>
          <w:lang w:val="en"/>
        </w:rPr>
        <w:t xml:space="preserve"> among some </w:t>
      </w:r>
      <w:r>
        <w:rPr>
          <w:rFonts w:cstheme="minorHAnsi"/>
          <w:lang w:val="en"/>
        </w:rPr>
        <w:t>of the</w:t>
      </w:r>
      <w:r w:rsidR="008C21F2">
        <w:rPr>
          <w:rFonts w:cstheme="minorHAnsi"/>
          <w:lang w:val="en"/>
        </w:rPr>
        <w:t xml:space="preserve"> books</w:t>
      </w:r>
      <w:r w:rsidR="003F20C8">
        <w:rPr>
          <w:rFonts w:cstheme="minorHAnsi"/>
          <w:lang w:val="en"/>
        </w:rPr>
        <w:t xml:space="preserve">, this essay will be concentrating on </w:t>
      </w:r>
      <w:r w:rsidR="00A20B6B">
        <w:rPr>
          <w:rFonts w:cstheme="minorHAnsi"/>
          <w:lang w:val="en"/>
        </w:rPr>
        <w:t>belief and rituals</w:t>
      </w:r>
      <w:r w:rsidR="003F20C8">
        <w:rPr>
          <w:rFonts w:cstheme="minorHAnsi"/>
          <w:lang w:val="en"/>
        </w:rPr>
        <w:t>, rather than the legitimacy of later writings</w:t>
      </w:r>
      <w:r w:rsidR="00A52BEA">
        <w:rPr>
          <w:rFonts w:cstheme="minorHAnsi"/>
          <w:lang w:val="en"/>
        </w:rPr>
        <w:t>.</w:t>
      </w:r>
      <w:r w:rsidR="003F2029">
        <w:rPr>
          <w:rFonts w:cstheme="minorHAnsi"/>
          <w:lang w:val="en"/>
        </w:rPr>
        <w:t xml:space="preserve"> </w:t>
      </w:r>
    </w:p>
    <w:p w:rsidR="005127F8" w:rsidRDefault="003F20C8">
      <w:pPr>
        <w:rPr>
          <w:rFonts w:cstheme="minorHAnsi"/>
          <w:lang w:val="en"/>
        </w:rPr>
      </w:pPr>
      <w:r>
        <w:rPr>
          <w:rFonts w:cstheme="minorHAnsi"/>
          <w:lang w:val="en"/>
        </w:rPr>
        <w:t>Let us briefly look at what it would mean to be unified in Judaism. We can</w:t>
      </w:r>
      <w:r w:rsidR="003F2029">
        <w:rPr>
          <w:rFonts w:cstheme="minorHAnsi"/>
          <w:lang w:val="en"/>
        </w:rPr>
        <w:t xml:space="preserve"> start with what a Hebrew</w:t>
      </w:r>
      <w:r w:rsidR="00A52BEA">
        <w:rPr>
          <w:rFonts w:cstheme="minorHAnsi"/>
          <w:lang w:val="en"/>
        </w:rPr>
        <w:t xml:space="preserve"> (</w:t>
      </w:r>
      <w:r w:rsidR="000C6A7A">
        <w:rPr>
          <w:rFonts w:cstheme="minorHAnsi"/>
          <w:lang w:val="en"/>
        </w:rPr>
        <w:t>Jew</w:t>
      </w:r>
      <w:r w:rsidR="00A52BEA">
        <w:rPr>
          <w:rFonts w:cstheme="minorHAnsi"/>
          <w:lang w:val="en"/>
        </w:rPr>
        <w:t>)</w:t>
      </w:r>
      <w:r w:rsidR="003F2029">
        <w:rPr>
          <w:rFonts w:cstheme="minorHAnsi"/>
          <w:lang w:val="en"/>
        </w:rPr>
        <w:t xml:space="preserve"> would deem </w:t>
      </w:r>
      <w:r w:rsidR="00A52BEA">
        <w:rPr>
          <w:rFonts w:cstheme="minorHAnsi"/>
          <w:lang w:val="en"/>
        </w:rPr>
        <w:t>to be the start of their</w:t>
      </w:r>
      <w:r w:rsidR="00B61702">
        <w:rPr>
          <w:rFonts w:cstheme="minorHAnsi"/>
          <w:lang w:val="en"/>
        </w:rPr>
        <w:t xml:space="preserve"> history, taken from the Bible, the book of Genesis </w:t>
      </w:r>
      <w:r w:rsidR="00AF6462">
        <w:rPr>
          <w:rFonts w:cstheme="minorHAnsi"/>
          <w:lang w:val="en"/>
        </w:rPr>
        <w:t>‘</w:t>
      </w:r>
      <w:r w:rsidR="00DF0467">
        <w:rPr>
          <w:rFonts w:cstheme="minorHAnsi"/>
          <w:lang w:val="en"/>
        </w:rPr>
        <w:t>in the beginning God</w:t>
      </w:r>
      <w:r w:rsidR="00AF6462">
        <w:rPr>
          <w:rFonts w:cstheme="minorHAnsi"/>
          <w:lang w:val="en"/>
        </w:rPr>
        <w:t xml:space="preserve">…’ </w:t>
      </w:r>
      <w:r w:rsidR="00B61702">
        <w:rPr>
          <w:rFonts w:cstheme="minorHAnsi"/>
          <w:lang w:val="en"/>
        </w:rPr>
        <w:t>(Gen</w:t>
      </w:r>
      <w:r w:rsidR="00C35EF2">
        <w:rPr>
          <w:rFonts w:cstheme="minorHAnsi"/>
          <w:lang w:val="en"/>
        </w:rPr>
        <w:t>.</w:t>
      </w:r>
      <w:r w:rsidR="00B61702">
        <w:rPr>
          <w:rFonts w:cstheme="minorHAnsi"/>
          <w:lang w:val="en"/>
        </w:rPr>
        <w:t xml:space="preserve"> 1:1) </w:t>
      </w:r>
      <w:r w:rsidR="00A52BEA">
        <w:rPr>
          <w:rFonts w:cstheme="minorHAnsi"/>
          <w:lang w:val="en"/>
        </w:rPr>
        <w:t>this</w:t>
      </w:r>
      <w:r w:rsidR="00955762">
        <w:rPr>
          <w:rFonts w:cstheme="minorHAnsi"/>
          <w:lang w:val="en"/>
        </w:rPr>
        <w:t xml:space="preserve"> very first</w:t>
      </w:r>
      <w:r w:rsidR="003842F6">
        <w:rPr>
          <w:rFonts w:cstheme="minorHAnsi"/>
          <w:lang w:val="en"/>
        </w:rPr>
        <w:t xml:space="preserve"> statement in the Bible</w:t>
      </w:r>
      <w:r w:rsidR="00A52BEA">
        <w:rPr>
          <w:rFonts w:cstheme="minorHAnsi"/>
          <w:lang w:val="en"/>
        </w:rPr>
        <w:t xml:space="preserve">, </w:t>
      </w:r>
      <w:r w:rsidR="003F2029">
        <w:rPr>
          <w:rFonts w:cstheme="minorHAnsi"/>
          <w:lang w:val="en"/>
        </w:rPr>
        <w:t>from a Jewish point of view</w:t>
      </w:r>
      <w:r w:rsidR="003842F6">
        <w:rPr>
          <w:rFonts w:cstheme="minorHAnsi"/>
          <w:lang w:val="en"/>
        </w:rPr>
        <w:t>,</w:t>
      </w:r>
      <w:r w:rsidR="003F2029">
        <w:rPr>
          <w:rFonts w:cstheme="minorHAnsi"/>
          <w:lang w:val="en"/>
        </w:rPr>
        <w:t xml:space="preserve"> would be historical fact</w:t>
      </w:r>
      <w:r w:rsidR="00B56931">
        <w:rPr>
          <w:rFonts w:cstheme="minorHAnsi"/>
          <w:lang w:val="en"/>
        </w:rPr>
        <w:t>,</w:t>
      </w:r>
      <w:r w:rsidR="003F2029">
        <w:rPr>
          <w:rFonts w:cstheme="minorHAnsi"/>
          <w:lang w:val="en"/>
        </w:rPr>
        <w:t xml:space="preserve"> to be held by all the faithful</w:t>
      </w:r>
      <w:r w:rsidR="00302229">
        <w:rPr>
          <w:rFonts w:cstheme="minorHAnsi"/>
          <w:lang w:val="en"/>
        </w:rPr>
        <w:t>,</w:t>
      </w:r>
      <w:r w:rsidR="003F2029">
        <w:rPr>
          <w:rFonts w:cstheme="minorHAnsi"/>
          <w:lang w:val="en"/>
        </w:rPr>
        <w:t xml:space="preserve"> that before anything else</w:t>
      </w:r>
      <w:r w:rsidR="003842F6">
        <w:rPr>
          <w:rFonts w:cstheme="minorHAnsi"/>
          <w:lang w:val="en"/>
        </w:rPr>
        <w:t>,</w:t>
      </w:r>
      <w:r w:rsidR="003F2029">
        <w:rPr>
          <w:rFonts w:cstheme="minorHAnsi"/>
          <w:lang w:val="en"/>
        </w:rPr>
        <w:t xml:space="preserve"> there was God,</w:t>
      </w:r>
      <w:r w:rsidR="00A52BEA">
        <w:rPr>
          <w:rFonts w:cstheme="minorHAnsi"/>
          <w:lang w:val="en"/>
        </w:rPr>
        <w:t xml:space="preserve"> before time, before space, a </w:t>
      </w:r>
      <w:r w:rsidR="00A52BEA" w:rsidRPr="00A52BEA">
        <w:rPr>
          <w:rFonts w:cstheme="minorHAnsi"/>
          <w:lang w:val="en"/>
        </w:rPr>
        <w:t xml:space="preserve">transcendent </w:t>
      </w:r>
      <w:r w:rsidR="00A52BEA">
        <w:rPr>
          <w:rFonts w:cstheme="minorHAnsi"/>
          <w:lang w:val="en"/>
        </w:rPr>
        <w:t>being.</w:t>
      </w:r>
      <w:r w:rsidR="00224C22">
        <w:rPr>
          <w:rFonts w:cstheme="minorHAnsi"/>
          <w:lang w:val="en"/>
        </w:rPr>
        <w:t xml:space="preserve"> </w:t>
      </w:r>
      <w:r w:rsidR="00B56931">
        <w:rPr>
          <w:rFonts w:cstheme="minorHAnsi"/>
          <w:lang w:val="en"/>
        </w:rPr>
        <w:t>Evidence perhaps,</w:t>
      </w:r>
      <w:r w:rsidR="003F2029">
        <w:rPr>
          <w:rFonts w:cstheme="minorHAnsi"/>
          <w:lang w:val="en"/>
        </w:rPr>
        <w:t xml:space="preserve"> to back up Flavius</w:t>
      </w:r>
      <w:r w:rsidR="00A52BEA">
        <w:rPr>
          <w:rFonts w:cstheme="minorHAnsi"/>
          <w:lang w:val="en"/>
        </w:rPr>
        <w:t xml:space="preserve">`s statement </w:t>
      </w:r>
      <w:r w:rsidR="003F2029">
        <w:rPr>
          <w:rFonts w:cstheme="minorHAnsi"/>
          <w:lang w:val="en"/>
        </w:rPr>
        <w:t>above</w:t>
      </w:r>
      <w:r w:rsidR="00A52BEA">
        <w:rPr>
          <w:rFonts w:cstheme="minorHAnsi"/>
          <w:lang w:val="en"/>
        </w:rPr>
        <w:t xml:space="preserve"> that this is what unifies the Jewish people</w:t>
      </w:r>
      <w:r w:rsidR="003F2029">
        <w:rPr>
          <w:rFonts w:cstheme="minorHAnsi"/>
          <w:lang w:val="en"/>
        </w:rPr>
        <w:t xml:space="preserve">. </w:t>
      </w:r>
      <w:r w:rsidR="003842F6">
        <w:rPr>
          <w:rFonts w:cstheme="minorHAnsi"/>
          <w:lang w:val="en"/>
        </w:rPr>
        <w:t>When we research</w:t>
      </w:r>
      <w:r w:rsidR="00355514">
        <w:rPr>
          <w:rFonts w:cstheme="minorHAnsi"/>
          <w:lang w:val="en"/>
        </w:rPr>
        <w:t xml:space="preserve"> the `Unifier`</w:t>
      </w:r>
      <w:r w:rsidR="003842F6">
        <w:rPr>
          <w:rFonts w:cstheme="minorHAnsi"/>
          <w:lang w:val="en"/>
        </w:rPr>
        <w:t xml:space="preserve"> from a modern-day perspective</w:t>
      </w:r>
      <w:r w:rsidR="00ED17AB">
        <w:rPr>
          <w:rFonts w:cstheme="minorHAnsi"/>
          <w:lang w:val="en"/>
        </w:rPr>
        <w:t>, it can be quite different. I</w:t>
      </w:r>
      <w:r w:rsidR="003842F6">
        <w:rPr>
          <w:rFonts w:cstheme="minorHAnsi"/>
          <w:lang w:val="en"/>
        </w:rPr>
        <w:t>f you asked a Jew, why are you Jewish? He or She</w:t>
      </w:r>
      <w:r w:rsidR="002757A4">
        <w:rPr>
          <w:rFonts w:cstheme="minorHAnsi"/>
          <w:lang w:val="en"/>
        </w:rPr>
        <w:t xml:space="preserve">, may reply, </w:t>
      </w:r>
      <w:r w:rsidR="003842F6">
        <w:rPr>
          <w:rFonts w:cstheme="minorHAnsi"/>
          <w:lang w:val="en"/>
        </w:rPr>
        <w:t>I was born Jewish,</w:t>
      </w:r>
      <w:r w:rsidR="00355514">
        <w:rPr>
          <w:rFonts w:cstheme="minorHAnsi"/>
          <w:lang w:val="en"/>
        </w:rPr>
        <w:t xml:space="preserve"> rather than, I believe in the God of Abraham or Moses. This can show </w:t>
      </w:r>
      <w:r w:rsidR="003842F6">
        <w:rPr>
          <w:rFonts w:cstheme="minorHAnsi"/>
          <w:lang w:val="en"/>
        </w:rPr>
        <w:t>us that their identity goes beyond that of following a specific faith</w:t>
      </w:r>
      <w:r w:rsidR="002757A4">
        <w:rPr>
          <w:rFonts w:cstheme="minorHAnsi"/>
          <w:lang w:val="en"/>
        </w:rPr>
        <w:t>, that it can be argued that birth</w:t>
      </w:r>
      <w:r w:rsidR="00B56931">
        <w:rPr>
          <w:rFonts w:cstheme="minorHAnsi"/>
          <w:lang w:val="en"/>
        </w:rPr>
        <w:t xml:space="preserve"> into a Jewish family</w:t>
      </w:r>
      <w:r w:rsidR="002757A4">
        <w:rPr>
          <w:rFonts w:cstheme="minorHAnsi"/>
          <w:lang w:val="en"/>
        </w:rPr>
        <w:t>,</w:t>
      </w:r>
      <w:r w:rsidR="00355514">
        <w:rPr>
          <w:rFonts w:cstheme="minorHAnsi"/>
          <w:lang w:val="en"/>
        </w:rPr>
        <w:t xml:space="preserve"> is what unites all Jews</w:t>
      </w:r>
      <w:r w:rsidR="002757A4">
        <w:rPr>
          <w:rFonts w:cstheme="minorHAnsi"/>
          <w:lang w:val="en"/>
        </w:rPr>
        <w:t>. T</w:t>
      </w:r>
      <w:r w:rsidR="00955762">
        <w:rPr>
          <w:rFonts w:cstheme="minorHAnsi"/>
          <w:lang w:val="en"/>
        </w:rPr>
        <w:t>aken from Nicolas De Lange,</w:t>
      </w:r>
      <w:r w:rsidR="003842F6">
        <w:rPr>
          <w:rFonts w:cstheme="minorHAnsi"/>
          <w:lang w:val="en"/>
        </w:rPr>
        <w:t xml:space="preserve"> </w:t>
      </w:r>
      <w:r w:rsidR="003842F6" w:rsidRPr="00955762">
        <w:rPr>
          <w:rFonts w:cstheme="minorHAnsi"/>
          <w:i/>
          <w:lang w:val="en"/>
        </w:rPr>
        <w:t>An In</w:t>
      </w:r>
      <w:r w:rsidR="00606645" w:rsidRPr="00955762">
        <w:rPr>
          <w:rFonts w:cstheme="minorHAnsi"/>
          <w:i/>
          <w:lang w:val="en"/>
        </w:rPr>
        <w:t>troduction to Judaism</w:t>
      </w:r>
      <w:r w:rsidR="00955762">
        <w:rPr>
          <w:rFonts w:cstheme="minorHAnsi"/>
          <w:lang w:val="en"/>
        </w:rPr>
        <w:t xml:space="preserve">, </w:t>
      </w:r>
      <w:r w:rsidR="00606645">
        <w:rPr>
          <w:rFonts w:cstheme="minorHAnsi"/>
          <w:lang w:val="en"/>
        </w:rPr>
        <w:t>“</w:t>
      </w:r>
      <w:r w:rsidR="00355514">
        <w:rPr>
          <w:rFonts w:cstheme="minorHAnsi"/>
          <w:lang w:val="en"/>
        </w:rPr>
        <w:t>They practice the Jewish religion because they are Jews</w:t>
      </w:r>
      <w:r w:rsidR="00927F7B">
        <w:rPr>
          <w:rFonts w:cstheme="minorHAnsi"/>
          <w:lang w:val="en"/>
        </w:rPr>
        <w:t>, not the other way around</w:t>
      </w:r>
      <w:r w:rsidR="00606645">
        <w:rPr>
          <w:rFonts w:cstheme="minorHAnsi"/>
          <w:lang w:val="en"/>
        </w:rPr>
        <w:t>”</w:t>
      </w:r>
      <w:r w:rsidR="00927F7B">
        <w:rPr>
          <w:rFonts w:cstheme="minorHAnsi"/>
          <w:lang w:val="en"/>
        </w:rPr>
        <w:t>.</w:t>
      </w:r>
      <w:r w:rsidR="002757A4">
        <w:rPr>
          <w:rStyle w:val="FootnoteReference"/>
          <w:rFonts w:cstheme="minorHAnsi"/>
          <w:lang w:val="en"/>
        </w:rPr>
        <w:footnoteReference w:id="1"/>
      </w:r>
      <w:r w:rsidR="002757A4">
        <w:rPr>
          <w:rFonts w:cstheme="minorHAnsi"/>
          <w:lang w:val="en"/>
        </w:rPr>
        <w:t xml:space="preserve">  </w:t>
      </w:r>
    </w:p>
    <w:p w:rsidR="00727382" w:rsidRDefault="00927F7B">
      <w:pPr>
        <w:rPr>
          <w:rFonts w:cstheme="minorHAnsi"/>
          <w:lang w:val="en"/>
        </w:rPr>
      </w:pPr>
      <w:r>
        <w:rPr>
          <w:rFonts w:cstheme="minorHAnsi"/>
          <w:lang w:val="en"/>
        </w:rPr>
        <w:t>Whilst we can see an argument for a `Single Judaism` it is important</w:t>
      </w:r>
      <w:r w:rsidR="00ED17AB">
        <w:rPr>
          <w:rFonts w:cstheme="minorHAnsi"/>
          <w:lang w:val="en"/>
        </w:rPr>
        <w:t xml:space="preserve"> that</w:t>
      </w:r>
      <w:r>
        <w:rPr>
          <w:rFonts w:cstheme="minorHAnsi"/>
          <w:lang w:val="en"/>
        </w:rPr>
        <w:t xml:space="preserve"> we go back to those sour</w:t>
      </w:r>
      <w:r w:rsidR="0088526D">
        <w:rPr>
          <w:rFonts w:cstheme="minorHAnsi"/>
          <w:lang w:val="en"/>
        </w:rPr>
        <w:t>ces used and see what else they</w:t>
      </w:r>
      <w:r>
        <w:rPr>
          <w:rFonts w:cstheme="minorHAnsi"/>
          <w:lang w:val="en"/>
        </w:rPr>
        <w:t xml:space="preserve"> contribute to the argument</w:t>
      </w:r>
      <w:r w:rsidR="00F47A00">
        <w:rPr>
          <w:rFonts w:cstheme="minorHAnsi"/>
          <w:lang w:val="en"/>
        </w:rPr>
        <w:t xml:space="preserve">. Flavius mentions </w:t>
      </w:r>
      <w:r>
        <w:rPr>
          <w:rFonts w:cstheme="minorHAnsi"/>
          <w:lang w:val="en"/>
        </w:rPr>
        <w:t>specific groups within Israel, all Jewish</w:t>
      </w:r>
      <w:r w:rsidR="0088526D">
        <w:rPr>
          <w:rFonts w:cstheme="minorHAnsi"/>
          <w:lang w:val="en"/>
        </w:rPr>
        <w:t>,</w:t>
      </w:r>
      <w:r>
        <w:rPr>
          <w:rFonts w:cstheme="minorHAnsi"/>
          <w:lang w:val="en"/>
        </w:rPr>
        <w:t xml:space="preserve"> yet seemingly different</w:t>
      </w:r>
      <w:r w:rsidR="0088526D">
        <w:rPr>
          <w:rFonts w:cstheme="minorHAnsi"/>
          <w:lang w:val="en"/>
        </w:rPr>
        <w:t>. T</w:t>
      </w:r>
      <w:r w:rsidR="005535EF">
        <w:rPr>
          <w:rFonts w:cstheme="minorHAnsi"/>
          <w:lang w:val="en"/>
        </w:rPr>
        <w:t xml:space="preserve">here </w:t>
      </w:r>
      <w:r w:rsidR="00CA689F">
        <w:rPr>
          <w:rFonts w:cstheme="minorHAnsi"/>
          <w:lang w:val="en"/>
        </w:rPr>
        <w:t>are</w:t>
      </w:r>
      <w:r w:rsidR="001F4618">
        <w:rPr>
          <w:rFonts w:cstheme="minorHAnsi"/>
          <w:lang w:val="en"/>
        </w:rPr>
        <w:t xml:space="preserve"> clearly three</w:t>
      </w:r>
      <w:r w:rsidR="00F47A00">
        <w:rPr>
          <w:rFonts w:cstheme="minorHAnsi"/>
          <w:lang w:val="en"/>
        </w:rPr>
        <w:t xml:space="preserve"> defined sects within his</w:t>
      </w:r>
      <w:r w:rsidR="005535EF">
        <w:rPr>
          <w:rFonts w:cstheme="minorHAnsi"/>
          <w:lang w:val="en"/>
        </w:rPr>
        <w:t xml:space="preserve"> works, </w:t>
      </w:r>
      <w:r w:rsidR="005535EF" w:rsidRPr="00B94C05">
        <w:rPr>
          <w:rFonts w:cstheme="minorHAnsi"/>
          <w:lang w:val="en"/>
        </w:rPr>
        <w:t>th</w:t>
      </w:r>
      <w:r w:rsidR="001F4618" w:rsidRPr="00B94C05">
        <w:rPr>
          <w:rFonts w:cstheme="minorHAnsi"/>
          <w:lang w:val="en"/>
        </w:rPr>
        <w:t xml:space="preserve">e Pharisees, Sadducees and </w:t>
      </w:r>
      <w:r w:rsidR="00CB1841" w:rsidRPr="00B94C05">
        <w:rPr>
          <w:rFonts w:cstheme="minorHAnsi"/>
          <w:lang w:val="en"/>
        </w:rPr>
        <w:t>Essenes</w:t>
      </w:r>
      <w:r w:rsidR="00F47A00">
        <w:rPr>
          <w:rFonts w:cstheme="minorHAnsi"/>
          <w:lang w:val="en"/>
        </w:rPr>
        <w:t xml:space="preserve"> </w:t>
      </w:r>
      <w:r w:rsidR="00F47A00">
        <w:rPr>
          <w:lang w:val="en"/>
        </w:rPr>
        <w:t>(</w:t>
      </w:r>
      <w:r w:rsidR="00F47A00" w:rsidRPr="00753F55">
        <w:rPr>
          <w:i/>
          <w:lang w:val="en"/>
        </w:rPr>
        <w:t>Ant</w:t>
      </w:r>
      <w:r w:rsidR="00F47A00">
        <w:rPr>
          <w:lang w:val="en"/>
        </w:rPr>
        <w:t>. 13 5.9)</w:t>
      </w:r>
      <w:r w:rsidR="00CB1841">
        <w:rPr>
          <w:rFonts w:cstheme="minorHAnsi"/>
          <w:lang w:val="en"/>
        </w:rPr>
        <w:t>. There</w:t>
      </w:r>
      <w:r w:rsidR="00D20297">
        <w:rPr>
          <w:rFonts w:cstheme="minorHAnsi"/>
          <w:lang w:val="en"/>
        </w:rPr>
        <w:t xml:space="preserve"> are also mentions of </w:t>
      </w:r>
      <w:r w:rsidR="007A10BE">
        <w:rPr>
          <w:rFonts w:cstheme="minorHAnsi"/>
          <w:lang w:val="en"/>
        </w:rPr>
        <w:t xml:space="preserve">what we can call </w:t>
      </w:r>
      <w:r w:rsidR="007A10BE">
        <w:rPr>
          <w:rFonts w:cstheme="minorHAnsi"/>
        </w:rPr>
        <w:t xml:space="preserve">`The </w:t>
      </w:r>
      <w:r w:rsidR="007A10BE" w:rsidRPr="009A1C81">
        <w:rPr>
          <w:rFonts w:cstheme="minorHAnsi"/>
        </w:rPr>
        <w:t xml:space="preserve">Fourth Philosophy` </w:t>
      </w:r>
      <w:r w:rsidR="007A10BE">
        <w:rPr>
          <w:rFonts w:cstheme="minorHAnsi"/>
        </w:rPr>
        <w:t>(</w:t>
      </w:r>
      <w:r w:rsidR="007A10BE" w:rsidRPr="007A10BE">
        <w:rPr>
          <w:rFonts w:cstheme="minorHAnsi"/>
          <w:i/>
        </w:rPr>
        <w:t>Ant.</w:t>
      </w:r>
      <w:r w:rsidR="007A10BE">
        <w:rPr>
          <w:rFonts w:cstheme="minorHAnsi"/>
        </w:rPr>
        <w:t xml:space="preserve"> 18 1.6)</w:t>
      </w:r>
      <w:r w:rsidR="00ED17AB">
        <w:rPr>
          <w:rFonts w:cstheme="minorHAnsi"/>
        </w:rPr>
        <w:t>.</w:t>
      </w:r>
      <w:r w:rsidR="007A10BE">
        <w:rPr>
          <w:rFonts w:cstheme="minorHAnsi"/>
        </w:rPr>
        <w:t xml:space="preserve"> Scholars recognise this group to be </w:t>
      </w:r>
      <w:r w:rsidR="0019747C">
        <w:rPr>
          <w:rFonts w:cstheme="minorHAnsi"/>
          <w:lang w:val="en"/>
        </w:rPr>
        <w:t xml:space="preserve">the Zealots, </w:t>
      </w:r>
      <w:r w:rsidR="005535EF">
        <w:rPr>
          <w:rFonts w:cstheme="minorHAnsi"/>
          <w:lang w:val="en"/>
        </w:rPr>
        <w:t xml:space="preserve">and </w:t>
      </w:r>
      <w:r w:rsidR="00D20297">
        <w:rPr>
          <w:rFonts w:cstheme="minorHAnsi"/>
          <w:lang w:val="en"/>
        </w:rPr>
        <w:t xml:space="preserve">these Zealots </w:t>
      </w:r>
      <w:r w:rsidR="005535EF">
        <w:rPr>
          <w:rFonts w:cstheme="minorHAnsi"/>
          <w:lang w:val="en"/>
        </w:rPr>
        <w:t>played a key role at the time of the Second Temples destruction (70 CE) along with the siege of Mas</w:t>
      </w:r>
      <w:r w:rsidR="005127F8">
        <w:rPr>
          <w:rFonts w:cstheme="minorHAnsi"/>
          <w:lang w:val="en"/>
        </w:rPr>
        <w:t>ada (73-74 CE)</w:t>
      </w:r>
      <w:r w:rsidR="00D20297">
        <w:rPr>
          <w:rStyle w:val="FootnoteReference"/>
          <w:rFonts w:cstheme="minorHAnsi"/>
          <w:lang w:val="en"/>
        </w:rPr>
        <w:footnoteReference w:id="2"/>
      </w:r>
      <w:r w:rsidR="00D20297">
        <w:rPr>
          <w:rFonts w:cstheme="minorHAnsi"/>
          <w:lang w:val="en"/>
        </w:rPr>
        <w:t>. F</w:t>
      </w:r>
      <w:r w:rsidR="005127F8">
        <w:rPr>
          <w:rFonts w:cstheme="minorHAnsi"/>
          <w:lang w:val="en"/>
        </w:rPr>
        <w:t>or brevity</w:t>
      </w:r>
      <w:r w:rsidR="00ED17AB">
        <w:rPr>
          <w:rFonts w:cstheme="minorHAnsi"/>
          <w:lang w:val="en"/>
        </w:rPr>
        <w:t>,</w:t>
      </w:r>
      <w:r w:rsidR="005127F8">
        <w:rPr>
          <w:rFonts w:cstheme="minorHAnsi"/>
          <w:lang w:val="en"/>
        </w:rPr>
        <w:t xml:space="preserve"> this next </w:t>
      </w:r>
      <w:r w:rsidR="005535EF">
        <w:rPr>
          <w:rFonts w:cstheme="minorHAnsi"/>
          <w:lang w:val="en"/>
        </w:rPr>
        <w:t>sect</w:t>
      </w:r>
      <w:r w:rsidR="00AA32FA">
        <w:rPr>
          <w:rFonts w:cstheme="minorHAnsi"/>
          <w:lang w:val="en"/>
        </w:rPr>
        <w:t xml:space="preserve">ion will explore the first three mentioned </w:t>
      </w:r>
      <w:r w:rsidR="005535EF">
        <w:rPr>
          <w:rFonts w:cstheme="minorHAnsi"/>
          <w:lang w:val="en"/>
        </w:rPr>
        <w:t>and give some evidence to their existence</w:t>
      </w:r>
      <w:r w:rsidR="00727382">
        <w:rPr>
          <w:rFonts w:cstheme="minorHAnsi"/>
          <w:lang w:val="en"/>
        </w:rPr>
        <w:t xml:space="preserve">. </w:t>
      </w:r>
    </w:p>
    <w:p w:rsidR="00727382" w:rsidRDefault="00727382">
      <w:pPr>
        <w:rPr>
          <w:rFonts w:cstheme="minorHAnsi"/>
          <w:lang w:val="en"/>
        </w:rPr>
      </w:pPr>
    </w:p>
    <w:p w:rsidR="0019747C" w:rsidRDefault="0019747C">
      <w:pPr>
        <w:rPr>
          <w:rFonts w:cstheme="minorHAnsi"/>
          <w:lang w:val="en"/>
        </w:rPr>
      </w:pPr>
    </w:p>
    <w:p w:rsidR="0019747C" w:rsidRDefault="0019747C">
      <w:pPr>
        <w:rPr>
          <w:rFonts w:cstheme="minorHAnsi"/>
          <w:lang w:val="en"/>
        </w:rPr>
      </w:pPr>
    </w:p>
    <w:p w:rsidR="005535EF" w:rsidRDefault="00727382">
      <w:pPr>
        <w:rPr>
          <w:rFonts w:cstheme="minorHAnsi"/>
          <w:lang w:val="en"/>
        </w:rPr>
      </w:pPr>
      <w:r>
        <w:rPr>
          <w:rFonts w:cstheme="minorHAnsi"/>
          <w:lang w:val="en"/>
        </w:rPr>
        <w:lastRenderedPageBreak/>
        <w:t>T</w:t>
      </w:r>
      <w:r w:rsidR="005535EF">
        <w:rPr>
          <w:rFonts w:cstheme="minorHAnsi"/>
          <w:lang w:val="en"/>
        </w:rPr>
        <w:t>aken from Flavius</w:t>
      </w:r>
      <w:r w:rsidR="0088526D">
        <w:rPr>
          <w:rFonts w:cstheme="minorHAnsi"/>
          <w:lang w:val="en"/>
        </w:rPr>
        <w:t xml:space="preserve">, </w:t>
      </w:r>
      <w:r w:rsidR="0088526D" w:rsidRPr="00927F7B">
        <w:rPr>
          <w:rFonts w:cstheme="minorHAnsi"/>
          <w:i/>
          <w:lang w:val="en"/>
        </w:rPr>
        <w:t xml:space="preserve">Antiquities of the </w:t>
      </w:r>
      <w:proofErr w:type="gramStart"/>
      <w:r w:rsidR="0088526D" w:rsidRPr="00927F7B">
        <w:rPr>
          <w:rFonts w:cstheme="minorHAnsi"/>
          <w:i/>
          <w:lang w:val="en"/>
        </w:rPr>
        <w:t>Jews</w:t>
      </w:r>
      <w:r w:rsidR="005535EF">
        <w:rPr>
          <w:rFonts w:cstheme="minorHAnsi"/>
          <w:lang w:val="en"/>
        </w:rPr>
        <w:t xml:space="preserve"> ;</w:t>
      </w:r>
      <w:proofErr w:type="gramEnd"/>
    </w:p>
    <w:p w:rsidR="0088526D" w:rsidRPr="00753F55" w:rsidRDefault="0088526D">
      <w:pPr>
        <w:rPr>
          <w:lang w:val="en"/>
        </w:rPr>
      </w:pPr>
      <w:r w:rsidRPr="00D94E95">
        <w:rPr>
          <w:rFonts w:cstheme="minorHAnsi"/>
          <w:lang w:val="en"/>
        </w:rPr>
        <w:t>“</w:t>
      </w:r>
      <w:r w:rsidRPr="00D94E95">
        <w:rPr>
          <w:lang w:val="en"/>
        </w:rPr>
        <w:t xml:space="preserve">At this time there were three sects among the Jews, who had different opinions concerning human actions; the one was called the sect of the Pharisees, another the sect of the Sadducees, and the other the sect of the </w:t>
      </w:r>
      <w:proofErr w:type="spellStart"/>
      <w:proofErr w:type="gramStart"/>
      <w:r w:rsidRPr="00D94E95">
        <w:rPr>
          <w:lang w:val="en"/>
        </w:rPr>
        <w:t>Essens</w:t>
      </w:r>
      <w:proofErr w:type="spellEnd"/>
      <w:r w:rsidRPr="00D94E95">
        <w:rPr>
          <w:lang w:val="en"/>
        </w:rPr>
        <w:t>”</w:t>
      </w:r>
      <w:r w:rsidR="00EA6247">
        <w:rPr>
          <w:lang w:val="en"/>
        </w:rPr>
        <w:t>{</w:t>
      </w:r>
      <w:proofErr w:type="gramEnd"/>
      <w:r w:rsidR="00EA6247">
        <w:rPr>
          <w:lang w:val="en"/>
        </w:rPr>
        <w:t>sic}</w:t>
      </w:r>
      <w:r w:rsidR="00753F55">
        <w:rPr>
          <w:lang w:val="en"/>
        </w:rPr>
        <w:t>(</w:t>
      </w:r>
      <w:r w:rsidR="00753F55" w:rsidRPr="00753F55">
        <w:rPr>
          <w:i/>
          <w:lang w:val="en"/>
        </w:rPr>
        <w:t>Ant</w:t>
      </w:r>
      <w:r w:rsidR="00753F55">
        <w:rPr>
          <w:lang w:val="en"/>
        </w:rPr>
        <w:t>. 13 5.9)</w:t>
      </w:r>
    </w:p>
    <w:p w:rsidR="0088526D" w:rsidRDefault="0088526D">
      <w:pPr>
        <w:rPr>
          <w:lang w:val="en"/>
        </w:rPr>
      </w:pPr>
      <w:r>
        <w:rPr>
          <w:lang w:val="en"/>
        </w:rPr>
        <w:t xml:space="preserve">This quote refers to active sects </w:t>
      </w:r>
      <w:r w:rsidR="00ED17AB">
        <w:rPr>
          <w:lang w:val="en"/>
        </w:rPr>
        <w:t>in the early part of the first c</w:t>
      </w:r>
      <w:r w:rsidR="008345B5">
        <w:rPr>
          <w:lang w:val="en"/>
        </w:rPr>
        <w:t>entury</w:t>
      </w:r>
      <w:r>
        <w:rPr>
          <w:lang w:val="en"/>
        </w:rPr>
        <w:t>, therefore we can be comfortable of its accuracy in history</w:t>
      </w:r>
      <w:r w:rsidR="00873E73">
        <w:rPr>
          <w:lang w:val="en"/>
        </w:rPr>
        <w:t xml:space="preserve"> d</w:t>
      </w:r>
      <w:r w:rsidR="008345B5">
        <w:rPr>
          <w:lang w:val="en"/>
        </w:rPr>
        <w:t>ue to Flavius</w:t>
      </w:r>
      <w:r w:rsidR="00DB56A0">
        <w:rPr>
          <w:lang w:val="en"/>
        </w:rPr>
        <w:t xml:space="preserve"> being present at the time</w:t>
      </w:r>
      <w:r>
        <w:rPr>
          <w:lang w:val="en"/>
        </w:rPr>
        <w:t xml:space="preserve">. It is important that we show any differences between these groups </w:t>
      </w:r>
      <w:r w:rsidR="00873E73">
        <w:rPr>
          <w:lang w:val="en"/>
        </w:rPr>
        <w:t>to</w:t>
      </w:r>
      <w:r>
        <w:rPr>
          <w:lang w:val="en"/>
        </w:rPr>
        <w:t xml:space="preserve"> answer </w:t>
      </w:r>
      <w:r w:rsidR="00873E73">
        <w:rPr>
          <w:lang w:val="en"/>
        </w:rPr>
        <w:t>the question at hand, the next secti</w:t>
      </w:r>
      <w:r w:rsidR="00ED17AB">
        <w:rPr>
          <w:lang w:val="en"/>
        </w:rPr>
        <w:t>on will discuss any of these</w:t>
      </w:r>
      <w:r w:rsidR="00873E73">
        <w:rPr>
          <w:lang w:val="en"/>
        </w:rPr>
        <w:t>.</w:t>
      </w:r>
    </w:p>
    <w:p w:rsidR="008274F3" w:rsidRDefault="00733E5A" w:rsidP="00F02EA0">
      <w:pPr>
        <w:rPr>
          <w:lang w:val="en"/>
        </w:rPr>
      </w:pPr>
      <w:r>
        <w:rPr>
          <w:lang w:val="en"/>
        </w:rPr>
        <w:t>The Pharisees had</w:t>
      </w:r>
      <w:r w:rsidR="00DB56A0">
        <w:rPr>
          <w:lang w:val="en"/>
        </w:rPr>
        <w:t xml:space="preserve"> an emphasis on the Law </w:t>
      </w:r>
      <w:r w:rsidR="008345B5">
        <w:rPr>
          <w:lang w:val="en"/>
        </w:rPr>
        <w:t>that</w:t>
      </w:r>
      <w:r>
        <w:rPr>
          <w:lang w:val="en"/>
        </w:rPr>
        <w:t xml:space="preserve"> had been interpreted by Elders, Sages and Rabbis </w:t>
      </w:r>
      <w:r w:rsidR="00DB56A0">
        <w:rPr>
          <w:lang w:val="en"/>
        </w:rPr>
        <w:t xml:space="preserve">and </w:t>
      </w:r>
      <w:r w:rsidR="00F02EA0">
        <w:rPr>
          <w:lang w:val="en"/>
        </w:rPr>
        <w:t xml:space="preserve">promoted </w:t>
      </w:r>
      <w:r w:rsidR="00DB56A0">
        <w:rPr>
          <w:lang w:val="en"/>
        </w:rPr>
        <w:t>Temple</w:t>
      </w:r>
      <w:r w:rsidR="00F02EA0">
        <w:rPr>
          <w:lang w:val="en"/>
        </w:rPr>
        <w:t xml:space="preserve"> worship along with very stringent rules and rituals</w:t>
      </w:r>
      <w:r w:rsidR="00ED17AB">
        <w:rPr>
          <w:lang w:val="en"/>
        </w:rPr>
        <w:t xml:space="preserve">, a </w:t>
      </w:r>
      <w:r w:rsidR="000531DA">
        <w:rPr>
          <w:lang w:val="en"/>
        </w:rPr>
        <w:t>lot of which derived from tradition passed on from their forefathers</w:t>
      </w:r>
      <w:r w:rsidR="00F02EA0">
        <w:rPr>
          <w:lang w:val="en"/>
        </w:rPr>
        <w:t>.</w:t>
      </w:r>
      <w:r w:rsidR="00DB56A0">
        <w:rPr>
          <w:lang w:val="en"/>
        </w:rPr>
        <w:t xml:space="preserve"> </w:t>
      </w:r>
      <w:r w:rsidR="00F02EA0">
        <w:rPr>
          <w:lang w:val="en"/>
        </w:rPr>
        <w:t>T</w:t>
      </w:r>
      <w:r w:rsidR="008274F3">
        <w:rPr>
          <w:lang w:val="en"/>
        </w:rPr>
        <w:t>hey</w:t>
      </w:r>
      <w:r w:rsidR="00ED17AB">
        <w:rPr>
          <w:lang w:val="en"/>
        </w:rPr>
        <w:t xml:space="preserve"> would have been the largest</w:t>
      </w:r>
      <w:r w:rsidR="00DB56A0">
        <w:rPr>
          <w:lang w:val="en"/>
        </w:rPr>
        <w:t xml:space="preserve"> grou</w:t>
      </w:r>
      <w:r w:rsidR="00ED17AB">
        <w:rPr>
          <w:lang w:val="en"/>
        </w:rPr>
        <w:t>p during the early part of the first c</w:t>
      </w:r>
      <w:r w:rsidR="00DB56A0">
        <w:rPr>
          <w:lang w:val="en"/>
        </w:rPr>
        <w:t>entury, however</w:t>
      </w:r>
      <w:r w:rsidR="00ED17AB">
        <w:rPr>
          <w:lang w:val="en"/>
        </w:rPr>
        <w:t>,</w:t>
      </w:r>
      <w:r w:rsidR="00DB56A0">
        <w:rPr>
          <w:lang w:val="en"/>
        </w:rPr>
        <w:t xml:space="preserve"> not all could</w:t>
      </w:r>
      <w:r w:rsidR="001C7828">
        <w:rPr>
          <w:lang w:val="en"/>
        </w:rPr>
        <w:t xml:space="preserve"> or would get</w:t>
      </w:r>
      <w:r w:rsidR="00DB56A0">
        <w:rPr>
          <w:lang w:val="en"/>
        </w:rPr>
        <w:t xml:space="preserve"> involved in this elite</w:t>
      </w:r>
      <w:r w:rsidR="00ED17AB">
        <w:rPr>
          <w:lang w:val="en"/>
        </w:rPr>
        <w:t>,</w:t>
      </w:r>
      <w:r w:rsidR="00DB56A0">
        <w:rPr>
          <w:lang w:val="en"/>
        </w:rPr>
        <w:t xml:space="preserve"> due to its</w:t>
      </w:r>
      <w:r w:rsidR="001C7828">
        <w:rPr>
          <w:lang w:val="en"/>
        </w:rPr>
        <w:t xml:space="preserve"> high</w:t>
      </w:r>
      <w:r w:rsidR="00DB56A0">
        <w:rPr>
          <w:lang w:val="en"/>
        </w:rPr>
        <w:t xml:space="preserve"> demand </w:t>
      </w:r>
      <w:r w:rsidR="001C7828">
        <w:rPr>
          <w:lang w:val="en"/>
        </w:rPr>
        <w:t>for education, prayer, fasting rules amongst a host of festivals and other Holy days to be observed</w:t>
      </w:r>
      <w:r w:rsidR="008274F3">
        <w:rPr>
          <w:lang w:val="en"/>
        </w:rPr>
        <w:t xml:space="preserve"> that were not all taken from the Torah (Law of Moses)</w:t>
      </w:r>
      <w:r w:rsidR="00ED17AB">
        <w:rPr>
          <w:lang w:val="en"/>
        </w:rPr>
        <w:t>. Notably</w:t>
      </w:r>
      <w:r>
        <w:rPr>
          <w:lang w:val="en"/>
        </w:rPr>
        <w:t>,</w:t>
      </w:r>
      <w:r w:rsidR="001C7828">
        <w:rPr>
          <w:lang w:val="en"/>
        </w:rPr>
        <w:t xml:space="preserve"> they were well respected by most of</w:t>
      </w:r>
      <w:r w:rsidR="00DB56A0">
        <w:rPr>
          <w:lang w:val="en"/>
        </w:rPr>
        <w:t xml:space="preserve"> the Jewish community in Israel</w:t>
      </w:r>
      <w:r w:rsidR="000531DA">
        <w:rPr>
          <w:lang w:val="en"/>
        </w:rPr>
        <w:t xml:space="preserve">, </w:t>
      </w:r>
      <w:r w:rsidR="00ED17AB">
        <w:rPr>
          <w:lang w:val="en"/>
        </w:rPr>
        <w:t xml:space="preserve">a claim that Flavius highlights in the </w:t>
      </w:r>
      <w:r w:rsidR="00955B40">
        <w:rPr>
          <w:lang w:val="en"/>
        </w:rPr>
        <w:t>following quote:</w:t>
      </w:r>
    </w:p>
    <w:p w:rsidR="008274F3" w:rsidRPr="00AA32FA" w:rsidRDefault="008274F3" w:rsidP="00F02EA0">
      <w:pPr>
        <w:rPr>
          <w:sz w:val="20"/>
          <w:szCs w:val="20"/>
          <w:lang w:val="en"/>
        </w:rPr>
      </w:pPr>
      <w:r w:rsidRPr="00AA32FA">
        <w:rPr>
          <w:sz w:val="20"/>
          <w:szCs w:val="20"/>
          <w:lang w:val="en"/>
        </w:rPr>
        <w:t>“…the Pharisees have delivered to the people a great many observances by succession from their fathers, which are not written in the laws of Moses; and for that reason, it is that the Sadducees reject them, and say that we are to esteem those observances to be obligatory which are in the written word, but are not to observe what are derived from the tradition of our forefathers. And concerning these things it is that great disputes and differences have arisen among them, while the Sadducees are able to persuade none but the rich, and have not the populace obsequious to them, but the Pharisees have the multitude on their side.”</w:t>
      </w:r>
      <w:r w:rsidR="00753F55">
        <w:rPr>
          <w:sz w:val="20"/>
          <w:szCs w:val="20"/>
          <w:lang w:val="en"/>
        </w:rPr>
        <w:t xml:space="preserve"> (Ant. 13 10.6)</w:t>
      </w:r>
    </w:p>
    <w:p w:rsidR="006C4949" w:rsidRDefault="00DB56A0" w:rsidP="00F02EA0">
      <w:pPr>
        <w:rPr>
          <w:lang w:val="en"/>
        </w:rPr>
      </w:pPr>
      <w:r>
        <w:rPr>
          <w:lang w:val="en"/>
        </w:rPr>
        <w:t>A</w:t>
      </w:r>
      <w:r w:rsidR="008274F3">
        <w:rPr>
          <w:lang w:val="en"/>
        </w:rPr>
        <w:t>s we also see above from Flavius</w:t>
      </w:r>
      <w:r w:rsidR="00792D73">
        <w:rPr>
          <w:lang w:val="en"/>
        </w:rPr>
        <w:t xml:space="preserve"> there </w:t>
      </w:r>
      <w:r w:rsidR="008274F3">
        <w:rPr>
          <w:lang w:val="en"/>
        </w:rPr>
        <w:t>is a clear separation</w:t>
      </w:r>
      <w:r w:rsidR="002E7F5A">
        <w:rPr>
          <w:lang w:val="en"/>
        </w:rPr>
        <w:t xml:space="preserve"> in</w:t>
      </w:r>
      <w:r w:rsidR="00BC32D8">
        <w:rPr>
          <w:lang w:val="en"/>
        </w:rPr>
        <w:t xml:space="preserve"> </w:t>
      </w:r>
      <w:r w:rsidR="008274F3">
        <w:rPr>
          <w:lang w:val="en"/>
        </w:rPr>
        <w:t xml:space="preserve">practices, showing the </w:t>
      </w:r>
      <w:r w:rsidR="00792D73">
        <w:rPr>
          <w:lang w:val="en"/>
        </w:rPr>
        <w:t>Sadducees</w:t>
      </w:r>
      <w:r w:rsidR="008274F3">
        <w:rPr>
          <w:lang w:val="en"/>
        </w:rPr>
        <w:t xml:space="preserve"> reject</w:t>
      </w:r>
      <w:r w:rsidR="00792D73">
        <w:rPr>
          <w:lang w:val="en"/>
        </w:rPr>
        <w:t xml:space="preserve">ing </w:t>
      </w:r>
      <w:r w:rsidR="008274F3">
        <w:rPr>
          <w:lang w:val="en"/>
        </w:rPr>
        <w:t xml:space="preserve">passed down tradition that is not backed up in the Torah. Furthermore, a more </w:t>
      </w:r>
      <w:r>
        <w:rPr>
          <w:lang w:val="en"/>
        </w:rPr>
        <w:t>funda</w:t>
      </w:r>
      <w:r w:rsidR="008274F3">
        <w:rPr>
          <w:lang w:val="en"/>
        </w:rPr>
        <w:t xml:space="preserve">mental distinction, arguably the most, is </w:t>
      </w:r>
      <w:r w:rsidR="00C2749C">
        <w:rPr>
          <w:lang w:val="en"/>
        </w:rPr>
        <w:t>that the Pharisees</w:t>
      </w:r>
      <w:r w:rsidR="00DE7AF9">
        <w:rPr>
          <w:lang w:val="en"/>
        </w:rPr>
        <w:t xml:space="preserve"> believed in a resurrection</w:t>
      </w:r>
      <w:r>
        <w:rPr>
          <w:lang w:val="en"/>
        </w:rPr>
        <w:t xml:space="preserve">, a life to come, </w:t>
      </w:r>
      <w:r w:rsidR="00955B40">
        <w:rPr>
          <w:lang w:val="en"/>
        </w:rPr>
        <w:t>conceivably a</w:t>
      </w:r>
      <w:r w:rsidR="00DE7AF9">
        <w:rPr>
          <w:lang w:val="en"/>
        </w:rPr>
        <w:t xml:space="preserve"> tradition passed down from Persian influence</w:t>
      </w:r>
      <w:r w:rsidR="00F06A07">
        <w:rPr>
          <w:lang w:val="en"/>
        </w:rPr>
        <w:t xml:space="preserve"> and religiosity (Zoroastrianism)</w:t>
      </w:r>
      <w:r w:rsidR="00D7380C">
        <w:rPr>
          <w:lang w:val="en"/>
        </w:rPr>
        <w:t xml:space="preserve">, brought initially </w:t>
      </w:r>
      <w:r w:rsidR="00DE7AF9">
        <w:rPr>
          <w:lang w:val="en"/>
        </w:rPr>
        <w:t xml:space="preserve">when Cyrus the Great </w:t>
      </w:r>
      <w:r w:rsidR="002E7F5A">
        <w:rPr>
          <w:lang w:val="en"/>
        </w:rPr>
        <w:t xml:space="preserve">defeated the Babylonians in 538 BCE, </w:t>
      </w:r>
      <w:r w:rsidR="00DE7AF9">
        <w:rPr>
          <w:lang w:val="en"/>
        </w:rPr>
        <w:t>allowing the Jews to come back and worship once again in their home land</w:t>
      </w:r>
      <w:r w:rsidR="002E7F5A">
        <w:rPr>
          <w:lang w:val="en"/>
        </w:rPr>
        <w:t xml:space="preserve"> in 539 BCE.</w:t>
      </w:r>
      <w:r w:rsidR="00F06A07">
        <w:rPr>
          <w:lang w:val="en"/>
        </w:rPr>
        <w:t xml:space="preserve"> </w:t>
      </w:r>
      <w:r w:rsidR="007D5055">
        <w:rPr>
          <w:lang w:val="en"/>
        </w:rPr>
        <w:t>Also,</w:t>
      </w:r>
      <w:r w:rsidR="00F06A07">
        <w:rPr>
          <w:lang w:val="en"/>
        </w:rPr>
        <w:t xml:space="preserve"> </w:t>
      </w:r>
      <w:r w:rsidR="00D7380C">
        <w:rPr>
          <w:lang w:val="en"/>
        </w:rPr>
        <w:t xml:space="preserve">he is </w:t>
      </w:r>
      <w:r w:rsidR="00F06A07">
        <w:rPr>
          <w:lang w:val="en"/>
        </w:rPr>
        <w:t xml:space="preserve">seen in the Bible as the King who through </w:t>
      </w:r>
      <w:r w:rsidR="00D7380C">
        <w:rPr>
          <w:lang w:val="en"/>
        </w:rPr>
        <w:t xml:space="preserve">a revelation from </w:t>
      </w:r>
      <w:r w:rsidR="00F06A07">
        <w:rPr>
          <w:lang w:val="en"/>
        </w:rPr>
        <w:t>God commanded the construction of the 2</w:t>
      </w:r>
      <w:r w:rsidR="00D7380C" w:rsidRPr="00F06A07">
        <w:rPr>
          <w:vertAlign w:val="superscript"/>
          <w:lang w:val="en"/>
        </w:rPr>
        <w:t>nd</w:t>
      </w:r>
      <w:r w:rsidR="00D7380C">
        <w:rPr>
          <w:lang w:val="en"/>
        </w:rPr>
        <w:t xml:space="preserve"> Temple (2Chr. 36:23</w:t>
      </w:r>
      <w:r w:rsidR="006C3463">
        <w:rPr>
          <w:lang w:val="en"/>
        </w:rPr>
        <w:t>). In</w:t>
      </w:r>
      <w:r w:rsidR="00955B40">
        <w:rPr>
          <w:lang w:val="en"/>
        </w:rPr>
        <w:t xml:space="preserve"> John Waterhouse`s book,</w:t>
      </w:r>
      <w:r w:rsidR="007D5055">
        <w:rPr>
          <w:lang w:val="en"/>
        </w:rPr>
        <w:t xml:space="preserve"> </w:t>
      </w:r>
      <w:r w:rsidR="007D5055" w:rsidRPr="00955B40">
        <w:rPr>
          <w:i/>
          <w:lang w:val="en"/>
        </w:rPr>
        <w:t>Zoroastrianism</w:t>
      </w:r>
      <w:r w:rsidR="00955B40">
        <w:rPr>
          <w:lang w:val="en"/>
        </w:rPr>
        <w:t xml:space="preserve">, </w:t>
      </w:r>
      <w:r w:rsidR="007D5055">
        <w:rPr>
          <w:lang w:val="en"/>
        </w:rPr>
        <w:t>we see a compel</w:t>
      </w:r>
      <w:r w:rsidR="00955B40">
        <w:rPr>
          <w:lang w:val="en"/>
        </w:rPr>
        <w:t>ling argument of the</w:t>
      </w:r>
      <w:r w:rsidR="00336835">
        <w:rPr>
          <w:lang w:val="en"/>
        </w:rPr>
        <w:t xml:space="preserve"> idea that the Persians</w:t>
      </w:r>
      <w:r w:rsidR="00955B40">
        <w:rPr>
          <w:lang w:val="en"/>
        </w:rPr>
        <w:t xml:space="preserve"> had a huge impact upon</w:t>
      </w:r>
      <w:r w:rsidR="007D5055">
        <w:rPr>
          <w:lang w:val="en"/>
        </w:rPr>
        <w:t xml:space="preserve"> Jewish theology of life after death, with mention of </w:t>
      </w:r>
      <w:r w:rsidR="00955B40">
        <w:rPr>
          <w:lang w:val="en"/>
        </w:rPr>
        <w:t xml:space="preserve">a </w:t>
      </w:r>
      <w:r w:rsidR="007D5055">
        <w:rPr>
          <w:lang w:val="en"/>
        </w:rPr>
        <w:t>resurrection</w:t>
      </w:r>
      <w:r w:rsidR="007D5055">
        <w:rPr>
          <w:rStyle w:val="FootnoteReference"/>
          <w:lang w:val="en"/>
        </w:rPr>
        <w:footnoteReference w:id="3"/>
      </w:r>
      <w:r w:rsidR="006C3463">
        <w:rPr>
          <w:lang w:val="en"/>
        </w:rPr>
        <w:t xml:space="preserve">. </w:t>
      </w:r>
    </w:p>
    <w:p w:rsidR="00BC198B" w:rsidRDefault="006C3463" w:rsidP="00F02EA0">
      <w:pPr>
        <w:rPr>
          <w:lang w:val="en"/>
        </w:rPr>
      </w:pPr>
      <w:r>
        <w:rPr>
          <w:lang w:val="en"/>
        </w:rPr>
        <w:t>The Sadducees</w:t>
      </w:r>
      <w:r w:rsidR="00CA689F">
        <w:rPr>
          <w:lang w:val="en"/>
        </w:rPr>
        <w:t>, on the other hand,</w:t>
      </w:r>
      <w:r>
        <w:rPr>
          <w:lang w:val="en"/>
        </w:rPr>
        <w:t xml:space="preserve"> rejected this idea, as we see implic</w:t>
      </w:r>
      <w:r w:rsidR="00955B40">
        <w:rPr>
          <w:lang w:val="en"/>
        </w:rPr>
        <w:t>ation of from the New Testament:</w:t>
      </w:r>
      <w:r>
        <w:rPr>
          <w:lang w:val="en"/>
        </w:rPr>
        <w:t xml:space="preserve"> “The same day some Sadducees came to him saying there is no resurrection…” (Mt. 22:23). We also see an argument break out between the two group</w:t>
      </w:r>
      <w:r w:rsidR="005127F8">
        <w:rPr>
          <w:lang w:val="en"/>
        </w:rPr>
        <w:t>s</w:t>
      </w:r>
      <w:r>
        <w:rPr>
          <w:lang w:val="en"/>
        </w:rPr>
        <w:t xml:space="preserve"> on this very subject in the book </w:t>
      </w:r>
      <w:r w:rsidR="00FF0717">
        <w:rPr>
          <w:lang w:val="en"/>
        </w:rPr>
        <w:t xml:space="preserve">of </w:t>
      </w:r>
      <w:r w:rsidR="00955B40">
        <w:rPr>
          <w:lang w:val="en"/>
        </w:rPr>
        <w:t>Acts:</w:t>
      </w:r>
      <w:r>
        <w:rPr>
          <w:lang w:val="en"/>
        </w:rPr>
        <w:t xml:space="preserve"> “…a dissension</w:t>
      </w:r>
      <w:r w:rsidR="006C4949">
        <w:rPr>
          <w:lang w:val="en"/>
        </w:rPr>
        <w:t xml:space="preserve"> began between the Pharisees and Sadducees, and the assembly was divided. (The Sadducees say there is no resurrection, or angel or spirit; but the Pharisees acknowledge all three.</w:t>
      </w:r>
      <w:r w:rsidR="00CB7CC6">
        <w:rPr>
          <w:lang w:val="en"/>
        </w:rPr>
        <w:t xml:space="preserve">)” (Acts. 23:7-23:8) </w:t>
      </w:r>
    </w:p>
    <w:p w:rsidR="00C02029" w:rsidRDefault="00C02029" w:rsidP="00F02EA0">
      <w:pPr>
        <w:rPr>
          <w:lang w:val="en"/>
        </w:rPr>
      </w:pPr>
    </w:p>
    <w:p w:rsidR="00C02029" w:rsidRDefault="00C02029" w:rsidP="00F02EA0">
      <w:pPr>
        <w:rPr>
          <w:lang w:val="en"/>
        </w:rPr>
      </w:pPr>
    </w:p>
    <w:p w:rsidR="00C02029" w:rsidRDefault="00C02029" w:rsidP="00F02EA0">
      <w:pPr>
        <w:rPr>
          <w:lang w:val="en"/>
        </w:rPr>
      </w:pPr>
    </w:p>
    <w:p w:rsidR="00CA689F" w:rsidRDefault="001E775F" w:rsidP="00F02EA0">
      <w:pPr>
        <w:rPr>
          <w:lang w:val="en"/>
        </w:rPr>
      </w:pPr>
      <w:r>
        <w:rPr>
          <w:lang w:val="en"/>
        </w:rPr>
        <w:t>This now brin</w:t>
      </w:r>
      <w:r w:rsidR="00955B40">
        <w:rPr>
          <w:lang w:val="en"/>
        </w:rPr>
        <w:t xml:space="preserve">gs us to our final example, that of the </w:t>
      </w:r>
      <w:r>
        <w:rPr>
          <w:lang w:val="en"/>
        </w:rPr>
        <w:t>Essenes,</w:t>
      </w:r>
      <w:r w:rsidR="00955B40">
        <w:rPr>
          <w:lang w:val="en"/>
        </w:rPr>
        <w:t xml:space="preserve"> but</w:t>
      </w:r>
      <w:r>
        <w:rPr>
          <w:lang w:val="en"/>
        </w:rPr>
        <w:t xml:space="preserve"> for this sect we c</w:t>
      </w:r>
      <w:r w:rsidR="00955B40">
        <w:rPr>
          <w:lang w:val="en"/>
        </w:rPr>
        <w:t>annot offer any biblical evidence</w:t>
      </w:r>
      <w:r w:rsidR="00606645">
        <w:rPr>
          <w:lang w:val="en"/>
        </w:rPr>
        <w:t xml:space="preserve"> </w:t>
      </w:r>
      <w:r w:rsidR="00955B40">
        <w:rPr>
          <w:lang w:val="en"/>
        </w:rPr>
        <w:t>of</w:t>
      </w:r>
      <w:r>
        <w:rPr>
          <w:lang w:val="en"/>
        </w:rPr>
        <w:t xml:space="preserve"> their existence</w:t>
      </w:r>
      <w:r w:rsidR="00FB072A">
        <w:rPr>
          <w:lang w:val="en"/>
        </w:rPr>
        <w:t xml:space="preserve"> as there simply is not</w:t>
      </w:r>
      <w:r>
        <w:rPr>
          <w:lang w:val="en"/>
        </w:rPr>
        <w:t xml:space="preserve"> any to explore. There are however, three </w:t>
      </w:r>
      <w:r w:rsidR="00955762">
        <w:rPr>
          <w:lang w:val="en"/>
        </w:rPr>
        <w:t xml:space="preserve">first </w:t>
      </w:r>
      <w:r>
        <w:rPr>
          <w:lang w:val="en"/>
        </w:rPr>
        <w:t>century accounts,</w:t>
      </w:r>
      <w:r w:rsidR="00197DB7">
        <w:rPr>
          <w:lang w:val="en"/>
        </w:rPr>
        <w:t xml:space="preserve"> </w:t>
      </w:r>
      <w:r w:rsidR="00955B40">
        <w:rPr>
          <w:lang w:val="en"/>
        </w:rPr>
        <w:t>two of which are Jewish</w:t>
      </w:r>
      <w:r w:rsidR="00197DB7">
        <w:rPr>
          <w:lang w:val="en"/>
        </w:rPr>
        <w:t>,</w:t>
      </w:r>
      <w:r w:rsidR="00955B40">
        <w:rPr>
          <w:lang w:val="en"/>
        </w:rPr>
        <w:t xml:space="preserve"> these are</w:t>
      </w:r>
      <w:r w:rsidR="00197DB7">
        <w:rPr>
          <w:lang w:val="en"/>
        </w:rPr>
        <w:t xml:space="preserve"> Flavius Josephus and</w:t>
      </w:r>
      <w:r>
        <w:rPr>
          <w:lang w:val="en"/>
        </w:rPr>
        <w:t xml:space="preserve"> </w:t>
      </w:r>
      <w:r w:rsidR="00197DB7">
        <w:rPr>
          <w:lang w:val="en"/>
        </w:rPr>
        <w:t>Philo of Alexandria and a third account recorded by Pliny the Elder. Thes</w:t>
      </w:r>
      <w:r w:rsidR="00955B40">
        <w:rPr>
          <w:lang w:val="en"/>
        </w:rPr>
        <w:t>e examples</w:t>
      </w:r>
      <w:r w:rsidR="00197DB7">
        <w:rPr>
          <w:lang w:val="en"/>
        </w:rPr>
        <w:t xml:space="preserve"> are the only </w:t>
      </w:r>
      <w:r w:rsidR="00CA4779">
        <w:rPr>
          <w:lang w:val="en"/>
        </w:rPr>
        <w:t xml:space="preserve">primary </w:t>
      </w:r>
      <w:r w:rsidR="00197DB7">
        <w:rPr>
          <w:lang w:val="en"/>
        </w:rPr>
        <w:t>accounts of the Essenes until</w:t>
      </w:r>
      <w:r w:rsidR="00CA4779">
        <w:rPr>
          <w:lang w:val="en"/>
        </w:rPr>
        <w:t xml:space="preserve"> </w:t>
      </w:r>
      <w:r w:rsidR="00955B40">
        <w:rPr>
          <w:lang w:val="en"/>
        </w:rPr>
        <w:t>1947, when</w:t>
      </w:r>
      <w:r w:rsidR="00C02029">
        <w:rPr>
          <w:lang w:val="en"/>
        </w:rPr>
        <w:t xml:space="preserve"> </w:t>
      </w:r>
      <w:r w:rsidR="00197DB7">
        <w:rPr>
          <w:lang w:val="en"/>
        </w:rPr>
        <w:t>the discovery of the Dead Sea Scrolls was uncovered, leading to new insight</w:t>
      </w:r>
      <w:r w:rsidR="00642B4D">
        <w:rPr>
          <w:lang w:val="en"/>
        </w:rPr>
        <w:t xml:space="preserve"> on the community.</w:t>
      </w:r>
      <w:r w:rsidR="00642B4D">
        <w:rPr>
          <w:rStyle w:val="FootnoteReference"/>
          <w:lang w:val="en"/>
        </w:rPr>
        <w:footnoteReference w:id="4"/>
      </w:r>
      <w:r w:rsidR="00642B4D">
        <w:rPr>
          <w:lang w:val="en"/>
        </w:rPr>
        <w:t xml:space="preserve"> T</w:t>
      </w:r>
      <w:r w:rsidR="00197DB7">
        <w:rPr>
          <w:lang w:val="en"/>
        </w:rPr>
        <w:t xml:space="preserve">his penultimate section of the essay will show some key </w:t>
      </w:r>
      <w:r w:rsidR="00642B4D">
        <w:rPr>
          <w:lang w:val="en"/>
        </w:rPr>
        <w:t>differences, comparable to the Sadducees and Pharisees.</w:t>
      </w:r>
      <w:r w:rsidR="00197DB7">
        <w:rPr>
          <w:lang w:val="en"/>
        </w:rPr>
        <w:t xml:space="preserve"> </w:t>
      </w:r>
      <w:r w:rsidR="00642B4D">
        <w:rPr>
          <w:lang w:val="en"/>
        </w:rPr>
        <w:t xml:space="preserve"> </w:t>
      </w:r>
      <w:r w:rsidR="00CA4779">
        <w:rPr>
          <w:lang w:val="en"/>
        </w:rPr>
        <w:t xml:space="preserve"> </w:t>
      </w:r>
    </w:p>
    <w:p w:rsidR="00872CBD" w:rsidRPr="00456B44" w:rsidRDefault="00642B4D" w:rsidP="00F02EA0">
      <w:r>
        <w:rPr>
          <w:lang w:val="en"/>
        </w:rPr>
        <w:t>Starting with Flavius, we can see a similarity between the Pharisees and Essenes when it comes to a doctrine of the eter</w:t>
      </w:r>
      <w:r w:rsidR="00CA4779">
        <w:rPr>
          <w:lang w:val="en"/>
        </w:rPr>
        <w:t>nal soul</w:t>
      </w:r>
      <w:r w:rsidR="00D57C2A">
        <w:rPr>
          <w:lang w:val="en"/>
        </w:rPr>
        <w:t xml:space="preserve">, </w:t>
      </w:r>
      <w:r w:rsidR="00CA4779">
        <w:rPr>
          <w:i/>
          <w:lang w:val="en"/>
        </w:rPr>
        <w:t>“</w:t>
      </w:r>
      <w:r w:rsidR="00CA4779">
        <w:rPr>
          <w:lang w:val="en"/>
        </w:rPr>
        <w:t xml:space="preserve">The doctrine of the </w:t>
      </w:r>
      <w:proofErr w:type="spellStart"/>
      <w:r w:rsidR="00CA4779">
        <w:rPr>
          <w:lang w:val="en"/>
        </w:rPr>
        <w:t>Essens</w:t>
      </w:r>
      <w:proofErr w:type="spellEnd"/>
      <w:r w:rsidR="00CA4779">
        <w:rPr>
          <w:lang w:val="en"/>
        </w:rPr>
        <w:t xml:space="preserve"> is this: That all things are best ascribed to God. They teach the immortality of souls…”</w:t>
      </w:r>
      <w:r w:rsidR="00753F55">
        <w:rPr>
          <w:lang w:val="en"/>
        </w:rPr>
        <w:t>{sic}</w:t>
      </w:r>
      <w:r w:rsidR="00D57C2A">
        <w:rPr>
          <w:lang w:val="en"/>
        </w:rPr>
        <w:t xml:space="preserve"> (</w:t>
      </w:r>
      <w:r w:rsidR="00D57C2A" w:rsidRPr="00D57C2A">
        <w:rPr>
          <w:i/>
          <w:lang w:val="en"/>
        </w:rPr>
        <w:t>Ant.</w:t>
      </w:r>
      <w:r w:rsidR="00D57C2A">
        <w:rPr>
          <w:lang w:val="en"/>
        </w:rPr>
        <w:t xml:space="preserve"> 18 1.5)</w:t>
      </w:r>
      <w:r w:rsidR="00727DE6">
        <w:rPr>
          <w:lang w:val="en"/>
        </w:rPr>
        <w:t xml:space="preserve"> Now it must be said that this is only </w:t>
      </w:r>
      <w:r w:rsidR="00872CBD">
        <w:rPr>
          <w:lang w:val="en"/>
        </w:rPr>
        <w:t>like</w:t>
      </w:r>
      <w:r w:rsidR="00727DE6">
        <w:rPr>
          <w:lang w:val="en"/>
        </w:rPr>
        <w:t xml:space="preserve"> the Pharisaic movement in the sense that they also believe in surviving after death,</w:t>
      </w:r>
      <w:r w:rsidR="00955B40">
        <w:rPr>
          <w:lang w:val="en"/>
        </w:rPr>
        <w:t xml:space="preserve"> but</w:t>
      </w:r>
      <w:r w:rsidR="00727DE6">
        <w:rPr>
          <w:lang w:val="en"/>
        </w:rPr>
        <w:t xml:space="preserve"> it is quite unlikely that the Pharisees</w:t>
      </w:r>
      <w:r w:rsidR="001D3D7D">
        <w:rPr>
          <w:lang w:val="en"/>
        </w:rPr>
        <w:t xml:space="preserve"> had any mention of an immortal soul, DR </w:t>
      </w:r>
      <w:r w:rsidR="001D3D7D">
        <w:t xml:space="preserve">Kaufmann Kohler </w:t>
      </w:r>
      <w:r w:rsidR="00872CBD">
        <w:rPr>
          <w:lang w:val="en"/>
        </w:rPr>
        <w:t xml:space="preserve">(May 10, 1843 – January 28, 1926) </w:t>
      </w:r>
      <w:r w:rsidR="001D3D7D">
        <w:t>a German born U.S reform Rabbi</w:t>
      </w:r>
      <w:r w:rsidR="00872CBD">
        <w:t xml:space="preserve"> and Theologian </w:t>
      </w:r>
      <w:r w:rsidR="00872CBD">
        <w:rPr>
          <w:rStyle w:val="FootnoteReference"/>
        </w:rPr>
        <w:footnoteReference w:id="5"/>
      </w:r>
      <w:r w:rsidR="00872CBD">
        <w:t xml:space="preserve"> has some of his writings</w:t>
      </w:r>
      <w:r w:rsidR="001D3D7D">
        <w:t xml:space="preserve"> in </w:t>
      </w:r>
      <w:r w:rsidR="001D3D7D" w:rsidRPr="00872CBD">
        <w:t>The Jewish Encyclopaedia</w:t>
      </w:r>
      <w:r w:rsidR="00872CBD">
        <w:t xml:space="preserve">, an article entitled </w:t>
      </w:r>
      <w:r w:rsidR="00872CBD" w:rsidRPr="00872CBD">
        <w:rPr>
          <w:i/>
        </w:rPr>
        <w:t>The Immortality of the Soul</w:t>
      </w:r>
      <w:r w:rsidR="00872CBD">
        <w:rPr>
          <w:i/>
        </w:rPr>
        <w:t xml:space="preserve">, </w:t>
      </w:r>
      <w:r w:rsidR="00955B40">
        <w:t>wherein he says:</w:t>
      </w:r>
      <w:r w:rsidR="00D94E95">
        <w:t xml:space="preserve"> </w:t>
      </w:r>
      <w:r w:rsidR="00872CBD" w:rsidRPr="00D94E95">
        <w:t>“Certain it is that the Pharisaic belief in resurrection had not even a name for the immortality of the soul. For them, man was made for two worlds, the world that now is, and the world to come, where life does not end in death”</w:t>
      </w:r>
      <w:r w:rsidR="00872CBD" w:rsidRPr="00D94E95">
        <w:rPr>
          <w:rStyle w:val="FootnoteReference"/>
        </w:rPr>
        <w:footnoteReference w:id="6"/>
      </w:r>
      <w:r w:rsidR="00D94E95">
        <w:t xml:space="preserve"> </w:t>
      </w:r>
      <w:r w:rsidR="000E015A">
        <w:t xml:space="preserve">When it comes to </w:t>
      </w:r>
      <w:r w:rsidR="00456B44">
        <w:t>the Sadducees and their doctrine, they declare that: “souls die with the bodies” (</w:t>
      </w:r>
      <w:r w:rsidR="00456B44" w:rsidRPr="00456B44">
        <w:rPr>
          <w:i/>
        </w:rPr>
        <w:t>Ant.</w:t>
      </w:r>
      <w:r w:rsidR="00456B44">
        <w:t xml:space="preserve"> 18. 1.5).</w:t>
      </w:r>
    </w:p>
    <w:p w:rsidR="007E5D82" w:rsidRDefault="0036133C" w:rsidP="00F02EA0">
      <w:r>
        <w:t>Arguably</w:t>
      </w:r>
      <w:r w:rsidR="00503560">
        <w:t>,</w:t>
      </w:r>
      <w:r>
        <w:t xml:space="preserve"> what Scholars may deem to be the most </w:t>
      </w:r>
      <w:r w:rsidR="00955B40">
        <w:t>divisive</w:t>
      </w:r>
      <w:r w:rsidR="00F83C04">
        <w:t xml:space="preserve"> aspect of this sect in comparison to the Pharisees and Sa</w:t>
      </w:r>
      <w:r w:rsidR="00955B40">
        <w:t>dducees were their strict puritanical</w:t>
      </w:r>
      <w:r w:rsidR="00F83C04">
        <w:t xml:space="preserve"> rules,</w:t>
      </w:r>
      <w:r w:rsidR="00C2494B">
        <w:t xml:space="preserve"> their</w:t>
      </w:r>
      <w:r w:rsidR="00F83C04">
        <w:t xml:space="preserve"> denial of earthly pleasures</w:t>
      </w:r>
      <w:r w:rsidR="00A97E18">
        <w:t xml:space="preserve"> </w:t>
      </w:r>
      <w:r w:rsidR="00F83C04">
        <w:t xml:space="preserve">and </w:t>
      </w:r>
      <w:r w:rsidR="00256EDC">
        <w:t xml:space="preserve">overall </w:t>
      </w:r>
      <w:r w:rsidR="00C943F4">
        <w:t>rejection of storing up riches</w:t>
      </w:r>
      <w:r w:rsidR="00A97E18">
        <w:t xml:space="preserve"> </w:t>
      </w:r>
      <w:r w:rsidR="00503560">
        <w:t>(W</w:t>
      </w:r>
      <w:r w:rsidR="00A97E18">
        <w:t>ar 2. 8.3)</w:t>
      </w:r>
      <w:r w:rsidR="00F83C04">
        <w:t xml:space="preserve">. Considered by both Flavius and Philo as extremely </w:t>
      </w:r>
      <w:r w:rsidR="00C2494B">
        <w:t>v</w:t>
      </w:r>
      <w:r w:rsidR="00C943F4">
        <w:t>irtuous</w:t>
      </w:r>
      <w:r w:rsidR="005D00C8">
        <w:t xml:space="preserve"> and pious, Philo even goes so far to say that they are </w:t>
      </w:r>
      <w:r w:rsidR="00503560">
        <w:t>“</w:t>
      </w:r>
      <w:r w:rsidR="005D00C8">
        <w:t>above all other men</w:t>
      </w:r>
      <w:r w:rsidR="00503560">
        <w:t>”</w:t>
      </w:r>
      <w:r w:rsidR="00C943F4">
        <w:t xml:space="preserve"> (</w:t>
      </w:r>
      <w:r w:rsidR="00C943F4" w:rsidRPr="00C943F4">
        <w:rPr>
          <w:i/>
        </w:rPr>
        <w:t>Ant.</w:t>
      </w:r>
      <w:r w:rsidR="00C943F4">
        <w:t xml:space="preserve"> 15 10.5</w:t>
      </w:r>
      <w:r w:rsidR="00296B65">
        <w:t xml:space="preserve">, </w:t>
      </w:r>
      <w:proofErr w:type="spellStart"/>
      <w:r w:rsidR="005D00C8">
        <w:t>Q.o.p</w:t>
      </w:r>
      <w:proofErr w:type="spellEnd"/>
      <w:r w:rsidR="005D00C8">
        <w:t xml:space="preserve"> 12.75)</w:t>
      </w:r>
      <w:r w:rsidR="00FB072A">
        <w:t>.</w:t>
      </w:r>
      <w:r w:rsidR="00256EDC">
        <w:t xml:space="preserve"> </w:t>
      </w:r>
      <w:r w:rsidR="00667D92">
        <w:t>Philo, Flavius and Pliny the Elder also show that most of the Essenes took a vow of cel</w:t>
      </w:r>
      <w:r w:rsidR="00503560">
        <w:t xml:space="preserve">ibacy, </w:t>
      </w:r>
      <w:r w:rsidR="00667D92">
        <w:t>which is not a law enforced onto any other sect in Judaism</w:t>
      </w:r>
      <w:r w:rsidR="005D00C8">
        <w:t>, althoug</w:t>
      </w:r>
      <w:r w:rsidR="00503560">
        <w:t>h Flavius does mention that they do not completely reject marriage for procreation, he points out they had little trust in the loyalty of women to one m</w:t>
      </w:r>
      <w:r w:rsidR="00062B66">
        <w:t>an and would rather carefully select</w:t>
      </w:r>
      <w:r w:rsidR="00503560">
        <w:t xml:space="preserve"> children to join them when</w:t>
      </w:r>
      <w:r w:rsidR="00062B66">
        <w:t xml:space="preserve"> they are ready to be educated </w:t>
      </w:r>
      <w:r w:rsidR="00503560">
        <w:t>(War</w:t>
      </w:r>
      <w:r w:rsidR="00296B65">
        <w:t xml:space="preserve"> 2. 8.2, </w:t>
      </w:r>
      <w:proofErr w:type="spellStart"/>
      <w:r w:rsidR="00296B65">
        <w:rPr>
          <w:i/>
        </w:rPr>
        <w:t>Plin</w:t>
      </w:r>
      <w:proofErr w:type="spellEnd"/>
      <w:r w:rsidR="00296B65">
        <w:rPr>
          <w:i/>
        </w:rPr>
        <w:t>. Nat</w:t>
      </w:r>
      <w:r w:rsidR="00632F65" w:rsidRPr="00632F65">
        <w:rPr>
          <w:i/>
        </w:rPr>
        <w:t>.</w:t>
      </w:r>
      <w:r w:rsidR="00296B65">
        <w:t xml:space="preserve"> 5 15.17</w:t>
      </w:r>
      <w:r w:rsidR="001C649F">
        <w:t xml:space="preserve">, </w:t>
      </w:r>
      <w:proofErr w:type="spellStart"/>
      <w:r w:rsidR="001C649F" w:rsidRPr="001C649F">
        <w:rPr>
          <w:i/>
        </w:rPr>
        <w:t>Apol</w:t>
      </w:r>
      <w:proofErr w:type="spellEnd"/>
      <w:r w:rsidR="001C649F" w:rsidRPr="001C649F">
        <w:rPr>
          <w:i/>
        </w:rPr>
        <w:t>.</w:t>
      </w:r>
      <w:r w:rsidR="001C649F">
        <w:t xml:space="preserve"> 11.14</w:t>
      </w:r>
      <w:r w:rsidR="00632F65">
        <w:t>)</w:t>
      </w:r>
      <w:r w:rsidR="00667D92">
        <w:t>. Finally, another fu</w:t>
      </w:r>
      <w:r w:rsidR="00C2494B">
        <w:t>ndamental differentiator was that the</w:t>
      </w:r>
      <w:r w:rsidR="00667D92">
        <w:t xml:space="preserve"> Essenes rejected the Temple and would not sacrifice animals there</w:t>
      </w:r>
      <w:r w:rsidR="00062B66">
        <w:t>, only sacrificing among</w:t>
      </w:r>
      <w:r w:rsidR="00C2494B">
        <w:t>st</w:t>
      </w:r>
      <w:r w:rsidR="00062B66">
        <w:t xml:space="preserve"> themselves and sending offerings to Jerusalem </w:t>
      </w:r>
      <w:r w:rsidR="00296B65">
        <w:t>(</w:t>
      </w:r>
      <w:proofErr w:type="spellStart"/>
      <w:r w:rsidR="00296B65">
        <w:t>Q.o.p</w:t>
      </w:r>
      <w:proofErr w:type="spellEnd"/>
      <w:r w:rsidR="00296B65">
        <w:t xml:space="preserve"> 12.75</w:t>
      </w:r>
      <w:r w:rsidR="00FB24A2">
        <w:t xml:space="preserve">, </w:t>
      </w:r>
      <w:r w:rsidR="00FB24A2" w:rsidRPr="00FB24A2">
        <w:rPr>
          <w:i/>
        </w:rPr>
        <w:t>Ant.</w:t>
      </w:r>
      <w:r w:rsidR="00FB24A2">
        <w:t xml:space="preserve"> 18 1.5</w:t>
      </w:r>
      <w:r w:rsidR="00062B66">
        <w:t>)</w:t>
      </w:r>
      <w:r w:rsidR="00667D92">
        <w:t xml:space="preserve">. </w:t>
      </w:r>
      <w:r w:rsidR="008A072D">
        <w:t xml:space="preserve"> </w:t>
      </w:r>
      <w:proofErr w:type="gramStart"/>
      <w:r w:rsidR="008A072D">
        <w:t xml:space="preserve">All </w:t>
      </w:r>
      <w:r w:rsidR="00C2494B">
        <w:t>of these</w:t>
      </w:r>
      <w:proofErr w:type="gramEnd"/>
      <w:r w:rsidR="00C2494B">
        <w:t xml:space="preserve"> elements mirror</w:t>
      </w:r>
      <w:r w:rsidR="00296B65">
        <w:t xml:space="preserve"> the commentary made by </w:t>
      </w:r>
      <w:proofErr w:type="spellStart"/>
      <w:r w:rsidR="008A072D">
        <w:t>Geza</w:t>
      </w:r>
      <w:proofErr w:type="spellEnd"/>
      <w:r w:rsidR="008A072D">
        <w:t xml:space="preserve"> Vermes and Martin D. </w:t>
      </w:r>
      <w:proofErr w:type="spellStart"/>
      <w:r w:rsidR="008A072D">
        <w:t>Goodmans</w:t>
      </w:r>
      <w:proofErr w:type="spellEnd"/>
      <w:r w:rsidR="008A072D">
        <w:t xml:space="preserve"> edition of </w:t>
      </w:r>
      <w:r w:rsidR="008A072D" w:rsidRPr="00667D92">
        <w:rPr>
          <w:i/>
        </w:rPr>
        <w:t>The Essenes According to the classical sources</w:t>
      </w:r>
      <w:r w:rsidR="008A072D">
        <w:t>, where the</w:t>
      </w:r>
      <w:r w:rsidR="00667D92">
        <w:t>y</w:t>
      </w:r>
      <w:r w:rsidR="008A072D">
        <w:t xml:space="preserve"> encapsulate the works o</w:t>
      </w:r>
      <w:r w:rsidR="00C2494B">
        <w:t>f Philo, Flavius and Pliny the E</w:t>
      </w:r>
      <w:r w:rsidR="008A072D">
        <w:t>lder</w:t>
      </w:r>
      <w:r w:rsidR="00FB24A2">
        <w:t xml:space="preserve"> and give scholarly commentary</w:t>
      </w:r>
      <w:r w:rsidR="008A072D">
        <w:t>.</w:t>
      </w:r>
      <w:r w:rsidR="00667D92">
        <w:rPr>
          <w:rStyle w:val="FootnoteReference"/>
        </w:rPr>
        <w:footnoteReference w:id="7"/>
      </w:r>
      <w:r w:rsidR="00667D92">
        <w:t xml:space="preserve"> </w:t>
      </w:r>
      <w:r w:rsidR="00062B66">
        <w:t xml:space="preserve"> This is not all that sets this group apart, however, we can see a clear divide in rituals and practices. </w:t>
      </w:r>
    </w:p>
    <w:p w:rsidR="00062B66" w:rsidRDefault="00062B66" w:rsidP="00F02EA0"/>
    <w:p w:rsidR="000B33C1" w:rsidRDefault="000B33C1" w:rsidP="00F02EA0"/>
    <w:p w:rsidR="0019747C" w:rsidRDefault="0019747C" w:rsidP="00F02EA0"/>
    <w:p w:rsidR="00667D92" w:rsidRDefault="00C2494B" w:rsidP="00F02EA0">
      <w:r>
        <w:t xml:space="preserve">In conclusion, </w:t>
      </w:r>
      <w:r w:rsidR="00B94C05">
        <w:t xml:space="preserve">we have seen that indeed there was clear division in the </w:t>
      </w:r>
      <w:r w:rsidR="00955762">
        <w:t>first c</w:t>
      </w:r>
      <w:r w:rsidR="00B94C05">
        <w:t>entury between the Jewish people, encompassing different forms of belief and rituals,</w:t>
      </w:r>
      <w:r>
        <w:t xml:space="preserve"> even on aspects</w:t>
      </w:r>
      <w:r w:rsidR="00E74602">
        <w:t xml:space="preserve"> of the most controversial theological thinking. </w:t>
      </w:r>
      <w:r w:rsidR="001C649F">
        <w:t>The impact made by outside influences has be</w:t>
      </w:r>
      <w:r w:rsidR="00F476F7">
        <w:t>en</w:t>
      </w:r>
      <w:r w:rsidR="001C649F">
        <w:t xml:space="preserve"> shown to be a major factor in changes to philosophical views held by various</w:t>
      </w:r>
      <w:r>
        <w:t xml:space="preserve"> sectaries and this essay has perhaps only </w:t>
      </w:r>
      <w:r w:rsidR="001C649F">
        <w:t>scratched the surface of these impacts</w:t>
      </w:r>
      <w:r>
        <w:t>. The effect that</w:t>
      </w:r>
      <w:r w:rsidR="00D20297">
        <w:t xml:space="preserve"> other communities h</w:t>
      </w:r>
      <w:r>
        <w:t>ad upon</w:t>
      </w:r>
      <w:r w:rsidR="00D20297">
        <w:t xml:space="preserve"> the Hebrew people </w:t>
      </w:r>
      <w:r>
        <w:t xml:space="preserve">is surely something </w:t>
      </w:r>
      <w:r w:rsidR="00D20297">
        <w:t>worthy of further exploration. O</w:t>
      </w:r>
      <w:r>
        <w:t>ne thing we can observe</w:t>
      </w:r>
      <w:r w:rsidR="001C649F">
        <w:t xml:space="preserve"> is that it is far too simple to suggest that an un yielding, singular form of Judaism exists, with all</w:t>
      </w:r>
      <w:r>
        <w:t xml:space="preserve"> the evidence supported</w:t>
      </w:r>
      <w:r w:rsidR="00E74602">
        <w:t xml:space="preserve"> with primary sources of the time, along with Biblical passages affirming these divergences</w:t>
      </w:r>
      <w:r w:rsidR="00D20297">
        <w:t>, the argument for a single Judaism does not appear a plausible one.</w:t>
      </w:r>
    </w:p>
    <w:p w:rsidR="00333EF3" w:rsidRDefault="00333EF3" w:rsidP="00F02EA0"/>
    <w:p w:rsidR="00333EF3" w:rsidRDefault="00333EF3" w:rsidP="00F02EA0"/>
    <w:p w:rsidR="007E5D82" w:rsidRDefault="007E5D82" w:rsidP="00F02EA0"/>
    <w:p w:rsidR="00BD1697" w:rsidRDefault="00BD1697" w:rsidP="00F02EA0"/>
    <w:p w:rsidR="00D94E95" w:rsidRPr="00D94E95" w:rsidRDefault="00D94E95" w:rsidP="00F02EA0"/>
    <w:p w:rsidR="00927F7B" w:rsidRDefault="00927F7B">
      <w:pPr>
        <w:rPr>
          <w:rFonts w:cstheme="minorHAnsi"/>
          <w:lang w:val="en"/>
        </w:rPr>
      </w:pPr>
    </w:p>
    <w:p w:rsidR="00927F7B" w:rsidRDefault="00927F7B">
      <w:pPr>
        <w:rPr>
          <w:rFonts w:cstheme="minorHAnsi"/>
          <w:lang w:val="en"/>
        </w:rPr>
      </w:pPr>
    </w:p>
    <w:p w:rsidR="00302229" w:rsidRDefault="00302229">
      <w:pPr>
        <w:rPr>
          <w:rFonts w:cstheme="minorHAnsi"/>
          <w:lang w:val="en"/>
        </w:rPr>
      </w:pPr>
    </w:p>
    <w:p w:rsidR="003F2029" w:rsidRPr="009A1C81" w:rsidRDefault="003F2029">
      <w:pPr>
        <w:rPr>
          <w:rFonts w:cstheme="minorHAnsi"/>
        </w:rPr>
      </w:pPr>
    </w:p>
    <w:p w:rsidR="007D7F4A" w:rsidRDefault="007D7F4A">
      <w:pPr>
        <w:rPr>
          <w:rFonts w:cstheme="minorHAnsi"/>
        </w:rPr>
      </w:pPr>
    </w:p>
    <w:p w:rsidR="009A1C81" w:rsidRDefault="009A1C81">
      <w:pPr>
        <w:rPr>
          <w:rFonts w:cstheme="minorHAnsi"/>
        </w:rPr>
      </w:pPr>
    </w:p>
    <w:p w:rsidR="009A1C81" w:rsidRPr="009A1C81" w:rsidRDefault="009A1C81">
      <w:pPr>
        <w:rPr>
          <w:rFonts w:cstheme="minorHAnsi"/>
        </w:rPr>
      </w:pPr>
    </w:p>
    <w:p w:rsidR="00C30EDD" w:rsidRPr="009A1C81" w:rsidRDefault="00C30EDD">
      <w:pPr>
        <w:rPr>
          <w:rFonts w:cstheme="minorHAnsi"/>
        </w:rPr>
      </w:pPr>
    </w:p>
    <w:p w:rsidR="00C30EDD" w:rsidRDefault="00C30EDD">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431F5C" w:rsidRDefault="00431F5C">
      <w:pPr>
        <w:rPr>
          <w:rFonts w:cstheme="minorHAnsi"/>
        </w:rPr>
      </w:pPr>
    </w:p>
    <w:p w:rsidR="00720DDA" w:rsidRDefault="00720DDA">
      <w:pPr>
        <w:rPr>
          <w:rFonts w:cstheme="minorHAnsi"/>
        </w:rPr>
      </w:pPr>
    </w:p>
    <w:p w:rsidR="0019747C" w:rsidRDefault="0019747C">
      <w:pPr>
        <w:rPr>
          <w:rFonts w:cstheme="minorHAnsi"/>
        </w:rPr>
      </w:pPr>
    </w:p>
    <w:p w:rsidR="00431F5C" w:rsidRPr="00C2494B" w:rsidRDefault="00431F5C">
      <w:pPr>
        <w:rPr>
          <w:rFonts w:cstheme="minorHAnsi"/>
          <w:b/>
        </w:rPr>
      </w:pPr>
      <w:r w:rsidRPr="00C2494B">
        <w:rPr>
          <w:rFonts w:cstheme="minorHAnsi"/>
          <w:b/>
        </w:rPr>
        <w:t>Bibliography</w:t>
      </w:r>
    </w:p>
    <w:p w:rsidR="00B05ABC" w:rsidRDefault="00B05ABC" w:rsidP="00B05ABC">
      <w:pPr>
        <w:rPr>
          <w:color w:val="000000"/>
        </w:rPr>
      </w:pPr>
      <w:r w:rsidRPr="00005520">
        <w:rPr>
          <w:color w:val="000000"/>
        </w:rPr>
        <w:t xml:space="preserve">De Lange Nicholas, </w:t>
      </w:r>
      <w:r w:rsidRPr="00005520">
        <w:rPr>
          <w:i/>
          <w:iCs/>
          <w:color w:val="000000"/>
        </w:rPr>
        <w:t>An Introduction to Juda</w:t>
      </w:r>
      <w:r>
        <w:rPr>
          <w:i/>
          <w:iCs/>
          <w:color w:val="000000"/>
        </w:rPr>
        <w:t>ism</w:t>
      </w:r>
      <w:r w:rsidRPr="00005520">
        <w:rPr>
          <w:color w:val="000000"/>
        </w:rPr>
        <w:t xml:space="preserve">, 2nd </w:t>
      </w:r>
      <w:proofErr w:type="spellStart"/>
      <w:r w:rsidRPr="00005520">
        <w:rPr>
          <w:color w:val="000000"/>
        </w:rPr>
        <w:t>edn</w:t>
      </w:r>
      <w:proofErr w:type="spellEnd"/>
      <w:r w:rsidRPr="00005520">
        <w:rPr>
          <w:color w:val="000000"/>
        </w:rPr>
        <w:t xml:space="preserve"> (United States: Ca</w:t>
      </w:r>
      <w:r>
        <w:rPr>
          <w:color w:val="000000"/>
        </w:rPr>
        <w:t>mbridge University Press, 2010)</w:t>
      </w:r>
    </w:p>
    <w:p w:rsidR="00B7099C" w:rsidRDefault="00B05ABC" w:rsidP="00B7099C">
      <w:pPr>
        <w:tabs>
          <w:tab w:val="right" w:pos="9026"/>
        </w:tabs>
        <w:rPr>
          <w:iCs/>
          <w:color w:val="000000"/>
        </w:rPr>
      </w:pPr>
      <w:r w:rsidRPr="00872CBD">
        <w:rPr>
          <w:color w:val="000000"/>
        </w:rPr>
        <w:t xml:space="preserve">Kohler </w:t>
      </w:r>
      <w:r>
        <w:rPr>
          <w:color w:val="000000"/>
        </w:rPr>
        <w:t>Kaufmann</w:t>
      </w:r>
      <w:r w:rsidRPr="00872CBD">
        <w:rPr>
          <w:color w:val="000000"/>
        </w:rPr>
        <w:t xml:space="preserve">, 'Immortality of the Soul', </w:t>
      </w:r>
      <w:r w:rsidRPr="00872CBD">
        <w:rPr>
          <w:i/>
          <w:iCs/>
          <w:color w:val="000000"/>
        </w:rPr>
        <w:t>Jewish Encyclopaedia</w:t>
      </w:r>
      <w:r>
        <w:rPr>
          <w:color w:val="000000"/>
        </w:rPr>
        <w:t>,</w:t>
      </w:r>
      <w:r w:rsidRPr="00872CBD">
        <w:rPr>
          <w:color w:val="000000"/>
        </w:rPr>
        <w:t xml:space="preserve"> (1906), 1, in </w:t>
      </w:r>
      <w:r w:rsidRPr="00872CBD">
        <w:rPr>
          <w:i/>
          <w:iCs/>
          <w:color w:val="000000"/>
        </w:rPr>
        <w:t xml:space="preserve">&lt;http://www.jewishencyclopedia.com/articles/8092-immortality-of-the-soul&gt; </w:t>
      </w:r>
      <w:r w:rsidRPr="0065728C">
        <w:rPr>
          <w:iCs/>
          <w:color w:val="000000"/>
        </w:rPr>
        <w:t>[accessed 31 October 2017].</w:t>
      </w:r>
    </w:p>
    <w:p w:rsidR="00B7099C" w:rsidRDefault="00B7099C" w:rsidP="00B7099C">
      <w:pPr>
        <w:tabs>
          <w:tab w:val="right" w:pos="9026"/>
        </w:tabs>
        <w:rPr>
          <w:iCs/>
          <w:color w:val="000000"/>
        </w:rPr>
      </w:pPr>
      <w:r w:rsidRPr="00872CBD">
        <w:rPr>
          <w:i/>
          <w:iCs/>
          <w:color w:val="000000"/>
        </w:rPr>
        <w:t>Kohler</w:t>
      </w:r>
      <w:r w:rsidRPr="00872CBD">
        <w:rPr>
          <w:i/>
          <w:iCs/>
          <w:color w:val="000000"/>
        </w:rPr>
        <w:t xml:space="preserve"> </w:t>
      </w:r>
      <w:r w:rsidRPr="00872CBD">
        <w:rPr>
          <w:i/>
          <w:iCs/>
          <w:color w:val="000000"/>
        </w:rPr>
        <w:t xml:space="preserve">Kaufmann </w:t>
      </w:r>
      <w:r w:rsidRPr="00872CBD">
        <w:rPr>
          <w:color w:val="000000"/>
        </w:rPr>
        <w:t>(2017) &lt;https://en.wikipe</w:t>
      </w:r>
      <w:bookmarkStart w:id="0" w:name="_GoBack"/>
      <w:bookmarkEnd w:id="0"/>
      <w:r w:rsidRPr="00872CBD">
        <w:rPr>
          <w:color w:val="000000"/>
        </w:rPr>
        <w:t>dia.org/wiki/Kaufmann_Kohler&gt; [accessed 31 October 2017].</w:t>
      </w:r>
    </w:p>
    <w:p w:rsidR="00B05ABC" w:rsidRPr="00B7099C" w:rsidRDefault="00B05ABC" w:rsidP="00B7099C">
      <w:pPr>
        <w:tabs>
          <w:tab w:val="right" w:pos="9026"/>
        </w:tabs>
        <w:rPr>
          <w:iCs/>
          <w:color w:val="000000"/>
        </w:rPr>
      </w:pPr>
      <w:r w:rsidRPr="00005520">
        <w:rPr>
          <w:color w:val="000000"/>
        </w:rPr>
        <w:t xml:space="preserve">Josephus Flavius, </w:t>
      </w:r>
      <w:r w:rsidRPr="00005520">
        <w:rPr>
          <w:i/>
          <w:iCs/>
          <w:color w:val="000000"/>
        </w:rPr>
        <w:t>The Antiquities of the Jews</w:t>
      </w:r>
      <w:r w:rsidRPr="00005520">
        <w:rPr>
          <w:color w:val="000000"/>
        </w:rPr>
        <w:t xml:space="preserve">, trans. by William </w:t>
      </w:r>
      <w:proofErr w:type="gramStart"/>
      <w:r w:rsidRPr="00005520">
        <w:rPr>
          <w:color w:val="000000"/>
        </w:rPr>
        <w:t>Whiston(</w:t>
      </w:r>
      <w:proofErr w:type="gramEnd"/>
      <w:r>
        <w:rPr>
          <w:color w:val="000000"/>
        </w:rPr>
        <w:t xml:space="preserve">www.gutenberg.org: David Reed </w:t>
      </w:r>
      <w:r w:rsidRPr="00005520">
        <w:rPr>
          <w:color w:val="000000"/>
        </w:rPr>
        <w:t xml:space="preserve">and David </w:t>
      </w:r>
      <w:proofErr w:type="spellStart"/>
      <w:r w:rsidRPr="00005520">
        <w:rPr>
          <w:color w:val="000000"/>
        </w:rPr>
        <w:t>Widger</w:t>
      </w:r>
      <w:proofErr w:type="spellEnd"/>
      <w:r w:rsidRPr="00005520">
        <w:rPr>
          <w:color w:val="000000"/>
        </w:rPr>
        <w:t>, January 4, 2009),&lt;http://www.gutenberg.org&gt; [accessed 19, 24, 31 October 2017].</w:t>
      </w:r>
      <w:r>
        <w:rPr>
          <w:color w:val="000000"/>
        </w:rPr>
        <w:t xml:space="preserve"> – </w:t>
      </w:r>
      <w:r w:rsidRPr="00005520">
        <w:rPr>
          <w:i/>
          <w:color w:val="000000"/>
        </w:rPr>
        <w:t>Ant.</w:t>
      </w:r>
    </w:p>
    <w:p w:rsidR="00B05ABC" w:rsidRDefault="00B05ABC" w:rsidP="00B05ABC">
      <w:pPr>
        <w:tabs>
          <w:tab w:val="right" w:pos="9026"/>
        </w:tabs>
        <w:rPr>
          <w:color w:val="000000"/>
        </w:rPr>
      </w:pPr>
      <w:r>
        <w:rPr>
          <w:color w:val="000000"/>
        </w:rPr>
        <w:t>Jo</w:t>
      </w:r>
      <w:r w:rsidRPr="006C13C9">
        <w:rPr>
          <w:color w:val="000000"/>
        </w:rPr>
        <w:t xml:space="preserve">sephus Flavius, </w:t>
      </w:r>
      <w:r w:rsidRPr="006C13C9">
        <w:rPr>
          <w:i/>
          <w:iCs/>
          <w:color w:val="000000"/>
        </w:rPr>
        <w:t>War of The Jews</w:t>
      </w:r>
      <w:r w:rsidRPr="006C13C9">
        <w:rPr>
          <w:color w:val="000000"/>
        </w:rPr>
        <w:t>, trans. by William Whiston {1737}</w:t>
      </w:r>
      <w:r>
        <w:rPr>
          <w:color w:val="000000"/>
        </w:rPr>
        <w:t xml:space="preserve"> </w:t>
      </w:r>
      <w:r w:rsidRPr="006C13C9">
        <w:rPr>
          <w:color w:val="000000"/>
        </w:rPr>
        <w:t>(onl</w:t>
      </w:r>
      <w:r>
        <w:rPr>
          <w:color w:val="000000"/>
        </w:rPr>
        <w:t>ine: sacred-texts.com, ND), in</w:t>
      </w:r>
      <w:r w:rsidRPr="006C13C9">
        <w:rPr>
          <w:color w:val="000000"/>
        </w:rPr>
        <w:t xml:space="preserve"> &lt;http://www.sacred-texts.com/jud/josephus/index.htm#woj&gt; [accessed 1 November 2017].</w:t>
      </w:r>
      <w:r>
        <w:rPr>
          <w:color w:val="000000"/>
        </w:rPr>
        <w:t xml:space="preserve"> – War</w:t>
      </w:r>
    </w:p>
    <w:p w:rsidR="00B7099C" w:rsidRDefault="00B7099C" w:rsidP="00B05ABC">
      <w:pPr>
        <w:tabs>
          <w:tab w:val="right" w:pos="9026"/>
        </w:tabs>
        <w:rPr>
          <w:color w:val="000000"/>
        </w:rPr>
      </w:pPr>
      <w:r w:rsidRPr="003F5BB9">
        <w:rPr>
          <w:color w:val="000000"/>
        </w:rPr>
        <w:t xml:space="preserve">Philo, of Alexandria. </w:t>
      </w:r>
      <w:proofErr w:type="spellStart"/>
      <w:proofErr w:type="gramStart"/>
      <w:r w:rsidRPr="003F5BB9">
        <w:rPr>
          <w:color w:val="000000"/>
        </w:rPr>
        <w:t>Eusibeus</w:t>
      </w:r>
      <w:proofErr w:type="spellEnd"/>
      <w:r w:rsidRPr="003F5BB9">
        <w:rPr>
          <w:color w:val="000000"/>
        </w:rPr>
        <w:t xml:space="preserve"> ,</w:t>
      </w:r>
      <w:proofErr w:type="gramEnd"/>
      <w:r w:rsidRPr="003F5BB9">
        <w:rPr>
          <w:color w:val="000000"/>
        </w:rPr>
        <w:t xml:space="preserve"> </w:t>
      </w:r>
      <w:proofErr w:type="spellStart"/>
      <w:r w:rsidRPr="003F5BB9">
        <w:rPr>
          <w:i/>
          <w:iCs/>
          <w:color w:val="000000"/>
        </w:rPr>
        <w:t>Hypothetica</w:t>
      </w:r>
      <w:proofErr w:type="spellEnd"/>
      <w:r w:rsidRPr="003F5BB9">
        <w:rPr>
          <w:i/>
          <w:iCs/>
          <w:color w:val="000000"/>
        </w:rPr>
        <w:t xml:space="preserve">: Apologia pro </w:t>
      </w:r>
      <w:proofErr w:type="spellStart"/>
      <w:r w:rsidRPr="003F5BB9">
        <w:rPr>
          <w:i/>
          <w:iCs/>
          <w:color w:val="000000"/>
        </w:rPr>
        <w:t>Judaeis</w:t>
      </w:r>
      <w:proofErr w:type="spellEnd"/>
      <w:r w:rsidRPr="003F5BB9">
        <w:rPr>
          <w:color w:val="000000"/>
        </w:rPr>
        <w:t>, trans. by F. H. Colson and G.H Whittaker (United states: Loeb, 1930), in , &lt;http://www.earlyjewishwritings.com/text/philo/book37.html&gt; [accessed 1 November 2017].</w:t>
      </w:r>
    </w:p>
    <w:p w:rsidR="00B05ABC" w:rsidRDefault="00B05ABC" w:rsidP="00B05ABC">
      <w:pPr>
        <w:tabs>
          <w:tab w:val="right" w:pos="9026"/>
        </w:tabs>
        <w:rPr>
          <w:color w:val="000000"/>
        </w:rPr>
      </w:pPr>
      <w:r>
        <w:rPr>
          <w:color w:val="000000"/>
        </w:rPr>
        <w:t>Philo, of Alexandria</w:t>
      </w:r>
      <w:r w:rsidR="00870B56">
        <w:rPr>
          <w:color w:val="000000"/>
        </w:rPr>
        <w:t>.,</w:t>
      </w:r>
      <w:r w:rsidRPr="00B05ABC">
        <w:rPr>
          <w:color w:val="000000"/>
        </w:rPr>
        <w:t xml:space="preserve"> </w:t>
      </w:r>
      <w:r w:rsidRPr="00B05ABC">
        <w:rPr>
          <w:i/>
          <w:iCs/>
          <w:color w:val="000000"/>
        </w:rPr>
        <w:t xml:space="preserve">Quod </w:t>
      </w:r>
      <w:proofErr w:type="spellStart"/>
      <w:r w:rsidRPr="00B05ABC">
        <w:rPr>
          <w:i/>
          <w:iCs/>
          <w:color w:val="000000"/>
        </w:rPr>
        <w:t>omnis</w:t>
      </w:r>
      <w:proofErr w:type="spellEnd"/>
      <w:r w:rsidRPr="00B05ABC">
        <w:rPr>
          <w:i/>
          <w:iCs/>
          <w:color w:val="000000"/>
        </w:rPr>
        <w:t xml:space="preserve"> probus liber sit</w:t>
      </w:r>
      <w:r w:rsidRPr="00B05ABC">
        <w:rPr>
          <w:color w:val="000000"/>
        </w:rPr>
        <w:t>,</w:t>
      </w:r>
      <w:r>
        <w:rPr>
          <w:color w:val="000000"/>
        </w:rPr>
        <w:t xml:space="preserve"> trans. by F. H. Colson </w:t>
      </w:r>
      <w:r w:rsidR="003F5BB9">
        <w:rPr>
          <w:color w:val="000000"/>
        </w:rPr>
        <w:t>(United States</w:t>
      </w:r>
      <w:r>
        <w:rPr>
          <w:color w:val="000000"/>
        </w:rPr>
        <w:t xml:space="preserve">: </w:t>
      </w:r>
      <w:r w:rsidR="003F5BB9">
        <w:rPr>
          <w:color w:val="000000"/>
        </w:rPr>
        <w:t>Loeb Classical Library</w:t>
      </w:r>
      <w:r w:rsidR="00B942BC">
        <w:rPr>
          <w:color w:val="000000"/>
        </w:rPr>
        <w:t xml:space="preserve">, </w:t>
      </w:r>
      <w:r w:rsidR="003F5BB9">
        <w:rPr>
          <w:color w:val="000000"/>
        </w:rPr>
        <w:t>1941</w:t>
      </w:r>
      <w:r>
        <w:rPr>
          <w:color w:val="000000"/>
        </w:rPr>
        <w:t xml:space="preserve">), in </w:t>
      </w:r>
      <w:r w:rsidRPr="00B05ABC">
        <w:rPr>
          <w:color w:val="000000"/>
        </w:rPr>
        <w:t>&lt;http://www.earlyjewishwritings.com/text/philo/book33.html&gt; [accessed 1 November 2017].</w:t>
      </w:r>
      <w:r>
        <w:rPr>
          <w:color w:val="000000"/>
        </w:rPr>
        <w:t xml:space="preserve"> -</w:t>
      </w:r>
      <w:proofErr w:type="spellStart"/>
      <w:r>
        <w:rPr>
          <w:color w:val="000000"/>
        </w:rPr>
        <w:t>Q.</w:t>
      </w:r>
      <w:proofErr w:type="gramStart"/>
      <w:r>
        <w:rPr>
          <w:color w:val="000000"/>
        </w:rPr>
        <w:t>o.p</w:t>
      </w:r>
      <w:proofErr w:type="spellEnd"/>
      <w:proofErr w:type="gramEnd"/>
    </w:p>
    <w:p w:rsidR="000D5540" w:rsidRPr="00870B56" w:rsidRDefault="000D5540" w:rsidP="00B05ABC">
      <w:pPr>
        <w:tabs>
          <w:tab w:val="right" w:pos="9026"/>
        </w:tabs>
        <w:rPr>
          <w:color w:val="000000"/>
        </w:rPr>
      </w:pPr>
      <w:r w:rsidRPr="00870B56">
        <w:rPr>
          <w:color w:val="000000"/>
        </w:rPr>
        <w:t xml:space="preserve">Pliny the Elder, </w:t>
      </w:r>
      <w:r w:rsidRPr="00870B56">
        <w:rPr>
          <w:i/>
          <w:iCs/>
          <w:color w:val="000000"/>
        </w:rPr>
        <w:t>The Natural History</w:t>
      </w:r>
      <w:r w:rsidRPr="00870B56">
        <w:rPr>
          <w:color w:val="000000"/>
        </w:rPr>
        <w:t>, trans. by John Bostock</w:t>
      </w:r>
      <w:r w:rsidR="00870B56">
        <w:rPr>
          <w:color w:val="000000"/>
        </w:rPr>
        <w:t xml:space="preserve"> </w:t>
      </w:r>
      <w:r w:rsidRPr="00870B56">
        <w:rPr>
          <w:color w:val="000000"/>
        </w:rPr>
        <w:t xml:space="preserve">(London: Taylor and Francis, 1855), </w:t>
      </w:r>
      <w:proofErr w:type="gramStart"/>
      <w:r w:rsidRPr="00870B56">
        <w:rPr>
          <w:color w:val="000000"/>
        </w:rPr>
        <w:t>in ,</w:t>
      </w:r>
      <w:proofErr w:type="gramEnd"/>
      <w:r w:rsidRPr="00870B56">
        <w:rPr>
          <w:color w:val="000000"/>
        </w:rPr>
        <w:t xml:space="preserve"> &lt;http://www.perseus.tufts.edu/hopper/text?doc=Perseus%3Atext%3A1999.02.0137%3Abook%3D5%3Achapter%3D1&gt; [accessed 1 November 2017].</w:t>
      </w:r>
    </w:p>
    <w:p w:rsidR="00B05ABC" w:rsidRPr="00B05ABC" w:rsidRDefault="00B05ABC" w:rsidP="00B05ABC">
      <w:pPr>
        <w:tabs>
          <w:tab w:val="right" w:pos="9026"/>
        </w:tabs>
        <w:rPr>
          <w:color w:val="000000"/>
        </w:rPr>
      </w:pPr>
      <w:r>
        <w:rPr>
          <w:color w:val="000000"/>
        </w:rPr>
        <w:t xml:space="preserve"> </w:t>
      </w:r>
      <w:r w:rsidRPr="000B33C1">
        <w:t>Segal</w:t>
      </w:r>
      <w:r>
        <w:t xml:space="preserve"> </w:t>
      </w:r>
      <w:r w:rsidRPr="000B33C1">
        <w:t>Eliezer, Introducing Judaism (New York: Routledge, 2009)</w:t>
      </w:r>
    </w:p>
    <w:p w:rsidR="00005520" w:rsidRDefault="00005520" w:rsidP="0065728C">
      <w:pPr>
        <w:tabs>
          <w:tab w:val="right" w:pos="9026"/>
        </w:tabs>
        <w:rPr>
          <w:color w:val="000000"/>
        </w:rPr>
      </w:pPr>
      <w:r w:rsidRPr="0065728C">
        <w:rPr>
          <w:color w:val="000000"/>
        </w:rPr>
        <w:t>Waterhouse,</w:t>
      </w:r>
      <w:r w:rsidR="00A429B4">
        <w:rPr>
          <w:color w:val="000000"/>
        </w:rPr>
        <w:t xml:space="preserve"> </w:t>
      </w:r>
      <w:r w:rsidRPr="0065728C">
        <w:rPr>
          <w:color w:val="000000"/>
        </w:rPr>
        <w:t>John</w:t>
      </w:r>
      <w:r w:rsidR="00A429B4">
        <w:rPr>
          <w:color w:val="000000"/>
        </w:rPr>
        <w:t xml:space="preserve"> W.</w:t>
      </w:r>
      <w:r w:rsidRPr="0065728C">
        <w:rPr>
          <w:color w:val="000000"/>
        </w:rPr>
        <w:t xml:space="preserve">, </w:t>
      </w:r>
      <w:r w:rsidRPr="0065728C">
        <w:rPr>
          <w:i/>
          <w:iCs/>
          <w:color w:val="000000"/>
        </w:rPr>
        <w:t>Zoroastrianism</w:t>
      </w:r>
      <w:r w:rsidRPr="0065728C">
        <w:rPr>
          <w:color w:val="000000"/>
        </w:rPr>
        <w:t>, ed. by Eric S Waterhouse (L</w:t>
      </w:r>
      <w:r w:rsidR="0065728C">
        <w:rPr>
          <w:color w:val="000000"/>
        </w:rPr>
        <w:t>ondon: The Epworth Press, 1935)</w:t>
      </w:r>
    </w:p>
    <w:p w:rsidR="0065728C" w:rsidRDefault="0065728C" w:rsidP="0065728C">
      <w:pPr>
        <w:tabs>
          <w:tab w:val="right" w:pos="9026"/>
        </w:tabs>
        <w:rPr>
          <w:color w:val="000000"/>
        </w:rPr>
      </w:pPr>
      <w:r>
        <w:rPr>
          <w:color w:val="000000"/>
        </w:rPr>
        <w:t xml:space="preserve">Vermes </w:t>
      </w:r>
      <w:proofErr w:type="spellStart"/>
      <w:r>
        <w:rPr>
          <w:color w:val="000000"/>
        </w:rPr>
        <w:t>Geza</w:t>
      </w:r>
      <w:proofErr w:type="spellEnd"/>
      <w:r>
        <w:rPr>
          <w:color w:val="000000"/>
        </w:rPr>
        <w:t xml:space="preserve"> and</w:t>
      </w:r>
      <w:r w:rsidRPr="0065728C">
        <w:rPr>
          <w:color w:val="000000"/>
        </w:rPr>
        <w:t xml:space="preserve"> </w:t>
      </w:r>
      <w:r>
        <w:rPr>
          <w:color w:val="000000"/>
        </w:rPr>
        <w:t>Goodman Martin D.</w:t>
      </w:r>
      <w:r w:rsidRPr="00642B4D">
        <w:rPr>
          <w:color w:val="000000"/>
        </w:rPr>
        <w:t xml:space="preserve">, </w:t>
      </w:r>
      <w:proofErr w:type="spellStart"/>
      <w:r w:rsidRPr="00642B4D">
        <w:rPr>
          <w:color w:val="000000"/>
        </w:rPr>
        <w:t>ed</w:t>
      </w:r>
      <w:r>
        <w:rPr>
          <w:color w:val="000000"/>
        </w:rPr>
        <w:t>s</w:t>
      </w:r>
      <w:proofErr w:type="spellEnd"/>
      <w:r>
        <w:rPr>
          <w:color w:val="000000"/>
        </w:rPr>
        <w:t>,</w:t>
      </w:r>
      <w:r w:rsidRPr="00F2025D">
        <w:rPr>
          <w:i/>
          <w:iCs/>
          <w:color w:val="000000"/>
        </w:rPr>
        <w:t xml:space="preserve"> </w:t>
      </w:r>
      <w:r w:rsidRPr="00642B4D">
        <w:rPr>
          <w:i/>
          <w:iCs/>
          <w:color w:val="000000"/>
        </w:rPr>
        <w:t>The Essenes According to the Classical Sources</w:t>
      </w:r>
      <w:r w:rsidRPr="00642B4D">
        <w:rPr>
          <w:color w:val="000000"/>
        </w:rPr>
        <w:t>, (Sheffield: JSOT Press, 1989)</w:t>
      </w:r>
    </w:p>
    <w:p w:rsidR="006C13C9" w:rsidRPr="006C13C9" w:rsidRDefault="006C13C9" w:rsidP="0065728C">
      <w:pPr>
        <w:tabs>
          <w:tab w:val="right" w:pos="9026"/>
        </w:tabs>
        <w:rPr>
          <w:iCs/>
          <w:color w:val="000000"/>
        </w:rPr>
      </w:pPr>
    </w:p>
    <w:p w:rsidR="0065728C" w:rsidRDefault="0065728C" w:rsidP="0065728C">
      <w:pPr>
        <w:tabs>
          <w:tab w:val="right" w:pos="9026"/>
        </w:tabs>
        <w:rPr>
          <w:iCs/>
          <w:color w:val="000000"/>
        </w:rPr>
      </w:pPr>
    </w:p>
    <w:p w:rsidR="0065728C" w:rsidRPr="0065728C" w:rsidRDefault="0065728C" w:rsidP="0065728C">
      <w:pPr>
        <w:tabs>
          <w:tab w:val="right" w:pos="9026"/>
        </w:tabs>
        <w:rPr>
          <w:color w:val="000000"/>
        </w:rPr>
      </w:pPr>
    </w:p>
    <w:p w:rsidR="00005520" w:rsidRPr="00005520" w:rsidRDefault="00005520">
      <w:pPr>
        <w:rPr>
          <w:rFonts w:cstheme="minorHAnsi"/>
        </w:rPr>
      </w:pPr>
    </w:p>
    <w:sectPr w:rsidR="00005520" w:rsidRPr="000055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713C" w:rsidRDefault="008D713C" w:rsidP="009A1C81">
      <w:pPr>
        <w:spacing w:after="0" w:line="240" w:lineRule="auto"/>
      </w:pPr>
      <w:r>
        <w:separator/>
      </w:r>
    </w:p>
  </w:endnote>
  <w:endnote w:type="continuationSeparator" w:id="0">
    <w:p w:rsidR="008D713C" w:rsidRDefault="008D713C" w:rsidP="009A1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713C" w:rsidRDefault="008D713C" w:rsidP="009A1C81">
      <w:pPr>
        <w:spacing w:after="0" w:line="240" w:lineRule="auto"/>
      </w:pPr>
      <w:r>
        <w:separator/>
      </w:r>
    </w:p>
  </w:footnote>
  <w:footnote w:type="continuationSeparator" w:id="0">
    <w:p w:rsidR="008D713C" w:rsidRDefault="008D713C" w:rsidP="009A1C81">
      <w:pPr>
        <w:spacing w:after="0" w:line="240" w:lineRule="auto"/>
      </w:pPr>
      <w:r>
        <w:continuationSeparator/>
      </w:r>
    </w:p>
  </w:footnote>
  <w:footnote w:id="1">
    <w:p w:rsidR="0019747C" w:rsidRDefault="0019747C">
      <w:pPr>
        <w:pStyle w:val="FootnoteText"/>
      </w:pPr>
      <w:r>
        <w:rPr>
          <w:rStyle w:val="FootnoteReference"/>
        </w:rPr>
        <w:footnoteRef/>
      </w:r>
      <w:r>
        <w:t xml:space="preserve"> </w:t>
      </w:r>
      <w:r w:rsidRPr="002757A4">
        <w:rPr>
          <w:color w:val="000000"/>
          <w:sz w:val="22"/>
          <w:szCs w:val="22"/>
        </w:rPr>
        <w:t xml:space="preserve">Nicholas De Lange, </w:t>
      </w:r>
      <w:r>
        <w:rPr>
          <w:i/>
          <w:iCs/>
          <w:color w:val="000000"/>
          <w:sz w:val="22"/>
          <w:szCs w:val="22"/>
        </w:rPr>
        <w:t>An Introduction to Judaism</w:t>
      </w:r>
      <w:r w:rsidRPr="002757A4">
        <w:rPr>
          <w:color w:val="000000"/>
          <w:sz w:val="22"/>
          <w:szCs w:val="22"/>
        </w:rPr>
        <w:t xml:space="preserve">, 2nd </w:t>
      </w:r>
      <w:proofErr w:type="spellStart"/>
      <w:r w:rsidRPr="002757A4">
        <w:rPr>
          <w:color w:val="000000"/>
          <w:sz w:val="22"/>
          <w:szCs w:val="22"/>
        </w:rPr>
        <w:t>edn</w:t>
      </w:r>
      <w:proofErr w:type="spellEnd"/>
      <w:r w:rsidRPr="002757A4">
        <w:rPr>
          <w:color w:val="000000"/>
          <w:sz w:val="22"/>
          <w:szCs w:val="22"/>
        </w:rPr>
        <w:t xml:space="preserve"> (United States: Cambridge University Press, 2010), p. 1.</w:t>
      </w:r>
    </w:p>
  </w:footnote>
  <w:footnote w:id="2">
    <w:p w:rsidR="0019747C" w:rsidRPr="000B33C1" w:rsidRDefault="0019747C">
      <w:pPr>
        <w:pStyle w:val="FootnoteText"/>
        <w:rPr>
          <w:sz w:val="22"/>
          <w:szCs w:val="22"/>
        </w:rPr>
      </w:pPr>
      <w:r w:rsidRPr="000B33C1">
        <w:rPr>
          <w:rStyle w:val="FootnoteReference"/>
          <w:sz w:val="22"/>
          <w:szCs w:val="22"/>
        </w:rPr>
        <w:footnoteRef/>
      </w:r>
      <w:r w:rsidRPr="000B33C1">
        <w:rPr>
          <w:sz w:val="22"/>
          <w:szCs w:val="22"/>
        </w:rPr>
        <w:t xml:space="preserve"> Eliezer Segal, Introducing Judaism (New York: Routledge, 2009), p. 42.</w:t>
      </w:r>
    </w:p>
  </w:footnote>
  <w:footnote w:id="3">
    <w:p w:rsidR="0019747C" w:rsidRDefault="0019747C">
      <w:pPr>
        <w:pStyle w:val="FootnoteText"/>
      </w:pPr>
      <w:r>
        <w:rPr>
          <w:rStyle w:val="FootnoteReference"/>
        </w:rPr>
        <w:footnoteRef/>
      </w:r>
      <w:r>
        <w:t xml:space="preserve"> </w:t>
      </w:r>
      <w:r w:rsidRPr="006C3463">
        <w:rPr>
          <w:color w:val="000000"/>
          <w:sz w:val="22"/>
          <w:szCs w:val="22"/>
        </w:rPr>
        <w:t xml:space="preserve">John W Waterhouse, </w:t>
      </w:r>
      <w:r w:rsidRPr="006C3463">
        <w:rPr>
          <w:i/>
          <w:iCs/>
          <w:color w:val="000000"/>
          <w:sz w:val="22"/>
          <w:szCs w:val="22"/>
        </w:rPr>
        <w:t>Zoroastrianism</w:t>
      </w:r>
      <w:r w:rsidRPr="006C3463">
        <w:rPr>
          <w:color w:val="000000"/>
          <w:sz w:val="22"/>
          <w:szCs w:val="22"/>
        </w:rPr>
        <w:t>, ed. by Eric S Waterhouse (London: The Epworth Press, 1935), p. 122-123.</w:t>
      </w:r>
    </w:p>
  </w:footnote>
  <w:footnote w:id="4">
    <w:p w:rsidR="0019747C" w:rsidRDefault="0019747C">
      <w:pPr>
        <w:pStyle w:val="FootnoteText"/>
      </w:pPr>
      <w:r>
        <w:rPr>
          <w:rStyle w:val="FootnoteReference"/>
        </w:rPr>
        <w:footnoteRef/>
      </w:r>
      <w:r>
        <w:t xml:space="preserve"> </w:t>
      </w:r>
      <w:proofErr w:type="spellStart"/>
      <w:r>
        <w:rPr>
          <w:color w:val="000000"/>
          <w:sz w:val="22"/>
          <w:szCs w:val="22"/>
        </w:rPr>
        <w:t>Geza</w:t>
      </w:r>
      <w:proofErr w:type="spellEnd"/>
      <w:r>
        <w:rPr>
          <w:color w:val="000000"/>
          <w:sz w:val="22"/>
          <w:szCs w:val="22"/>
        </w:rPr>
        <w:t xml:space="preserve"> Vermes and Martin D. Goodman</w:t>
      </w:r>
      <w:r w:rsidRPr="00642B4D">
        <w:rPr>
          <w:color w:val="000000"/>
          <w:sz w:val="22"/>
          <w:szCs w:val="22"/>
        </w:rPr>
        <w:t xml:space="preserve">, </w:t>
      </w:r>
      <w:proofErr w:type="spellStart"/>
      <w:r w:rsidRPr="00642B4D">
        <w:rPr>
          <w:color w:val="000000"/>
          <w:sz w:val="22"/>
          <w:szCs w:val="22"/>
        </w:rPr>
        <w:t>ed</w:t>
      </w:r>
      <w:r>
        <w:rPr>
          <w:color w:val="000000"/>
          <w:sz w:val="22"/>
          <w:szCs w:val="22"/>
        </w:rPr>
        <w:t>s</w:t>
      </w:r>
      <w:proofErr w:type="spellEnd"/>
      <w:r>
        <w:rPr>
          <w:color w:val="000000"/>
          <w:sz w:val="22"/>
          <w:szCs w:val="22"/>
        </w:rPr>
        <w:t>,</w:t>
      </w:r>
      <w:r w:rsidRPr="00F2025D">
        <w:rPr>
          <w:i/>
          <w:iCs/>
          <w:color w:val="000000"/>
          <w:sz w:val="22"/>
          <w:szCs w:val="22"/>
        </w:rPr>
        <w:t xml:space="preserve"> </w:t>
      </w:r>
      <w:r w:rsidRPr="00642B4D">
        <w:rPr>
          <w:i/>
          <w:iCs/>
          <w:color w:val="000000"/>
          <w:sz w:val="22"/>
          <w:szCs w:val="22"/>
        </w:rPr>
        <w:t xml:space="preserve">The Essenes According to the Classical </w:t>
      </w:r>
      <w:proofErr w:type="gramStart"/>
      <w:r w:rsidRPr="00642B4D">
        <w:rPr>
          <w:i/>
          <w:iCs/>
          <w:color w:val="000000"/>
          <w:sz w:val="22"/>
          <w:szCs w:val="22"/>
        </w:rPr>
        <w:t>Sources</w:t>
      </w:r>
      <w:r w:rsidRPr="00642B4D">
        <w:rPr>
          <w:color w:val="000000"/>
          <w:sz w:val="22"/>
          <w:szCs w:val="22"/>
        </w:rPr>
        <w:t>,  (</w:t>
      </w:r>
      <w:proofErr w:type="gramEnd"/>
      <w:r w:rsidRPr="00642B4D">
        <w:rPr>
          <w:color w:val="000000"/>
          <w:sz w:val="22"/>
          <w:szCs w:val="22"/>
        </w:rPr>
        <w:t>Sheffield: JSOT Press, 1989), p. 1.</w:t>
      </w:r>
    </w:p>
  </w:footnote>
  <w:footnote w:id="5">
    <w:p w:rsidR="0019747C" w:rsidRDefault="0019747C">
      <w:pPr>
        <w:pStyle w:val="FootnoteText"/>
      </w:pPr>
      <w:r>
        <w:rPr>
          <w:rStyle w:val="FootnoteReference"/>
        </w:rPr>
        <w:footnoteRef/>
      </w:r>
      <w:r>
        <w:t xml:space="preserve"> </w:t>
      </w:r>
      <w:r w:rsidRPr="00872CBD">
        <w:rPr>
          <w:i/>
          <w:iCs/>
          <w:color w:val="000000"/>
          <w:sz w:val="22"/>
          <w:szCs w:val="22"/>
        </w:rPr>
        <w:t>Kaufmann Kohler</w:t>
      </w:r>
      <w:r w:rsidRPr="00872CBD">
        <w:rPr>
          <w:color w:val="000000"/>
          <w:sz w:val="22"/>
          <w:szCs w:val="22"/>
        </w:rPr>
        <w:t xml:space="preserve"> (2017) &lt;https://en.wikipedia.org/wiki/Kaufmann_Kohler&gt; [accessed 31 October 2017].</w:t>
      </w:r>
    </w:p>
  </w:footnote>
  <w:footnote w:id="6">
    <w:p w:rsidR="0019747C" w:rsidRPr="0065728C" w:rsidRDefault="0019747C">
      <w:pPr>
        <w:pStyle w:val="FootnoteText"/>
      </w:pPr>
      <w:r>
        <w:rPr>
          <w:rStyle w:val="FootnoteReference"/>
        </w:rPr>
        <w:footnoteRef/>
      </w:r>
      <w:r>
        <w:t xml:space="preserve"> </w:t>
      </w:r>
      <w:r w:rsidRPr="00872CBD">
        <w:rPr>
          <w:color w:val="000000"/>
          <w:sz w:val="22"/>
          <w:szCs w:val="22"/>
        </w:rPr>
        <w:t xml:space="preserve">Kaufmann </w:t>
      </w:r>
      <w:proofErr w:type="gramStart"/>
      <w:r w:rsidRPr="00872CBD">
        <w:rPr>
          <w:color w:val="000000"/>
          <w:sz w:val="22"/>
          <w:szCs w:val="22"/>
        </w:rPr>
        <w:t>Kohler ,</w:t>
      </w:r>
      <w:proofErr w:type="gramEnd"/>
      <w:r w:rsidRPr="00872CBD">
        <w:rPr>
          <w:color w:val="000000"/>
          <w:sz w:val="22"/>
          <w:szCs w:val="22"/>
        </w:rPr>
        <w:t xml:space="preserve"> 'Immortality of the Soul', </w:t>
      </w:r>
      <w:r w:rsidRPr="00872CBD">
        <w:rPr>
          <w:i/>
          <w:iCs/>
          <w:color w:val="000000"/>
          <w:sz w:val="22"/>
          <w:szCs w:val="22"/>
        </w:rPr>
        <w:t>Jewish Encyclopaedia</w:t>
      </w:r>
      <w:r w:rsidRPr="00872CBD">
        <w:rPr>
          <w:color w:val="000000"/>
          <w:sz w:val="22"/>
          <w:szCs w:val="22"/>
        </w:rPr>
        <w:t xml:space="preserve">, , (1906), 1, in </w:t>
      </w:r>
      <w:r w:rsidRPr="00872CBD">
        <w:rPr>
          <w:i/>
          <w:iCs/>
          <w:color w:val="000000"/>
          <w:sz w:val="22"/>
          <w:szCs w:val="22"/>
        </w:rPr>
        <w:t xml:space="preserve">&lt;http://www.jewishencyclopedia.com/articles/8092-immortality-of-the-soul&gt; </w:t>
      </w:r>
      <w:r w:rsidRPr="0065728C">
        <w:rPr>
          <w:iCs/>
          <w:color w:val="000000"/>
          <w:sz w:val="22"/>
          <w:szCs w:val="22"/>
        </w:rPr>
        <w:t>[accessed 31 October 2017].</w:t>
      </w:r>
    </w:p>
  </w:footnote>
  <w:footnote w:id="7">
    <w:p w:rsidR="0019747C" w:rsidRDefault="0019747C">
      <w:pPr>
        <w:pStyle w:val="FootnoteText"/>
      </w:pPr>
      <w:r>
        <w:rPr>
          <w:rStyle w:val="FootnoteReference"/>
        </w:rPr>
        <w:footnoteRef/>
      </w:r>
      <w:r>
        <w:t xml:space="preserve"> </w:t>
      </w:r>
      <w:r>
        <w:rPr>
          <w:color w:val="000000"/>
          <w:sz w:val="22"/>
          <w:szCs w:val="22"/>
        </w:rPr>
        <w:t>Vermes and Goodman</w:t>
      </w:r>
      <w:r w:rsidRPr="00642B4D">
        <w:rPr>
          <w:color w:val="000000"/>
          <w:sz w:val="22"/>
          <w:szCs w:val="22"/>
        </w:rPr>
        <w:t xml:space="preserve">, </w:t>
      </w:r>
      <w:proofErr w:type="spellStart"/>
      <w:r w:rsidRPr="00642B4D">
        <w:rPr>
          <w:color w:val="000000"/>
          <w:sz w:val="22"/>
          <w:szCs w:val="22"/>
        </w:rPr>
        <w:t>ed</w:t>
      </w:r>
      <w:r>
        <w:rPr>
          <w:color w:val="000000"/>
          <w:sz w:val="22"/>
          <w:szCs w:val="22"/>
        </w:rPr>
        <w:t>s</w:t>
      </w:r>
      <w:proofErr w:type="spellEnd"/>
      <w:r>
        <w:rPr>
          <w:color w:val="000000"/>
          <w:sz w:val="22"/>
          <w:szCs w:val="22"/>
        </w:rPr>
        <w:t>,</w:t>
      </w:r>
      <w:r w:rsidRPr="00F2025D">
        <w:rPr>
          <w:i/>
          <w:iCs/>
          <w:color w:val="000000"/>
          <w:sz w:val="22"/>
          <w:szCs w:val="22"/>
        </w:rPr>
        <w:t xml:space="preserve"> </w:t>
      </w:r>
      <w:r w:rsidRPr="00642B4D">
        <w:rPr>
          <w:i/>
          <w:iCs/>
          <w:color w:val="000000"/>
          <w:sz w:val="22"/>
          <w:szCs w:val="22"/>
        </w:rPr>
        <w:t xml:space="preserve">The Essenes </w:t>
      </w:r>
      <w:r>
        <w:rPr>
          <w:color w:val="000000"/>
          <w:sz w:val="22"/>
          <w:szCs w:val="22"/>
        </w:rPr>
        <w:t>p. 4-5</w:t>
      </w:r>
      <w:r w:rsidRPr="00642B4D">
        <w:rPr>
          <w:color w:val="000000"/>
          <w:sz w:val="22"/>
          <w:szCs w:val="22"/>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EFB"/>
    <w:rsid w:val="00005520"/>
    <w:rsid w:val="000531DA"/>
    <w:rsid w:val="00062B66"/>
    <w:rsid w:val="000B33C1"/>
    <w:rsid w:val="000C6A7A"/>
    <w:rsid w:val="000D5540"/>
    <w:rsid w:val="000E015A"/>
    <w:rsid w:val="00134547"/>
    <w:rsid w:val="00161EFB"/>
    <w:rsid w:val="001740D7"/>
    <w:rsid w:val="0019747C"/>
    <w:rsid w:val="00197DB7"/>
    <w:rsid w:val="001B6FAF"/>
    <w:rsid w:val="001C649F"/>
    <w:rsid w:val="001C7828"/>
    <w:rsid w:val="001D3D7D"/>
    <w:rsid w:val="001E775F"/>
    <w:rsid w:val="001F4618"/>
    <w:rsid w:val="00224C22"/>
    <w:rsid w:val="00236707"/>
    <w:rsid w:val="00256EDC"/>
    <w:rsid w:val="00267490"/>
    <w:rsid w:val="0027355E"/>
    <w:rsid w:val="002757A4"/>
    <w:rsid w:val="00296B65"/>
    <w:rsid w:val="002E7F5A"/>
    <w:rsid w:val="00302229"/>
    <w:rsid w:val="00333EF3"/>
    <w:rsid w:val="00336835"/>
    <w:rsid w:val="00355514"/>
    <w:rsid w:val="0036133C"/>
    <w:rsid w:val="003842F6"/>
    <w:rsid w:val="003F2029"/>
    <w:rsid w:val="003F20C8"/>
    <w:rsid w:val="003F5BB9"/>
    <w:rsid w:val="004241CB"/>
    <w:rsid w:val="00431F5C"/>
    <w:rsid w:val="00456B44"/>
    <w:rsid w:val="00503560"/>
    <w:rsid w:val="005127F8"/>
    <w:rsid w:val="005535EF"/>
    <w:rsid w:val="005824E4"/>
    <w:rsid w:val="005A4A2C"/>
    <w:rsid w:val="005B2A34"/>
    <w:rsid w:val="005D00C8"/>
    <w:rsid w:val="00606645"/>
    <w:rsid w:val="00615B23"/>
    <w:rsid w:val="00632F65"/>
    <w:rsid w:val="00642B4D"/>
    <w:rsid w:val="006541E3"/>
    <w:rsid w:val="0065728C"/>
    <w:rsid w:val="00667D92"/>
    <w:rsid w:val="006C13C9"/>
    <w:rsid w:val="006C3463"/>
    <w:rsid w:val="006C4949"/>
    <w:rsid w:val="006C7054"/>
    <w:rsid w:val="006D3BA9"/>
    <w:rsid w:val="006E65B0"/>
    <w:rsid w:val="00720DDA"/>
    <w:rsid w:val="00727382"/>
    <w:rsid w:val="00727DE6"/>
    <w:rsid w:val="00733E5A"/>
    <w:rsid w:val="00734BDC"/>
    <w:rsid w:val="007417D2"/>
    <w:rsid w:val="007513C6"/>
    <w:rsid w:val="00753F55"/>
    <w:rsid w:val="00780199"/>
    <w:rsid w:val="00781300"/>
    <w:rsid w:val="0078183B"/>
    <w:rsid w:val="00792D73"/>
    <w:rsid w:val="007A10BE"/>
    <w:rsid w:val="007A6952"/>
    <w:rsid w:val="007D5055"/>
    <w:rsid w:val="007D7F4A"/>
    <w:rsid w:val="007E5D82"/>
    <w:rsid w:val="008274F3"/>
    <w:rsid w:val="00831DCB"/>
    <w:rsid w:val="008345B5"/>
    <w:rsid w:val="008501D8"/>
    <w:rsid w:val="00870B56"/>
    <w:rsid w:val="00872CBD"/>
    <w:rsid w:val="00873E73"/>
    <w:rsid w:val="0088526D"/>
    <w:rsid w:val="008A072D"/>
    <w:rsid w:val="008C21F2"/>
    <w:rsid w:val="008D713C"/>
    <w:rsid w:val="008F18E8"/>
    <w:rsid w:val="009262BE"/>
    <w:rsid w:val="00927F7B"/>
    <w:rsid w:val="0095395D"/>
    <w:rsid w:val="00955762"/>
    <w:rsid w:val="00955B40"/>
    <w:rsid w:val="009A1C81"/>
    <w:rsid w:val="009A7083"/>
    <w:rsid w:val="009C2807"/>
    <w:rsid w:val="009C7EC6"/>
    <w:rsid w:val="00A20B6B"/>
    <w:rsid w:val="00A429B4"/>
    <w:rsid w:val="00A52BEA"/>
    <w:rsid w:val="00A5581A"/>
    <w:rsid w:val="00A56EA3"/>
    <w:rsid w:val="00A97E18"/>
    <w:rsid w:val="00AA32FA"/>
    <w:rsid w:val="00AF6462"/>
    <w:rsid w:val="00B05ABC"/>
    <w:rsid w:val="00B102EB"/>
    <w:rsid w:val="00B323CB"/>
    <w:rsid w:val="00B366CE"/>
    <w:rsid w:val="00B5523E"/>
    <w:rsid w:val="00B56931"/>
    <w:rsid w:val="00B61702"/>
    <w:rsid w:val="00B7099C"/>
    <w:rsid w:val="00B77C5D"/>
    <w:rsid w:val="00B9376C"/>
    <w:rsid w:val="00B942BC"/>
    <w:rsid w:val="00B94C05"/>
    <w:rsid w:val="00BC198B"/>
    <w:rsid w:val="00BC32D8"/>
    <w:rsid w:val="00BC7420"/>
    <w:rsid w:val="00BD1697"/>
    <w:rsid w:val="00BD1F39"/>
    <w:rsid w:val="00C02029"/>
    <w:rsid w:val="00C2494B"/>
    <w:rsid w:val="00C2749C"/>
    <w:rsid w:val="00C30EDD"/>
    <w:rsid w:val="00C35EF2"/>
    <w:rsid w:val="00C552C1"/>
    <w:rsid w:val="00C823B6"/>
    <w:rsid w:val="00C943F4"/>
    <w:rsid w:val="00CA4779"/>
    <w:rsid w:val="00CA689F"/>
    <w:rsid w:val="00CA69A0"/>
    <w:rsid w:val="00CB1841"/>
    <w:rsid w:val="00CB7CC6"/>
    <w:rsid w:val="00CE4CF2"/>
    <w:rsid w:val="00CF24AE"/>
    <w:rsid w:val="00CF7897"/>
    <w:rsid w:val="00D20297"/>
    <w:rsid w:val="00D2125D"/>
    <w:rsid w:val="00D21FF8"/>
    <w:rsid w:val="00D4307C"/>
    <w:rsid w:val="00D53055"/>
    <w:rsid w:val="00D57C2A"/>
    <w:rsid w:val="00D7380C"/>
    <w:rsid w:val="00D86717"/>
    <w:rsid w:val="00D94E95"/>
    <w:rsid w:val="00DB56A0"/>
    <w:rsid w:val="00DE215E"/>
    <w:rsid w:val="00DE7AF9"/>
    <w:rsid w:val="00DF0467"/>
    <w:rsid w:val="00E07036"/>
    <w:rsid w:val="00E16125"/>
    <w:rsid w:val="00E27B79"/>
    <w:rsid w:val="00E37E8C"/>
    <w:rsid w:val="00E45CDE"/>
    <w:rsid w:val="00E74602"/>
    <w:rsid w:val="00EA05E7"/>
    <w:rsid w:val="00EA6247"/>
    <w:rsid w:val="00EB39AE"/>
    <w:rsid w:val="00ED17AB"/>
    <w:rsid w:val="00F02EA0"/>
    <w:rsid w:val="00F06A07"/>
    <w:rsid w:val="00F2025D"/>
    <w:rsid w:val="00F476F7"/>
    <w:rsid w:val="00F47A00"/>
    <w:rsid w:val="00F53878"/>
    <w:rsid w:val="00F83C04"/>
    <w:rsid w:val="00FB072A"/>
    <w:rsid w:val="00FB24A2"/>
    <w:rsid w:val="00FF07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E84C4"/>
  <w15:chartTrackingRefBased/>
  <w15:docId w15:val="{F6ADE58F-98A2-4C78-A09B-84E1C9BDB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gc">
    <w:name w:val="_tgc"/>
    <w:basedOn w:val="DefaultParagraphFont"/>
    <w:rsid w:val="00134547"/>
  </w:style>
  <w:style w:type="paragraph" w:styleId="FootnoteText">
    <w:name w:val="footnote text"/>
    <w:basedOn w:val="Normal"/>
    <w:link w:val="FootnoteTextChar"/>
    <w:uiPriority w:val="99"/>
    <w:semiHidden/>
    <w:unhideWhenUsed/>
    <w:rsid w:val="009A1C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1C81"/>
    <w:rPr>
      <w:sz w:val="20"/>
      <w:szCs w:val="20"/>
    </w:rPr>
  </w:style>
  <w:style w:type="character" w:styleId="FootnoteReference">
    <w:name w:val="footnote reference"/>
    <w:basedOn w:val="DefaultParagraphFont"/>
    <w:uiPriority w:val="99"/>
    <w:semiHidden/>
    <w:unhideWhenUsed/>
    <w:rsid w:val="009A1C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779A1-512F-49BD-A883-8A1441C25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1855</Words>
  <Characters>10577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dc:creator>
  <cp:keywords/>
  <dc:description/>
  <cp:lastModifiedBy>Andrew Gowler</cp:lastModifiedBy>
  <cp:revision>2</cp:revision>
  <dcterms:created xsi:type="dcterms:W3CDTF">2017-11-02T21:14:00Z</dcterms:created>
  <dcterms:modified xsi:type="dcterms:W3CDTF">2017-11-02T21:14:00Z</dcterms:modified>
</cp:coreProperties>
</file>