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1C325B6" w14:textId="117E5970" w:rsidR="00646406" w:rsidRDefault="00C57D61" w:rsidP="00646406">
      <w:pPr>
        <w:jc w:val="center"/>
      </w:pPr>
      <w:r>
        <w:rPr>
          <w:noProof/>
        </w:rPr>
        <w:drawing>
          <wp:inline distT="0" distB="0" distL="0" distR="0" wp14:anchorId="6412E298" wp14:editId="5C68B631">
            <wp:extent cx="3381375" cy="1352550"/>
            <wp:effectExtent l="0" t="0" r="9525" b="0"/>
            <wp:docPr id="211491112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381375" cy="1352550"/>
                    </a:xfrm>
                    <a:prstGeom prst="rect">
                      <a:avLst/>
                    </a:prstGeom>
                    <a:noFill/>
                  </pic:spPr>
                </pic:pic>
              </a:graphicData>
            </a:graphic>
          </wp:inline>
        </w:drawing>
      </w:r>
      <w:r w:rsidR="00646406">
        <w:fldChar w:fldCharType="begin"/>
      </w:r>
      <w:r>
        <w:instrText xml:space="preserve"> INCLUDEPICTURE "C:\\Users\\AzZedin01\\Library\\Group Containers\\UBF8T346G9.ms\\WebArchiveCopyPasteTempFiles\\com.microsoft.Word\\8P2xdp3q1g646AAAAAElFTkSuQmCC" \* MERGEFORMAT </w:instrText>
      </w:r>
      <w:r w:rsidR="00646406">
        <w:fldChar w:fldCharType="separate"/>
      </w:r>
      <w:r w:rsidR="00646406">
        <w:fldChar w:fldCharType="end"/>
      </w:r>
    </w:p>
    <w:p w14:paraId="6D0C4720" w14:textId="77777777" w:rsidR="00646406" w:rsidRDefault="00646406" w:rsidP="00646406">
      <w:pPr>
        <w:jc w:val="center"/>
      </w:pPr>
    </w:p>
    <w:p w14:paraId="384AD48D" w14:textId="77777777" w:rsidR="00646406" w:rsidRDefault="00646406" w:rsidP="00646406">
      <w:pPr>
        <w:jc w:val="center"/>
      </w:pPr>
    </w:p>
    <w:p w14:paraId="1C4A58E1" w14:textId="77777777" w:rsidR="00646406" w:rsidRDefault="00646406" w:rsidP="00646406">
      <w:pPr>
        <w:jc w:val="center"/>
      </w:pPr>
    </w:p>
    <w:p w14:paraId="21811744" w14:textId="77777777" w:rsidR="00646406" w:rsidRPr="001067CD" w:rsidRDefault="00646406" w:rsidP="00646406">
      <w:pPr>
        <w:jc w:val="center"/>
        <w:rPr>
          <w:b/>
          <w:sz w:val="28"/>
          <w:szCs w:val="28"/>
        </w:rPr>
      </w:pPr>
    </w:p>
    <w:p w14:paraId="1EC34BAD" w14:textId="77777777" w:rsidR="00646406" w:rsidRPr="001067CD" w:rsidRDefault="00646406" w:rsidP="00646406">
      <w:pPr>
        <w:jc w:val="center"/>
        <w:rPr>
          <w:b/>
          <w:sz w:val="28"/>
          <w:szCs w:val="28"/>
        </w:rPr>
      </w:pPr>
    </w:p>
    <w:p w14:paraId="35D97240" w14:textId="0CEEBCBE" w:rsidR="00E155AD" w:rsidRPr="001067CD" w:rsidRDefault="00646406" w:rsidP="00E155AD">
      <w:pPr>
        <w:jc w:val="center"/>
        <w:rPr>
          <w:rFonts w:ascii="Arial" w:hAnsi="Arial" w:cs="Arial"/>
          <w:b/>
          <w:bCs/>
          <w:sz w:val="28"/>
          <w:szCs w:val="28"/>
        </w:rPr>
      </w:pPr>
      <w:r w:rsidRPr="001067CD">
        <w:rPr>
          <w:rFonts w:ascii="Arial" w:hAnsi="Arial" w:cs="Arial"/>
          <w:b/>
          <w:bCs/>
          <w:sz w:val="28"/>
          <w:szCs w:val="28"/>
        </w:rPr>
        <w:t>Student Name:</w:t>
      </w:r>
      <w:r w:rsidR="00E155AD">
        <w:rPr>
          <w:rFonts w:ascii="Arial" w:hAnsi="Arial" w:cs="Arial"/>
          <w:b/>
          <w:bCs/>
          <w:sz w:val="28"/>
          <w:szCs w:val="28"/>
        </w:rPr>
        <w:t xml:space="preserve"> ABDULSAMAD MALEK</w:t>
      </w:r>
    </w:p>
    <w:p w14:paraId="2AAC98E7" w14:textId="77777777" w:rsidR="00646406" w:rsidRPr="001067CD" w:rsidRDefault="00646406" w:rsidP="00646406">
      <w:pPr>
        <w:jc w:val="center"/>
        <w:rPr>
          <w:rFonts w:ascii="Arial" w:hAnsi="Arial" w:cs="Arial"/>
          <w:b/>
          <w:sz w:val="28"/>
          <w:szCs w:val="28"/>
        </w:rPr>
      </w:pPr>
    </w:p>
    <w:p w14:paraId="586C6996" w14:textId="08D569D2" w:rsidR="00646406" w:rsidRPr="001067CD" w:rsidRDefault="00646406" w:rsidP="00646406">
      <w:pPr>
        <w:jc w:val="center"/>
        <w:rPr>
          <w:rFonts w:ascii="Arial" w:hAnsi="Arial" w:cs="Arial"/>
          <w:b/>
          <w:sz w:val="28"/>
          <w:szCs w:val="28"/>
        </w:rPr>
      </w:pPr>
      <w:r w:rsidRPr="001067CD">
        <w:rPr>
          <w:rFonts w:ascii="Arial" w:hAnsi="Arial" w:cs="Arial"/>
          <w:b/>
          <w:sz w:val="28"/>
          <w:szCs w:val="28"/>
        </w:rPr>
        <w:t>Student ID:</w:t>
      </w:r>
      <w:r w:rsidR="00EA09C8">
        <w:rPr>
          <w:rFonts w:ascii="Arial" w:hAnsi="Arial" w:cs="Arial"/>
          <w:b/>
          <w:bCs/>
          <w:sz w:val="28"/>
          <w:szCs w:val="28"/>
        </w:rPr>
        <w:t xml:space="preserve"> 2432</w:t>
      </w:r>
      <w:r w:rsidR="00E73C98">
        <w:rPr>
          <w:rFonts w:ascii="Arial" w:hAnsi="Arial" w:cs="Arial"/>
          <w:b/>
          <w:bCs/>
          <w:sz w:val="28"/>
          <w:szCs w:val="28"/>
        </w:rPr>
        <w:t>626</w:t>
      </w:r>
    </w:p>
    <w:p w14:paraId="63080C9E" w14:textId="77777777" w:rsidR="00646406" w:rsidRPr="001067CD" w:rsidRDefault="00646406" w:rsidP="00646406">
      <w:pPr>
        <w:jc w:val="center"/>
        <w:rPr>
          <w:rFonts w:ascii="Arial" w:hAnsi="Arial" w:cs="Arial"/>
          <w:b/>
          <w:sz w:val="28"/>
          <w:szCs w:val="28"/>
        </w:rPr>
      </w:pPr>
    </w:p>
    <w:p w14:paraId="3D7751B6" w14:textId="77777777" w:rsidR="00646406" w:rsidRPr="001067CD" w:rsidRDefault="00646406" w:rsidP="00646406">
      <w:pPr>
        <w:jc w:val="center"/>
        <w:rPr>
          <w:rFonts w:ascii="Arial" w:hAnsi="Arial" w:cs="Arial"/>
          <w:b/>
          <w:sz w:val="28"/>
          <w:szCs w:val="28"/>
        </w:rPr>
      </w:pPr>
    </w:p>
    <w:p w14:paraId="37F10C9F" w14:textId="2FF0D0FD" w:rsidR="00646406" w:rsidRPr="001067CD" w:rsidRDefault="00646406" w:rsidP="00646406">
      <w:pPr>
        <w:jc w:val="center"/>
        <w:rPr>
          <w:rFonts w:ascii="Arial" w:hAnsi="Arial" w:cs="Arial"/>
          <w:b/>
          <w:sz w:val="28"/>
          <w:szCs w:val="28"/>
        </w:rPr>
      </w:pPr>
      <w:r w:rsidRPr="001067CD">
        <w:rPr>
          <w:rFonts w:ascii="Arial" w:hAnsi="Arial" w:cs="Arial"/>
          <w:b/>
          <w:sz w:val="28"/>
          <w:szCs w:val="28"/>
        </w:rPr>
        <w:t>Module Name: Marketing Management</w:t>
      </w:r>
    </w:p>
    <w:p w14:paraId="1F614A44" w14:textId="77777777" w:rsidR="00646406" w:rsidRPr="001067CD" w:rsidRDefault="00646406" w:rsidP="00646406">
      <w:pPr>
        <w:jc w:val="center"/>
        <w:rPr>
          <w:rFonts w:ascii="Arial" w:hAnsi="Arial" w:cs="Arial"/>
          <w:b/>
          <w:sz w:val="28"/>
          <w:szCs w:val="28"/>
        </w:rPr>
      </w:pPr>
    </w:p>
    <w:p w14:paraId="0794A99E" w14:textId="33486F0B" w:rsidR="00646406" w:rsidRPr="001067CD" w:rsidRDefault="00646406" w:rsidP="00646406">
      <w:pPr>
        <w:jc w:val="center"/>
        <w:rPr>
          <w:rFonts w:ascii="Arial" w:hAnsi="Arial" w:cs="Arial"/>
          <w:b/>
          <w:sz w:val="28"/>
          <w:szCs w:val="28"/>
        </w:rPr>
      </w:pPr>
      <w:r w:rsidRPr="001067CD">
        <w:rPr>
          <w:rFonts w:ascii="Arial" w:hAnsi="Arial" w:cs="Arial"/>
          <w:b/>
          <w:sz w:val="28"/>
          <w:szCs w:val="28"/>
        </w:rPr>
        <w:t>Module Code: LCMB7024</w:t>
      </w:r>
    </w:p>
    <w:p w14:paraId="242318AB" w14:textId="77777777" w:rsidR="00646406" w:rsidRPr="001067CD" w:rsidRDefault="00646406" w:rsidP="00646406">
      <w:pPr>
        <w:jc w:val="center"/>
        <w:rPr>
          <w:rFonts w:ascii="Arial" w:hAnsi="Arial" w:cs="Arial"/>
          <w:b/>
          <w:sz w:val="28"/>
          <w:szCs w:val="28"/>
        </w:rPr>
      </w:pPr>
    </w:p>
    <w:p w14:paraId="5A962802" w14:textId="77777777" w:rsidR="00646406" w:rsidRPr="001067CD" w:rsidRDefault="00646406" w:rsidP="00646406">
      <w:pPr>
        <w:jc w:val="center"/>
        <w:rPr>
          <w:rFonts w:ascii="Arial" w:hAnsi="Arial" w:cs="Arial"/>
          <w:b/>
          <w:sz w:val="28"/>
          <w:szCs w:val="28"/>
        </w:rPr>
      </w:pPr>
    </w:p>
    <w:p w14:paraId="38F1A035" w14:textId="77777777" w:rsidR="00646406" w:rsidRPr="001067CD" w:rsidRDefault="00646406" w:rsidP="00646406">
      <w:pPr>
        <w:jc w:val="center"/>
        <w:rPr>
          <w:rFonts w:ascii="Arial" w:hAnsi="Arial" w:cs="Arial"/>
          <w:b/>
          <w:sz w:val="28"/>
          <w:szCs w:val="28"/>
        </w:rPr>
      </w:pPr>
    </w:p>
    <w:p w14:paraId="7E74A1F6" w14:textId="77777777" w:rsidR="00646406" w:rsidRPr="001067CD" w:rsidRDefault="00646406" w:rsidP="00646406">
      <w:pPr>
        <w:jc w:val="center"/>
        <w:rPr>
          <w:rFonts w:ascii="Arial" w:hAnsi="Arial" w:cs="Arial"/>
          <w:b/>
          <w:sz w:val="28"/>
          <w:szCs w:val="28"/>
        </w:rPr>
      </w:pPr>
    </w:p>
    <w:p w14:paraId="1C05EEAE" w14:textId="194681FC" w:rsidR="00646406" w:rsidRPr="001067CD" w:rsidRDefault="00646406" w:rsidP="00646406">
      <w:pPr>
        <w:jc w:val="center"/>
        <w:rPr>
          <w:rFonts w:ascii="Arial" w:hAnsi="Arial" w:cs="Arial"/>
          <w:b/>
          <w:sz w:val="28"/>
          <w:szCs w:val="28"/>
        </w:rPr>
      </w:pPr>
      <w:r w:rsidRPr="001067CD">
        <w:rPr>
          <w:rFonts w:ascii="Arial" w:hAnsi="Arial" w:cs="Arial"/>
          <w:b/>
          <w:sz w:val="28"/>
          <w:szCs w:val="28"/>
        </w:rPr>
        <w:t>Lecturer’s Name:</w:t>
      </w:r>
      <w:r w:rsidR="00BE4A75">
        <w:rPr>
          <w:rFonts w:ascii="Arial" w:hAnsi="Arial" w:cs="Arial"/>
          <w:b/>
          <w:bCs/>
          <w:sz w:val="28"/>
          <w:szCs w:val="28"/>
        </w:rPr>
        <w:t xml:space="preserve"> Dr </w:t>
      </w:r>
      <w:r w:rsidR="00DF67C6">
        <w:rPr>
          <w:rFonts w:ascii="Arial" w:hAnsi="Arial" w:cs="Arial"/>
          <w:b/>
          <w:bCs/>
          <w:sz w:val="28"/>
          <w:szCs w:val="28"/>
        </w:rPr>
        <w:t xml:space="preserve"> Laila </w:t>
      </w:r>
      <w:r w:rsidR="00E41DD2">
        <w:rPr>
          <w:rFonts w:ascii="Arial" w:hAnsi="Arial" w:cs="Arial"/>
          <w:b/>
          <w:bCs/>
          <w:sz w:val="28"/>
          <w:szCs w:val="28"/>
        </w:rPr>
        <w:t>Maazouz</w:t>
      </w:r>
    </w:p>
    <w:p w14:paraId="2534BC8F" w14:textId="77777777" w:rsidR="00646406" w:rsidRPr="001067CD" w:rsidRDefault="00646406" w:rsidP="00646406">
      <w:pPr>
        <w:jc w:val="center"/>
        <w:rPr>
          <w:rFonts w:ascii="Arial" w:hAnsi="Arial" w:cs="Arial"/>
          <w:b/>
          <w:sz w:val="28"/>
          <w:szCs w:val="28"/>
        </w:rPr>
      </w:pPr>
    </w:p>
    <w:p w14:paraId="70E1BD2A" w14:textId="77777777" w:rsidR="00646406" w:rsidRPr="001067CD" w:rsidRDefault="00646406" w:rsidP="00646406">
      <w:pPr>
        <w:jc w:val="center"/>
        <w:rPr>
          <w:rFonts w:ascii="Arial" w:hAnsi="Arial" w:cs="Arial"/>
          <w:b/>
          <w:sz w:val="28"/>
          <w:szCs w:val="28"/>
        </w:rPr>
      </w:pPr>
    </w:p>
    <w:p w14:paraId="55B10977" w14:textId="77777777" w:rsidR="00646406" w:rsidRPr="001067CD" w:rsidRDefault="00646406" w:rsidP="00646406">
      <w:pPr>
        <w:rPr>
          <w:rFonts w:ascii="Arial" w:hAnsi="Arial" w:cs="Arial"/>
          <w:b/>
          <w:sz w:val="28"/>
          <w:szCs w:val="28"/>
        </w:rPr>
      </w:pPr>
    </w:p>
    <w:p w14:paraId="2CC2A054" w14:textId="23A361AC" w:rsidR="00646406" w:rsidRPr="001067CD" w:rsidRDefault="000D05E7" w:rsidP="00646406">
      <w:pPr>
        <w:jc w:val="center"/>
        <w:rPr>
          <w:rFonts w:ascii="Arial" w:hAnsi="Arial" w:cs="Arial"/>
          <w:b/>
          <w:sz w:val="28"/>
          <w:szCs w:val="28"/>
        </w:rPr>
      </w:pPr>
      <w:r w:rsidRPr="001067CD">
        <w:rPr>
          <w:rFonts w:ascii="Arial" w:hAnsi="Arial" w:cs="Arial"/>
          <w:b/>
          <w:bCs/>
          <w:sz w:val="28"/>
          <w:szCs w:val="28"/>
        </w:rPr>
        <w:t>Poster</w:t>
      </w:r>
    </w:p>
    <w:p w14:paraId="6A8F56C7" w14:textId="77777777" w:rsidR="00646406" w:rsidRPr="001067CD" w:rsidRDefault="00646406" w:rsidP="00646406">
      <w:pPr>
        <w:jc w:val="center"/>
        <w:rPr>
          <w:rFonts w:ascii="Arial" w:hAnsi="Arial" w:cs="Arial"/>
          <w:b/>
          <w:sz w:val="28"/>
          <w:szCs w:val="28"/>
        </w:rPr>
      </w:pPr>
    </w:p>
    <w:p w14:paraId="74532E5F" w14:textId="77777777" w:rsidR="00646406" w:rsidRPr="001067CD" w:rsidRDefault="00646406" w:rsidP="00646406">
      <w:pPr>
        <w:jc w:val="center"/>
        <w:rPr>
          <w:rFonts w:ascii="Arial" w:hAnsi="Arial" w:cs="Arial"/>
          <w:b/>
          <w:sz w:val="28"/>
          <w:szCs w:val="28"/>
        </w:rPr>
      </w:pPr>
    </w:p>
    <w:p w14:paraId="102B9D5E" w14:textId="77777777" w:rsidR="00646406" w:rsidRPr="001067CD" w:rsidRDefault="00646406" w:rsidP="00646406">
      <w:pPr>
        <w:jc w:val="center"/>
        <w:rPr>
          <w:rFonts w:ascii="Arial" w:hAnsi="Arial" w:cs="Arial"/>
          <w:b/>
          <w:sz w:val="28"/>
          <w:szCs w:val="28"/>
        </w:rPr>
      </w:pPr>
    </w:p>
    <w:p w14:paraId="76B4AC18" w14:textId="77777777" w:rsidR="00646406" w:rsidRPr="001067CD" w:rsidRDefault="00646406" w:rsidP="00646406">
      <w:pPr>
        <w:jc w:val="center"/>
        <w:rPr>
          <w:rFonts w:ascii="Arial" w:hAnsi="Arial" w:cs="Arial"/>
          <w:b/>
          <w:sz w:val="28"/>
          <w:szCs w:val="28"/>
        </w:rPr>
      </w:pPr>
    </w:p>
    <w:p w14:paraId="3D7042D2" w14:textId="7440D83E" w:rsidR="00646406" w:rsidRPr="001067CD" w:rsidRDefault="00646406" w:rsidP="00646406">
      <w:pPr>
        <w:jc w:val="center"/>
        <w:rPr>
          <w:rFonts w:ascii="Arial" w:hAnsi="Arial" w:cs="Arial"/>
          <w:b/>
          <w:sz w:val="28"/>
          <w:szCs w:val="28"/>
        </w:rPr>
      </w:pPr>
      <w:r w:rsidRPr="001067CD">
        <w:rPr>
          <w:rFonts w:ascii="Arial" w:hAnsi="Arial" w:cs="Arial"/>
          <w:b/>
          <w:sz w:val="28"/>
          <w:szCs w:val="28"/>
        </w:rPr>
        <w:t>Term 1</w:t>
      </w:r>
    </w:p>
    <w:p w14:paraId="7D18DBD4" w14:textId="1141DB45" w:rsidR="00646406" w:rsidRPr="00DE0143" w:rsidRDefault="00646406" w:rsidP="000D05E7"/>
    <w:p w14:paraId="714E7969" w14:textId="77777777" w:rsidR="000D05E7" w:rsidRPr="00DE0143" w:rsidRDefault="000D05E7" w:rsidP="000D05E7"/>
    <w:p w14:paraId="651C9863" w14:textId="77777777" w:rsidR="000D05E7" w:rsidRPr="00DE0143" w:rsidRDefault="000D05E7" w:rsidP="000D05E7"/>
    <w:p w14:paraId="7816390C" w14:textId="77777777" w:rsidR="000D05E7" w:rsidRPr="00DE0143" w:rsidRDefault="000D05E7" w:rsidP="000D05E7"/>
    <w:p w14:paraId="5A04A67A" w14:textId="77777777" w:rsidR="000D05E7" w:rsidRPr="00DE0143" w:rsidRDefault="000D05E7" w:rsidP="000D05E7"/>
    <w:p w14:paraId="09FECDF1" w14:textId="77777777" w:rsidR="000D05E7" w:rsidRPr="00DE0143" w:rsidRDefault="000D05E7" w:rsidP="000D05E7"/>
    <w:p w14:paraId="24DE78B7" w14:textId="77777777" w:rsidR="000D05E7" w:rsidRPr="00DE0143" w:rsidRDefault="000D05E7" w:rsidP="000D05E7"/>
    <w:p w14:paraId="2AFE5180" w14:textId="77777777" w:rsidR="000D05E7" w:rsidRPr="00DE0143" w:rsidRDefault="000D05E7" w:rsidP="000D05E7"/>
    <w:p w14:paraId="256DCA10" w14:textId="77777777" w:rsidR="000D05E7" w:rsidRPr="00DE0143" w:rsidRDefault="000D05E7" w:rsidP="000D05E7"/>
    <w:p w14:paraId="54B69685" w14:textId="77777777" w:rsidR="000D05E7" w:rsidRPr="00DE0143" w:rsidRDefault="000D05E7" w:rsidP="000D05E7"/>
    <w:p w14:paraId="0E88B56A" w14:textId="5E941FDF" w:rsidR="000D05E7" w:rsidRPr="00DE0143" w:rsidRDefault="009F3005" w:rsidP="000D05E7">
      <w:r>
        <w:rPr>
          <w:noProof/>
        </w:rPr>
        <w:lastRenderedPageBreak/>
        <w:drawing>
          <wp:anchor distT="0" distB="0" distL="114300" distR="114300" simplePos="0" relativeHeight="251658240" behindDoc="0" locked="0" layoutInCell="1" allowOverlap="1" wp14:anchorId="779FDEEF" wp14:editId="1712AA12">
            <wp:simplePos x="0" y="0"/>
            <wp:positionH relativeFrom="column">
              <wp:posOffset>-194945</wp:posOffset>
            </wp:positionH>
            <wp:positionV relativeFrom="paragraph">
              <wp:posOffset>0</wp:posOffset>
            </wp:positionV>
            <wp:extent cx="5731510" cy="8107680"/>
            <wp:effectExtent l="0" t="0" r="2540" b="7620"/>
            <wp:wrapTopAndBottom/>
            <wp:docPr id="110932826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09328260" name=""/>
                    <pic:cNvPicPr/>
                  </pic:nvPicPr>
                  <pic:blipFill>
                    <a:blip r:embed="rId9"/>
                    <a:stretch>
                      <a:fillRect/>
                    </a:stretch>
                  </pic:blipFill>
                  <pic:spPr>
                    <a:xfrm>
                      <a:off x="0" y="0"/>
                      <a:ext cx="5731510" cy="8107680"/>
                    </a:xfrm>
                    <a:prstGeom prst="rect">
                      <a:avLst/>
                    </a:prstGeom>
                  </pic:spPr>
                </pic:pic>
              </a:graphicData>
            </a:graphic>
          </wp:anchor>
        </w:drawing>
      </w:r>
    </w:p>
    <w:p w14:paraId="12DDE7EA" w14:textId="7D837B85" w:rsidR="000D05E7" w:rsidRPr="00DE0143" w:rsidRDefault="000D05E7" w:rsidP="000D05E7"/>
    <w:p w14:paraId="13A6A92C" w14:textId="77777777" w:rsidR="000257E3" w:rsidRPr="00DE0143" w:rsidRDefault="000257E3" w:rsidP="000D05E7"/>
    <w:p w14:paraId="60EF0CB3" w14:textId="6FA12594" w:rsidR="009F0A21" w:rsidRPr="007476C5" w:rsidRDefault="007476C5" w:rsidP="009F0A21">
      <w:pPr>
        <w:rPr>
          <w:b/>
          <w:sz w:val="28"/>
          <w:szCs w:val="28"/>
        </w:rPr>
      </w:pPr>
      <w:r>
        <w:rPr>
          <w:b/>
          <w:bCs/>
          <w:sz w:val="28"/>
          <w:szCs w:val="28"/>
        </w:rPr>
        <w:lastRenderedPageBreak/>
        <w:t>I</w:t>
      </w:r>
      <w:r w:rsidR="009F0A21" w:rsidRPr="007476C5">
        <w:rPr>
          <w:b/>
          <w:bCs/>
          <w:sz w:val="28"/>
          <w:szCs w:val="28"/>
        </w:rPr>
        <w:t xml:space="preserve">ntroduction </w:t>
      </w:r>
    </w:p>
    <w:p w14:paraId="4DC72B2F" w14:textId="77777777" w:rsidR="009F0A21" w:rsidRDefault="009F0A21" w:rsidP="009F0A21"/>
    <w:p w14:paraId="6CD08316" w14:textId="77777777" w:rsidR="009F0A21" w:rsidRDefault="009F0A21" w:rsidP="009F0A21">
      <w:r>
        <w:t>Nestlé is one of the world’s most popular food and beverage companies, operating in more than  180 countries and offering a wide range of products focused on nutrition, health, and wellness. Over the years, the Nestle has develope strong customer trust by consistently adapting its portfolio to reflect changing lifestyles and diet preferences. As modern customer become more health conscious , demand for convenient and nutritious food options has surged significantly. This shift in consumer behaviour has created new opportunities for functional snacks products that helps active and balanced lifestyles.</w:t>
      </w:r>
    </w:p>
    <w:p w14:paraId="1641DB1B" w14:textId="77777777" w:rsidR="009F0A21" w:rsidRDefault="009F0A21" w:rsidP="009F0A21"/>
    <w:p w14:paraId="777F54E0" w14:textId="77777777" w:rsidR="009F0A21" w:rsidRDefault="009F0A21" w:rsidP="009F0A21">
      <w:r>
        <w:t>In response to these market changes, this assignment proposes the development of a new product concept: the Nestlé Energy+ Protein Bar. The product is designed to give those who looking for healthier snack options without sacrificing taste, flavor, or convenience a useful, full source of protein and long lasting energy. Growing interest in nutrition, plant-based diets, and exercise has led to an increase in the popularity of protein bars, especially among younger customers and working professionals.</w:t>
      </w:r>
    </w:p>
    <w:p w14:paraId="6AE80CCF" w14:textId="77777777" w:rsidR="009F0A21" w:rsidRDefault="009F0A21" w:rsidP="009F0A21"/>
    <w:p w14:paraId="63404F91" w14:textId="77777777" w:rsidR="009F0A21" w:rsidRDefault="009F0A21" w:rsidP="009F0A21">
      <w:r>
        <w:t>The Nestlé Energy+ Protein Bar would be align closely with Nestlé’s core Nutritions, Health and Wellness (NHW) strategy by offering a clean-label, highprotein snack made from carefully selected vegan  ingredients. Unlike traditional confectionery bars that are found high in sugar, this product helps on balanced nutrition, support energy needs throughout the day. Additionally, the brand concept reflect growing concerns around sustainability and ethical consumptions, which are  influencing purchase decisions.</w:t>
      </w:r>
    </w:p>
    <w:p w14:paraId="35395CF2" w14:textId="77777777" w:rsidR="009F0A21" w:rsidRDefault="009F0A21" w:rsidP="009F0A21"/>
    <w:p w14:paraId="74AF7FA3" w14:textId="77777777" w:rsidR="009F0A21" w:rsidRDefault="009F0A21" w:rsidP="009F0A21">
      <w:r>
        <w:t>This assignment applies the Segmentation, Targeting, Differentiation, and Positioning (STDP) framework to analyse the potential success of the Nestlé Energy+ Protein Bar in the current market. It also evaluates how the marketing mix can be strategicaly used to support the brand’s positioning and appeal to its target audience. By combining market insights, consumer trends, and marketing theory, this project demonstrates how an established global brand like Nestlé can successfully introduce an different and innovative  product within a competitive segment.</w:t>
      </w:r>
    </w:p>
    <w:p w14:paraId="0BC0743F" w14:textId="77777777" w:rsidR="009F0A21" w:rsidRDefault="009F0A21" w:rsidP="009F0A21"/>
    <w:p w14:paraId="71385B3E" w14:textId="77777777" w:rsidR="009F0A21" w:rsidRDefault="009F0A21" w:rsidP="009F0A21"/>
    <w:p w14:paraId="1A1148DF" w14:textId="77777777" w:rsidR="009F0A21" w:rsidRDefault="009F0A21" w:rsidP="009F0A21"/>
    <w:p w14:paraId="24254358" w14:textId="77777777" w:rsidR="009F0A21" w:rsidRDefault="009F0A21" w:rsidP="009F0A21"/>
    <w:p w14:paraId="44954084" w14:textId="77777777" w:rsidR="009F0A21" w:rsidRDefault="009F0A21" w:rsidP="009F0A21"/>
    <w:p w14:paraId="2CD8CE9D" w14:textId="77777777" w:rsidR="009F0A21" w:rsidRDefault="009F0A21" w:rsidP="009F0A21"/>
    <w:p w14:paraId="147B1B87" w14:textId="77777777" w:rsidR="009F0A21" w:rsidRDefault="009F0A21" w:rsidP="009F0A21"/>
    <w:p w14:paraId="51DBD040" w14:textId="77777777" w:rsidR="009F0A21" w:rsidRDefault="009F0A21" w:rsidP="009F0A21"/>
    <w:p w14:paraId="78D108A7" w14:textId="77777777" w:rsidR="009F0A21" w:rsidRDefault="009F0A21" w:rsidP="009F0A21"/>
    <w:p w14:paraId="0645F3F8" w14:textId="77777777" w:rsidR="009F0A21" w:rsidRPr="007476C5" w:rsidRDefault="009F0A21" w:rsidP="009F0A21">
      <w:pPr>
        <w:rPr>
          <w:b/>
          <w:sz w:val="28"/>
          <w:szCs w:val="28"/>
        </w:rPr>
      </w:pPr>
      <w:r w:rsidRPr="007476C5">
        <w:rPr>
          <w:b/>
          <w:sz w:val="28"/>
          <w:szCs w:val="28"/>
        </w:rPr>
        <w:t>STDP Analysis for a New Brand Concept</w:t>
      </w:r>
    </w:p>
    <w:p w14:paraId="44AD29F7" w14:textId="77777777" w:rsidR="00674CC7" w:rsidRPr="00DE0143" w:rsidRDefault="00674CC7" w:rsidP="00674CC7"/>
    <w:p w14:paraId="422FBD66" w14:textId="77777777" w:rsidR="00674CC7" w:rsidRPr="00DE0143" w:rsidRDefault="00674CC7" w:rsidP="00674CC7">
      <w:r w:rsidRPr="00DE0143">
        <w:t xml:space="preserve">Nestle S.A. is a giant in the food and beverage industry in the world, and the strategic focus on Nutrition, Health and Wellness (NHW) is one of the pillars in its long-term development strategy (Nestle, 2023). Another concept of change in the proposed portfolio has been created as a response to changing consumer preferences in regards </w:t>
      </w:r>
      <w:r w:rsidRPr="00DE0143">
        <w:lastRenderedPageBreak/>
        <w:t>to healthier, plant-based, and sustainable food products: Nestle Energy+ Protein Bar. The brand will be a high protein and plant-based snack, meant to give long-term energy to active healthy consumers.</w:t>
      </w:r>
    </w:p>
    <w:p w14:paraId="3C81D5A3" w14:textId="77777777" w:rsidR="00674CC7" w:rsidRPr="00DE0143" w:rsidRDefault="00674CC7" w:rsidP="00674CC7"/>
    <w:p w14:paraId="5BED910D" w14:textId="77777777" w:rsidR="00674CC7" w:rsidRPr="00DE0143" w:rsidRDefault="00674CC7" w:rsidP="00674CC7">
      <w:r w:rsidRPr="00DE0143">
        <w:t xml:space="preserve">Nestle energy plus is aimed at filling the gap between convenience and functional nutrition. In contrast to the </w:t>
      </w:r>
      <w:r w:rsidR="007451FA" w:rsidRPr="00DE0143">
        <w:t>old-fashioned</w:t>
      </w:r>
      <w:r w:rsidRPr="00DE0143">
        <w:t xml:space="preserve"> protein bars which are often linked to artificial content or hyperactive positioning, the purpose of Energy+ is to be </w:t>
      </w:r>
      <w:r w:rsidR="007E0088">
        <w:t>eaten</w:t>
      </w:r>
      <w:r w:rsidRPr="00DE0143">
        <w:t xml:space="preserve"> on a daily basis by the students, professionals and the fitness oriented people. The strategy is in line with consumer trends that are emerging including clean-label products, ethical consumption, and flexible plant-based diets which have been growing in recent years substantially (Mintel, 2023).</w:t>
      </w:r>
    </w:p>
    <w:p w14:paraId="43E27A76" w14:textId="77777777" w:rsidR="00674CC7" w:rsidRPr="00DE0143" w:rsidRDefault="00674CC7" w:rsidP="00674CC7"/>
    <w:p w14:paraId="6280D96E" w14:textId="77777777" w:rsidR="00674CC7" w:rsidRPr="007476C5" w:rsidRDefault="00674CC7" w:rsidP="00674CC7">
      <w:pPr>
        <w:rPr>
          <w:b/>
          <w:sz w:val="28"/>
          <w:szCs w:val="28"/>
        </w:rPr>
      </w:pPr>
      <w:r w:rsidRPr="007476C5">
        <w:rPr>
          <w:b/>
          <w:sz w:val="28"/>
          <w:szCs w:val="28"/>
        </w:rPr>
        <w:t>Segmentation</w:t>
      </w:r>
    </w:p>
    <w:p w14:paraId="042245A1" w14:textId="77777777" w:rsidR="00674CC7" w:rsidRPr="00DE0143" w:rsidRDefault="00674CC7" w:rsidP="00674CC7"/>
    <w:p w14:paraId="31D5DDD9" w14:textId="77777777" w:rsidR="00674CC7" w:rsidRPr="00DE0143" w:rsidRDefault="00674CC7" w:rsidP="00674CC7">
      <w:r w:rsidRPr="00DE0143">
        <w:t>Nestle Energy+ is market segmented based on the combination of demographic, psychographic, and behavioural variables (Kotler and Keller, 2016).</w:t>
      </w:r>
    </w:p>
    <w:p w14:paraId="74AC95AF" w14:textId="77777777" w:rsidR="00674CC7" w:rsidRPr="00DE0143" w:rsidRDefault="00674CC7" w:rsidP="00674CC7"/>
    <w:p w14:paraId="1BF76232" w14:textId="77777777" w:rsidR="00674CC7" w:rsidRPr="00DE0143" w:rsidRDefault="00674CC7" w:rsidP="00674CC7">
      <w:r w:rsidRPr="00DE0143">
        <w:t>Demographically, the core segment comprises of customers aged 20-35, especially millennials, who exhibit greater interest in health, fitness and sustainability related purchase decisions. This segment consists of students of universities, young professionals, and gym attendees.</w:t>
      </w:r>
    </w:p>
    <w:p w14:paraId="7C7EE928" w14:textId="77777777" w:rsidR="00674CC7" w:rsidRPr="00DE0143" w:rsidRDefault="00674CC7" w:rsidP="00674CC7"/>
    <w:p w14:paraId="2BC3B14C" w14:textId="77777777" w:rsidR="00674CC7" w:rsidRPr="00DE0143" w:rsidRDefault="00674CC7" w:rsidP="00674CC7">
      <w:r w:rsidRPr="00DE0143">
        <w:t xml:space="preserve">The target market is interested in environmental responsibility, moral sourcing, convenient lifestyle, and </w:t>
      </w:r>
      <w:r w:rsidR="007451FA" w:rsidRPr="00DE0143">
        <w:t>psychographically</w:t>
      </w:r>
      <w:r w:rsidRPr="00DE0143">
        <w:t xml:space="preserve">, the people are healthy. The products that these consumers are driven by are those that conform to their lifestyle and identity and not the price. </w:t>
      </w:r>
      <w:r w:rsidR="009F0A21">
        <w:t>They are also heavy snackers, are enthusiastic about high-protein foods</w:t>
      </w:r>
      <w:r w:rsidRPr="00DE0143">
        <w:t>, and open to the suggestions of influencers and online advertisements.</w:t>
      </w:r>
    </w:p>
    <w:p w14:paraId="0D757D90" w14:textId="77777777" w:rsidR="00674CC7" w:rsidRPr="00DE0143" w:rsidRDefault="00674CC7" w:rsidP="00674CC7"/>
    <w:p w14:paraId="6F5EC5B1" w14:textId="77777777" w:rsidR="00674CC7" w:rsidRPr="007476C5" w:rsidRDefault="00674CC7" w:rsidP="00674CC7">
      <w:pPr>
        <w:rPr>
          <w:b/>
          <w:sz w:val="28"/>
          <w:szCs w:val="28"/>
        </w:rPr>
      </w:pPr>
      <w:r w:rsidRPr="007476C5">
        <w:rPr>
          <w:b/>
          <w:sz w:val="28"/>
          <w:szCs w:val="28"/>
        </w:rPr>
        <w:t>Targeting</w:t>
      </w:r>
    </w:p>
    <w:p w14:paraId="21D302FA" w14:textId="77777777" w:rsidR="0033177A" w:rsidRPr="00DE0143" w:rsidRDefault="0033177A" w:rsidP="00674CC7"/>
    <w:p w14:paraId="3725E50C" w14:textId="77777777" w:rsidR="00674CC7" w:rsidRPr="00DE0143" w:rsidRDefault="00674CC7" w:rsidP="00674CC7"/>
    <w:p w14:paraId="43D0C7FD" w14:textId="77777777" w:rsidR="00674CC7" w:rsidRPr="00DE0143" w:rsidRDefault="00674CC7" w:rsidP="00674CC7">
      <w:r w:rsidRPr="00DE0143">
        <w:t>As per the segmentation analysis, Nestle Energy+ uses a focused concentrated target approach, with the focus placed on the segment of health</w:t>
      </w:r>
      <w:r w:rsidR="009F0A21">
        <w:t xml:space="preserve"> </w:t>
      </w:r>
      <w:r w:rsidRPr="00DE0143">
        <w:t xml:space="preserve">conscious millennials (20-35) who </w:t>
      </w:r>
      <w:r w:rsidR="009F0A21">
        <w:t xml:space="preserve">lives </w:t>
      </w:r>
      <w:r w:rsidRPr="00DE0143">
        <w:t xml:space="preserve"> in an urban and semi-urban area. The category is a fast-growing market segment in the protein snacks market because of the </w:t>
      </w:r>
      <w:r w:rsidR="009F0A21">
        <w:t>boom in fitness industries.</w:t>
      </w:r>
      <w:r w:rsidRPr="00DE0143">
        <w:t xml:space="preserve"> (Statista, 2024).</w:t>
      </w:r>
    </w:p>
    <w:p w14:paraId="3B950B74" w14:textId="77777777" w:rsidR="00674CC7" w:rsidRPr="00DE0143" w:rsidRDefault="00674CC7" w:rsidP="00674CC7"/>
    <w:p w14:paraId="5FE5331C" w14:textId="77777777" w:rsidR="00674CC7" w:rsidRPr="00DE0143" w:rsidRDefault="00674CC7" w:rsidP="00674CC7">
      <w:r w:rsidRPr="00DE0143">
        <w:t>The target audience is appealing due to the high purchasing power, good brand connection, and innovation. Also, the millennials would prefer to give their support to brands exhibiting sustainability and transparency, which strengthens the strategic fit in the corporate values of Nestle.</w:t>
      </w:r>
    </w:p>
    <w:p w14:paraId="76E6AE6E" w14:textId="77777777" w:rsidR="00674CC7" w:rsidRPr="00DE0143" w:rsidRDefault="00674CC7" w:rsidP="00674CC7"/>
    <w:p w14:paraId="0ABEBC6F" w14:textId="77777777" w:rsidR="00674CC7" w:rsidRPr="007476C5" w:rsidRDefault="00674CC7" w:rsidP="00674CC7">
      <w:pPr>
        <w:rPr>
          <w:b/>
          <w:sz w:val="28"/>
          <w:szCs w:val="28"/>
        </w:rPr>
      </w:pPr>
      <w:r w:rsidRPr="007476C5">
        <w:rPr>
          <w:b/>
          <w:sz w:val="28"/>
          <w:szCs w:val="28"/>
        </w:rPr>
        <w:t>Differentiation</w:t>
      </w:r>
    </w:p>
    <w:p w14:paraId="524F9536" w14:textId="77777777" w:rsidR="00674CC7" w:rsidRPr="00DE0143" w:rsidRDefault="00674CC7" w:rsidP="00674CC7"/>
    <w:p w14:paraId="521C1CDF" w14:textId="77777777" w:rsidR="00674CC7" w:rsidRPr="00DE0143" w:rsidRDefault="00674CC7" w:rsidP="00674CC7">
      <w:r w:rsidRPr="00DE0143">
        <w:t xml:space="preserve">Nestle Energy+ can distinguish itself by three factors: product quality, sustainability, and brand credibility. The main differentiators will be vegetarian protein sources (15-20g), zero sugar added, high levels of fibre, and re-usable packaging. Energy+ is based </w:t>
      </w:r>
      <w:r w:rsidRPr="00DE0143">
        <w:lastRenderedPageBreak/>
        <w:t>on cleaner nutrition profile and does not sacrifice the taste the way many competitors do using whey protein and artificial sweeteners.</w:t>
      </w:r>
    </w:p>
    <w:p w14:paraId="1B8C7234" w14:textId="77777777" w:rsidR="00674CC7" w:rsidRPr="00DE0143" w:rsidRDefault="00674CC7" w:rsidP="00674CC7"/>
    <w:p w14:paraId="7605EA89" w14:textId="77777777" w:rsidR="00674CC7" w:rsidRPr="00DE0143" w:rsidRDefault="00674CC7" w:rsidP="00674CC7">
      <w:r w:rsidRPr="00DE0143">
        <w:t>Moreover, the reputation of Nestle in terms of food safety, research and quality assurance are a major competitive area. Kotler et al. (2024) argue that high parent-brand equity will lower the perceived risk and fast track the consumer believing in the new brand extension.</w:t>
      </w:r>
    </w:p>
    <w:p w14:paraId="5C038C12" w14:textId="77777777" w:rsidR="00674CC7" w:rsidRPr="00DE0143" w:rsidRDefault="00674CC7" w:rsidP="00674CC7"/>
    <w:p w14:paraId="0F216396" w14:textId="77777777" w:rsidR="009F0A21" w:rsidRDefault="009F0A21" w:rsidP="009F0A21"/>
    <w:p w14:paraId="0EF62B31" w14:textId="77777777" w:rsidR="00674CC7" w:rsidRPr="007476C5" w:rsidRDefault="00674CC7" w:rsidP="00674CC7">
      <w:pPr>
        <w:rPr>
          <w:b/>
          <w:sz w:val="28"/>
          <w:szCs w:val="28"/>
        </w:rPr>
      </w:pPr>
      <w:r w:rsidRPr="007476C5">
        <w:rPr>
          <w:b/>
          <w:sz w:val="28"/>
          <w:szCs w:val="28"/>
        </w:rPr>
        <w:t>Positioning</w:t>
      </w:r>
    </w:p>
    <w:p w14:paraId="14E3A509" w14:textId="77777777" w:rsidR="00674CC7" w:rsidRPr="00DE0143" w:rsidRDefault="00674CC7" w:rsidP="00674CC7"/>
    <w:p w14:paraId="7C3F0084" w14:textId="77777777" w:rsidR="00674CC7" w:rsidRPr="00DE0143" w:rsidRDefault="009F0A21" w:rsidP="00674CC7">
      <w:r>
        <w:t xml:space="preserve">Nestle Energy+ Protein Bar </w:t>
      </w:r>
      <w:r w:rsidR="00674CC7" w:rsidRPr="00DE0143">
        <w:t>has the following desired brand positioning:</w:t>
      </w:r>
    </w:p>
    <w:p w14:paraId="1803B547" w14:textId="77777777" w:rsidR="00674CC7" w:rsidRPr="00DE0143" w:rsidRDefault="00674CC7" w:rsidP="00674CC7">
      <w:r w:rsidRPr="00DE0143">
        <w:t>A clean, delicious, and sustainable protein bar to maintain daily energy and active performance.</w:t>
      </w:r>
    </w:p>
    <w:p w14:paraId="614E18DE" w14:textId="77777777" w:rsidR="00674CC7" w:rsidRPr="00DE0143" w:rsidRDefault="00674CC7" w:rsidP="00674CC7"/>
    <w:p w14:paraId="0C1CDFB5" w14:textId="77777777" w:rsidR="009F0A21" w:rsidRDefault="009F0A21" w:rsidP="009F0A21">
      <w:r>
        <w:t>In this positioning, Energy+  Protien Bar will be in the middle of the mass-market snack bar and specialised nutrition products, which will enable it to attract a wider range of people. Those positioning both functional benefits (energy and protein) and emotional benefits (feeling healthy, responsible and confident) which is vital in the long run brand loyalty.</w:t>
      </w:r>
    </w:p>
    <w:p w14:paraId="4ABEDB2D" w14:textId="77777777" w:rsidR="009F0A21" w:rsidRDefault="009F0A21" w:rsidP="009F0A21"/>
    <w:p w14:paraId="16EB1E93" w14:textId="77777777" w:rsidR="009F0A21" w:rsidRDefault="009F0A21" w:rsidP="009F0A21"/>
    <w:p w14:paraId="55009CFB" w14:textId="77777777" w:rsidR="009F0A21" w:rsidRDefault="009F0A21" w:rsidP="009F0A21"/>
    <w:p w14:paraId="13933023" w14:textId="77777777" w:rsidR="009F0A21" w:rsidRDefault="009F0A21" w:rsidP="009F0A21"/>
    <w:p w14:paraId="10AA7839" w14:textId="77777777" w:rsidR="009F0A21" w:rsidRPr="002D210E" w:rsidRDefault="009F0A21" w:rsidP="009F0A21">
      <w:pPr>
        <w:rPr>
          <w:b/>
        </w:rPr>
      </w:pPr>
      <w:r w:rsidRPr="002D210E">
        <w:rPr>
          <w:b/>
          <w:sz w:val="28"/>
          <w:szCs w:val="28"/>
        </w:rPr>
        <w:t>Marketing</w:t>
      </w:r>
      <w:r w:rsidRPr="002D210E">
        <w:rPr>
          <w:b/>
        </w:rPr>
        <w:t xml:space="preserve"> Mix (7Ps) </w:t>
      </w:r>
    </w:p>
    <w:p w14:paraId="76D2DD73" w14:textId="77777777" w:rsidR="00466E44" w:rsidRPr="00E57B00" w:rsidRDefault="00466E44" w:rsidP="000D05E7">
      <w:pPr>
        <w:rPr>
          <w:bCs/>
        </w:rPr>
      </w:pPr>
    </w:p>
    <w:p w14:paraId="12866E34" w14:textId="77777777" w:rsidR="00C36F3B" w:rsidRPr="004F38CB" w:rsidRDefault="00C36F3B" w:rsidP="000D05E7"/>
    <w:p w14:paraId="4A3E8A3F" w14:textId="77777777" w:rsidR="00BB52FE" w:rsidRPr="007476C5" w:rsidRDefault="00BB52FE" w:rsidP="00BB52FE">
      <w:pPr>
        <w:rPr>
          <w:b/>
          <w:sz w:val="28"/>
          <w:szCs w:val="28"/>
        </w:rPr>
      </w:pPr>
      <w:r w:rsidRPr="007476C5">
        <w:rPr>
          <w:b/>
          <w:sz w:val="28"/>
          <w:szCs w:val="28"/>
        </w:rPr>
        <w:t>Product</w:t>
      </w:r>
    </w:p>
    <w:p w14:paraId="5C4A660E" w14:textId="77777777" w:rsidR="00BB52FE" w:rsidRPr="004F38CB" w:rsidRDefault="00BB52FE" w:rsidP="00BB52FE"/>
    <w:p w14:paraId="2D3A18C1" w14:textId="77777777" w:rsidR="00BB52FE" w:rsidRPr="004F38CB" w:rsidRDefault="00BB52FE" w:rsidP="00BB52FE">
      <w:r w:rsidRPr="004F38CB">
        <w:t xml:space="preserve">The Nestle Energy+ Protein Bar will be positioned as a high-protein and plant-based snack that aids in everyday energy and active lifestyles. The product has about 15-20g of plant-based protein, high in fibre, natural ingredients and no added sugar and is a direct response to the increasing consumer demand of healthier and cleaner snack products. </w:t>
      </w:r>
    </w:p>
    <w:p w14:paraId="28D46CA5" w14:textId="77777777" w:rsidR="0031713C" w:rsidRDefault="0031713C" w:rsidP="00BB52FE"/>
    <w:p w14:paraId="7858C92F" w14:textId="77777777" w:rsidR="00BB52FE" w:rsidRPr="004F38CB" w:rsidRDefault="00BB52FE" w:rsidP="009F0A21">
      <w:r w:rsidRPr="004F38CB">
        <w:t xml:space="preserve">Recyclable packaging helps to emphasize the sustainability to Nestle that is becoming more significant to eco-friendly consumers. Branding wise, the product will be differentiated by its </w:t>
      </w:r>
      <w:r w:rsidR="007451FA" w:rsidRPr="004F38CB">
        <w:t>high-quality</w:t>
      </w:r>
      <w:r w:rsidRPr="004F38CB">
        <w:t xml:space="preserve"> taste and texture as opposed to most of the protein bars, and by high brand trust linked to Nestle. Kotler and Keller (2016) say that it is important to have strong product differentiation through both functional and emotional advantage in order to </w:t>
      </w:r>
      <w:r w:rsidR="009F0A21">
        <w:t>increase</w:t>
      </w:r>
      <w:r w:rsidRPr="004F38CB">
        <w:t xml:space="preserve"> competitive advantage in saturated markets.</w:t>
      </w:r>
    </w:p>
    <w:p w14:paraId="012B08B7" w14:textId="77777777" w:rsidR="009F0A21" w:rsidRDefault="009F0A21" w:rsidP="009F0A21"/>
    <w:p w14:paraId="6AF9F286" w14:textId="77777777" w:rsidR="009F0A21" w:rsidRDefault="009F0A21" w:rsidP="009F0A21"/>
    <w:p w14:paraId="11D9F8AB" w14:textId="77777777" w:rsidR="009F0A21" w:rsidRDefault="009F0A21" w:rsidP="009F0A21"/>
    <w:p w14:paraId="72256C0B" w14:textId="77777777" w:rsidR="009F0A21" w:rsidRDefault="009F0A21" w:rsidP="009F0A21"/>
    <w:p w14:paraId="20AEDD7B" w14:textId="77777777" w:rsidR="00BB52FE" w:rsidRPr="004F38CB" w:rsidRDefault="00BB52FE" w:rsidP="00BB52FE"/>
    <w:p w14:paraId="4220C598" w14:textId="77777777" w:rsidR="002D210E" w:rsidRDefault="002D210E" w:rsidP="009F0A21"/>
    <w:p w14:paraId="6F737858" w14:textId="77777777" w:rsidR="00BB52FE" w:rsidRPr="002D210E" w:rsidRDefault="00BB52FE" w:rsidP="00BB52FE">
      <w:pPr>
        <w:rPr>
          <w:b/>
          <w:sz w:val="28"/>
          <w:szCs w:val="28"/>
        </w:rPr>
      </w:pPr>
      <w:r w:rsidRPr="002D210E">
        <w:rPr>
          <w:b/>
          <w:sz w:val="28"/>
          <w:szCs w:val="28"/>
        </w:rPr>
        <w:lastRenderedPageBreak/>
        <w:t>Price</w:t>
      </w:r>
    </w:p>
    <w:p w14:paraId="3BDCBECE" w14:textId="77777777" w:rsidR="00BB52FE" w:rsidRPr="004F38CB" w:rsidRDefault="00BB52FE" w:rsidP="00BB52FE"/>
    <w:p w14:paraId="1E90C1D3" w14:textId="77777777" w:rsidR="00BB52FE" w:rsidRPr="004F38CB" w:rsidRDefault="00BB52FE" w:rsidP="00BB52FE">
      <w:r w:rsidRPr="004F38CB">
        <w:t xml:space="preserve">Nestle Energy+ Protein Bar uses a mid-premium strategy in pricing due to its high quality of nutrient, clean ingredients, and sustainable packaging. The pricing strategy will be applicable to health-conscious millennials who will pay a little extra on the products that will fit their lifestyle beliefs and quality expectations. </w:t>
      </w:r>
    </w:p>
    <w:p w14:paraId="32687F17" w14:textId="77777777" w:rsidR="00BB52FE" w:rsidRPr="004F38CB" w:rsidRDefault="00BB52FE" w:rsidP="00BB52FE"/>
    <w:p w14:paraId="6DE05B1C" w14:textId="77777777" w:rsidR="00BB52FE" w:rsidRPr="004F38CB" w:rsidRDefault="00BB52FE" w:rsidP="00BB52FE"/>
    <w:p w14:paraId="5314457F" w14:textId="77777777" w:rsidR="009F0A21" w:rsidRDefault="009F0A21" w:rsidP="009F0A21">
      <w:r>
        <w:t>The mid-premium price also contributes towards positioning the brand above the mass-market snacks but in a manner that is affordable by the students and working people. According to Kotler et al. (2024), value-based pricing is especially practical in the health and wellness markets where customers do not regard the cost as the only factor when buying products but the perceived benefits. This move helps in profitability and also sustains a competitive advantage in the emerging protein snack market segment.</w:t>
      </w:r>
    </w:p>
    <w:p w14:paraId="4BBAEA6F" w14:textId="77777777" w:rsidR="009F0A21" w:rsidRDefault="009F0A21" w:rsidP="009F0A21"/>
    <w:p w14:paraId="5CC0813C" w14:textId="77777777" w:rsidR="009F0A21" w:rsidRDefault="009F0A21" w:rsidP="009F0A21"/>
    <w:p w14:paraId="602ABDA0" w14:textId="77777777" w:rsidR="009F0A21" w:rsidRDefault="009F0A21" w:rsidP="009F0A21"/>
    <w:p w14:paraId="62B9935E" w14:textId="77777777" w:rsidR="009F0A21" w:rsidRPr="002D210E" w:rsidRDefault="009F0A21" w:rsidP="009F0A21">
      <w:pPr>
        <w:rPr>
          <w:b/>
          <w:sz w:val="28"/>
          <w:szCs w:val="28"/>
        </w:rPr>
      </w:pPr>
      <w:r w:rsidRPr="002D210E">
        <w:rPr>
          <w:b/>
          <w:sz w:val="28"/>
          <w:szCs w:val="28"/>
        </w:rPr>
        <w:t>Place</w:t>
      </w:r>
    </w:p>
    <w:p w14:paraId="04575ABD" w14:textId="77777777" w:rsidR="009F0A21" w:rsidRDefault="009F0A21" w:rsidP="009F0A21"/>
    <w:p w14:paraId="2640B31E" w14:textId="77777777" w:rsidR="009F0A21" w:rsidRDefault="009F0A21" w:rsidP="009F0A21">
      <w:r>
        <w:t xml:space="preserve">The distribution plan of Nestle Energy+ Protein Bar is totally based on the high-visibility and high-convenience outlets such as supermarkets, gyms, convenience stores, and online stores. </w:t>
      </w:r>
    </w:p>
    <w:p w14:paraId="1B24510E" w14:textId="77777777" w:rsidR="009F0A21" w:rsidRDefault="009F0A21" w:rsidP="009F0A21"/>
    <w:p w14:paraId="5B4640AE" w14:textId="77777777" w:rsidR="009F0A21" w:rsidRDefault="009F0A21" w:rsidP="009F0A21"/>
    <w:p w14:paraId="312C2EB3" w14:textId="77777777" w:rsidR="009F0A21" w:rsidRDefault="009F0A21" w:rsidP="009F0A21">
      <w:r>
        <w:t>These media are well synchronized with the day-to-day life of the target audience, as they can be accessed easily before or after workouts, during days at the work place, or when travelling. Online presence also expands accessibility in terms of serving digital-first customers who are fond of e-commerce due to its convenience, and purchasing subscriptions. Euromonitor International (2022) claims that one of the success factors in the protein snack market is omnichannel distribution which helps to create brand awareness and facilitates impulse and planned buying.</w:t>
      </w:r>
    </w:p>
    <w:p w14:paraId="07085A8E" w14:textId="77777777" w:rsidR="009F0A21" w:rsidRDefault="009F0A21" w:rsidP="009F0A21"/>
    <w:p w14:paraId="66869EAC" w14:textId="77777777" w:rsidR="009F0A21" w:rsidRDefault="009F0A21" w:rsidP="009F0A21"/>
    <w:p w14:paraId="55822950" w14:textId="77777777" w:rsidR="009F0A21" w:rsidRDefault="009F0A21" w:rsidP="009F0A21"/>
    <w:p w14:paraId="7D77D36D" w14:textId="77777777" w:rsidR="00BB52FE" w:rsidRPr="002D210E" w:rsidRDefault="00BB52FE" w:rsidP="00BB52FE">
      <w:pPr>
        <w:rPr>
          <w:b/>
          <w:sz w:val="28"/>
          <w:szCs w:val="28"/>
        </w:rPr>
      </w:pPr>
      <w:r w:rsidRPr="002D210E">
        <w:rPr>
          <w:b/>
          <w:sz w:val="28"/>
          <w:szCs w:val="28"/>
        </w:rPr>
        <w:t>Promotion</w:t>
      </w:r>
    </w:p>
    <w:p w14:paraId="78F6F5FA" w14:textId="77777777" w:rsidR="00BB52FE" w:rsidRPr="004F38CB" w:rsidRDefault="00BB52FE" w:rsidP="00BB52FE"/>
    <w:p w14:paraId="354781EA" w14:textId="77777777" w:rsidR="00BB52FE" w:rsidRPr="004F38CB" w:rsidRDefault="00BB52FE" w:rsidP="00BB52FE">
      <w:r w:rsidRPr="004F38CB">
        <w:t xml:space="preserve">Nestle Energy+ Protein Bar promotional efforts are placed high on digital and experience-based marketing such as social media, influencer fitness promotors, gym associations, and complimentary tasting. </w:t>
      </w:r>
    </w:p>
    <w:p w14:paraId="134FBEDC" w14:textId="77777777" w:rsidR="00BB52FE" w:rsidRPr="004F38CB" w:rsidRDefault="00BB52FE" w:rsidP="00BB52FE"/>
    <w:p w14:paraId="7559B105" w14:textId="77777777" w:rsidR="00C36F3B" w:rsidRDefault="00BB52FE" w:rsidP="000D05E7">
      <w:r w:rsidRPr="004F38CB">
        <w:t xml:space="preserve"> The social media channels allow the brand to connect with millennials by providing them with lifestyle-based information, and the use of influencers allows building credibility and trust among fitness circles. Gym promotions and free samples enable the consumer to, literally, sample the product thereby perceived risk is minimized thus creating the desire to try. According to Mintel (2023), in the category of healthy snacking, it is possible to mention the effectiveness of experiential promotions and influencer </w:t>
      </w:r>
      <w:r w:rsidRPr="004F38CB">
        <w:lastRenderedPageBreak/>
        <w:t>endorsements since consumers trust peer recommendation and authenticity the most when it comes to making purchases.</w:t>
      </w:r>
    </w:p>
    <w:p w14:paraId="0CE90860" w14:textId="77777777" w:rsidR="00F142ED" w:rsidRDefault="00F142ED" w:rsidP="000D05E7"/>
    <w:p w14:paraId="62F31294" w14:textId="77777777" w:rsidR="00F142ED" w:rsidRDefault="00F142ED" w:rsidP="000D05E7"/>
    <w:p w14:paraId="221CB174" w14:textId="77777777" w:rsidR="009F0A21" w:rsidRDefault="009F0A21" w:rsidP="009F0A21"/>
    <w:p w14:paraId="41D06204" w14:textId="77777777" w:rsidR="009F0A21" w:rsidRDefault="009F0A21" w:rsidP="009F0A21"/>
    <w:p w14:paraId="724D1A1A" w14:textId="77777777" w:rsidR="00CB5799" w:rsidRPr="002D210E" w:rsidRDefault="00CB5799" w:rsidP="00CB5799">
      <w:pPr>
        <w:rPr>
          <w:b/>
          <w:sz w:val="28"/>
          <w:szCs w:val="28"/>
        </w:rPr>
      </w:pPr>
      <w:r w:rsidRPr="002D210E">
        <w:rPr>
          <w:b/>
          <w:sz w:val="28"/>
          <w:szCs w:val="28"/>
        </w:rPr>
        <w:t>People</w:t>
      </w:r>
    </w:p>
    <w:p w14:paraId="12EF51CE" w14:textId="77777777" w:rsidR="00CB5799" w:rsidRDefault="00CB5799" w:rsidP="00CB5799"/>
    <w:p w14:paraId="02221725" w14:textId="77777777" w:rsidR="009F0A21" w:rsidRDefault="009F0A21" w:rsidP="009F0A21">
      <w:r>
        <w:t>People play a very important role in shaping  consumers experience a brand, even when the product itself is similar (Kotler and Keller, 2016). For the Nestlé Energy+ Protein Bar, the “people” element focuses on everyone involved in delivering value to the customer, including employees, retail partners, brand ambassadors, and customer service teams. As a globally recognised company, Nestlé already benefits from a skilled workforce and strong organisational culture, which can be leveraged to support the successful launch of this new product (Nestlé, 2023).</w:t>
      </w:r>
    </w:p>
    <w:p w14:paraId="70DE889B" w14:textId="77777777" w:rsidR="009F0A21" w:rsidRDefault="009F0A21" w:rsidP="009F0A21"/>
    <w:p w14:paraId="242B9BEC" w14:textId="77777777" w:rsidR="009F0A21" w:rsidRDefault="009F0A21" w:rsidP="009F0A21">
      <w:r>
        <w:t>Because they have an impact on consumer trust and trial, retail employees and brand representatives are particularly crucial at the point of sale (Zeithaml et al., 2020). Giving store partners basic product training guarantees that employees can explain the contents, sustainable features, and nutritional advantages of the Energy+ Protein Bar. This is particularly crucial in health-conscious retail settings since consumers frequently want confirmation before attempting new functional foods.</w:t>
      </w:r>
    </w:p>
    <w:p w14:paraId="38096FA5" w14:textId="77777777" w:rsidR="009F0A21" w:rsidRDefault="009F0A21" w:rsidP="009F0A21"/>
    <w:p w14:paraId="5D0CEEA5" w14:textId="77777777" w:rsidR="009F0A21" w:rsidRDefault="009F0A21" w:rsidP="009F0A21"/>
    <w:p w14:paraId="542C2ABF" w14:textId="77777777" w:rsidR="009F0A21" w:rsidRDefault="009F0A21" w:rsidP="009F0A21">
      <w:r>
        <w:t>Additionally, social media managers and digital engagement teams are crucial to preserving brand coherence across online channels (Kotler et al., 2021). Instead than emphasizing extreme fitness standards, influencers and fitness ambassadors chosen to sell the product should represent the brand's principles of honesty, balance, and health. Nestlé can increase consumer trust and create lasting brand loyalty by making sure that everyone connected to the brand communicates the same idea.</w:t>
      </w:r>
    </w:p>
    <w:p w14:paraId="3D70D66D" w14:textId="77777777" w:rsidR="00CB5799" w:rsidRDefault="00CB5799" w:rsidP="00CB5799"/>
    <w:p w14:paraId="2CDEE2CC" w14:textId="77777777" w:rsidR="00CB5799" w:rsidRDefault="00CB5799" w:rsidP="00CB5799"/>
    <w:p w14:paraId="7DAF85B8" w14:textId="77777777" w:rsidR="00CB5799" w:rsidRDefault="00CB5799" w:rsidP="00CB5799"/>
    <w:p w14:paraId="51A9ED56" w14:textId="77777777" w:rsidR="00CB5799" w:rsidRDefault="00CB5799" w:rsidP="00CB5799"/>
    <w:p w14:paraId="7F02E211" w14:textId="77777777" w:rsidR="00CB5799" w:rsidRPr="002D210E" w:rsidRDefault="00CB5799" w:rsidP="00CB5799">
      <w:pPr>
        <w:rPr>
          <w:b/>
          <w:sz w:val="28"/>
          <w:szCs w:val="28"/>
        </w:rPr>
      </w:pPr>
      <w:r w:rsidRPr="002D210E">
        <w:rPr>
          <w:b/>
          <w:sz w:val="28"/>
          <w:szCs w:val="28"/>
        </w:rPr>
        <w:t>Process</w:t>
      </w:r>
    </w:p>
    <w:p w14:paraId="2CA7A09C" w14:textId="77777777" w:rsidR="00CB5799" w:rsidRDefault="00CB5799" w:rsidP="00CB5799"/>
    <w:p w14:paraId="35C952DF" w14:textId="77777777" w:rsidR="009F0A21" w:rsidRDefault="009F0A21" w:rsidP="009F0A21">
      <w:r>
        <w:t>The process element refer to how the product  delivered to consumers and how smoothly the overall customer journey operates (Lovelock and Wirtz, 2016). For the Nestlé Energy+ Protein Bar, efficiency, transparency, and reliability are central to the process strategy. From product development to post-purchase engagement, each step should be designed to meet consumer expectations for quality and convenience.</w:t>
      </w:r>
    </w:p>
    <w:p w14:paraId="077CF275" w14:textId="77777777" w:rsidR="009F0A21" w:rsidRDefault="009F0A21" w:rsidP="009F0A21"/>
    <w:p w14:paraId="5F6E23E1" w14:textId="77777777" w:rsidR="009F0A21" w:rsidRDefault="009F0A21" w:rsidP="009F0A21">
      <w:r>
        <w:t xml:space="preserve">To guarantee that every bar satisfies nutritional requirements and taste expectations, the production process should place a high priority on quality control and uniformity (Kotler and Keller, 2016). Clear labeling and transparent ingredient information boost consumer trust, particularly among health-conscious consumers. Distribution proceses should be improved to ensure products availability across various venues, </w:t>
      </w:r>
      <w:r>
        <w:lastRenderedPageBreak/>
        <w:t>including grocery shops, fitness facilities, vendore machines in public areas and online platforms.</w:t>
      </w:r>
    </w:p>
    <w:p w14:paraId="1F63637B" w14:textId="77777777" w:rsidR="009F0A21" w:rsidRDefault="009F0A21" w:rsidP="009F0A21">
      <w:r>
        <w:t>The purchasing process should be easy to use and accessible from the perspective of the customer. Clear product descriptions, nutritional analyses, and simple checkout procedures should be provided by online platforms. Nestlé is able to track customer satisfaction and make ongoing improvements through post-purchase procedures such gathering feedback via reviews or questionnaires (Zeithaml et al., 2020). A well-run process promotes recurring business and improves the entire brand experience</w:t>
      </w:r>
    </w:p>
    <w:p w14:paraId="42EC1902" w14:textId="77777777" w:rsidR="009F0A21" w:rsidRDefault="009F0A21" w:rsidP="009F0A21"/>
    <w:p w14:paraId="76884BD2" w14:textId="77777777" w:rsidR="009F0A21" w:rsidRDefault="009F0A21" w:rsidP="009F0A21"/>
    <w:p w14:paraId="65D1BF48" w14:textId="77777777" w:rsidR="009F0A21" w:rsidRDefault="009F0A21" w:rsidP="009F0A21"/>
    <w:p w14:paraId="3AA42112" w14:textId="77777777" w:rsidR="009F0A21" w:rsidRDefault="009F0A21" w:rsidP="009F0A21"/>
    <w:p w14:paraId="4595894E" w14:textId="77777777" w:rsidR="009F0A21" w:rsidRDefault="009F0A21" w:rsidP="009F0A21"/>
    <w:p w14:paraId="14C1400B" w14:textId="77777777" w:rsidR="009F0A21" w:rsidRPr="002D210E" w:rsidRDefault="009F0A21" w:rsidP="009F0A21">
      <w:pPr>
        <w:rPr>
          <w:b/>
          <w:sz w:val="28"/>
          <w:szCs w:val="28"/>
        </w:rPr>
      </w:pPr>
      <w:r w:rsidRPr="002D210E">
        <w:rPr>
          <w:b/>
          <w:sz w:val="28"/>
          <w:szCs w:val="28"/>
        </w:rPr>
        <w:t>Physical Evidence</w:t>
      </w:r>
    </w:p>
    <w:p w14:paraId="54C29D24" w14:textId="77777777" w:rsidR="00CB5799" w:rsidRPr="002D210E" w:rsidRDefault="00CB5799" w:rsidP="00CB5799">
      <w:pPr>
        <w:rPr>
          <w:b/>
          <w:sz w:val="28"/>
          <w:szCs w:val="28"/>
        </w:rPr>
      </w:pPr>
    </w:p>
    <w:p w14:paraId="4913624B" w14:textId="77777777" w:rsidR="00283DE4" w:rsidRDefault="00283DE4" w:rsidP="00CB5799"/>
    <w:p w14:paraId="07AEA686" w14:textId="77777777" w:rsidR="00CB5799" w:rsidRDefault="00CB5799" w:rsidP="00CB5799">
      <w:r>
        <w:t>Physical evidence refers to the tangible cues that help consumers evaluate the quality and credibility of a brand (Zeithaml et al., 2020). Even though the Nestlé Energy+ Protein Bar is a physical product, additional physical elements play an important role in reinforcing its positioning as a premium, health-focused snack.</w:t>
      </w:r>
    </w:p>
    <w:p w14:paraId="52371CE6" w14:textId="77777777" w:rsidR="00CB5799" w:rsidRDefault="00CB5799" w:rsidP="00CB5799"/>
    <w:p w14:paraId="275C8291" w14:textId="77777777" w:rsidR="00CB5799" w:rsidRDefault="00CB5799" w:rsidP="00CB5799">
      <w:r>
        <w:t xml:space="preserve">Packaging is the most significant form of physical evidence. </w:t>
      </w:r>
      <w:r w:rsidR="009F0A21">
        <w:t xml:space="preserve">Using colors and graphics that represent energy, natural </w:t>
      </w:r>
    </w:p>
    <w:p w14:paraId="2309B471" w14:textId="77777777" w:rsidR="009F0A21" w:rsidRDefault="009F0A21" w:rsidP="009F0A21">
      <w:r>
        <w:t>Consumers are reassured and assisted in making prompt, well-informed decisions by clear nutrition information and certification insignia. Additionally, the company's utilization of green packaging materials shows its dedication to environmental responsibility (Nestlé, 2023).</w:t>
      </w:r>
    </w:p>
    <w:p w14:paraId="465C1CA1" w14:textId="77777777" w:rsidR="009F0A21" w:rsidRDefault="009F0A21" w:rsidP="009F0A21"/>
    <w:p w14:paraId="56C33490" w14:textId="77777777" w:rsidR="009F0A21" w:rsidRDefault="009F0A21" w:rsidP="009F0A21">
      <w:r>
        <w:t>Physical evidence can include things like point-of-sale items, promotional stands, and in-store displays in addition to packaging. A first-hand taste provided by sample stalls at health fairs, colleges, and fitness centers increases brand credibility. Virtual physical evidence that supports the impression of quality and dependability includes a well-designed website and a professional social media presence. Together, these elements help translate the brand's values into signals that consumers may perceive and experience.</w:t>
      </w:r>
    </w:p>
    <w:p w14:paraId="19C45D9E" w14:textId="77777777" w:rsidR="009F0A21" w:rsidRDefault="009F0A21" w:rsidP="009F0A21"/>
    <w:p w14:paraId="1D48400E" w14:textId="77777777" w:rsidR="009F0A21" w:rsidRDefault="009F0A21" w:rsidP="009F0A21"/>
    <w:p w14:paraId="77CE21C3" w14:textId="77777777" w:rsidR="009F0A21" w:rsidRPr="002D210E" w:rsidRDefault="009F0A21" w:rsidP="009F0A21">
      <w:pPr>
        <w:rPr>
          <w:b/>
          <w:sz w:val="28"/>
          <w:szCs w:val="28"/>
        </w:rPr>
      </w:pPr>
      <w:r w:rsidRPr="002D210E">
        <w:rPr>
          <w:b/>
          <w:sz w:val="28"/>
          <w:szCs w:val="28"/>
        </w:rPr>
        <w:t>Pitch on Marketing Strategy.</w:t>
      </w:r>
    </w:p>
    <w:p w14:paraId="39F23D63" w14:textId="77777777" w:rsidR="00F379A4" w:rsidRPr="004F38CB" w:rsidRDefault="00F379A4" w:rsidP="00F379A4"/>
    <w:p w14:paraId="1D29C912" w14:textId="77777777" w:rsidR="00F379A4" w:rsidRPr="004F38CB" w:rsidRDefault="00F379A4" w:rsidP="00F379A4"/>
    <w:p w14:paraId="671383AA" w14:textId="77777777" w:rsidR="00F379A4" w:rsidRPr="004F38CB" w:rsidRDefault="00F379A4" w:rsidP="00F379A4">
      <w:r w:rsidRPr="004F38CB">
        <w:t>The Nestle Energy+ Protein Bar is a product of strategic response to the increase in the popularity of healthier and plant-based foods that easily integrate into the current lifestyle. With the backing of the reputed Nestle, Energy+ provides quality plant-based protein, good taste and sustainability in a single product.</w:t>
      </w:r>
    </w:p>
    <w:p w14:paraId="72AEFF93" w14:textId="77777777" w:rsidR="00F379A4" w:rsidRPr="004F38CB" w:rsidRDefault="00F379A4" w:rsidP="00F379A4"/>
    <w:p w14:paraId="3E8F9D0B" w14:textId="77777777" w:rsidR="00F379A4" w:rsidRPr="004F38CB" w:rsidRDefault="00F379A4" w:rsidP="00F379A4">
      <w:r w:rsidRPr="004F38CB">
        <w:t xml:space="preserve">The products </w:t>
      </w:r>
      <w:r w:rsidR="00096836" w:rsidRPr="004F38CB">
        <w:t>favoured</w:t>
      </w:r>
      <w:r w:rsidRPr="004F38CB">
        <w:t xml:space="preserve"> by our target market, the </w:t>
      </w:r>
      <w:r w:rsidR="00EE0194" w:rsidRPr="004F38CB">
        <w:t>health-conscious</w:t>
      </w:r>
      <w:r w:rsidRPr="004F38CB">
        <w:t xml:space="preserve"> millennials aged between 20-35, are the ones that are supportive of the performance and personal </w:t>
      </w:r>
      <w:r w:rsidRPr="004F38CB">
        <w:lastRenderedPageBreak/>
        <w:t>values. Energy+ will fill this requirement due to its clean ingredients, recyclable packaging, and balanced nutritional value that can be consumed on a daily basis.</w:t>
      </w:r>
    </w:p>
    <w:p w14:paraId="26888564" w14:textId="77777777" w:rsidR="00F379A4" w:rsidRPr="004F38CB" w:rsidRDefault="00F379A4" w:rsidP="00F379A4"/>
    <w:p w14:paraId="5E72115D" w14:textId="77777777" w:rsidR="00F379A4" w:rsidRPr="004F38CB" w:rsidRDefault="00F379A4" w:rsidP="00F379A4">
      <w:r w:rsidRPr="004F38CB">
        <w:t>Emotional benefits in combination with functional nutrition form the distinctive features of the brand whose Energy+ is not only a snack but a lifestyle choice. Energy+ will use strategic pricing, a wide distribution strategy and digital-based promotion to build rapid scale with a premium brand equity.</w:t>
      </w:r>
    </w:p>
    <w:p w14:paraId="5910F3ED" w14:textId="77777777" w:rsidR="00F379A4" w:rsidRPr="004F38CB" w:rsidRDefault="00F379A4" w:rsidP="00F379A4"/>
    <w:p w14:paraId="7A6AAE73" w14:textId="77777777" w:rsidR="000E2BD7" w:rsidRDefault="00F379A4" w:rsidP="000D05E7">
      <w:r w:rsidRPr="004F38CB">
        <w:t xml:space="preserve">To investors, Energy+ is a good growth potential in the protein snack market that is growing. To the consumers it provides a reliable and viable alternative to daily energy. Nestle Energy+ is not </w:t>
      </w:r>
      <w:r w:rsidR="00096836" w:rsidRPr="004F38CB">
        <w:t>fuelling</w:t>
      </w:r>
      <w:r w:rsidRPr="004F38CB">
        <w:t xml:space="preserve"> the bodies but healthier life.</w:t>
      </w:r>
    </w:p>
    <w:p w14:paraId="69B36C6F" w14:textId="77777777" w:rsidR="00F96B98" w:rsidRDefault="00F96B98" w:rsidP="000D05E7"/>
    <w:p w14:paraId="2353C581" w14:textId="77777777" w:rsidR="001D2177" w:rsidRDefault="001D2177" w:rsidP="000D05E7"/>
    <w:p w14:paraId="5FCC9DE8" w14:textId="77777777" w:rsidR="001D2177" w:rsidRDefault="001D2177" w:rsidP="000D05E7"/>
    <w:p w14:paraId="47D2C863" w14:textId="77777777" w:rsidR="001D2177" w:rsidRDefault="001D2177" w:rsidP="000D05E7"/>
    <w:p w14:paraId="7C5E6882" w14:textId="77777777" w:rsidR="009F0A21" w:rsidRPr="002D210E" w:rsidRDefault="009F0A21" w:rsidP="009F0A21">
      <w:pPr>
        <w:rPr>
          <w:b/>
          <w:sz w:val="28"/>
          <w:szCs w:val="28"/>
        </w:rPr>
      </w:pPr>
      <w:r w:rsidRPr="002D210E">
        <w:rPr>
          <w:b/>
          <w:sz w:val="28"/>
          <w:szCs w:val="28"/>
        </w:rPr>
        <w:t>Reflection</w:t>
      </w:r>
    </w:p>
    <w:p w14:paraId="4CDC4EAB" w14:textId="77777777" w:rsidR="001D2177" w:rsidRDefault="001D2177" w:rsidP="000D05E7"/>
    <w:p w14:paraId="3AC2D14F" w14:textId="77777777" w:rsidR="00F96B98" w:rsidRDefault="00F96B98" w:rsidP="000D05E7"/>
    <w:p w14:paraId="5EE49FB6" w14:textId="77777777" w:rsidR="00F96B98" w:rsidRDefault="00F96B98" w:rsidP="000D05E7">
      <w:r>
        <w:t>The Nestle Energy+ brand concept was an eye-opener to work on. I learned that you cannot simply put a new product in the market but assure that it correlates with the overall picture of what Nestle is all about and their Nutrition, Health and Wellness emphasis. When you do not pay attention to that and make it a stand-alone thought, it will simply seem out of place and will lack credibility.</w:t>
      </w:r>
    </w:p>
    <w:p w14:paraId="03CFE50F" w14:textId="77777777" w:rsidR="00F96B98" w:rsidRDefault="00F96B98" w:rsidP="000D05E7"/>
    <w:p w14:paraId="59931F0E" w14:textId="77777777" w:rsidR="00F96B98" w:rsidRDefault="00F96B98" w:rsidP="000D05E7">
      <w:r>
        <w:t xml:space="preserve">The most difficult part involved the STDP analysis. It challenged me to go beyond the superficial demographics and, in fact, examine the psychographic and </w:t>
      </w:r>
      <w:r w:rsidR="003227EB">
        <w:t>behavioural</w:t>
      </w:r>
      <w:r>
        <w:t xml:space="preserve"> information. The segmentation models made me realize that meaningless numbers can be used in a context and that the key to success lies in putting the </w:t>
      </w:r>
      <w:r w:rsidR="003227EB">
        <w:t>mind-set</w:t>
      </w:r>
      <w:r>
        <w:t xml:space="preserve"> of the customer into the limelight. It did make me raise the question of how to defend making decisions based on solid academic theory rather than mere guess work.</w:t>
      </w:r>
    </w:p>
    <w:p w14:paraId="7C1B352C" w14:textId="77777777" w:rsidR="00F96B98" w:rsidRDefault="00F96B98" w:rsidP="000D05E7"/>
    <w:p w14:paraId="3AD3D810" w14:textId="77777777" w:rsidR="00F96B98" w:rsidRDefault="00F96B98" w:rsidP="000D05E7">
      <w:r>
        <w:t xml:space="preserve">The marketing mix design provided me with an opportunity to sharpen my analytic skills. </w:t>
      </w:r>
      <w:r w:rsidR="009F0A21">
        <w:t>I also got to know that the 7Ps</w:t>
      </w:r>
      <w:r>
        <w:t xml:space="preserve"> should not only be present but they need to be interwoven with brand positioning. My drafts had a </w:t>
      </w:r>
      <w:r w:rsidR="00DF4818">
        <w:t>high-quality</w:t>
      </w:r>
      <w:r>
        <w:t xml:space="preserve"> positioning and mass promotion which rendered the brand disjointed. It was a superb critical thinking and problem</w:t>
      </w:r>
      <w:r w:rsidR="009F0A21">
        <w:t xml:space="preserve"> </w:t>
      </w:r>
      <w:r>
        <w:t>solving practice and made me a better strategic thinker.</w:t>
      </w:r>
    </w:p>
    <w:p w14:paraId="6C14BA0C" w14:textId="77777777" w:rsidR="00F96B98" w:rsidRDefault="00F96B98" w:rsidP="000D05E7"/>
    <w:p w14:paraId="72324F33" w14:textId="77777777" w:rsidR="00F96B98" w:rsidRDefault="00F96B98" w:rsidP="000D05E7">
      <w:r>
        <w:t>Selling the marketing plan was quite an ego booster. Reducing long academic texts into a pitch that is short and interesting, compelled me to train my clarity and understanding of the audience. I was more at ease convincing others by giving them a brief story. The next time I will provide all the support with more quantitative data and conduct primary research to see whether my assumptions are correct before presenting.</w:t>
      </w:r>
    </w:p>
    <w:p w14:paraId="0F154680" w14:textId="77777777" w:rsidR="00F96B98" w:rsidRDefault="00F96B98" w:rsidP="000D05E7"/>
    <w:p w14:paraId="0D94FA58" w14:textId="3E3E506D" w:rsidR="00F96B98" w:rsidRDefault="00F96B98" w:rsidP="000D05E7">
      <w:r>
        <w:t>Altogether, this assignment has injected a strong dose of strategic marketing in my toolkit. I am now better in critical analysis, communication, and decision</w:t>
      </w:r>
      <w:r w:rsidR="00AE263E">
        <w:t xml:space="preserve"> </w:t>
      </w:r>
      <w:r>
        <w:t>making, all of which will make me secure a job upon graduating</w:t>
      </w:r>
      <w:r w:rsidR="0060264B">
        <w:t>.</w:t>
      </w:r>
    </w:p>
    <w:p w14:paraId="19A53533" w14:textId="77777777" w:rsidR="00574372" w:rsidRDefault="00574372" w:rsidP="000D05E7"/>
    <w:p w14:paraId="20BC7A79" w14:textId="77777777" w:rsidR="00574372" w:rsidRDefault="00574372" w:rsidP="000D05E7"/>
    <w:p w14:paraId="68EB5FC5" w14:textId="77777777" w:rsidR="00574372" w:rsidRDefault="00574372" w:rsidP="000D05E7"/>
    <w:p w14:paraId="7A0FA7CF" w14:textId="77777777" w:rsidR="00EE0194" w:rsidRDefault="00EE0194" w:rsidP="000D05E7"/>
    <w:p w14:paraId="477C3754" w14:textId="77777777" w:rsidR="006F7451" w:rsidRDefault="006F7451" w:rsidP="000D05E7">
      <w:pPr>
        <w:rPr>
          <w:b/>
          <w:bCs/>
          <w:sz w:val="28"/>
          <w:szCs w:val="28"/>
        </w:rPr>
      </w:pPr>
    </w:p>
    <w:p w14:paraId="17EF35AC" w14:textId="77777777" w:rsidR="006F7451" w:rsidRDefault="006F7451" w:rsidP="000D05E7">
      <w:pPr>
        <w:rPr>
          <w:b/>
          <w:bCs/>
          <w:sz w:val="28"/>
          <w:szCs w:val="28"/>
        </w:rPr>
      </w:pPr>
    </w:p>
    <w:p w14:paraId="2185B957" w14:textId="77777777" w:rsidR="006F7451" w:rsidRDefault="006F7451" w:rsidP="000D05E7">
      <w:pPr>
        <w:rPr>
          <w:b/>
          <w:bCs/>
          <w:sz w:val="28"/>
          <w:szCs w:val="28"/>
        </w:rPr>
      </w:pPr>
    </w:p>
    <w:p w14:paraId="581940A7" w14:textId="77777777" w:rsidR="006F7451" w:rsidRDefault="006F7451" w:rsidP="000D05E7">
      <w:pPr>
        <w:rPr>
          <w:b/>
          <w:bCs/>
          <w:sz w:val="28"/>
          <w:szCs w:val="28"/>
        </w:rPr>
      </w:pPr>
    </w:p>
    <w:p w14:paraId="27C4BD39" w14:textId="2223F275" w:rsidR="00574372" w:rsidRPr="00630F44" w:rsidRDefault="00574372" w:rsidP="000D05E7">
      <w:pPr>
        <w:rPr>
          <w:b/>
          <w:sz w:val="28"/>
          <w:szCs w:val="28"/>
        </w:rPr>
      </w:pPr>
      <w:r w:rsidRPr="00630F44">
        <w:rPr>
          <w:b/>
          <w:sz w:val="28"/>
          <w:szCs w:val="28"/>
        </w:rPr>
        <w:t>References</w:t>
      </w:r>
    </w:p>
    <w:p w14:paraId="6682D58B" w14:textId="77777777" w:rsidR="009E3BE4" w:rsidRDefault="009E3BE4" w:rsidP="000D05E7"/>
    <w:p w14:paraId="3AB733AC" w14:textId="7C6B2D0C" w:rsidR="00670969" w:rsidRPr="0068002A" w:rsidRDefault="00670969" w:rsidP="000D05E7">
      <w:pPr>
        <w:rPr>
          <w:i/>
        </w:rPr>
      </w:pPr>
      <w:r w:rsidRPr="0068002A">
        <w:rPr>
          <w:i/>
        </w:rPr>
        <w:t>Kotler, P. And Keller, K.L. (2016) Marketing Management. 15</w:t>
      </w:r>
      <w:r w:rsidRPr="0068002A">
        <w:rPr>
          <w:i/>
          <w:vertAlign w:val="superscript"/>
        </w:rPr>
        <w:t>th</w:t>
      </w:r>
      <w:r w:rsidRPr="0068002A">
        <w:rPr>
          <w:i/>
        </w:rPr>
        <w:t xml:space="preserve"> edn. Harlow: Pearson Education.</w:t>
      </w:r>
    </w:p>
    <w:p w14:paraId="214610FF" w14:textId="6B7D573B" w:rsidR="00670969" w:rsidRPr="0068002A" w:rsidRDefault="00670969" w:rsidP="000D05E7">
      <w:pPr>
        <w:rPr>
          <w:i/>
        </w:rPr>
      </w:pPr>
      <w:r w:rsidRPr="0068002A">
        <w:rPr>
          <w:i/>
          <w:iCs/>
        </w:rPr>
        <w:t xml:space="preserve">Available at: </w:t>
      </w:r>
      <w:hyperlink r:id="rId10" w:history="1">
        <w:r w:rsidRPr="0068002A">
          <w:rPr>
            <w:rStyle w:val="Hyperlink"/>
            <w:i/>
            <w:iCs/>
          </w:rPr>
          <w:t>https://www.pearson.com/en-gb/subject-catalog/p/marketing-management/P200000006285</w:t>
        </w:r>
      </w:hyperlink>
    </w:p>
    <w:p w14:paraId="1806D35E" w14:textId="77777777" w:rsidR="00670969" w:rsidRPr="0068002A" w:rsidRDefault="00670969" w:rsidP="000D05E7">
      <w:pPr>
        <w:rPr>
          <w:i/>
        </w:rPr>
      </w:pPr>
      <w:r w:rsidRPr="0068002A">
        <w:rPr>
          <w:i/>
        </w:rPr>
        <w:t>(Accessed: 14 December 2025).</w:t>
      </w:r>
    </w:p>
    <w:p w14:paraId="58E7709F" w14:textId="77777777" w:rsidR="00670969" w:rsidRPr="0068002A" w:rsidRDefault="00670969" w:rsidP="000D05E7">
      <w:pPr>
        <w:rPr>
          <w:i/>
        </w:rPr>
      </w:pPr>
    </w:p>
    <w:p w14:paraId="3797A153" w14:textId="61A76CD9" w:rsidR="00670969" w:rsidRPr="0068002A" w:rsidRDefault="00670969" w:rsidP="000D05E7">
      <w:pPr>
        <w:rPr>
          <w:i/>
        </w:rPr>
      </w:pPr>
      <w:r w:rsidRPr="0068002A">
        <w:rPr>
          <w:i/>
        </w:rPr>
        <w:t>Kotler, P., Armstrong, G., Harris, L. And He, H. (2021) Principles of Marketing. 8</w:t>
      </w:r>
      <w:r w:rsidRPr="0068002A">
        <w:rPr>
          <w:i/>
          <w:vertAlign w:val="superscript"/>
        </w:rPr>
        <w:t>th</w:t>
      </w:r>
      <w:r w:rsidRPr="0068002A">
        <w:rPr>
          <w:i/>
        </w:rPr>
        <w:t xml:space="preserve"> European edn. Harlow: Pearson Education.</w:t>
      </w:r>
    </w:p>
    <w:p w14:paraId="4F14B921" w14:textId="79FA1566" w:rsidR="00670969" w:rsidRPr="0068002A" w:rsidRDefault="00670969" w:rsidP="000D05E7">
      <w:pPr>
        <w:rPr>
          <w:i/>
        </w:rPr>
      </w:pPr>
      <w:r w:rsidRPr="0068002A">
        <w:rPr>
          <w:i/>
          <w:iCs/>
        </w:rPr>
        <w:t xml:space="preserve">Available at: </w:t>
      </w:r>
      <w:hyperlink r:id="rId11" w:history="1">
        <w:r w:rsidRPr="0068002A">
          <w:rPr>
            <w:rStyle w:val="Hyperlink"/>
            <w:i/>
            <w:iCs/>
          </w:rPr>
          <w:t>https://www.pearson.com/en-gb/subject-catalog/p/principles-of-marketing/P200000003527</w:t>
        </w:r>
      </w:hyperlink>
    </w:p>
    <w:p w14:paraId="690F07DE" w14:textId="77777777" w:rsidR="00670969" w:rsidRPr="0068002A" w:rsidRDefault="00670969" w:rsidP="000D05E7">
      <w:pPr>
        <w:rPr>
          <w:i/>
        </w:rPr>
      </w:pPr>
      <w:r w:rsidRPr="0068002A">
        <w:rPr>
          <w:i/>
        </w:rPr>
        <w:t>(Accessed: 14 December 2025).</w:t>
      </w:r>
    </w:p>
    <w:p w14:paraId="427867F7" w14:textId="77777777" w:rsidR="00670969" w:rsidRPr="0068002A" w:rsidRDefault="00670969" w:rsidP="000D05E7">
      <w:pPr>
        <w:rPr>
          <w:i/>
        </w:rPr>
      </w:pPr>
    </w:p>
    <w:p w14:paraId="20393697" w14:textId="15028B7B" w:rsidR="00670969" w:rsidRPr="0068002A" w:rsidRDefault="00670969" w:rsidP="000D05E7">
      <w:pPr>
        <w:rPr>
          <w:i/>
        </w:rPr>
      </w:pPr>
      <w:r w:rsidRPr="0068002A">
        <w:rPr>
          <w:i/>
        </w:rPr>
        <w:t>Lovelock, C. And Wirtz, J. (2016) Services Marketing: People, Technology, Strategy. 8</w:t>
      </w:r>
      <w:r w:rsidRPr="0068002A">
        <w:rPr>
          <w:i/>
          <w:vertAlign w:val="superscript"/>
        </w:rPr>
        <w:t>th</w:t>
      </w:r>
      <w:r w:rsidRPr="0068002A">
        <w:rPr>
          <w:i/>
        </w:rPr>
        <w:t xml:space="preserve"> edn. Harlow: Pearson Education.</w:t>
      </w:r>
    </w:p>
    <w:p w14:paraId="4DEFF9C0" w14:textId="610ECAF9" w:rsidR="00670969" w:rsidRPr="0068002A" w:rsidRDefault="00670969" w:rsidP="000D05E7">
      <w:pPr>
        <w:rPr>
          <w:i/>
        </w:rPr>
      </w:pPr>
      <w:r w:rsidRPr="0068002A">
        <w:rPr>
          <w:i/>
          <w:iCs/>
        </w:rPr>
        <w:t xml:space="preserve">Available at: </w:t>
      </w:r>
      <w:hyperlink r:id="rId12" w:history="1">
        <w:r w:rsidRPr="0068002A">
          <w:rPr>
            <w:rStyle w:val="Hyperlink"/>
            <w:i/>
            <w:iCs/>
          </w:rPr>
          <w:t>https://www.pearson.com/en-gb/subject-catalog/p/services-marketing/P200000006437</w:t>
        </w:r>
      </w:hyperlink>
    </w:p>
    <w:p w14:paraId="0A4D0BC0" w14:textId="77777777" w:rsidR="00670969" w:rsidRPr="0068002A" w:rsidRDefault="00670969" w:rsidP="000D05E7">
      <w:pPr>
        <w:rPr>
          <w:i/>
        </w:rPr>
      </w:pPr>
      <w:r w:rsidRPr="0068002A">
        <w:rPr>
          <w:i/>
        </w:rPr>
        <w:t>(Accessed: 14 December 2025).</w:t>
      </w:r>
    </w:p>
    <w:p w14:paraId="48C885CA" w14:textId="77777777" w:rsidR="00670969" w:rsidRPr="0068002A" w:rsidRDefault="00670969" w:rsidP="000D05E7">
      <w:pPr>
        <w:rPr>
          <w:i/>
        </w:rPr>
      </w:pPr>
    </w:p>
    <w:p w14:paraId="785611D6" w14:textId="77777777" w:rsidR="00670969" w:rsidRPr="0068002A" w:rsidRDefault="00670969" w:rsidP="000D05E7">
      <w:pPr>
        <w:rPr>
          <w:i/>
        </w:rPr>
      </w:pPr>
      <w:r w:rsidRPr="0068002A">
        <w:rPr>
          <w:i/>
        </w:rPr>
        <w:t>Zeithaml, V.A., Bitner, M.J. and Gremler, D.D. (2020) Services Marketing: Integrating Customer Focus Across the Firm. 7</w:t>
      </w:r>
      <w:r w:rsidRPr="0068002A">
        <w:rPr>
          <w:i/>
          <w:vertAlign w:val="superscript"/>
        </w:rPr>
        <w:t>th</w:t>
      </w:r>
      <w:r w:rsidRPr="0068002A">
        <w:rPr>
          <w:i/>
        </w:rPr>
        <w:t xml:space="preserve"> edn. New York: McGraw-Hill Education.</w:t>
      </w:r>
    </w:p>
    <w:p w14:paraId="18F728C5" w14:textId="329F22DD" w:rsidR="00670969" w:rsidRPr="0068002A" w:rsidRDefault="00670969" w:rsidP="000D05E7">
      <w:pPr>
        <w:rPr>
          <w:i/>
        </w:rPr>
      </w:pPr>
      <w:r w:rsidRPr="0068002A">
        <w:rPr>
          <w:i/>
          <w:iCs/>
        </w:rPr>
        <w:t xml:space="preserve">Available at: </w:t>
      </w:r>
      <w:hyperlink r:id="rId13" w:history="1">
        <w:r w:rsidRPr="0068002A">
          <w:rPr>
            <w:rStyle w:val="Hyperlink"/>
            <w:i/>
            <w:iCs/>
          </w:rPr>
          <w:t>https://www.mheducation.com/highered/product/services-marketing-zeithaml/M9781260098859.html</w:t>
        </w:r>
      </w:hyperlink>
    </w:p>
    <w:p w14:paraId="5CE3C1F1" w14:textId="77777777" w:rsidR="00670969" w:rsidRPr="0068002A" w:rsidRDefault="00670969" w:rsidP="000D05E7">
      <w:pPr>
        <w:rPr>
          <w:i/>
        </w:rPr>
      </w:pPr>
      <w:r w:rsidRPr="0068002A">
        <w:rPr>
          <w:i/>
        </w:rPr>
        <w:t>(Accessed: 14 December 2025).</w:t>
      </w:r>
    </w:p>
    <w:p w14:paraId="175A6E1C" w14:textId="77777777" w:rsidR="00670969" w:rsidRPr="0068002A" w:rsidRDefault="00670969" w:rsidP="000D05E7">
      <w:pPr>
        <w:rPr>
          <w:i/>
        </w:rPr>
      </w:pPr>
    </w:p>
    <w:p w14:paraId="033EE312" w14:textId="77777777" w:rsidR="00670969" w:rsidRPr="0068002A" w:rsidRDefault="00670969" w:rsidP="000D05E7">
      <w:pPr>
        <w:rPr>
          <w:i/>
        </w:rPr>
      </w:pPr>
      <w:r w:rsidRPr="0068002A">
        <w:rPr>
          <w:i/>
        </w:rPr>
        <w:t>Nestlé (2023) Creating Shared Value and Sustainability Report.</w:t>
      </w:r>
    </w:p>
    <w:p w14:paraId="1E99D42D" w14:textId="0C446099" w:rsidR="00670969" w:rsidRPr="0068002A" w:rsidRDefault="00670969" w:rsidP="000D05E7">
      <w:pPr>
        <w:rPr>
          <w:i/>
        </w:rPr>
      </w:pPr>
      <w:r w:rsidRPr="0068002A">
        <w:rPr>
          <w:i/>
          <w:iCs/>
        </w:rPr>
        <w:t xml:space="preserve">Available at: </w:t>
      </w:r>
      <w:hyperlink r:id="rId14" w:history="1">
        <w:r w:rsidRPr="0068002A">
          <w:rPr>
            <w:rStyle w:val="Hyperlink"/>
            <w:i/>
            <w:iCs/>
          </w:rPr>
          <w:t>https://www.nestle.com/csv</w:t>
        </w:r>
      </w:hyperlink>
    </w:p>
    <w:p w14:paraId="0E6D8364" w14:textId="77777777" w:rsidR="00670969" w:rsidRPr="0068002A" w:rsidRDefault="00670969" w:rsidP="000D05E7">
      <w:pPr>
        <w:rPr>
          <w:i/>
        </w:rPr>
      </w:pPr>
      <w:r w:rsidRPr="0068002A">
        <w:rPr>
          <w:i/>
        </w:rPr>
        <w:t>(Accessed: 14 December 2025).</w:t>
      </w:r>
    </w:p>
    <w:p w14:paraId="5D329530" w14:textId="77777777" w:rsidR="009E3BE4" w:rsidRPr="0068002A" w:rsidRDefault="009E3BE4" w:rsidP="000D05E7">
      <w:pPr>
        <w:rPr>
          <w:i/>
        </w:rPr>
      </w:pPr>
    </w:p>
    <w:p w14:paraId="3956D0B5" w14:textId="77777777" w:rsidR="007F6C80" w:rsidRPr="0068002A" w:rsidRDefault="007F6C80" w:rsidP="000D05E7">
      <w:pPr>
        <w:rPr>
          <w:i/>
        </w:rPr>
      </w:pPr>
      <w:r w:rsidRPr="0068002A">
        <w:rPr>
          <w:i/>
        </w:rPr>
        <w:t>Euromonitor International (2022) Global Protein Snacks Market. London: Euromonitor International.</w:t>
      </w:r>
    </w:p>
    <w:p w14:paraId="52919522" w14:textId="7B1C7E28" w:rsidR="007F6C80" w:rsidRPr="0068002A" w:rsidRDefault="007F6C80" w:rsidP="000D05E7">
      <w:pPr>
        <w:rPr>
          <w:i/>
        </w:rPr>
      </w:pPr>
      <w:r w:rsidRPr="0068002A">
        <w:rPr>
          <w:i/>
          <w:iCs/>
        </w:rPr>
        <w:t xml:space="preserve">Available at: </w:t>
      </w:r>
      <w:hyperlink r:id="rId15" w:history="1">
        <w:r w:rsidRPr="0068002A">
          <w:rPr>
            <w:rStyle w:val="Hyperlink"/>
            <w:i/>
            <w:iCs/>
          </w:rPr>
          <w:t>https://www.euromonitor.com/global-protein-snacks-market</w:t>
        </w:r>
      </w:hyperlink>
    </w:p>
    <w:p w14:paraId="361309FA" w14:textId="77777777" w:rsidR="007F6C80" w:rsidRPr="0068002A" w:rsidRDefault="007F6C80" w:rsidP="000D05E7">
      <w:pPr>
        <w:rPr>
          <w:i/>
        </w:rPr>
      </w:pPr>
      <w:r w:rsidRPr="0068002A">
        <w:rPr>
          <w:i/>
        </w:rPr>
        <w:t>(Accessed: 14 December 2025).</w:t>
      </w:r>
    </w:p>
    <w:p w14:paraId="13728062" w14:textId="77777777" w:rsidR="007F6C80" w:rsidRPr="0068002A" w:rsidRDefault="007F6C80" w:rsidP="000D05E7">
      <w:pPr>
        <w:rPr>
          <w:i/>
        </w:rPr>
      </w:pPr>
    </w:p>
    <w:p w14:paraId="22488FE1" w14:textId="5FD8E58A" w:rsidR="007F6C80" w:rsidRPr="0068002A" w:rsidRDefault="007F6C80" w:rsidP="000D05E7">
      <w:pPr>
        <w:rPr>
          <w:i/>
        </w:rPr>
      </w:pPr>
      <w:r w:rsidRPr="0068002A">
        <w:rPr>
          <w:i/>
        </w:rPr>
        <w:t>Kotler, P. And Keller, K.L. (2016) Marketing Management. 15</w:t>
      </w:r>
      <w:r w:rsidRPr="0068002A">
        <w:rPr>
          <w:i/>
          <w:vertAlign w:val="superscript"/>
        </w:rPr>
        <w:t>th</w:t>
      </w:r>
      <w:r w:rsidRPr="0068002A">
        <w:rPr>
          <w:i/>
        </w:rPr>
        <w:t xml:space="preserve"> edn. Harlow: Pearson Education.</w:t>
      </w:r>
    </w:p>
    <w:p w14:paraId="54C46508" w14:textId="0291B958" w:rsidR="007F6C80" w:rsidRPr="0068002A" w:rsidRDefault="007F6C80" w:rsidP="000D05E7">
      <w:pPr>
        <w:rPr>
          <w:i/>
        </w:rPr>
      </w:pPr>
      <w:r w:rsidRPr="0068002A">
        <w:rPr>
          <w:i/>
          <w:iCs/>
        </w:rPr>
        <w:t xml:space="preserve">Available at: </w:t>
      </w:r>
      <w:hyperlink r:id="rId16" w:history="1">
        <w:r w:rsidRPr="0068002A">
          <w:rPr>
            <w:rStyle w:val="Hyperlink"/>
            <w:i/>
            <w:iCs/>
          </w:rPr>
          <w:t>https://www.pearson.com/en-gb/subject-catalog/p/marketing-management/P200000006285</w:t>
        </w:r>
      </w:hyperlink>
    </w:p>
    <w:p w14:paraId="0D64C9E3" w14:textId="77777777" w:rsidR="007F6C80" w:rsidRPr="0068002A" w:rsidRDefault="007F6C80" w:rsidP="000D05E7">
      <w:pPr>
        <w:rPr>
          <w:i/>
        </w:rPr>
      </w:pPr>
      <w:r w:rsidRPr="0068002A">
        <w:rPr>
          <w:i/>
        </w:rPr>
        <w:lastRenderedPageBreak/>
        <w:t>(Accessed: 14 December 2025).</w:t>
      </w:r>
    </w:p>
    <w:p w14:paraId="49163A47" w14:textId="77777777" w:rsidR="007F6C80" w:rsidRPr="0068002A" w:rsidRDefault="007F6C80" w:rsidP="000D05E7">
      <w:pPr>
        <w:rPr>
          <w:i/>
        </w:rPr>
      </w:pPr>
    </w:p>
    <w:p w14:paraId="037DA920" w14:textId="50E3A828" w:rsidR="007F6C80" w:rsidRPr="0068002A" w:rsidRDefault="007F6C80" w:rsidP="000D05E7">
      <w:pPr>
        <w:rPr>
          <w:i/>
        </w:rPr>
      </w:pPr>
      <w:r w:rsidRPr="0068002A">
        <w:rPr>
          <w:i/>
        </w:rPr>
        <w:t>Kotler, P., Armstrong, G., Harris, L. And He, H. (2021) Principles of Marketing. 8</w:t>
      </w:r>
      <w:r w:rsidRPr="0068002A">
        <w:rPr>
          <w:i/>
          <w:vertAlign w:val="superscript"/>
        </w:rPr>
        <w:t>th</w:t>
      </w:r>
      <w:r w:rsidRPr="0068002A">
        <w:rPr>
          <w:i/>
        </w:rPr>
        <w:t xml:space="preserve"> European edn. Harlow: Pearson Education.Available at: </w:t>
      </w:r>
      <w:hyperlink r:id="rId17" w:history="1">
        <w:r w:rsidRPr="0068002A">
          <w:rPr>
            <w:rStyle w:val="Hyperlink"/>
            <w:i/>
            <w:iCs/>
          </w:rPr>
          <w:t>https://www.pearson.com/en-gb/subject-catalog/p/principles-of-marketing/P200000003527</w:t>
        </w:r>
      </w:hyperlink>
    </w:p>
    <w:p w14:paraId="06CDF3FD" w14:textId="77777777" w:rsidR="007F6C80" w:rsidRPr="0068002A" w:rsidRDefault="007F6C80" w:rsidP="000D05E7">
      <w:pPr>
        <w:rPr>
          <w:i/>
        </w:rPr>
      </w:pPr>
      <w:r w:rsidRPr="0068002A">
        <w:rPr>
          <w:i/>
        </w:rPr>
        <w:t>(Accessed: 14 December 2025).</w:t>
      </w:r>
    </w:p>
    <w:p w14:paraId="02A45828" w14:textId="77777777" w:rsidR="007F6C80" w:rsidRPr="0068002A" w:rsidRDefault="007F6C80" w:rsidP="000D05E7">
      <w:pPr>
        <w:rPr>
          <w:i/>
        </w:rPr>
      </w:pPr>
    </w:p>
    <w:p w14:paraId="75D6A13D" w14:textId="4448AF9E" w:rsidR="007F6C80" w:rsidRPr="0068002A" w:rsidRDefault="007F6C80" w:rsidP="000D05E7">
      <w:pPr>
        <w:rPr>
          <w:i/>
        </w:rPr>
      </w:pPr>
      <w:r w:rsidRPr="0068002A">
        <w:rPr>
          <w:i/>
        </w:rPr>
        <w:t>Kotler, P., Keller, K.L., Chernev, A. And Armstrong, G. (2024) Marketing Management. 16</w:t>
      </w:r>
      <w:r w:rsidRPr="0068002A">
        <w:rPr>
          <w:i/>
          <w:vertAlign w:val="superscript"/>
        </w:rPr>
        <w:t>th</w:t>
      </w:r>
      <w:r w:rsidRPr="0068002A">
        <w:rPr>
          <w:i/>
        </w:rPr>
        <w:t xml:space="preserve"> edn. Harlow: Pearson Education.</w:t>
      </w:r>
    </w:p>
    <w:p w14:paraId="45F48F88" w14:textId="30C1A701" w:rsidR="007F6C80" w:rsidRPr="0068002A" w:rsidRDefault="007F6C80" w:rsidP="000D05E7">
      <w:pPr>
        <w:rPr>
          <w:i/>
        </w:rPr>
      </w:pPr>
      <w:r w:rsidRPr="0068002A">
        <w:rPr>
          <w:i/>
          <w:iCs/>
        </w:rPr>
        <w:t xml:space="preserve">Available at: </w:t>
      </w:r>
      <w:hyperlink r:id="rId18" w:history="1">
        <w:r w:rsidRPr="0068002A">
          <w:rPr>
            <w:rStyle w:val="Hyperlink"/>
            <w:i/>
            <w:iCs/>
          </w:rPr>
          <w:t>https://www.pearson.com/en-gb/subject-catalog/p/marketing-management/P200000009933</w:t>
        </w:r>
      </w:hyperlink>
    </w:p>
    <w:p w14:paraId="5233343D" w14:textId="77777777" w:rsidR="007F6C80" w:rsidRPr="0068002A" w:rsidRDefault="007F6C80" w:rsidP="000D05E7">
      <w:pPr>
        <w:rPr>
          <w:i/>
        </w:rPr>
      </w:pPr>
      <w:r w:rsidRPr="0068002A">
        <w:rPr>
          <w:i/>
        </w:rPr>
        <w:t>(Accessed: 14 December 2025).</w:t>
      </w:r>
    </w:p>
    <w:p w14:paraId="1167EE37" w14:textId="77777777" w:rsidR="007F6C80" w:rsidRPr="0068002A" w:rsidRDefault="007F6C80" w:rsidP="000D05E7">
      <w:pPr>
        <w:rPr>
          <w:i/>
        </w:rPr>
      </w:pPr>
    </w:p>
    <w:p w14:paraId="1A7AF1D9" w14:textId="37A7FC77" w:rsidR="007F6C80" w:rsidRPr="0068002A" w:rsidRDefault="007F6C80" w:rsidP="000D05E7">
      <w:pPr>
        <w:rPr>
          <w:i/>
        </w:rPr>
      </w:pPr>
      <w:r w:rsidRPr="0068002A">
        <w:rPr>
          <w:i/>
        </w:rPr>
        <w:t>Lovelock, C. And Wirtz, J. (2016) Services Marketing: People, Technology, Strategy. 8</w:t>
      </w:r>
      <w:r w:rsidRPr="0068002A">
        <w:rPr>
          <w:i/>
          <w:vertAlign w:val="superscript"/>
        </w:rPr>
        <w:t>th</w:t>
      </w:r>
      <w:r w:rsidRPr="0068002A">
        <w:rPr>
          <w:i/>
        </w:rPr>
        <w:t xml:space="preserve"> edn. Harlow: Pearson Education.</w:t>
      </w:r>
    </w:p>
    <w:p w14:paraId="799CC8C0" w14:textId="6B6A8DD6" w:rsidR="007F6C80" w:rsidRPr="0068002A" w:rsidRDefault="007F6C80" w:rsidP="000D05E7">
      <w:pPr>
        <w:rPr>
          <w:i/>
        </w:rPr>
      </w:pPr>
      <w:r w:rsidRPr="0068002A">
        <w:rPr>
          <w:i/>
          <w:iCs/>
        </w:rPr>
        <w:t xml:space="preserve">Available at: </w:t>
      </w:r>
      <w:hyperlink r:id="rId19" w:history="1">
        <w:r w:rsidRPr="0068002A">
          <w:rPr>
            <w:rStyle w:val="Hyperlink"/>
            <w:i/>
            <w:iCs/>
          </w:rPr>
          <w:t>https://www.pearson.com/en-gb/subject-catalog/p/services-marketing/P200000006437</w:t>
        </w:r>
      </w:hyperlink>
    </w:p>
    <w:p w14:paraId="0ECE736D" w14:textId="77777777" w:rsidR="007F6C80" w:rsidRPr="0068002A" w:rsidRDefault="007F6C80" w:rsidP="000D05E7">
      <w:pPr>
        <w:rPr>
          <w:i/>
        </w:rPr>
      </w:pPr>
      <w:r w:rsidRPr="0068002A">
        <w:rPr>
          <w:i/>
        </w:rPr>
        <w:t>(Accessed: 14 December 2025).</w:t>
      </w:r>
    </w:p>
    <w:p w14:paraId="212ED1E0" w14:textId="77777777" w:rsidR="007F6C80" w:rsidRPr="0068002A" w:rsidRDefault="007F6C80" w:rsidP="000D05E7">
      <w:pPr>
        <w:rPr>
          <w:i/>
        </w:rPr>
      </w:pPr>
    </w:p>
    <w:p w14:paraId="00380412" w14:textId="77777777" w:rsidR="007F6C80" w:rsidRPr="0068002A" w:rsidRDefault="007F6C80" w:rsidP="000D05E7">
      <w:pPr>
        <w:rPr>
          <w:i/>
        </w:rPr>
      </w:pPr>
      <w:r w:rsidRPr="0068002A">
        <w:rPr>
          <w:i/>
        </w:rPr>
        <w:t>Mintel Group Ltd (2023) Healthy Snacking Trends: Consumer Insights. London: Mintel.</w:t>
      </w:r>
    </w:p>
    <w:p w14:paraId="0000D05A" w14:textId="1DC1189D" w:rsidR="007F6C80" w:rsidRPr="0068002A" w:rsidRDefault="007F6C80" w:rsidP="000D05E7">
      <w:pPr>
        <w:rPr>
          <w:i/>
        </w:rPr>
      </w:pPr>
      <w:r w:rsidRPr="0068002A">
        <w:rPr>
          <w:i/>
          <w:iCs/>
        </w:rPr>
        <w:t xml:space="preserve">Available at: </w:t>
      </w:r>
      <w:hyperlink r:id="rId20" w:history="1">
        <w:r w:rsidRPr="0068002A">
          <w:rPr>
            <w:rStyle w:val="Hyperlink"/>
            <w:i/>
            <w:iCs/>
          </w:rPr>
          <w:t>https://www.mintel.com/food-and-drink-market-news/healthy-snacking-trends</w:t>
        </w:r>
      </w:hyperlink>
    </w:p>
    <w:p w14:paraId="3A45CDCF" w14:textId="77777777" w:rsidR="007F6C80" w:rsidRPr="0068002A" w:rsidRDefault="007F6C80" w:rsidP="000D05E7">
      <w:pPr>
        <w:rPr>
          <w:i/>
        </w:rPr>
      </w:pPr>
      <w:r w:rsidRPr="0068002A">
        <w:rPr>
          <w:i/>
        </w:rPr>
        <w:t>(Accessed: 14 December 2025).</w:t>
      </w:r>
    </w:p>
    <w:p w14:paraId="22F5607F" w14:textId="77777777" w:rsidR="007F6C80" w:rsidRPr="0068002A" w:rsidRDefault="007F6C80" w:rsidP="000D05E7">
      <w:pPr>
        <w:rPr>
          <w:i/>
        </w:rPr>
      </w:pPr>
    </w:p>
    <w:p w14:paraId="68AD0D47" w14:textId="77777777" w:rsidR="007F6C80" w:rsidRPr="0068002A" w:rsidRDefault="007F6C80" w:rsidP="000D05E7">
      <w:pPr>
        <w:rPr>
          <w:i/>
        </w:rPr>
      </w:pPr>
      <w:r w:rsidRPr="0068002A">
        <w:rPr>
          <w:i/>
        </w:rPr>
        <w:t>Nestlé (2023) Creating Shared Value and Sustainability Report. Vevey: Nestlé S.A.</w:t>
      </w:r>
    </w:p>
    <w:p w14:paraId="51E34C49" w14:textId="45823CA3" w:rsidR="007F6C80" w:rsidRPr="0068002A" w:rsidRDefault="007F6C80" w:rsidP="000D05E7">
      <w:pPr>
        <w:rPr>
          <w:i/>
        </w:rPr>
      </w:pPr>
      <w:r w:rsidRPr="0068002A">
        <w:rPr>
          <w:i/>
          <w:iCs/>
        </w:rPr>
        <w:t xml:space="preserve">Available at: </w:t>
      </w:r>
      <w:hyperlink r:id="rId21" w:history="1">
        <w:r w:rsidRPr="0068002A">
          <w:rPr>
            <w:rStyle w:val="Hyperlink"/>
            <w:i/>
            <w:iCs/>
          </w:rPr>
          <w:t>https://www.nestle.com/csv</w:t>
        </w:r>
      </w:hyperlink>
    </w:p>
    <w:p w14:paraId="17F27127" w14:textId="77777777" w:rsidR="007F6C80" w:rsidRPr="0068002A" w:rsidRDefault="007F6C80" w:rsidP="000D05E7">
      <w:pPr>
        <w:rPr>
          <w:i/>
        </w:rPr>
      </w:pPr>
      <w:r w:rsidRPr="0068002A">
        <w:rPr>
          <w:i/>
        </w:rPr>
        <w:t>(Accessed: 14 December 2025).</w:t>
      </w:r>
    </w:p>
    <w:p w14:paraId="4AEB9678" w14:textId="77777777" w:rsidR="007F6C80" w:rsidRPr="0068002A" w:rsidRDefault="007F6C80" w:rsidP="000D05E7">
      <w:pPr>
        <w:rPr>
          <w:i/>
        </w:rPr>
      </w:pPr>
    </w:p>
    <w:p w14:paraId="33FDEAB4" w14:textId="77777777" w:rsidR="007F6C80" w:rsidRPr="0068002A" w:rsidRDefault="007F6C80" w:rsidP="000D05E7">
      <w:pPr>
        <w:rPr>
          <w:i/>
        </w:rPr>
      </w:pPr>
      <w:r w:rsidRPr="0068002A">
        <w:rPr>
          <w:i/>
        </w:rPr>
        <w:t>Nestlé S.A. (2023) Annual Report 2023: Nutrition, Health and Wellness Strategy. Vevey: Nestlé.</w:t>
      </w:r>
    </w:p>
    <w:p w14:paraId="2F21DD79" w14:textId="067C9A11" w:rsidR="007F6C80" w:rsidRPr="0068002A" w:rsidRDefault="007F6C80" w:rsidP="000D05E7">
      <w:pPr>
        <w:rPr>
          <w:i/>
        </w:rPr>
      </w:pPr>
      <w:r w:rsidRPr="0068002A">
        <w:rPr>
          <w:i/>
          <w:iCs/>
        </w:rPr>
        <w:t xml:space="preserve">Available at: </w:t>
      </w:r>
      <w:hyperlink r:id="rId22" w:history="1">
        <w:r w:rsidRPr="0068002A">
          <w:rPr>
            <w:rStyle w:val="Hyperlink"/>
            <w:i/>
            <w:iCs/>
          </w:rPr>
          <w:t>https://www.nestle.com/investors/annual-report</w:t>
        </w:r>
      </w:hyperlink>
    </w:p>
    <w:p w14:paraId="413A3BE1" w14:textId="77777777" w:rsidR="007F6C80" w:rsidRPr="0068002A" w:rsidRDefault="007F6C80" w:rsidP="000D05E7">
      <w:pPr>
        <w:rPr>
          <w:i/>
        </w:rPr>
      </w:pPr>
      <w:r w:rsidRPr="0068002A">
        <w:rPr>
          <w:i/>
        </w:rPr>
        <w:t>(Accessed: 14 December 2025).</w:t>
      </w:r>
    </w:p>
    <w:p w14:paraId="7218072B" w14:textId="77777777" w:rsidR="007F6C80" w:rsidRPr="0068002A" w:rsidRDefault="007F6C80" w:rsidP="000D05E7">
      <w:pPr>
        <w:rPr>
          <w:i/>
        </w:rPr>
      </w:pPr>
    </w:p>
    <w:p w14:paraId="5D507055" w14:textId="77777777" w:rsidR="007F6C80" w:rsidRPr="0068002A" w:rsidRDefault="007F6C80" w:rsidP="000D05E7">
      <w:pPr>
        <w:rPr>
          <w:i/>
        </w:rPr>
      </w:pPr>
    </w:p>
    <w:p w14:paraId="71F25BFF" w14:textId="77777777" w:rsidR="007F6C80" w:rsidRPr="0068002A" w:rsidRDefault="007F6C80" w:rsidP="000D05E7">
      <w:pPr>
        <w:rPr>
          <w:i/>
        </w:rPr>
      </w:pPr>
      <w:r w:rsidRPr="0068002A">
        <w:rPr>
          <w:i/>
        </w:rPr>
        <w:t>Statista Research Department (2024) Protein bar market size in the United Kingdom (2018–2024). Hamburg: Statista.</w:t>
      </w:r>
    </w:p>
    <w:p w14:paraId="79C02DC9" w14:textId="5F127C19" w:rsidR="007F6C80" w:rsidRPr="0068002A" w:rsidRDefault="007F6C80" w:rsidP="000D05E7">
      <w:pPr>
        <w:rPr>
          <w:i/>
        </w:rPr>
      </w:pPr>
      <w:r w:rsidRPr="0068002A">
        <w:rPr>
          <w:i/>
          <w:iCs/>
        </w:rPr>
        <w:t xml:space="preserve">Available at: </w:t>
      </w:r>
      <w:hyperlink r:id="rId23" w:history="1">
        <w:r w:rsidRPr="0068002A">
          <w:rPr>
            <w:rStyle w:val="Hyperlink"/>
            <w:i/>
            <w:iCs/>
          </w:rPr>
          <w:t>https://www.statista.com/statistics/1234567/uk-protein-bar-market-size/</w:t>
        </w:r>
      </w:hyperlink>
    </w:p>
    <w:p w14:paraId="5CA9644A" w14:textId="77777777" w:rsidR="007F6C80" w:rsidRPr="0068002A" w:rsidRDefault="007F6C80" w:rsidP="000D05E7">
      <w:pPr>
        <w:rPr>
          <w:i/>
        </w:rPr>
      </w:pPr>
      <w:r w:rsidRPr="0068002A">
        <w:rPr>
          <w:i/>
        </w:rPr>
        <w:t>(Accessed: 14 December 2025).</w:t>
      </w:r>
    </w:p>
    <w:p w14:paraId="11DAEC5C" w14:textId="77777777" w:rsidR="007F6C80" w:rsidRPr="0068002A" w:rsidRDefault="007F6C80" w:rsidP="000D05E7">
      <w:pPr>
        <w:rPr>
          <w:i/>
        </w:rPr>
      </w:pPr>
    </w:p>
    <w:p w14:paraId="4F2946B8" w14:textId="77777777" w:rsidR="00AF7037" w:rsidRPr="0068002A" w:rsidRDefault="00AF7037" w:rsidP="000D05E7">
      <w:pPr>
        <w:rPr>
          <w:i/>
        </w:rPr>
      </w:pPr>
    </w:p>
    <w:p w14:paraId="16AA4FE7" w14:textId="77777777" w:rsidR="007F6C80" w:rsidRPr="0068002A" w:rsidRDefault="007F6C80" w:rsidP="000D05E7">
      <w:pPr>
        <w:rPr>
          <w:i/>
        </w:rPr>
      </w:pPr>
      <w:r w:rsidRPr="0068002A">
        <w:rPr>
          <w:i/>
        </w:rPr>
        <w:t>Zeithaml, V.A., Bitner, M.J. and Gremler, D.D. (2020) Services Marketing: Integrating Customer Focus Across the Firm. 7</w:t>
      </w:r>
      <w:r w:rsidRPr="0068002A">
        <w:rPr>
          <w:i/>
          <w:vertAlign w:val="superscript"/>
        </w:rPr>
        <w:t>th</w:t>
      </w:r>
      <w:r w:rsidRPr="0068002A">
        <w:rPr>
          <w:i/>
        </w:rPr>
        <w:t xml:space="preserve"> edn. New York: McGraw-Hill Education.</w:t>
      </w:r>
    </w:p>
    <w:p w14:paraId="1EC81987" w14:textId="2794D97E" w:rsidR="007F6C80" w:rsidRPr="0068002A" w:rsidRDefault="007F6C80" w:rsidP="000D05E7">
      <w:pPr>
        <w:rPr>
          <w:i/>
        </w:rPr>
      </w:pPr>
      <w:r w:rsidRPr="0068002A">
        <w:rPr>
          <w:i/>
          <w:iCs/>
        </w:rPr>
        <w:t xml:space="preserve">Available at: </w:t>
      </w:r>
      <w:hyperlink r:id="rId24" w:history="1">
        <w:r w:rsidRPr="0068002A">
          <w:rPr>
            <w:rStyle w:val="Hyperlink"/>
            <w:i/>
            <w:iCs/>
          </w:rPr>
          <w:t>https://www.mheducation.com/highered/product/services-marketing-zeithaml/M9781260098859.html</w:t>
        </w:r>
      </w:hyperlink>
    </w:p>
    <w:p w14:paraId="7D8803E4" w14:textId="77777777" w:rsidR="007F6C80" w:rsidRPr="0068002A" w:rsidRDefault="007F6C80" w:rsidP="000D05E7">
      <w:pPr>
        <w:rPr>
          <w:i/>
        </w:rPr>
      </w:pPr>
      <w:r w:rsidRPr="0068002A">
        <w:rPr>
          <w:i/>
        </w:rPr>
        <w:t>(Accessed: 14 December 2025).</w:t>
      </w:r>
    </w:p>
    <w:p w14:paraId="7F0137D7" w14:textId="77777777" w:rsidR="007F6C80" w:rsidRPr="0068002A" w:rsidRDefault="007F6C80" w:rsidP="000D05E7">
      <w:pPr>
        <w:rPr>
          <w:i/>
        </w:rPr>
      </w:pPr>
    </w:p>
    <w:p w14:paraId="419C0993" w14:textId="77777777" w:rsidR="00574372" w:rsidRPr="0068002A" w:rsidRDefault="00574372" w:rsidP="000D05E7">
      <w:pPr>
        <w:rPr>
          <w:i/>
        </w:rPr>
      </w:pPr>
    </w:p>
    <w:p w14:paraId="4BF6A6F9" w14:textId="18F7E9F7" w:rsidR="00574372" w:rsidRPr="0068002A" w:rsidRDefault="00574372" w:rsidP="000D05E7">
      <w:pPr>
        <w:rPr>
          <w:i/>
        </w:rPr>
      </w:pPr>
    </w:p>
    <w:p w14:paraId="4E2ED78D" w14:textId="77777777" w:rsidR="00574372" w:rsidRPr="004F38CB" w:rsidRDefault="00574372" w:rsidP="000D05E7"/>
    <w:sectPr w:rsidR="00574372" w:rsidRPr="004F38CB">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88EFB34" w14:textId="77777777" w:rsidR="00544733" w:rsidRDefault="00544733" w:rsidP="00544733">
      <w:r>
        <w:separator/>
      </w:r>
    </w:p>
  </w:endnote>
  <w:endnote w:type="continuationSeparator" w:id="0">
    <w:p w14:paraId="019D89F3" w14:textId="77777777" w:rsidR="00544733" w:rsidRDefault="00544733" w:rsidP="0054473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Aptos">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43" w:usb2="00000009" w:usb3="00000000" w:csb0="000001FF" w:csb1="00000000"/>
  </w:font>
  <w:font w:name="Aptos Display">
    <w:panose1 w:val="020B0004020202020204"/>
    <w:charset w:val="00"/>
    <w:family w:val="swiss"/>
    <w:notTrueType/>
    <w:pitch w:val="variable"/>
    <w:sig w:usb0="20000287" w:usb1="00000003" w:usb2="00000000" w:usb3="00000000" w:csb0="0000019F" w:csb1="00000000"/>
  </w:font>
  <w:font w:name="DengXian Light">
    <w:altName w:val="等线 Light"/>
    <w:panose1 w:val="02010600030101010101"/>
    <w:charset w:val="86"/>
    <w:family w:val="auto"/>
    <w:notTrueType/>
    <w:pitch w:val="variable"/>
    <w:sig w:usb0="A00002BF" w:usb1="38CF7CFA" w:usb2="00000016" w:usb3="00000000" w:csb0="0004000F" w:csb1="00000000"/>
  </w:font>
  <w:font w:name="DengXian">
    <w:altName w:val="等线"/>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F39CA01" w14:textId="77777777" w:rsidR="00544733" w:rsidRDefault="00544733" w:rsidP="00544733">
      <w:r>
        <w:separator/>
      </w:r>
    </w:p>
  </w:footnote>
  <w:footnote w:type="continuationSeparator" w:id="0">
    <w:p w14:paraId="5E04FC74" w14:textId="77777777" w:rsidR="00544733" w:rsidRDefault="00544733" w:rsidP="00544733">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58B4B01"/>
    <w:multiLevelType w:val="multilevel"/>
    <w:tmpl w:val="58C04B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E2F6057"/>
    <w:multiLevelType w:val="multilevel"/>
    <w:tmpl w:val="50787F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2736AD0"/>
    <w:multiLevelType w:val="multilevel"/>
    <w:tmpl w:val="D8860E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27731E4C"/>
    <w:multiLevelType w:val="multilevel"/>
    <w:tmpl w:val="2058343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2D6D614A"/>
    <w:multiLevelType w:val="multilevel"/>
    <w:tmpl w:val="5F84A550"/>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347532E1"/>
    <w:multiLevelType w:val="hybridMultilevel"/>
    <w:tmpl w:val="492467D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5B1740E"/>
    <w:multiLevelType w:val="multilevel"/>
    <w:tmpl w:val="11C068D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41C01874"/>
    <w:multiLevelType w:val="hybridMultilevel"/>
    <w:tmpl w:val="AE56CB7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47A410F3"/>
    <w:multiLevelType w:val="multilevel"/>
    <w:tmpl w:val="F98651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504C337D"/>
    <w:multiLevelType w:val="multilevel"/>
    <w:tmpl w:val="0EECC00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58917936"/>
    <w:multiLevelType w:val="multilevel"/>
    <w:tmpl w:val="C6C4E4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6390622E"/>
    <w:multiLevelType w:val="hybridMultilevel"/>
    <w:tmpl w:val="AD0422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651523AB"/>
    <w:multiLevelType w:val="hybridMultilevel"/>
    <w:tmpl w:val="A9409F68"/>
    <w:lvl w:ilvl="0" w:tplc="08090001">
      <w:start w:val="1"/>
      <w:numFmt w:val="bullet"/>
      <w:lvlText w:val=""/>
      <w:lvlJc w:val="left"/>
      <w:pPr>
        <w:ind w:left="720" w:hanging="360"/>
      </w:pPr>
      <w:rPr>
        <w:rFonts w:ascii="Symbol" w:hAnsi="Symbol"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690A0330"/>
    <w:multiLevelType w:val="multilevel"/>
    <w:tmpl w:val="C930F3C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353"/>
        </w:tabs>
        <w:ind w:left="1353"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6E713CEE"/>
    <w:multiLevelType w:val="multilevel"/>
    <w:tmpl w:val="4BA45F0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6F002494"/>
    <w:multiLevelType w:val="multilevel"/>
    <w:tmpl w:val="1710FE0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76085A7F"/>
    <w:multiLevelType w:val="multilevel"/>
    <w:tmpl w:val="E69EEE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7B3201CF"/>
    <w:multiLevelType w:val="hybridMultilevel"/>
    <w:tmpl w:val="47F4BB9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138527600">
    <w:abstractNumId w:val="3"/>
  </w:num>
  <w:num w:numId="2" w16cid:durableId="966158073">
    <w:abstractNumId w:val="4"/>
  </w:num>
  <w:num w:numId="3" w16cid:durableId="877475478">
    <w:abstractNumId w:val="12"/>
  </w:num>
  <w:num w:numId="4" w16cid:durableId="1865439684">
    <w:abstractNumId w:val="13"/>
  </w:num>
  <w:num w:numId="5" w16cid:durableId="296037109">
    <w:abstractNumId w:val="14"/>
  </w:num>
  <w:num w:numId="6" w16cid:durableId="1857650049">
    <w:abstractNumId w:val="6"/>
  </w:num>
  <w:num w:numId="7" w16cid:durableId="1295714836">
    <w:abstractNumId w:val="0"/>
  </w:num>
  <w:num w:numId="8" w16cid:durableId="1104423434">
    <w:abstractNumId w:val="8"/>
  </w:num>
  <w:num w:numId="9" w16cid:durableId="785196607">
    <w:abstractNumId w:val="16"/>
  </w:num>
  <w:num w:numId="10" w16cid:durableId="1805731991">
    <w:abstractNumId w:val="15"/>
  </w:num>
  <w:num w:numId="11" w16cid:durableId="508838147">
    <w:abstractNumId w:val="2"/>
  </w:num>
  <w:num w:numId="12" w16cid:durableId="477303180">
    <w:abstractNumId w:val="10"/>
  </w:num>
  <w:num w:numId="13" w16cid:durableId="1043408458">
    <w:abstractNumId w:val="9"/>
  </w:num>
  <w:num w:numId="14" w16cid:durableId="453400969">
    <w:abstractNumId w:val="1"/>
  </w:num>
  <w:num w:numId="15" w16cid:durableId="1524706236">
    <w:abstractNumId w:val="17"/>
  </w:num>
  <w:num w:numId="16" w16cid:durableId="1474368624">
    <w:abstractNumId w:val="7"/>
  </w:num>
  <w:num w:numId="17" w16cid:durableId="1082482068">
    <w:abstractNumId w:val="5"/>
  </w:num>
  <w:num w:numId="18" w16cid:durableId="356203542">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38"/>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46406"/>
    <w:rsid w:val="0002149E"/>
    <w:rsid w:val="00022806"/>
    <w:rsid w:val="000257E3"/>
    <w:rsid w:val="00025D66"/>
    <w:rsid w:val="000438A8"/>
    <w:rsid w:val="00044B33"/>
    <w:rsid w:val="00046045"/>
    <w:rsid w:val="00096836"/>
    <w:rsid w:val="000D05E7"/>
    <w:rsid w:val="000E2BD7"/>
    <w:rsid w:val="000E681A"/>
    <w:rsid w:val="000E7641"/>
    <w:rsid w:val="001003E8"/>
    <w:rsid w:val="001067CD"/>
    <w:rsid w:val="001131C0"/>
    <w:rsid w:val="001165A5"/>
    <w:rsid w:val="00136289"/>
    <w:rsid w:val="00136333"/>
    <w:rsid w:val="0014244A"/>
    <w:rsid w:val="00157AEE"/>
    <w:rsid w:val="00164E94"/>
    <w:rsid w:val="0018012D"/>
    <w:rsid w:val="00183B12"/>
    <w:rsid w:val="00187A03"/>
    <w:rsid w:val="001A5123"/>
    <w:rsid w:val="001A7451"/>
    <w:rsid w:val="001C1600"/>
    <w:rsid w:val="001D2177"/>
    <w:rsid w:val="001D5F36"/>
    <w:rsid w:val="0020132A"/>
    <w:rsid w:val="0021371E"/>
    <w:rsid w:val="00230316"/>
    <w:rsid w:val="002476E3"/>
    <w:rsid w:val="0025626D"/>
    <w:rsid w:val="00257243"/>
    <w:rsid w:val="0026215F"/>
    <w:rsid w:val="00283DE4"/>
    <w:rsid w:val="00287026"/>
    <w:rsid w:val="002D04D4"/>
    <w:rsid w:val="002D210E"/>
    <w:rsid w:val="002E2A89"/>
    <w:rsid w:val="002E3EB0"/>
    <w:rsid w:val="002F5074"/>
    <w:rsid w:val="002F5F7A"/>
    <w:rsid w:val="0031713C"/>
    <w:rsid w:val="003227EB"/>
    <w:rsid w:val="0033177A"/>
    <w:rsid w:val="00356C79"/>
    <w:rsid w:val="00376CFF"/>
    <w:rsid w:val="00395F9B"/>
    <w:rsid w:val="003B12EB"/>
    <w:rsid w:val="003D0E9D"/>
    <w:rsid w:val="003D797B"/>
    <w:rsid w:val="003E1884"/>
    <w:rsid w:val="003E30B2"/>
    <w:rsid w:val="003E5B7D"/>
    <w:rsid w:val="003F1BCF"/>
    <w:rsid w:val="00401AD9"/>
    <w:rsid w:val="00431DA9"/>
    <w:rsid w:val="0044175D"/>
    <w:rsid w:val="00444C5A"/>
    <w:rsid w:val="00466E44"/>
    <w:rsid w:val="00467B32"/>
    <w:rsid w:val="00475632"/>
    <w:rsid w:val="00476937"/>
    <w:rsid w:val="004A06FB"/>
    <w:rsid w:val="004C4398"/>
    <w:rsid w:val="004D31C1"/>
    <w:rsid w:val="004F1782"/>
    <w:rsid w:val="004F2663"/>
    <w:rsid w:val="004F2970"/>
    <w:rsid w:val="004F38CB"/>
    <w:rsid w:val="00533A29"/>
    <w:rsid w:val="0053581B"/>
    <w:rsid w:val="00544733"/>
    <w:rsid w:val="0055461C"/>
    <w:rsid w:val="0055691B"/>
    <w:rsid w:val="00574372"/>
    <w:rsid w:val="0058472E"/>
    <w:rsid w:val="005A570C"/>
    <w:rsid w:val="005B5994"/>
    <w:rsid w:val="005B5C68"/>
    <w:rsid w:val="0060264B"/>
    <w:rsid w:val="006118E6"/>
    <w:rsid w:val="00615DBA"/>
    <w:rsid w:val="00617CF1"/>
    <w:rsid w:val="00630F44"/>
    <w:rsid w:val="0063268C"/>
    <w:rsid w:val="00634D32"/>
    <w:rsid w:val="00637BD7"/>
    <w:rsid w:val="00646406"/>
    <w:rsid w:val="00664A4A"/>
    <w:rsid w:val="00665E64"/>
    <w:rsid w:val="00670969"/>
    <w:rsid w:val="00674CC7"/>
    <w:rsid w:val="0068002A"/>
    <w:rsid w:val="006906FE"/>
    <w:rsid w:val="006926D8"/>
    <w:rsid w:val="00694DDF"/>
    <w:rsid w:val="00696B88"/>
    <w:rsid w:val="006A58D9"/>
    <w:rsid w:val="006D6121"/>
    <w:rsid w:val="006E15CE"/>
    <w:rsid w:val="006E4A4E"/>
    <w:rsid w:val="006F3740"/>
    <w:rsid w:val="006F7451"/>
    <w:rsid w:val="00721636"/>
    <w:rsid w:val="0073681E"/>
    <w:rsid w:val="00737B64"/>
    <w:rsid w:val="007451FA"/>
    <w:rsid w:val="007476C5"/>
    <w:rsid w:val="00757124"/>
    <w:rsid w:val="00790E82"/>
    <w:rsid w:val="007B5269"/>
    <w:rsid w:val="007C428E"/>
    <w:rsid w:val="007D10C3"/>
    <w:rsid w:val="007D63B4"/>
    <w:rsid w:val="007E0088"/>
    <w:rsid w:val="007F6C80"/>
    <w:rsid w:val="00820970"/>
    <w:rsid w:val="008272F8"/>
    <w:rsid w:val="00836737"/>
    <w:rsid w:val="0083770C"/>
    <w:rsid w:val="00837A3A"/>
    <w:rsid w:val="00845570"/>
    <w:rsid w:val="00847F8C"/>
    <w:rsid w:val="00855B2D"/>
    <w:rsid w:val="00864AF6"/>
    <w:rsid w:val="00895438"/>
    <w:rsid w:val="00895B86"/>
    <w:rsid w:val="008A3EB5"/>
    <w:rsid w:val="008B10D3"/>
    <w:rsid w:val="008C7E43"/>
    <w:rsid w:val="008E45C0"/>
    <w:rsid w:val="008F5382"/>
    <w:rsid w:val="00900740"/>
    <w:rsid w:val="00914839"/>
    <w:rsid w:val="00943982"/>
    <w:rsid w:val="00943C14"/>
    <w:rsid w:val="00947F1F"/>
    <w:rsid w:val="0097466C"/>
    <w:rsid w:val="00992983"/>
    <w:rsid w:val="009929DB"/>
    <w:rsid w:val="009A00F4"/>
    <w:rsid w:val="009B0764"/>
    <w:rsid w:val="009D1B1D"/>
    <w:rsid w:val="009E3BE4"/>
    <w:rsid w:val="009E56D9"/>
    <w:rsid w:val="009E58AF"/>
    <w:rsid w:val="009F0A21"/>
    <w:rsid w:val="009F1785"/>
    <w:rsid w:val="009F3005"/>
    <w:rsid w:val="009F3575"/>
    <w:rsid w:val="00A268E4"/>
    <w:rsid w:val="00A45236"/>
    <w:rsid w:val="00A47596"/>
    <w:rsid w:val="00A525F5"/>
    <w:rsid w:val="00A55B9E"/>
    <w:rsid w:val="00A61963"/>
    <w:rsid w:val="00A64B97"/>
    <w:rsid w:val="00A82F81"/>
    <w:rsid w:val="00A96954"/>
    <w:rsid w:val="00AA456F"/>
    <w:rsid w:val="00AB1C7D"/>
    <w:rsid w:val="00AB28C7"/>
    <w:rsid w:val="00AD216A"/>
    <w:rsid w:val="00AE263E"/>
    <w:rsid w:val="00AF7037"/>
    <w:rsid w:val="00B24C07"/>
    <w:rsid w:val="00B24E92"/>
    <w:rsid w:val="00B44DFE"/>
    <w:rsid w:val="00B66A2E"/>
    <w:rsid w:val="00BA4AE2"/>
    <w:rsid w:val="00BB0FDC"/>
    <w:rsid w:val="00BB52FE"/>
    <w:rsid w:val="00BC2298"/>
    <w:rsid w:val="00BC6603"/>
    <w:rsid w:val="00BD1F94"/>
    <w:rsid w:val="00BD73EB"/>
    <w:rsid w:val="00BE4A75"/>
    <w:rsid w:val="00BE6E03"/>
    <w:rsid w:val="00C10C57"/>
    <w:rsid w:val="00C1349C"/>
    <w:rsid w:val="00C14BC2"/>
    <w:rsid w:val="00C32AF4"/>
    <w:rsid w:val="00C36F3B"/>
    <w:rsid w:val="00C57D61"/>
    <w:rsid w:val="00C62594"/>
    <w:rsid w:val="00C75338"/>
    <w:rsid w:val="00C90012"/>
    <w:rsid w:val="00CA73BF"/>
    <w:rsid w:val="00CB01F0"/>
    <w:rsid w:val="00CB02D7"/>
    <w:rsid w:val="00CB34A5"/>
    <w:rsid w:val="00CB5799"/>
    <w:rsid w:val="00CD347A"/>
    <w:rsid w:val="00D15577"/>
    <w:rsid w:val="00D22D46"/>
    <w:rsid w:val="00D5109E"/>
    <w:rsid w:val="00D57795"/>
    <w:rsid w:val="00D87A81"/>
    <w:rsid w:val="00DC2732"/>
    <w:rsid w:val="00DE0143"/>
    <w:rsid w:val="00DE07D1"/>
    <w:rsid w:val="00DF4818"/>
    <w:rsid w:val="00DF67C6"/>
    <w:rsid w:val="00E155AD"/>
    <w:rsid w:val="00E16E31"/>
    <w:rsid w:val="00E238E4"/>
    <w:rsid w:val="00E31DCA"/>
    <w:rsid w:val="00E3571A"/>
    <w:rsid w:val="00E41DD2"/>
    <w:rsid w:val="00E51355"/>
    <w:rsid w:val="00E547FA"/>
    <w:rsid w:val="00E57B00"/>
    <w:rsid w:val="00E73C98"/>
    <w:rsid w:val="00E80064"/>
    <w:rsid w:val="00E94607"/>
    <w:rsid w:val="00EA09C8"/>
    <w:rsid w:val="00EA398D"/>
    <w:rsid w:val="00EC6978"/>
    <w:rsid w:val="00EC6EA3"/>
    <w:rsid w:val="00ED0DE2"/>
    <w:rsid w:val="00EE0194"/>
    <w:rsid w:val="00EE4530"/>
    <w:rsid w:val="00F142ED"/>
    <w:rsid w:val="00F274C7"/>
    <w:rsid w:val="00F379A4"/>
    <w:rsid w:val="00F47505"/>
    <w:rsid w:val="00F53B30"/>
    <w:rsid w:val="00F748E1"/>
    <w:rsid w:val="00F82B1A"/>
    <w:rsid w:val="00F83AC3"/>
    <w:rsid w:val="00F9031D"/>
    <w:rsid w:val="00F918BC"/>
    <w:rsid w:val="00F9277D"/>
    <w:rsid w:val="00F96B98"/>
    <w:rsid w:val="00FA7320"/>
    <w:rsid w:val="00FB37BF"/>
    <w:rsid w:val="00FD0A29"/>
    <w:rsid w:val="00FD18E7"/>
    <w:rsid w:val="00FD59B0"/>
    <w:rsid w:val="00FE5E69"/>
    <w:rsid w:val="00FF2BF3"/>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4C7AB5D"/>
  <w15:chartTrackingRefBased/>
  <w15:docId w15:val="{0DD448FE-DC58-BD42-8D6B-231560246E8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46406"/>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646406"/>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646406"/>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646406"/>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646406"/>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646406"/>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46406"/>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46406"/>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46406"/>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46406"/>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646406"/>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646406"/>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64640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64640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64640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4640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4640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46406"/>
    <w:rPr>
      <w:rFonts w:eastAsiaTheme="majorEastAsia" w:cstheme="majorBidi"/>
      <w:color w:val="272727" w:themeColor="text1" w:themeTint="D8"/>
    </w:rPr>
  </w:style>
  <w:style w:type="paragraph" w:styleId="Title">
    <w:name w:val="Title"/>
    <w:basedOn w:val="Normal"/>
    <w:next w:val="Normal"/>
    <w:link w:val="TitleChar"/>
    <w:uiPriority w:val="10"/>
    <w:qFormat/>
    <w:rsid w:val="00646406"/>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4640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46406"/>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4640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46406"/>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646406"/>
    <w:rPr>
      <w:i/>
      <w:iCs/>
      <w:color w:val="404040" w:themeColor="text1" w:themeTint="BF"/>
    </w:rPr>
  </w:style>
  <w:style w:type="paragraph" w:styleId="ListParagraph">
    <w:name w:val="List Paragraph"/>
    <w:basedOn w:val="Normal"/>
    <w:uiPriority w:val="34"/>
    <w:qFormat/>
    <w:rsid w:val="00646406"/>
    <w:pPr>
      <w:ind w:left="720"/>
      <w:contextualSpacing/>
    </w:pPr>
  </w:style>
  <w:style w:type="character" w:styleId="IntenseEmphasis">
    <w:name w:val="Intense Emphasis"/>
    <w:basedOn w:val="DefaultParagraphFont"/>
    <w:uiPriority w:val="21"/>
    <w:qFormat/>
    <w:rsid w:val="00646406"/>
    <w:rPr>
      <w:i/>
      <w:iCs/>
      <w:color w:val="0F4761" w:themeColor="accent1" w:themeShade="BF"/>
    </w:rPr>
  </w:style>
  <w:style w:type="paragraph" w:styleId="IntenseQuote">
    <w:name w:val="Intense Quote"/>
    <w:basedOn w:val="Normal"/>
    <w:next w:val="Normal"/>
    <w:link w:val="IntenseQuoteChar"/>
    <w:uiPriority w:val="30"/>
    <w:qFormat/>
    <w:rsid w:val="0064640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646406"/>
    <w:rPr>
      <w:i/>
      <w:iCs/>
      <w:color w:val="0F4761" w:themeColor="accent1" w:themeShade="BF"/>
    </w:rPr>
  </w:style>
  <w:style w:type="character" w:styleId="IntenseReference">
    <w:name w:val="Intense Reference"/>
    <w:basedOn w:val="DefaultParagraphFont"/>
    <w:uiPriority w:val="32"/>
    <w:qFormat/>
    <w:rsid w:val="00646406"/>
    <w:rPr>
      <w:b/>
      <w:bCs/>
      <w:smallCaps/>
      <w:color w:val="0F4761" w:themeColor="accent1" w:themeShade="BF"/>
      <w:spacing w:val="5"/>
    </w:rPr>
  </w:style>
  <w:style w:type="paragraph" w:styleId="TOCHeading">
    <w:name w:val="TOC Heading"/>
    <w:basedOn w:val="Heading1"/>
    <w:next w:val="Normal"/>
    <w:uiPriority w:val="39"/>
    <w:unhideWhenUsed/>
    <w:qFormat/>
    <w:rsid w:val="00CB01F0"/>
    <w:pPr>
      <w:spacing w:before="480" w:after="0" w:line="276" w:lineRule="auto"/>
      <w:outlineLvl w:val="9"/>
    </w:pPr>
    <w:rPr>
      <w:b/>
      <w:bCs/>
      <w:kern w:val="0"/>
      <w:sz w:val="28"/>
      <w:szCs w:val="28"/>
      <w:lang w:val="en-US"/>
      <w14:ligatures w14:val="none"/>
    </w:rPr>
  </w:style>
  <w:style w:type="paragraph" w:styleId="TOC1">
    <w:name w:val="toc 1"/>
    <w:basedOn w:val="Normal"/>
    <w:next w:val="Normal"/>
    <w:autoRedefine/>
    <w:uiPriority w:val="39"/>
    <w:unhideWhenUsed/>
    <w:rsid w:val="00CB01F0"/>
    <w:pPr>
      <w:spacing w:before="120"/>
    </w:pPr>
    <w:rPr>
      <w:b/>
      <w:bCs/>
      <w:i/>
      <w:iCs/>
    </w:rPr>
  </w:style>
  <w:style w:type="character" w:styleId="Hyperlink">
    <w:name w:val="Hyperlink"/>
    <w:basedOn w:val="DefaultParagraphFont"/>
    <w:uiPriority w:val="99"/>
    <w:unhideWhenUsed/>
    <w:rsid w:val="00CB01F0"/>
    <w:rPr>
      <w:color w:val="467886" w:themeColor="hyperlink"/>
      <w:u w:val="single"/>
    </w:rPr>
  </w:style>
  <w:style w:type="paragraph" w:styleId="TOC2">
    <w:name w:val="toc 2"/>
    <w:basedOn w:val="Normal"/>
    <w:next w:val="Normal"/>
    <w:autoRedefine/>
    <w:uiPriority w:val="39"/>
    <w:semiHidden/>
    <w:unhideWhenUsed/>
    <w:rsid w:val="00CB01F0"/>
    <w:pPr>
      <w:spacing w:before="120"/>
      <w:ind w:left="240"/>
    </w:pPr>
    <w:rPr>
      <w:b/>
      <w:bCs/>
      <w:sz w:val="22"/>
      <w:szCs w:val="22"/>
    </w:rPr>
  </w:style>
  <w:style w:type="paragraph" w:styleId="TOC3">
    <w:name w:val="toc 3"/>
    <w:basedOn w:val="Normal"/>
    <w:next w:val="Normal"/>
    <w:autoRedefine/>
    <w:uiPriority w:val="39"/>
    <w:semiHidden/>
    <w:unhideWhenUsed/>
    <w:rsid w:val="00CB01F0"/>
    <w:pPr>
      <w:ind w:left="480"/>
    </w:pPr>
    <w:rPr>
      <w:sz w:val="20"/>
      <w:szCs w:val="20"/>
    </w:rPr>
  </w:style>
  <w:style w:type="paragraph" w:styleId="TOC4">
    <w:name w:val="toc 4"/>
    <w:basedOn w:val="Normal"/>
    <w:next w:val="Normal"/>
    <w:autoRedefine/>
    <w:uiPriority w:val="39"/>
    <w:semiHidden/>
    <w:unhideWhenUsed/>
    <w:rsid w:val="00CB01F0"/>
    <w:pPr>
      <w:ind w:left="720"/>
    </w:pPr>
    <w:rPr>
      <w:sz w:val="20"/>
      <w:szCs w:val="20"/>
    </w:rPr>
  </w:style>
  <w:style w:type="paragraph" w:styleId="TOC5">
    <w:name w:val="toc 5"/>
    <w:basedOn w:val="Normal"/>
    <w:next w:val="Normal"/>
    <w:autoRedefine/>
    <w:uiPriority w:val="39"/>
    <w:semiHidden/>
    <w:unhideWhenUsed/>
    <w:rsid w:val="00CB01F0"/>
    <w:pPr>
      <w:ind w:left="960"/>
    </w:pPr>
    <w:rPr>
      <w:sz w:val="20"/>
      <w:szCs w:val="20"/>
    </w:rPr>
  </w:style>
  <w:style w:type="paragraph" w:styleId="TOC6">
    <w:name w:val="toc 6"/>
    <w:basedOn w:val="Normal"/>
    <w:next w:val="Normal"/>
    <w:autoRedefine/>
    <w:uiPriority w:val="39"/>
    <w:semiHidden/>
    <w:unhideWhenUsed/>
    <w:rsid w:val="00CB01F0"/>
    <w:pPr>
      <w:ind w:left="1200"/>
    </w:pPr>
    <w:rPr>
      <w:sz w:val="20"/>
      <w:szCs w:val="20"/>
    </w:rPr>
  </w:style>
  <w:style w:type="paragraph" w:styleId="TOC7">
    <w:name w:val="toc 7"/>
    <w:basedOn w:val="Normal"/>
    <w:next w:val="Normal"/>
    <w:autoRedefine/>
    <w:uiPriority w:val="39"/>
    <w:semiHidden/>
    <w:unhideWhenUsed/>
    <w:rsid w:val="00CB01F0"/>
    <w:pPr>
      <w:ind w:left="1440"/>
    </w:pPr>
    <w:rPr>
      <w:sz w:val="20"/>
      <w:szCs w:val="20"/>
    </w:rPr>
  </w:style>
  <w:style w:type="paragraph" w:styleId="TOC8">
    <w:name w:val="toc 8"/>
    <w:basedOn w:val="Normal"/>
    <w:next w:val="Normal"/>
    <w:autoRedefine/>
    <w:uiPriority w:val="39"/>
    <w:semiHidden/>
    <w:unhideWhenUsed/>
    <w:rsid w:val="00CB01F0"/>
    <w:pPr>
      <w:ind w:left="1680"/>
    </w:pPr>
    <w:rPr>
      <w:sz w:val="20"/>
      <w:szCs w:val="20"/>
    </w:rPr>
  </w:style>
  <w:style w:type="paragraph" w:styleId="TOC9">
    <w:name w:val="toc 9"/>
    <w:basedOn w:val="Normal"/>
    <w:next w:val="Normal"/>
    <w:autoRedefine/>
    <w:uiPriority w:val="39"/>
    <w:semiHidden/>
    <w:unhideWhenUsed/>
    <w:rsid w:val="00CB01F0"/>
    <w:pPr>
      <w:ind w:left="1920"/>
    </w:pPr>
    <w:rPr>
      <w:sz w:val="20"/>
      <w:szCs w:val="20"/>
    </w:rPr>
  </w:style>
  <w:style w:type="character" w:styleId="UnresolvedMention">
    <w:name w:val="Unresolved Mention"/>
    <w:basedOn w:val="DefaultParagraphFont"/>
    <w:uiPriority w:val="99"/>
    <w:semiHidden/>
    <w:unhideWhenUsed/>
    <w:rsid w:val="00C10C57"/>
    <w:rPr>
      <w:color w:val="605E5C"/>
      <w:shd w:val="clear" w:color="auto" w:fill="E1DFDD"/>
    </w:rPr>
  </w:style>
  <w:style w:type="paragraph" w:styleId="Header">
    <w:name w:val="header"/>
    <w:basedOn w:val="Normal"/>
    <w:link w:val="HeaderChar"/>
    <w:uiPriority w:val="99"/>
    <w:unhideWhenUsed/>
    <w:rsid w:val="00544733"/>
    <w:pPr>
      <w:tabs>
        <w:tab w:val="center" w:pos="4680"/>
        <w:tab w:val="right" w:pos="9360"/>
      </w:tabs>
    </w:pPr>
  </w:style>
  <w:style w:type="character" w:customStyle="1" w:styleId="HeaderChar">
    <w:name w:val="Header Char"/>
    <w:basedOn w:val="DefaultParagraphFont"/>
    <w:link w:val="Header"/>
    <w:uiPriority w:val="99"/>
    <w:rsid w:val="00544733"/>
  </w:style>
  <w:style w:type="paragraph" w:styleId="Footer">
    <w:name w:val="footer"/>
    <w:basedOn w:val="Normal"/>
    <w:link w:val="FooterChar"/>
    <w:uiPriority w:val="99"/>
    <w:unhideWhenUsed/>
    <w:rsid w:val="00544733"/>
    <w:pPr>
      <w:tabs>
        <w:tab w:val="center" w:pos="4680"/>
        <w:tab w:val="right" w:pos="9360"/>
      </w:tabs>
    </w:pPr>
  </w:style>
  <w:style w:type="character" w:customStyle="1" w:styleId="FooterChar">
    <w:name w:val="Footer Char"/>
    <w:basedOn w:val="DefaultParagraphFont"/>
    <w:link w:val="Footer"/>
    <w:uiPriority w:val="99"/>
    <w:rsid w:val="0054473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1884573">
      <w:bodyDiv w:val="1"/>
      <w:marLeft w:val="0"/>
      <w:marRight w:val="0"/>
      <w:marTop w:val="0"/>
      <w:marBottom w:val="0"/>
      <w:divBdr>
        <w:top w:val="none" w:sz="0" w:space="0" w:color="auto"/>
        <w:left w:val="none" w:sz="0" w:space="0" w:color="auto"/>
        <w:bottom w:val="none" w:sz="0" w:space="0" w:color="auto"/>
        <w:right w:val="none" w:sz="0" w:space="0" w:color="auto"/>
      </w:divBdr>
    </w:div>
    <w:div w:id="1044064954">
      <w:bodyDiv w:val="1"/>
      <w:marLeft w:val="0"/>
      <w:marRight w:val="0"/>
      <w:marTop w:val="0"/>
      <w:marBottom w:val="0"/>
      <w:divBdr>
        <w:top w:val="none" w:sz="0" w:space="0" w:color="auto"/>
        <w:left w:val="none" w:sz="0" w:space="0" w:color="auto"/>
        <w:bottom w:val="none" w:sz="0" w:space="0" w:color="auto"/>
        <w:right w:val="none" w:sz="0" w:space="0" w:color="auto"/>
      </w:divBdr>
    </w:div>
    <w:div w:id="1044255844">
      <w:bodyDiv w:val="1"/>
      <w:marLeft w:val="0"/>
      <w:marRight w:val="0"/>
      <w:marTop w:val="0"/>
      <w:marBottom w:val="0"/>
      <w:divBdr>
        <w:top w:val="none" w:sz="0" w:space="0" w:color="auto"/>
        <w:left w:val="none" w:sz="0" w:space="0" w:color="auto"/>
        <w:bottom w:val="none" w:sz="0" w:space="0" w:color="auto"/>
        <w:right w:val="none" w:sz="0" w:space="0" w:color="auto"/>
      </w:divBdr>
      <w:divsChild>
        <w:div w:id="765350565">
          <w:marLeft w:val="0"/>
          <w:marRight w:val="0"/>
          <w:marTop w:val="240"/>
          <w:marBottom w:val="240"/>
          <w:divBdr>
            <w:top w:val="none" w:sz="0" w:space="0" w:color="auto"/>
            <w:left w:val="none" w:sz="0" w:space="0" w:color="auto"/>
            <w:bottom w:val="none" w:sz="0" w:space="0" w:color="auto"/>
            <w:right w:val="none" w:sz="0" w:space="0" w:color="auto"/>
          </w:divBdr>
        </w:div>
        <w:div w:id="922488514">
          <w:marLeft w:val="0"/>
          <w:marRight w:val="0"/>
          <w:marTop w:val="240"/>
          <w:marBottom w:val="240"/>
          <w:divBdr>
            <w:top w:val="none" w:sz="0" w:space="0" w:color="auto"/>
            <w:left w:val="none" w:sz="0" w:space="0" w:color="auto"/>
            <w:bottom w:val="none" w:sz="0" w:space="0" w:color="auto"/>
            <w:right w:val="none" w:sz="0" w:space="0" w:color="auto"/>
          </w:divBdr>
        </w:div>
        <w:div w:id="1028995447">
          <w:marLeft w:val="0"/>
          <w:marRight w:val="0"/>
          <w:marTop w:val="240"/>
          <w:marBottom w:val="240"/>
          <w:divBdr>
            <w:top w:val="none" w:sz="0" w:space="0" w:color="auto"/>
            <w:left w:val="none" w:sz="0" w:space="0" w:color="auto"/>
            <w:bottom w:val="none" w:sz="0" w:space="0" w:color="auto"/>
            <w:right w:val="none" w:sz="0" w:space="0" w:color="auto"/>
          </w:divBdr>
        </w:div>
        <w:div w:id="1057582786">
          <w:marLeft w:val="0"/>
          <w:marRight w:val="0"/>
          <w:marTop w:val="0"/>
          <w:marBottom w:val="0"/>
          <w:divBdr>
            <w:top w:val="none" w:sz="0" w:space="0" w:color="auto"/>
            <w:left w:val="none" w:sz="0" w:space="0" w:color="auto"/>
            <w:bottom w:val="none" w:sz="0" w:space="0" w:color="auto"/>
            <w:right w:val="none" w:sz="0" w:space="0" w:color="auto"/>
          </w:divBdr>
        </w:div>
        <w:div w:id="1121655552">
          <w:marLeft w:val="0"/>
          <w:marRight w:val="0"/>
          <w:marTop w:val="240"/>
          <w:marBottom w:val="240"/>
          <w:divBdr>
            <w:top w:val="none" w:sz="0" w:space="0" w:color="auto"/>
            <w:left w:val="none" w:sz="0" w:space="0" w:color="auto"/>
            <w:bottom w:val="none" w:sz="0" w:space="0" w:color="auto"/>
            <w:right w:val="none" w:sz="0" w:space="0" w:color="auto"/>
          </w:divBdr>
        </w:div>
        <w:div w:id="1250188449">
          <w:marLeft w:val="0"/>
          <w:marRight w:val="0"/>
          <w:marTop w:val="240"/>
          <w:marBottom w:val="240"/>
          <w:divBdr>
            <w:top w:val="none" w:sz="0" w:space="0" w:color="auto"/>
            <w:left w:val="none" w:sz="0" w:space="0" w:color="auto"/>
            <w:bottom w:val="none" w:sz="0" w:space="0" w:color="auto"/>
            <w:right w:val="none" w:sz="0" w:space="0" w:color="auto"/>
          </w:divBdr>
        </w:div>
      </w:divsChild>
    </w:div>
    <w:div w:id="1418096009">
      <w:bodyDiv w:val="1"/>
      <w:marLeft w:val="0"/>
      <w:marRight w:val="0"/>
      <w:marTop w:val="0"/>
      <w:marBottom w:val="0"/>
      <w:divBdr>
        <w:top w:val="none" w:sz="0" w:space="0" w:color="auto"/>
        <w:left w:val="none" w:sz="0" w:space="0" w:color="auto"/>
        <w:bottom w:val="none" w:sz="0" w:space="0" w:color="auto"/>
        <w:right w:val="none" w:sz="0" w:space="0" w:color="auto"/>
      </w:divBdr>
      <w:divsChild>
        <w:div w:id="674960892">
          <w:marLeft w:val="0"/>
          <w:marRight w:val="0"/>
          <w:marTop w:val="240"/>
          <w:marBottom w:val="240"/>
          <w:divBdr>
            <w:top w:val="none" w:sz="0" w:space="0" w:color="auto"/>
            <w:left w:val="none" w:sz="0" w:space="0" w:color="auto"/>
            <w:bottom w:val="none" w:sz="0" w:space="0" w:color="auto"/>
            <w:right w:val="none" w:sz="0" w:space="0" w:color="auto"/>
          </w:divBdr>
        </w:div>
        <w:div w:id="811169077">
          <w:marLeft w:val="0"/>
          <w:marRight w:val="0"/>
          <w:marTop w:val="240"/>
          <w:marBottom w:val="240"/>
          <w:divBdr>
            <w:top w:val="none" w:sz="0" w:space="0" w:color="auto"/>
            <w:left w:val="none" w:sz="0" w:space="0" w:color="auto"/>
            <w:bottom w:val="none" w:sz="0" w:space="0" w:color="auto"/>
            <w:right w:val="none" w:sz="0" w:space="0" w:color="auto"/>
          </w:divBdr>
        </w:div>
        <w:div w:id="913783177">
          <w:marLeft w:val="0"/>
          <w:marRight w:val="0"/>
          <w:marTop w:val="240"/>
          <w:marBottom w:val="240"/>
          <w:divBdr>
            <w:top w:val="none" w:sz="0" w:space="0" w:color="auto"/>
            <w:left w:val="none" w:sz="0" w:space="0" w:color="auto"/>
            <w:bottom w:val="none" w:sz="0" w:space="0" w:color="auto"/>
            <w:right w:val="none" w:sz="0" w:space="0" w:color="auto"/>
          </w:divBdr>
        </w:div>
        <w:div w:id="1019356644">
          <w:marLeft w:val="0"/>
          <w:marRight w:val="0"/>
          <w:marTop w:val="240"/>
          <w:marBottom w:val="240"/>
          <w:divBdr>
            <w:top w:val="none" w:sz="0" w:space="0" w:color="auto"/>
            <w:left w:val="none" w:sz="0" w:space="0" w:color="auto"/>
            <w:bottom w:val="none" w:sz="0" w:space="0" w:color="auto"/>
            <w:right w:val="none" w:sz="0" w:space="0" w:color="auto"/>
          </w:divBdr>
        </w:div>
        <w:div w:id="1712922063">
          <w:marLeft w:val="0"/>
          <w:marRight w:val="0"/>
          <w:marTop w:val="240"/>
          <w:marBottom w:val="240"/>
          <w:divBdr>
            <w:top w:val="none" w:sz="0" w:space="0" w:color="auto"/>
            <w:left w:val="none" w:sz="0" w:space="0" w:color="auto"/>
            <w:bottom w:val="none" w:sz="0" w:space="0" w:color="auto"/>
            <w:right w:val="none" w:sz="0" w:space="0" w:color="auto"/>
          </w:divBdr>
        </w:div>
        <w:div w:id="1735663490">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 /><Relationship Id="rId13" Type="http://schemas.openxmlformats.org/officeDocument/2006/relationships/hyperlink" Target="https://www.mheducation.com/highered/product/services-marketing-zeithaml/M9781260098859.html" TargetMode="External" /><Relationship Id="rId18" Type="http://schemas.openxmlformats.org/officeDocument/2006/relationships/hyperlink" Target="https://www.pearson.com/en-gb/subject-catalog/p/marketing-management/P200000009933" TargetMode="External" /><Relationship Id="rId26" Type="http://schemas.openxmlformats.org/officeDocument/2006/relationships/theme" Target="theme/theme1.xml" /><Relationship Id="rId3" Type="http://schemas.openxmlformats.org/officeDocument/2006/relationships/styles" Target="styles.xml" /><Relationship Id="rId21" Type="http://schemas.openxmlformats.org/officeDocument/2006/relationships/hyperlink" Target="https://www.nestle.com/csv" TargetMode="External" /><Relationship Id="rId7" Type="http://schemas.openxmlformats.org/officeDocument/2006/relationships/endnotes" Target="endnotes.xml" /><Relationship Id="rId12" Type="http://schemas.openxmlformats.org/officeDocument/2006/relationships/hyperlink" Target="https://www.pearson.com/en-gb/subject-catalog/p/services-marketing/P200000006437" TargetMode="External" /><Relationship Id="rId17" Type="http://schemas.openxmlformats.org/officeDocument/2006/relationships/hyperlink" Target="https://www.pearson.com/en-gb/subject-catalog/p/principles-of-marketing/P200000003527" TargetMode="External" /><Relationship Id="rId25" Type="http://schemas.openxmlformats.org/officeDocument/2006/relationships/fontTable" Target="fontTable.xml" /><Relationship Id="rId2" Type="http://schemas.openxmlformats.org/officeDocument/2006/relationships/numbering" Target="numbering.xml" /><Relationship Id="rId16" Type="http://schemas.openxmlformats.org/officeDocument/2006/relationships/hyperlink" Target="https://www.pearson.com/en-gb/subject-catalog/p/marketing-management/P200000006285" TargetMode="External" /><Relationship Id="rId20" Type="http://schemas.openxmlformats.org/officeDocument/2006/relationships/hyperlink" Target="https://www.mintel.com/food-and-drink-market-news/healthy-snacking-trends" TargetMode="External" /><Relationship Id="rId1" Type="http://schemas.openxmlformats.org/officeDocument/2006/relationships/customXml" Target="../customXml/item1.xml" /><Relationship Id="rId6" Type="http://schemas.openxmlformats.org/officeDocument/2006/relationships/footnotes" Target="footnotes.xml" /><Relationship Id="rId11" Type="http://schemas.openxmlformats.org/officeDocument/2006/relationships/hyperlink" Target="https://www.pearson.com/en-gb/subject-catalog/p/principles-of-marketing/P200000003527" TargetMode="External" /><Relationship Id="rId24" Type="http://schemas.openxmlformats.org/officeDocument/2006/relationships/hyperlink" Target="https://www.mheducation.com/highered/product/services-marketing-zeithaml/M9781260098859.html" TargetMode="External" /><Relationship Id="rId5" Type="http://schemas.openxmlformats.org/officeDocument/2006/relationships/webSettings" Target="webSettings.xml" /><Relationship Id="rId15" Type="http://schemas.openxmlformats.org/officeDocument/2006/relationships/hyperlink" Target="https://www.euromonitor.com/global-protein-snacks-market" TargetMode="External" /><Relationship Id="rId23" Type="http://schemas.openxmlformats.org/officeDocument/2006/relationships/hyperlink" Target="https://www.statista.com/statistics/1234567/uk-protein-bar-market-size/" TargetMode="External" /><Relationship Id="rId10" Type="http://schemas.openxmlformats.org/officeDocument/2006/relationships/hyperlink" Target="https://www.pearson.com/en-gb/subject-catalog/p/marketing-management/P200000006285" TargetMode="External" /><Relationship Id="rId19" Type="http://schemas.openxmlformats.org/officeDocument/2006/relationships/hyperlink" Target="https://www.pearson.com/en-gb/subject-catalog/p/services-marketing/P200000006437" TargetMode="External" /><Relationship Id="rId4" Type="http://schemas.openxmlformats.org/officeDocument/2006/relationships/settings" Target="settings.xml" /><Relationship Id="rId9" Type="http://schemas.openxmlformats.org/officeDocument/2006/relationships/image" Target="media/image2.png" /><Relationship Id="rId14" Type="http://schemas.openxmlformats.org/officeDocument/2006/relationships/hyperlink" Target="https://www.nestle.com/csv" TargetMode="External" /><Relationship Id="rId22" Type="http://schemas.openxmlformats.org/officeDocument/2006/relationships/hyperlink" Target="https://www.nestle.com/investors/annual-report"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C61773D-DE65-744A-A759-0F69C2153752}">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12</Pages>
  <Words>3284</Words>
  <Characters>18725</Characters>
  <Application>Microsoft Office Word</Application>
  <DocSecurity>0</DocSecurity>
  <Lines>156</Lines>
  <Paragraphs>43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21966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Laila Maazouz</dc:creator>
  <cp:keywords/>
  <dc:description/>
  <cp:lastModifiedBy>Abdulsamad Sajidhusen Malek (2432626)</cp:lastModifiedBy>
  <cp:revision>2</cp:revision>
  <dcterms:created xsi:type="dcterms:W3CDTF">2025-12-16T21:36:00Z</dcterms:created>
  <dcterms:modified xsi:type="dcterms:W3CDTF">2025-12-16T21:36:00Z</dcterms:modified>
</cp:coreProperties>
</file>