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70A12" w:rsidRDefault="00170A12" w:rsidP="00170A12">
      <w:pPr>
        <w:rPr>
          <w:rStyle w:val="Strong"/>
        </w:rPr>
      </w:pPr>
      <w:r>
        <w:rPr>
          <w:rFonts w:ascii="Times New Roman"/>
          <w:noProof/>
          <w:sz w:val="20"/>
          <w:lang w:val="en-US"/>
        </w:rPr>
        <w:drawing>
          <wp:inline distT="0" distB="0" distL="0" distR="0" wp14:anchorId="585A5559" wp14:editId="1C89142C">
            <wp:extent cx="1801182" cy="594074"/>
            <wp:effectExtent l="0" t="0" r="0" b="0"/>
            <wp:docPr id="2"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8" cstate="print"/>
                    <a:stretch>
                      <a:fillRect/>
                    </a:stretch>
                  </pic:blipFill>
                  <pic:spPr>
                    <a:xfrm>
                      <a:off x="0" y="0"/>
                      <a:ext cx="1801182" cy="594074"/>
                    </a:xfrm>
                    <a:prstGeom prst="rect">
                      <a:avLst/>
                    </a:prstGeom>
                  </pic:spPr>
                </pic:pic>
              </a:graphicData>
            </a:graphic>
          </wp:inline>
        </w:drawing>
      </w:r>
    </w:p>
    <w:p w:rsidR="00170A12" w:rsidRDefault="00170A12" w:rsidP="00170A12">
      <w:pPr>
        <w:rPr>
          <w:rStyle w:val="Strong"/>
        </w:rPr>
      </w:pPr>
      <w:r>
        <w:rPr>
          <w:b/>
          <w:noProof/>
          <w:sz w:val="17"/>
          <w:lang w:val="en-US"/>
        </w:rPr>
        <mc:AlternateContent>
          <mc:Choice Requires="wps">
            <w:drawing>
              <wp:anchor distT="0" distB="0" distL="0" distR="0" simplePos="0" relativeHeight="251659264" behindDoc="1" locked="0" layoutInCell="1" allowOverlap="1" wp14:anchorId="51D7917B" wp14:editId="55F5100C">
                <wp:simplePos x="0" y="0"/>
                <wp:positionH relativeFrom="page">
                  <wp:posOffset>914400</wp:posOffset>
                </wp:positionH>
                <wp:positionV relativeFrom="paragraph">
                  <wp:posOffset>274320</wp:posOffset>
                </wp:positionV>
                <wp:extent cx="6305550" cy="451484"/>
                <wp:effectExtent l="0" t="0" r="0" b="0"/>
                <wp:wrapTopAndBottom/>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05550" cy="451484"/>
                        </a:xfrm>
                        <a:prstGeom prst="rect">
                          <a:avLst/>
                        </a:prstGeom>
                        <a:solidFill>
                          <a:srgbClr val="C0C0C0"/>
                        </a:solidFill>
                        <a:ln w="6350">
                          <a:solidFill>
                            <a:srgbClr val="000000"/>
                          </a:solidFill>
                          <a:prstDash val="solid"/>
                        </a:ln>
                      </wps:spPr>
                      <wps:txbx>
                        <w:txbxContent>
                          <w:p w:rsidR="00170A12" w:rsidRDefault="00170A12" w:rsidP="00170A12">
                            <w:pPr>
                              <w:spacing w:before="120"/>
                              <w:ind w:left="1110"/>
                              <w:rPr>
                                <w:b/>
                                <w:color w:val="000000"/>
                                <w:sz w:val="40"/>
                              </w:rPr>
                            </w:pPr>
                            <w:r>
                              <w:rPr>
                                <w:b/>
                                <w:color w:val="000000"/>
                                <w:sz w:val="40"/>
                              </w:rPr>
                              <w:t>LEVEL</w:t>
                            </w:r>
                            <w:r>
                              <w:rPr>
                                <w:b/>
                                <w:color w:val="000000"/>
                                <w:spacing w:val="-6"/>
                                <w:sz w:val="40"/>
                              </w:rPr>
                              <w:t xml:space="preserve"> </w:t>
                            </w:r>
                            <w:proofErr w:type="gramStart"/>
                            <w:r>
                              <w:rPr>
                                <w:b/>
                                <w:color w:val="000000"/>
                                <w:sz w:val="40"/>
                              </w:rPr>
                              <w:t>5</w:t>
                            </w:r>
                            <w:proofErr w:type="gramEnd"/>
                            <w:r>
                              <w:rPr>
                                <w:b/>
                                <w:color w:val="000000"/>
                                <w:spacing w:val="-3"/>
                                <w:sz w:val="40"/>
                              </w:rPr>
                              <w:t xml:space="preserve"> </w:t>
                            </w:r>
                            <w:r>
                              <w:rPr>
                                <w:b/>
                                <w:color w:val="000000"/>
                                <w:sz w:val="40"/>
                              </w:rPr>
                              <w:t>ASSESSMENT</w:t>
                            </w:r>
                            <w:r>
                              <w:rPr>
                                <w:b/>
                                <w:color w:val="000000"/>
                                <w:spacing w:val="2"/>
                                <w:sz w:val="40"/>
                              </w:rPr>
                              <w:t xml:space="preserve"> </w:t>
                            </w:r>
                            <w:r>
                              <w:rPr>
                                <w:b/>
                                <w:color w:val="000000"/>
                                <w:spacing w:val="-2"/>
                                <w:sz w:val="40"/>
                              </w:rPr>
                              <w:t>SPECIFICATION</w:t>
                            </w:r>
                          </w:p>
                        </w:txbxContent>
                      </wps:txbx>
                      <wps:bodyPr wrap="square" lIns="0" tIns="0" rIns="0" bIns="0" rtlCol="0">
                        <a:noAutofit/>
                      </wps:bodyPr>
                    </wps:wsp>
                  </a:graphicData>
                </a:graphic>
              </wp:anchor>
            </w:drawing>
          </mc:Choice>
          <mc:Fallback>
            <w:pict>
              <v:shapetype w14:anchorId="51D7917B" id="_x0000_t202" coordsize="21600,21600" o:spt="202" path="m,l,21600r21600,l21600,xe">
                <v:stroke joinstyle="miter"/>
                <v:path gradientshapeok="t" o:connecttype="rect"/>
              </v:shapetype>
              <v:shape id="Textbox 3" o:spid="_x0000_s1026" type="#_x0000_t202" style="position:absolute;left:0;text-align:left;margin-left:1in;margin-top:21.6pt;width:496.5pt;height:35.55pt;z-index:-25165721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" fillcolor="silver" strokeweight=".5pt">
                <v:path arrowok="t"/>
                <v:textbox inset="0,0,0,0">
                  <w:txbxContent>
                    <w:p w:rsidR="00170A12" w:rsidRDefault="00170A12" w:rsidP="00170A12">
                      <w:pPr>
                        <w:spacing w:before="120"/>
                        <w:ind w:left="1110"/>
                        <w:rPr>
                          <w:b/>
                          <w:color w:val="000000"/>
                          <w:sz w:val="40"/>
                        </w:rPr>
                      </w:pPr>
                      <w:r>
                        <w:rPr>
                          <w:b/>
                          <w:color w:val="000000"/>
                          <w:sz w:val="40"/>
                        </w:rPr>
                        <w:t>LEVEL</w:t>
                      </w:r>
                      <w:r>
                        <w:rPr>
                          <w:b/>
                          <w:color w:val="000000"/>
                          <w:spacing w:val="-6"/>
                          <w:sz w:val="40"/>
                        </w:rPr>
                        <w:t xml:space="preserve"> </w:t>
                      </w:r>
                      <w:proofErr w:type="gramStart"/>
                      <w:r>
                        <w:rPr>
                          <w:b/>
                          <w:color w:val="000000"/>
                          <w:sz w:val="40"/>
                        </w:rPr>
                        <w:t>5</w:t>
                      </w:r>
                      <w:proofErr w:type="gramEnd"/>
                      <w:r>
                        <w:rPr>
                          <w:b/>
                          <w:color w:val="000000"/>
                          <w:spacing w:val="-3"/>
                          <w:sz w:val="40"/>
                        </w:rPr>
                        <w:t xml:space="preserve"> </w:t>
                      </w:r>
                      <w:r>
                        <w:rPr>
                          <w:b/>
                          <w:color w:val="000000"/>
                          <w:sz w:val="40"/>
                        </w:rPr>
                        <w:t>ASSESSMENT</w:t>
                      </w:r>
                      <w:r>
                        <w:rPr>
                          <w:b/>
                          <w:color w:val="000000"/>
                          <w:spacing w:val="2"/>
                          <w:sz w:val="40"/>
                        </w:rPr>
                        <w:t xml:space="preserve"> </w:t>
                      </w:r>
                      <w:r>
                        <w:rPr>
                          <w:b/>
                          <w:color w:val="000000"/>
                          <w:spacing w:val="-2"/>
                          <w:sz w:val="40"/>
                        </w:rPr>
                        <w:t>SPECIFICATION</w:t>
                      </w:r>
                    </w:p>
                  </w:txbxContent>
                </v:textbox>
                <w10:wrap type="topAndBottom" anchorx="page"/>
              </v:shape>
            </w:pict>
          </mc:Fallback>
        </mc:AlternateContent>
      </w:r>
    </w:p>
    <w:p w:rsidR="00170A12" w:rsidRDefault="00170A12" w:rsidP="00170A12">
      <w:pPr>
        <w:rPr>
          <w:rStyle w:val="Strong"/>
        </w:rPr>
      </w:pPr>
    </w:p>
    <w:p w:rsidR="00170A12" w:rsidRDefault="00170A12" w:rsidP="00170A12">
      <w:r>
        <w:rPr>
          <w:rStyle w:val="Strong"/>
        </w:rPr>
        <w:t>Module:</w:t>
      </w:r>
      <w:r>
        <w:t xml:space="preserve"> BMHP5023 - Introduction to Physiology</w:t>
      </w:r>
    </w:p>
    <w:p w:rsidR="00170A12" w:rsidRDefault="00170A12" w:rsidP="00170A12">
      <w:r>
        <w:rPr>
          <w:rStyle w:val="Strong"/>
        </w:rPr>
        <w:t>Assessment:</w:t>
      </w:r>
      <w:r>
        <w:t xml:space="preserve"> Component 1 - Written Assignment (Case Study Report)</w:t>
      </w:r>
    </w:p>
    <w:p w:rsidR="00170A12" w:rsidRDefault="00170A12" w:rsidP="00170A12">
      <w:r>
        <w:rPr>
          <w:rStyle w:val="Strong"/>
        </w:rPr>
        <w:t>Case Study:</w:t>
      </w:r>
      <w:r>
        <w:t xml:space="preserve"> </w:t>
      </w:r>
      <w:proofErr w:type="gramStart"/>
      <w:r>
        <w:t>1</w:t>
      </w:r>
      <w:proofErr w:type="gramEnd"/>
      <w:r>
        <w:t xml:space="preserve"> – Diabetes </w:t>
      </w:r>
    </w:p>
    <w:p w:rsidR="00170A12" w:rsidRDefault="00170A12" w:rsidP="00170A12">
      <w:r>
        <w:rPr>
          <w:rStyle w:val="Strong"/>
        </w:rPr>
        <w:t>Student Name:</w:t>
      </w:r>
      <w:r>
        <w:t xml:space="preserve"> </w:t>
      </w:r>
      <w:proofErr w:type="spellStart"/>
      <w:r w:rsidR="001E16A4" w:rsidRPr="001E16A4">
        <w:t>Hazra</w:t>
      </w:r>
      <w:proofErr w:type="spellEnd"/>
      <w:r w:rsidR="001E16A4" w:rsidRPr="001E16A4">
        <w:t xml:space="preserve"> din</w:t>
      </w:r>
      <w:bookmarkStart w:id="0" w:name="_GoBack"/>
      <w:bookmarkEnd w:id="0"/>
    </w:p>
    <w:p w:rsidR="00170A12" w:rsidRDefault="00170A12" w:rsidP="00170A12">
      <w:r>
        <w:rPr>
          <w:rStyle w:val="Strong"/>
        </w:rPr>
        <w:t>Student Number:</w:t>
      </w:r>
      <w:r>
        <w:t xml:space="preserve"> </w:t>
      </w:r>
      <w:r w:rsidR="00C74953" w:rsidRPr="00C74953">
        <w:t>2441761</w:t>
      </w:r>
    </w:p>
    <w:p w:rsidR="00170A12" w:rsidRDefault="00170A12" w:rsidP="00170A12">
      <w:pPr>
        <w:sectPr w:rsidR="00170A12">
          <w:footerReference w:type="default" r:id="rId9"/>
          <w:pgSz w:w="12240" w:h="15840"/>
          <w:pgMar w:top="1440" w:right="1440" w:bottom="1440" w:left="1440" w:header="720" w:footer="720" w:gutter="0"/>
          <w:cols w:space="720"/>
          <w:docGrid w:linePitch="360"/>
        </w:sectPr>
      </w:pPr>
      <w:r>
        <w:rPr>
          <w:rStyle w:val="Strong"/>
        </w:rPr>
        <w:t>Word Count:</w:t>
      </w:r>
      <w:r>
        <w:t xml:space="preserve"> Approximately 2,000 words </w:t>
      </w:r>
    </w:p>
    <w:p w:rsidR="00170A12" w:rsidRDefault="00170A12" w:rsidP="00170A12">
      <w:pPr>
        <w:spacing w:before="100" w:beforeAutospacing="1" w:after="100" w:afterAutospacing="1" w:line="240" w:lineRule="auto"/>
        <w:rPr>
          <w:rFonts w:eastAsia="Times New Roman" w:cs="Times New Roman"/>
          <w:szCs w:val="24"/>
          <w:lang w:val="en-US"/>
        </w:rPr>
      </w:pPr>
    </w:p>
    <w:sdt>
      <w:sdtPr>
        <w:rPr>
          <w:rFonts w:ascii="Arial" w:eastAsiaTheme="minorHAnsi" w:hAnsi="Arial" w:cstheme="minorBidi"/>
          <w:color w:val="auto"/>
          <w:sz w:val="22"/>
          <w:szCs w:val="22"/>
          <w:lang w:val="en-AU"/>
        </w:rPr>
        <w:id w:val="1763333579"/>
        <w:docPartObj>
          <w:docPartGallery w:val="Table of Contents"/>
          <w:docPartUnique/>
        </w:docPartObj>
      </w:sdtPr>
      <w:sdtEndPr>
        <w:rPr>
          <w:b/>
          <w:bCs/>
          <w:noProof/>
        </w:rPr>
      </w:sdtEndPr>
      <w:sdtContent>
        <w:p w:rsidR="00170A12" w:rsidRDefault="00170A12">
          <w:pPr>
            <w:pStyle w:val="TOCHeading"/>
          </w:pPr>
          <w:r>
            <w:t>Table of Contents</w:t>
          </w:r>
        </w:p>
        <w:p w:rsidR="00170A12" w:rsidRDefault="00170A12">
          <w:pPr>
            <w:pStyle w:val="TOC1"/>
            <w:tabs>
              <w:tab w:val="right" w:leader="dot" w:pos="9350"/>
            </w:tabs>
            <w:rPr>
              <w:noProof/>
            </w:rPr>
          </w:pPr>
          <w:r>
            <w:fldChar w:fldCharType="begin"/>
          </w:r>
          <w:r>
            <w:instrText xml:space="preserve"> TOC \o "1-3" \h \z \u </w:instrText>
          </w:r>
          <w:r>
            <w:fldChar w:fldCharType="separate"/>
          </w:r>
          <w:hyperlink w:anchor="_Toc241676729" w:history="1">
            <w:r w:rsidRPr="003D5452">
              <w:rPr>
                <w:rStyle w:val="Hyperlink"/>
                <w:rFonts w:eastAsia="Times New Roman"/>
                <w:noProof/>
                <w:lang w:val="en-US"/>
              </w:rPr>
              <w:t>Introduction</w:t>
            </w:r>
            <w:r>
              <w:rPr>
                <w:noProof/>
                <w:webHidden/>
              </w:rPr>
              <w:tab/>
            </w:r>
            <w:r>
              <w:rPr>
                <w:noProof/>
                <w:webHidden/>
              </w:rPr>
              <w:fldChar w:fldCharType="begin"/>
            </w:r>
            <w:r>
              <w:rPr>
                <w:noProof/>
                <w:webHidden/>
              </w:rPr>
              <w:instrText xml:space="preserve"> PAGEREF _Toc241676729 \h </w:instrText>
            </w:r>
            <w:r>
              <w:rPr>
                <w:noProof/>
                <w:webHidden/>
              </w:rPr>
            </w:r>
            <w:r>
              <w:rPr>
                <w:noProof/>
                <w:webHidden/>
              </w:rPr>
              <w:fldChar w:fldCharType="separate"/>
            </w:r>
            <w:r>
              <w:rPr>
                <w:noProof/>
                <w:webHidden/>
              </w:rPr>
              <w:t>1</w:t>
            </w:r>
            <w:r>
              <w:rPr>
                <w:noProof/>
                <w:webHidden/>
              </w:rPr>
              <w:fldChar w:fldCharType="end"/>
            </w:r>
          </w:hyperlink>
        </w:p>
        <w:p w:rsidR="00170A12" w:rsidRDefault="00B367C6">
          <w:pPr>
            <w:pStyle w:val="TOC1"/>
            <w:tabs>
              <w:tab w:val="left" w:pos="440"/>
              <w:tab w:val="right" w:leader="dot" w:pos="9350"/>
            </w:tabs>
            <w:rPr>
              <w:noProof/>
            </w:rPr>
          </w:pPr>
          <w:hyperlink w:anchor="_Toc241676730" w:history="1">
            <w:r w:rsidR="00170A12" w:rsidRPr="003D5452">
              <w:rPr>
                <w:rStyle w:val="Hyperlink"/>
                <w:rFonts w:eastAsia="Times New Roman"/>
                <w:noProof/>
                <w:lang w:val="en-US"/>
              </w:rPr>
              <w:t>1.</w:t>
            </w:r>
            <w:r w:rsidR="00170A12">
              <w:rPr>
                <w:noProof/>
              </w:rPr>
              <w:tab/>
            </w:r>
            <w:r w:rsidR="00170A12" w:rsidRPr="003D5452">
              <w:rPr>
                <w:rStyle w:val="Hyperlink"/>
                <w:rFonts w:eastAsia="Times New Roman"/>
                <w:noProof/>
                <w:lang w:val="en-US"/>
              </w:rPr>
              <w:t>Maintenance of Blood Glucose Levels</w:t>
            </w:r>
            <w:r w:rsidR="00170A12">
              <w:rPr>
                <w:noProof/>
                <w:webHidden/>
              </w:rPr>
              <w:tab/>
            </w:r>
            <w:r w:rsidR="00170A12">
              <w:rPr>
                <w:noProof/>
                <w:webHidden/>
              </w:rPr>
              <w:fldChar w:fldCharType="begin"/>
            </w:r>
            <w:r w:rsidR="00170A12">
              <w:rPr>
                <w:noProof/>
                <w:webHidden/>
              </w:rPr>
              <w:instrText xml:space="preserve"> PAGEREF _Toc241676730 \h </w:instrText>
            </w:r>
            <w:r w:rsidR="00170A12">
              <w:rPr>
                <w:noProof/>
                <w:webHidden/>
              </w:rPr>
            </w:r>
            <w:r w:rsidR="00170A12">
              <w:rPr>
                <w:noProof/>
                <w:webHidden/>
              </w:rPr>
              <w:fldChar w:fldCharType="separate"/>
            </w:r>
            <w:r w:rsidR="00170A12">
              <w:rPr>
                <w:noProof/>
                <w:webHidden/>
              </w:rPr>
              <w:t>1</w:t>
            </w:r>
            <w:r w:rsidR="00170A12">
              <w:rPr>
                <w:noProof/>
                <w:webHidden/>
              </w:rPr>
              <w:fldChar w:fldCharType="end"/>
            </w:r>
          </w:hyperlink>
        </w:p>
        <w:p w:rsidR="00170A12" w:rsidRDefault="00B367C6">
          <w:pPr>
            <w:pStyle w:val="TOC1"/>
            <w:tabs>
              <w:tab w:val="left" w:pos="440"/>
              <w:tab w:val="right" w:leader="dot" w:pos="9350"/>
            </w:tabs>
            <w:rPr>
              <w:noProof/>
            </w:rPr>
          </w:pPr>
          <w:hyperlink w:anchor="_Toc241676731" w:history="1">
            <w:r w:rsidR="00170A12" w:rsidRPr="003D5452">
              <w:rPr>
                <w:rStyle w:val="Hyperlink"/>
                <w:rFonts w:eastAsia="Times New Roman"/>
                <w:noProof/>
                <w:lang w:val="en-US"/>
              </w:rPr>
              <w:t>2.</w:t>
            </w:r>
            <w:r w:rsidR="00170A12">
              <w:rPr>
                <w:noProof/>
              </w:rPr>
              <w:tab/>
            </w:r>
            <w:r w:rsidR="00170A12" w:rsidRPr="003D5452">
              <w:rPr>
                <w:rStyle w:val="Hyperlink"/>
                <w:rFonts w:eastAsia="Times New Roman"/>
                <w:noProof/>
                <w:lang w:val="en-US"/>
              </w:rPr>
              <w:t>Use of Oxygen and Glucose in Cellular Metabolism</w:t>
            </w:r>
            <w:r w:rsidR="00170A12">
              <w:rPr>
                <w:noProof/>
                <w:webHidden/>
              </w:rPr>
              <w:tab/>
            </w:r>
            <w:r w:rsidR="00170A12">
              <w:rPr>
                <w:noProof/>
                <w:webHidden/>
              </w:rPr>
              <w:fldChar w:fldCharType="begin"/>
            </w:r>
            <w:r w:rsidR="00170A12">
              <w:rPr>
                <w:noProof/>
                <w:webHidden/>
              </w:rPr>
              <w:instrText xml:space="preserve"> PAGEREF _Toc241676731 \h </w:instrText>
            </w:r>
            <w:r w:rsidR="00170A12">
              <w:rPr>
                <w:noProof/>
                <w:webHidden/>
              </w:rPr>
            </w:r>
            <w:r w:rsidR="00170A12">
              <w:rPr>
                <w:noProof/>
                <w:webHidden/>
              </w:rPr>
              <w:fldChar w:fldCharType="separate"/>
            </w:r>
            <w:r w:rsidR="00170A12">
              <w:rPr>
                <w:noProof/>
                <w:webHidden/>
              </w:rPr>
              <w:t>2</w:t>
            </w:r>
            <w:r w:rsidR="00170A12">
              <w:rPr>
                <w:noProof/>
                <w:webHidden/>
              </w:rPr>
              <w:fldChar w:fldCharType="end"/>
            </w:r>
          </w:hyperlink>
        </w:p>
        <w:p w:rsidR="00170A12" w:rsidRDefault="00B367C6">
          <w:pPr>
            <w:pStyle w:val="TOC1"/>
            <w:tabs>
              <w:tab w:val="left" w:pos="440"/>
              <w:tab w:val="right" w:leader="dot" w:pos="9350"/>
            </w:tabs>
            <w:rPr>
              <w:noProof/>
            </w:rPr>
          </w:pPr>
          <w:hyperlink w:anchor="_Toc241676732" w:history="1">
            <w:r w:rsidR="00170A12" w:rsidRPr="003D5452">
              <w:rPr>
                <w:rStyle w:val="Hyperlink"/>
                <w:rFonts w:eastAsia="Times New Roman"/>
                <w:noProof/>
                <w:lang w:val="en-US"/>
              </w:rPr>
              <w:t>3.</w:t>
            </w:r>
            <w:r w:rsidR="00170A12">
              <w:rPr>
                <w:noProof/>
              </w:rPr>
              <w:tab/>
            </w:r>
            <w:r w:rsidR="00170A12" w:rsidRPr="003D5452">
              <w:rPr>
                <w:rStyle w:val="Hyperlink"/>
                <w:rFonts w:eastAsia="Times New Roman"/>
                <w:noProof/>
                <w:lang w:val="en-US"/>
              </w:rPr>
              <w:t>Importance of Recording and Tracking Blood Glucose</w:t>
            </w:r>
            <w:r w:rsidR="00170A12">
              <w:rPr>
                <w:noProof/>
                <w:webHidden/>
              </w:rPr>
              <w:tab/>
            </w:r>
            <w:r w:rsidR="00170A12">
              <w:rPr>
                <w:noProof/>
                <w:webHidden/>
              </w:rPr>
              <w:fldChar w:fldCharType="begin"/>
            </w:r>
            <w:r w:rsidR="00170A12">
              <w:rPr>
                <w:noProof/>
                <w:webHidden/>
              </w:rPr>
              <w:instrText xml:space="preserve"> PAGEREF _Toc241676732 \h </w:instrText>
            </w:r>
            <w:r w:rsidR="00170A12">
              <w:rPr>
                <w:noProof/>
                <w:webHidden/>
              </w:rPr>
            </w:r>
            <w:r w:rsidR="00170A12">
              <w:rPr>
                <w:noProof/>
                <w:webHidden/>
              </w:rPr>
              <w:fldChar w:fldCharType="separate"/>
            </w:r>
            <w:r w:rsidR="00170A12">
              <w:rPr>
                <w:noProof/>
                <w:webHidden/>
              </w:rPr>
              <w:t>2</w:t>
            </w:r>
            <w:r w:rsidR="00170A12">
              <w:rPr>
                <w:noProof/>
                <w:webHidden/>
              </w:rPr>
              <w:fldChar w:fldCharType="end"/>
            </w:r>
          </w:hyperlink>
        </w:p>
        <w:p w:rsidR="00170A12" w:rsidRDefault="00B367C6">
          <w:pPr>
            <w:pStyle w:val="TOC1"/>
            <w:tabs>
              <w:tab w:val="left" w:pos="440"/>
              <w:tab w:val="right" w:leader="dot" w:pos="9350"/>
            </w:tabs>
            <w:rPr>
              <w:noProof/>
            </w:rPr>
          </w:pPr>
          <w:hyperlink w:anchor="_Toc241676733" w:history="1">
            <w:r w:rsidR="00170A12" w:rsidRPr="003D5452">
              <w:rPr>
                <w:rStyle w:val="Hyperlink"/>
                <w:rFonts w:eastAsia="Times New Roman"/>
                <w:noProof/>
                <w:lang w:val="en-US"/>
              </w:rPr>
              <w:t>4.</w:t>
            </w:r>
            <w:r w:rsidR="00170A12">
              <w:rPr>
                <w:noProof/>
              </w:rPr>
              <w:tab/>
            </w:r>
            <w:r w:rsidR="00170A12" w:rsidRPr="003D5452">
              <w:rPr>
                <w:rStyle w:val="Hyperlink"/>
                <w:rFonts w:eastAsia="Times New Roman"/>
                <w:noProof/>
                <w:lang w:val="en-US"/>
              </w:rPr>
              <w:t>Evidence-Based Lifestyle Recommendations</w:t>
            </w:r>
            <w:r w:rsidR="00170A12">
              <w:rPr>
                <w:noProof/>
                <w:webHidden/>
              </w:rPr>
              <w:tab/>
            </w:r>
            <w:r w:rsidR="00170A12">
              <w:rPr>
                <w:noProof/>
                <w:webHidden/>
              </w:rPr>
              <w:fldChar w:fldCharType="begin"/>
            </w:r>
            <w:r w:rsidR="00170A12">
              <w:rPr>
                <w:noProof/>
                <w:webHidden/>
              </w:rPr>
              <w:instrText xml:space="preserve"> PAGEREF _Toc241676733 \h </w:instrText>
            </w:r>
            <w:r w:rsidR="00170A12">
              <w:rPr>
                <w:noProof/>
                <w:webHidden/>
              </w:rPr>
            </w:r>
            <w:r w:rsidR="00170A12">
              <w:rPr>
                <w:noProof/>
                <w:webHidden/>
              </w:rPr>
              <w:fldChar w:fldCharType="separate"/>
            </w:r>
            <w:r w:rsidR="00170A12">
              <w:rPr>
                <w:noProof/>
                <w:webHidden/>
              </w:rPr>
              <w:t>3</w:t>
            </w:r>
            <w:r w:rsidR="00170A12">
              <w:rPr>
                <w:noProof/>
                <w:webHidden/>
              </w:rPr>
              <w:fldChar w:fldCharType="end"/>
            </w:r>
          </w:hyperlink>
        </w:p>
        <w:p w:rsidR="00170A12" w:rsidRDefault="00B367C6">
          <w:pPr>
            <w:pStyle w:val="TOC2"/>
            <w:tabs>
              <w:tab w:val="right" w:leader="dot" w:pos="9350"/>
            </w:tabs>
            <w:rPr>
              <w:noProof/>
            </w:rPr>
          </w:pPr>
          <w:hyperlink w:anchor="_Toc241676734" w:history="1">
            <w:r w:rsidR="00170A12" w:rsidRPr="003D5452">
              <w:rPr>
                <w:rStyle w:val="Hyperlink"/>
                <w:noProof/>
              </w:rPr>
              <w:t>5.1 Diet</w:t>
            </w:r>
            <w:r w:rsidR="00170A12">
              <w:rPr>
                <w:noProof/>
                <w:webHidden/>
              </w:rPr>
              <w:tab/>
            </w:r>
            <w:r w:rsidR="00170A12">
              <w:rPr>
                <w:noProof/>
                <w:webHidden/>
              </w:rPr>
              <w:fldChar w:fldCharType="begin"/>
            </w:r>
            <w:r w:rsidR="00170A12">
              <w:rPr>
                <w:noProof/>
                <w:webHidden/>
              </w:rPr>
              <w:instrText xml:space="preserve"> PAGEREF _Toc241676734 \h </w:instrText>
            </w:r>
            <w:r w:rsidR="00170A12">
              <w:rPr>
                <w:noProof/>
                <w:webHidden/>
              </w:rPr>
            </w:r>
            <w:r w:rsidR="00170A12">
              <w:rPr>
                <w:noProof/>
                <w:webHidden/>
              </w:rPr>
              <w:fldChar w:fldCharType="separate"/>
            </w:r>
            <w:r w:rsidR="00170A12">
              <w:rPr>
                <w:noProof/>
                <w:webHidden/>
              </w:rPr>
              <w:t>3</w:t>
            </w:r>
            <w:r w:rsidR="00170A12">
              <w:rPr>
                <w:noProof/>
                <w:webHidden/>
              </w:rPr>
              <w:fldChar w:fldCharType="end"/>
            </w:r>
          </w:hyperlink>
        </w:p>
        <w:p w:rsidR="00170A12" w:rsidRDefault="00B367C6">
          <w:pPr>
            <w:pStyle w:val="TOC2"/>
            <w:tabs>
              <w:tab w:val="right" w:leader="dot" w:pos="9350"/>
            </w:tabs>
            <w:rPr>
              <w:noProof/>
            </w:rPr>
          </w:pPr>
          <w:hyperlink w:anchor="_Toc241676735" w:history="1">
            <w:r w:rsidR="00170A12" w:rsidRPr="003D5452">
              <w:rPr>
                <w:rStyle w:val="Hyperlink"/>
                <w:noProof/>
              </w:rPr>
              <w:t>5.2 Physical Activity</w:t>
            </w:r>
            <w:r w:rsidR="00170A12">
              <w:rPr>
                <w:noProof/>
                <w:webHidden/>
              </w:rPr>
              <w:tab/>
            </w:r>
            <w:r w:rsidR="00170A12">
              <w:rPr>
                <w:noProof/>
                <w:webHidden/>
              </w:rPr>
              <w:fldChar w:fldCharType="begin"/>
            </w:r>
            <w:r w:rsidR="00170A12">
              <w:rPr>
                <w:noProof/>
                <w:webHidden/>
              </w:rPr>
              <w:instrText xml:space="preserve"> PAGEREF _Toc241676735 \h </w:instrText>
            </w:r>
            <w:r w:rsidR="00170A12">
              <w:rPr>
                <w:noProof/>
                <w:webHidden/>
              </w:rPr>
            </w:r>
            <w:r w:rsidR="00170A12">
              <w:rPr>
                <w:noProof/>
                <w:webHidden/>
              </w:rPr>
              <w:fldChar w:fldCharType="separate"/>
            </w:r>
            <w:r w:rsidR="00170A12">
              <w:rPr>
                <w:noProof/>
                <w:webHidden/>
              </w:rPr>
              <w:t>3</w:t>
            </w:r>
            <w:r w:rsidR="00170A12">
              <w:rPr>
                <w:noProof/>
                <w:webHidden/>
              </w:rPr>
              <w:fldChar w:fldCharType="end"/>
            </w:r>
          </w:hyperlink>
        </w:p>
        <w:p w:rsidR="00170A12" w:rsidRDefault="00B367C6">
          <w:pPr>
            <w:pStyle w:val="TOC2"/>
            <w:tabs>
              <w:tab w:val="right" w:leader="dot" w:pos="9350"/>
            </w:tabs>
            <w:rPr>
              <w:noProof/>
            </w:rPr>
          </w:pPr>
          <w:hyperlink w:anchor="_Toc241676736" w:history="1">
            <w:r w:rsidR="00170A12" w:rsidRPr="003D5452">
              <w:rPr>
                <w:rStyle w:val="Hyperlink"/>
                <w:noProof/>
              </w:rPr>
              <w:t>5.3 Smoking Cessation</w:t>
            </w:r>
            <w:r w:rsidR="00170A12">
              <w:rPr>
                <w:noProof/>
                <w:webHidden/>
              </w:rPr>
              <w:tab/>
            </w:r>
            <w:r w:rsidR="00170A12">
              <w:rPr>
                <w:noProof/>
                <w:webHidden/>
              </w:rPr>
              <w:fldChar w:fldCharType="begin"/>
            </w:r>
            <w:r w:rsidR="00170A12">
              <w:rPr>
                <w:noProof/>
                <w:webHidden/>
              </w:rPr>
              <w:instrText xml:space="preserve"> PAGEREF _Toc241676736 \h </w:instrText>
            </w:r>
            <w:r w:rsidR="00170A12">
              <w:rPr>
                <w:noProof/>
                <w:webHidden/>
              </w:rPr>
            </w:r>
            <w:r w:rsidR="00170A12">
              <w:rPr>
                <w:noProof/>
                <w:webHidden/>
              </w:rPr>
              <w:fldChar w:fldCharType="separate"/>
            </w:r>
            <w:r w:rsidR="00170A12">
              <w:rPr>
                <w:noProof/>
                <w:webHidden/>
              </w:rPr>
              <w:t>4</w:t>
            </w:r>
            <w:r w:rsidR="00170A12">
              <w:rPr>
                <w:noProof/>
                <w:webHidden/>
              </w:rPr>
              <w:fldChar w:fldCharType="end"/>
            </w:r>
          </w:hyperlink>
        </w:p>
        <w:p w:rsidR="00170A12" w:rsidRDefault="00B367C6">
          <w:pPr>
            <w:pStyle w:val="TOC2"/>
            <w:tabs>
              <w:tab w:val="right" w:leader="dot" w:pos="9350"/>
            </w:tabs>
            <w:rPr>
              <w:noProof/>
            </w:rPr>
          </w:pPr>
          <w:hyperlink w:anchor="_Toc241676737" w:history="1">
            <w:r w:rsidR="00170A12" w:rsidRPr="003D5452">
              <w:rPr>
                <w:rStyle w:val="Hyperlink"/>
                <w:noProof/>
              </w:rPr>
              <w:t>5.4 Weight Management and Self-Management</w:t>
            </w:r>
            <w:r w:rsidR="00170A12">
              <w:rPr>
                <w:noProof/>
                <w:webHidden/>
              </w:rPr>
              <w:tab/>
            </w:r>
            <w:r w:rsidR="00170A12">
              <w:rPr>
                <w:noProof/>
                <w:webHidden/>
              </w:rPr>
              <w:fldChar w:fldCharType="begin"/>
            </w:r>
            <w:r w:rsidR="00170A12">
              <w:rPr>
                <w:noProof/>
                <w:webHidden/>
              </w:rPr>
              <w:instrText xml:space="preserve"> PAGEREF _Toc241676737 \h </w:instrText>
            </w:r>
            <w:r w:rsidR="00170A12">
              <w:rPr>
                <w:noProof/>
                <w:webHidden/>
              </w:rPr>
            </w:r>
            <w:r w:rsidR="00170A12">
              <w:rPr>
                <w:noProof/>
                <w:webHidden/>
              </w:rPr>
              <w:fldChar w:fldCharType="separate"/>
            </w:r>
            <w:r w:rsidR="00170A12">
              <w:rPr>
                <w:noProof/>
                <w:webHidden/>
              </w:rPr>
              <w:t>4</w:t>
            </w:r>
            <w:r w:rsidR="00170A12">
              <w:rPr>
                <w:noProof/>
                <w:webHidden/>
              </w:rPr>
              <w:fldChar w:fldCharType="end"/>
            </w:r>
          </w:hyperlink>
        </w:p>
        <w:p w:rsidR="00170A12" w:rsidRDefault="00B367C6">
          <w:pPr>
            <w:pStyle w:val="TOC1"/>
            <w:tabs>
              <w:tab w:val="left" w:pos="440"/>
              <w:tab w:val="right" w:leader="dot" w:pos="9350"/>
            </w:tabs>
            <w:rPr>
              <w:noProof/>
            </w:rPr>
          </w:pPr>
          <w:hyperlink w:anchor="_Toc241676738" w:history="1">
            <w:r w:rsidR="00170A12" w:rsidRPr="003D5452">
              <w:rPr>
                <w:rStyle w:val="Hyperlink"/>
                <w:rFonts w:eastAsia="Times New Roman"/>
                <w:noProof/>
                <w:lang w:val="en-US"/>
              </w:rPr>
              <w:t>5.</w:t>
            </w:r>
            <w:r w:rsidR="00170A12">
              <w:rPr>
                <w:noProof/>
              </w:rPr>
              <w:tab/>
            </w:r>
            <w:r w:rsidR="00170A12" w:rsidRPr="003D5452">
              <w:rPr>
                <w:rStyle w:val="Hyperlink"/>
                <w:rFonts w:eastAsia="Times New Roman"/>
                <w:noProof/>
                <w:lang w:val="en-US"/>
              </w:rPr>
              <w:t>Conclusion</w:t>
            </w:r>
            <w:r w:rsidR="00170A12">
              <w:rPr>
                <w:noProof/>
                <w:webHidden/>
              </w:rPr>
              <w:tab/>
            </w:r>
            <w:r w:rsidR="00170A12">
              <w:rPr>
                <w:noProof/>
                <w:webHidden/>
              </w:rPr>
              <w:fldChar w:fldCharType="begin"/>
            </w:r>
            <w:r w:rsidR="00170A12">
              <w:rPr>
                <w:noProof/>
                <w:webHidden/>
              </w:rPr>
              <w:instrText xml:space="preserve"> PAGEREF _Toc241676738 \h </w:instrText>
            </w:r>
            <w:r w:rsidR="00170A12">
              <w:rPr>
                <w:noProof/>
                <w:webHidden/>
              </w:rPr>
            </w:r>
            <w:r w:rsidR="00170A12">
              <w:rPr>
                <w:noProof/>
                <w:webHidden/>
              </w:rPr>
              <w:fldChar w:fldCharType="separate"/>
            </w:r>
            <w:r w:rsidR="00170A12">
              <w:rPr>
                <w:noProof/>
                <w:webHidden/>
              </w:rPr>
              <w:t>4</w:t>
            </w:r>
            <w:r w:rsidR="00170A12">
              <w:rPr>
                <w:noProof/>
                <w:webHidden/>
              </w:rPr>
              <w:fldChar w:fldCharType="end"/>
            </w:r>
          </w:hyperlink>
        </w:p>
        <w:p w:rsidR="00170A12" w:rsidRDefault="00170A12">
          <w:r>
            <w:rPr>
              <w:b/>
              <w:bCs/>
              <w:noProof/>
            </w:rPr>
            <w:fldChar w:fldCharType="end"/>
          </w:r>
        </w:p>
      </w:sdtContent>
    </w:sdt>
    <w:p w:rsidR="00170A12" w:rsidRDefault="00170A12" w:rsidP="00170A12">
      <w:pPr>
        <w:spacing w:before="100" w:beforeAutospacing="1" w:after="100" w:afterAutospacing="1" w:line="240" w:lineRule="auto"/>
        <w:rPr>
          <w:rFonts w:eastAsia="Times New Roman" w:cs="Times New Roman"/>
          <w:szCs w:val="24"/>
          <w:lang w:val="en-US"/>
        </w:rPr>
        <w:sectPr w:rsidR="00170A12">
          <w:pgSz w:w="12240" w:h="15840"/>
          <w:pgMar w:top="1440" w:right="1440" w:bottom="1440" w:left="1440" w:header="720" w:footer="720" w:gutter="0"/>
          <w:cols w:space="720"/>
          <w:docGrid w:linePitch="360"/>
        </w:sectPr>
      </w:pPr>
    </w:p>
    <w:p w:rsidR="003F7E3D" w:rsidRPr="00170A12" w:rsidRDefault="003F7E3D" w:rsidP="00170A12">
      <w:pPr>
        <w:pStyle w:val="Heading1"/>
      </w:pPr>
      <w:bookmarkStart w:id="1" w:name="_Toc241676729"/>
      <w:r w:rsidRPr="00170A12">
        <w:lastRenderedPageBreak/>
        <w:t>Introduction</w:t>
      </w:r>
      <w:bookmarkEnd w:id="1"/>
    </w:p>
    <w:p w:rsidR="003C3393" w:rsidRPr="003C3393" w:rsidRDefault="003C3393" w:rsidP="003C3393">
      <w:pPr>
        <w:spacing w:before="100" w:beforeAutospacing="1" w:after="100" w:afterAutospacing="1" w:line="360" w:lineRule="auto"/>
        <w:rPr>
          <w:rFonts w:eastAsia="Times New Roman" w:cs="Times New Roman"/>
          <w:szCs w:val="24"/>
          <w:lang w:val="en-US"/>
        </w:rPr>
      </w:pPr>
      <w:r w:rsidRPr="003C3393">
        <w:rPr>
          <w:rFonts w:eastAsia="Times New Roman" w:cs="Times New Roman"/>
          <w:szCs w:val="24"/>
          <w:lang w:val="en-US"/>
        </w:rPr>
        <w:t xml:space="preserve">Diabetes mellitus is a medical problem characterized by hyperglycemia. Glucose is an excellent source of energy for cells and insulin helps regulate the level of glucose in the blood. In type 2 diabetes, the cells are resistant to insulin and the pancreatic beta cells cannot produce enough insulin (American Diabetes Association Professional Practice Committee for Diabetes, 2026a). As a result, the glucose stays in the blood instead of </w:t>
      </w:r>
      <w:proofErr w:type="gramStart"/>
      <w:r w:rsidRPr="003C3393">
        <w:rPr>
          <w:rFonts w:eastAsia="Times New Roman" w:cs="Times New Roman"/>
          <w:szCs w:val="24"/>
          <w:lang w:val="en-US"/>
        </w:rPr>
        <w:t>being taken up</w:t>
      </w:r>
      <w:proofErr w:type="gramEnd"/>
      <w:r w:rsidRPr="003C3393">
        <w:rPr>
          <w:rFonts w:eastAsia="Times New Roman" w:cs="Times New Roman"/>
          <w:szCs w:val="24"/>
          <w:lang w:val="en-US"/>
        </w:rPr>
        <w:t xml:space="preserve"> by cells (American Diabetes Association Professional Practice Committee for Diabetes, 2026a). </w:t>
      </w:r>
      <w:proofErr w:type="spellStart"/>
      <w:r w:rsidRPr="003C3393">
        <w:rPr>
          <w:rFonts w:eastAsia="Times New Roman" w:cs="Times New Roman"/>
          <w:szCs w:val="24"/>
          <w:lang w:val="en-US"/>
        </w:rPr>
        <w:t>Hyperglycaemia</w:t>
      </w:r>
      <w:proofErr w:type="spellEnd"/>
      <w:r w:rsidRPr="003C3393">
        <w:rPr>
          <w:rFonts w:eastAsia="Times New Roman" w:cs="Times New Roman"/>
          <w:szCs w:val="24"/>
          <w:lang w:val="en-US"/>
        </w:rPr>
        <w:t xml:space="preserve"> results in damage to heart, kidneys, eyes, nerves and blood vessels (World Health Organization, 2024).</w:t>
      </w:r>
    </w:p>
    <w:p w:rsidR="003C3393" w:rsidRDefault="003C3393" w:rsidP="003C3393">
      <w:pPr>
        <w:spacing w:before="100" w:beforeAutospacing="1" w:after="100" w:afterAutospacing="1" w:line="360" w:lineRule="auto"/>
        <w:rPr>
          <w:rFonts w:eastAsia="Times New Roman" w:cs="Times New Roman"/>
          <w:szCs w:val="24"/>
          <w:lang w:val="en-US"/>
        </w:rPr>
      </w:pPr>
      <w:r w:rsidRPr="003C3393">
        <w:rPr>
          <w:rFonts w:eastAsia="Times New Roman" w:cs="Times New Roman"/>
          <w:szCs w:val="24"/>
          <w:lang w:val="en-US"/>
        </w:rPr>
        <w:t xml:space="preserve">Non-modifiable and modifiable risk factors can lead to the development of type 2 diabetes. Some of the non-modifiable risk factors include ageing and genetic risk factor. Some of the modifiable risk factors include obesity, sedentary lifestyle and unhealthy diet (NHS, 2025a; Diabetes UK, 2026a). </w:t>
      </w:r>
      <w:proofErr w:type="gramStart"/>
      <w:r w:rsidRPr="003C3393">
        <w:rPr>
          <w:rFonts w:eastAsia="Times New Roman" w:cs="Times New Roman"/>
          <w:szCs w:val="24"/>
          <w:lang w:val="en-US"/>
        </w:rPr>
        <w:t>Also</w:t>
      </w:r>
      <w:proofErr w:type="gramEnd"/>
      <w:r w:rsidRPr="003C3393">
        <w:rPr>
          <w:rFonts w:eastAsia="Times New Roman" w:cs="Times New Roman"/>
          <w:szCs w:val="24"/>
          <w:lang w:val="en-US"/>
        </w:rPr>
        <w:t>, smoking is one more risk factor that leads to health complications especially cardiovascular risk (Diabetes UK, 2026a).</w:t>
      </w:r>
      <w:r>
        <w:rPr>
          <w:rFonts w:eastAsia="Times New Roman" w:cs="Times New Roman"/>
          <w:szCs w:val="24"/>
          <w:lang w:val="en-US"/>
        </w:rPr>
        <w:t xml:space="preserve"> </w:t>
      </w:r>
      <w:r w:rsidRPr="003C3393">
        <w:rPr>
          <w:rFonts w:eastAsia="Times New Roman" w:cs="Times New Roman"/>
          <w:szCs w:val="24"/>
          <w:lang w:val="en-US"/>
        </w:rPr>
        <w:t>This is because these risk factors can interact in the sense that body fat in excess leads to insulin resistance while physical inactivity limits the effectiveness of insulin.</w:t>
      </w:r>
    </w:p>
    <w:p w:rsidR="00E86777" w:rsidRPr="003F7E3D" w:rsidRDefault="00E86777" w:rsidP="003C3393">
      <w:pPr>
        <w:spacing w:before="100" w:beforeAutospacing="1" w:after="100" w:afterAutospacing="1" w:line="360" w:lineRule="auto"/>
        <w:rPr>
          <w:rFonts w:eastAsia="Times New Roman" w:cs="Times New Roman"/>
          <w:szCs w:val="24"/>
          <w:lang w:val="en-US"/>
        </w:rPr>
      </w:pPr>
      <w:r w:rsidRPr="00E86777">
        <w:rPr>
          <w:rFonts w:eastAsia="Times New Roman" w:cs="Times New Roman"/>
          <w:szCs w:val="24"/>
          <w:lang w:val="en-US"/>
        </w:rPr>
        <w:t>Management is not only concerned with the reduction of the amount of blood glucose. It involves having an understanding of the glucose regulations, carrying out monitoring measures, treatments and management of lifestyles</w:t>
      </w:r>
      <w:r w:rsidR="00D46825">
        <w:rPr>
          <w:rFonts w:eastAsia="Times New Roman" w:cs="Times New Roman"/>
          <w:szCs w:val="24"/>
          <w:lang w:val="en-US"/>
        </w:rPr>
        <w:t xml:space="preserve"> (</w:t>
      </w:r>
      <w:r w:rsidR="00D46825">
        <w:t>NICE, 2026)</w:t>
      </w:r>
      <w:r w:rsidRPr="00E86777">
        <w:rPr>
          <w:rFonts w:eastAsia="Times New Roman" w:cs="Times New Roman"/>
          <w:szCs w:val="24"/>
          <w:lang w:val="en-US"/>
        </w:rPr>
        <w:t>. This paper gives a review of the regulation of glucose, energy production in the body cells, glucose monitoring and management of lifestyles among individuals suffering from type 2 diabetes</w:t>
      </w:r>
      <w:r w:rsidR="003C3393">
        <w:rPr>
          <w:rFonts w:eastAsia="Times New Roman" w:cs="Times New Roman"/>
          <w:szCs w:val="24"/>
          <w:lang w:val="en-US"/>
        </w:rPr>
        <w:t xml:space="preserve"> (</w:t>
      </w:r>
      <w:r w:rsidR="003C3393">
        <w:t>NICE, 2026)</w:t>
      </w:r>
      <w:r w:rsidRPr="00E86777">
        <w:rPr>
          <w:rFonts w:eastAsia="Times New Roman" w:cs="Times New Roman"/>
          <w:szCs w:val="24"/>
          <w:lang w:val="en-US"/>
        </w:rPr>
        <w:t>.</w:t>
      </w:r>
    </w:p>
    <w:p w:rsidR="003F7E3D" w:rsidRPr="003F7E3D" w:rsidRDefault="003F7E3D" w:rsidP="00170A12">
      <w:pPr>
        <w:pStyle w:val="Heading1"/>
        <w:spacing w:line="360" w:lineRule="auto"/>
        <w:rPr>
          <w:rFonts w:eastAsia="Times New Roman"/>
          <w:lang w:val="en-US"/>
        </w:rPr>
      </w:pPr>
      <w:bookmarkStart w:id="2" w:name="_Toc241676730"/>
      <w:r w:rsidRPr="003F7E3D">
        <w:rPr>
          <w:rFonts w:eastAsia="Times New Roman"/>
          <w:lang w:val="en-US"/>
        </w:rPr>
        <w:t>Maintenance of Blood Glucose Levels</w:t>
      </w:r>
      <w:bookmarkEnd w:id="2"/>
    </w:p>
    <w:p w:rsidR="003F7E3D" w:rsidRDefault="00E86777" w:rsidP="00170A12">
      <w:pPr>
        <w:spacing w:before="100" w:beforeAutospacing="1" w:after="100" w:afterAutospacing="1" w:line="360" w:lineRule="auto"/>
      </w:pPr>
      <w:r w:rsidRPr="00E86777">
        <w:rPr>
          <w:rFonts w:eastAsia="Times New Roman" w:cs="Times New Roman"/>
          <w:szCs w:val="24"/>
          <w:lang w:val="en-US"/>
        </w:rPr>
        <w:t>Glucose regulation in the body is through the interplay of the pancreas, liver, skeletal muscles, adipose tissue, and hormones. After eating carbohydrate foods, the process of digestion turns the carbohydrates into glucose and the glucose enters the bloodstream. The increased level of glucose in the blood causes the activation of the beta cells in the islets of Langerhans that produce insulin. Insulin assists in the absorption of glucose in the skeletal muscles and adipose tissue and its conv</w:t>
      </w:r>
      <w:r>
        <w:rPr>
          <w:rFonts w:eastAsia="Times New Roman" w:cs="Times New Roman"/>
          <w:szCs w:val="24"/>
          <w:lang w:val="en-US"/>
        </w:rPr>
        <w:t>ersion to glycogen in the liver</w:t>
      </w:r>
      <w:r w:rsidR="003C3393">
        <w:rPr>
          <w:rFonts w:eastAsia="Times New Roman" w:cs="Times New Roman"/>
          <w:szCs w:val="24"/>
          <w:lang w:val="en-US"/>
        </w:rPr>
        <w:t xml:space="preserve"> </w:t>
      </w:r>
      <w:r w:rsidR="003C3393" w:rsidRPr="003C3393">
        <w:t>(NICE, 2026; World Health Organization, 2024).</w:t>
      </w:r>
    </w:p>
    <w:p w:rsidR="00F63EF9" w:rsidRDefault="00F63EF9" w:rsidP="00170A12">
      <w:pPr>
        <w:spacing w:before="100" w:beforeAutospacing="1" w:after="100" w:afterAutospacing="1" w:line="360" w:lineRule="auto"/>
        <w:rPr>
          <w:rFonts w:eastAsia="Times New Roman" w:cs="Times New Roman"/>
          <w:szCs w:val="24"/>
          <w:lang w:val="en-US"/>
        </w:rPr>
      </w:pPr>
      <w:r w:rsidRPr="00F63EF9">
        <w:rPr>
          <w:rFonts w:eastAsia="Times New Roman" w:cs="Times New Roman"/>
          <w:szCs w:val="24"/>
          <w:lang w:val="en-US"/>
        </w:rPr>
        <w:lastRenderedPageBreak/>
        <w:t>When there is a drop in blood glucose, for instance, when the body is fasting, the alpha cells in the pancreas release the hormone glucagon. Glucagon then helps break down the stored glycogen in the liver and facilitates the formation of glucose, hence enabling the release of glucose in the bloodstream. Insulin and glucagon therefore operate together in controlling blood glucose homeostasis (NICE, 2026).</w:t>
      </w:r>
    </w:p>
    <w:p w:rsidR="00F63EF9" w:rsidRDefault="00F63EF9" w:rsidP="00F63EF9">
      <w:pPr>
        <w:keepNext/>
        <w:spacing w:before="100" w:beforeAutospacing="1" w:after="100" w:afterAutospacing="1" w:line="360" w:lineRule="auto"/>
        <w:jc w:val="center"/>
      </w:pPr>
      <w:r w:rsidRPr="00F63EF9">
        <w:rPr>
          <w:rFonts w:eastAsia="Times New Roman" w:cs="Times New Roman"/>
          <w:noProof/>
          <w:szCs w:val="24"/>
          <w:lang w:val="en-US"/>
        </w:rPr>
        <w:drawing>
          <wp:inline distT="0" distB="0" distL="0" distR="0" wp14:anchorId="2DD9D56D" wp14:editId="422C0B4C">
            <wp:extent cx="2568163" cy="2872989"/>
            <wp:effectExtent l="0" t="0" r="381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568163" cy="2872989"/>
                    </a:xfrm>
                    <a:prstGeom prst="rect">
                      <a:avLst/>
                    </a:prstGeom>
                  </pic:spPr>
                </pic:pic>
              </a:graphicData>
            </a:graphic>
          </wp:inline>
        </w:drawing>
      </w:r>
    </w:p>
    <w:p w:rsidR="00F63EF9" w:rsidRDefault="00F63EF9" w:rsidP="00F63EF9">
      <w:pPr>
        <w:pStyle w:val="Caption"/>
        <w:jc w:val="center"/>
        <w:rPr>
          <w:rFonts w:eastAsia="Times New Roman" w:cs="Times New Roman"/>
          <w:szCs w:val="24"/>
          <w:lang w:val="en-US"/>
        </w:rPr>
      </w:pPr>
      <w:r>
        <w:t xml:space="preserve">Figure </w:t>
      </w:r>
      <w:r>
        <w:fldChar w:fldCharType="begin"/>
      </w:r>
      <w:r>
        <w:instrText xml:space="preserve"> SEQ Figure \* ARABIC </w:instrText>
      </w:r>
      <w:r>
        <w:fldChar w:fldCharType="separate"/>
      </w:r>
      <w:r>
        <w:rPr>
          <w:noProof/>
        </w:rPr>
        <w:t>1</w:t>
      </w:r>
      <w:r>
        <w:fldChar w:fldCharType="end"/>
      </w:r>
      <w:r>
        <w:t xml:space="preserve"> </w:t>
      </w:r>
      <w:r w:rsidRPr="00F63EF9">
        <w:t>Chemical structure of human glucagon, a peptide hormone of 29 amino acids. Source: PubChem (2026b), CID 16132283.</w:t>
      </w:r>
    </w:p>
    <w:p w:rsidR="00E86777" w:rsidRPr="00E86777" w:rsidRDefault="00E86777" w:rsidP="00170A12">
      <w:pPr>
        <w:spacing w:before="100" w:beforeAutospacing="1" w:after="100" w:afterAutospacing="1" w:line="360" w:lineRule="auto"/>
        <w:rPr>
          <w:rFonts w:eastAsia="Times New Roman" w:cs="Times New Roman"/>
          <w:szCs w:val="24"/>
          <w:lang w:val="en-US"/>
        </w:rPr>
      </w:pPr>
      <w:r w:rsidRPr="00E86777">
        <w:rPr>
          <w:rFonts w:eastAsia="Times New Roman" w:cs="Times New Roman"/>
          <w:szCs w:val="24"/>
          <w:lang w:val="en-US"/>
        </w:rPr>
        <w:t xml:space="preserve">This control </w:t>
      </w:r>
      <w:proofErr w:type="gramStart"/>
      <w:r w:rsidRPr="00E86777">
        <w:rPr>
          <w:rFonts w:eastAsia="Times New Roman" w:cs="Times New Roman"/>
          <w:szCs w:val="24"/>
          <w:lang w:val="en-US"/>
        </w:rPr>
        <w:t>is compromised</w:t>
      </w:r>
      <w:proofErr w:type="gramEnd"/>
      <w:r w:rsidRPr="00E86777">
        <w:rPr>
          <w:rFonts w:eastAsia="Times New Roman" w:cs="Times New Roman"/>
          <w:szCs w:val="24"/>
          <w:lang w:val="en-US"/>
        </w:rPr>
        <w:t xml:space="preserve"> in case of type 2 diabetes mellitus. This occurs through insulin resistance that leads to poor response of body cells to the effects of insulin thus reducing glucose uptake and leading to </w:t>
      </w:r>
      <w:r w:rsidR="00C73258" w:rsidRPr="00E86777">
        <w:rPr>
          <w:rFonts w:eastAsia="Times New Roman" w:cs="Times New Roman"/>
          <w:szCs w:val="24"/>
          <w:lang w:val="en-US"/>
        </w:rPr>
        <w:t>hyperglycemia</w:t>
      </w:r>
      <w:r w:rsidRPr="00E86777">
        <w:rPr>
          <w:rFonts w:eastAsia="Times New Roman" w:cs="Times New Roman"/>
          <w:szCs w:val="24"/>
          <w:lang w:val="en-US"/>
        </w:rPr>
        <w:t xml:space="preserve">. The production of more insulin by the pancreas in an attempt to compensate might occur. </w:t>
      </w:r>
      <w:r w:rsidR="00C73258" w:rsidRPr="00E86777">
        <w:rPr>
          <w:rFonts w:eastAsia="Times New Roman" w:cs="Times New Roman"/>
          <w:szCs w:val="24"/>
          <w:lang w:val="en-US"/>
        </w:rPr>
        <w:t>However</w:t>
      </w:r>
      <w:r w:rsidRPr="00E86777">
        <w:rPr>
          <w:rFonts w:eastAsia="Times New Roman" w:cs="Times New Roman"/>
          <w:szCs w:val="24"/>
          <w:lang w:val="en-US"/>
        </w:rPr>
        <w:t xml:space="preserve">, gradually, due to beta-cell dysfunction, there will be a decrease in the production of insulin. Decreased secretion of sufficient amount of insulin from </w:t>
      </w:r>
      <w:r w:rsidR="00C73258" w:rsidRPr="00E86777">
        <w:rPr>
          <w:rFonts w:eastAsia="Times New Roman" w:cs="Times New Roman"/>
          <w:szCs w:val="24"/>
          <w:lang w:val="en-US"/>
        </w:rPr>
        <w:t>beta cells</w:t>
      </w:r>
      <w:r w:rsidRPr="00E86777">
        <w:rPr>
          <w:rFonts w:eastAsia="Times New Roman" w:cs="Times New Roman"/>
          <w:szCs w:val="24"/>
          <w:lang w:val="en-US"/>
        </w:rPr>
        <w:t xml:space="preserve"> along with insulin resistance is a feature of type 2 diabetes as per American Diabetes Association Professional Practice Committee for Diabetes, 2026</w:t>
      </w:r>
      <w:r w:rsidR="00717794">
        <w:rPr>
          <w:rFonts w:eastAsia="Times New Roman" w:cs="Times New Roman"/>
          <w:szCs w:val="24"/>
          <w:lang w:val="en-US"/>
        </w:rPr>
        <w:t>a</w:t>
      </w:r>
      <w:r w:rsidRPr="00E86777">
        <w:rPr>
          <w:rFonts w:eastAsia="Times New Roman" w:cs="Times New Roman"/>
          <w:szCs w:val="24"/>
          <w:lang w:val="en-US"/>
        </w:rPr>
        <w:t>.</w:t>
      </w:r>
    </w:p>
    <w:p w:rsidR="00E86777" w:rsidRPr="003F7E3D" w:rsidRDefault="00C73258" w:rsidP="00170A12">
      <w:pPr>
        <w:spacing w:before="100" w:beforeAutospacing="1" w:after="100" w:afterAutospacing="1" w:line="360" w:lineRule="auto"/>
        <w:rPr>
          <w:rFonts w:eastAsia="Times New Roman" w:cs="Times New Roman"/>
          <w:szCs w:val="24"/>
          <w:lang w:val="en-US"/>
        </w:rPr>
      </w:pPr>
      <w:r w:rsidRPr="00E86777">
        <w:rPr>
          <w:rFonts w:eastAsia="Times New Roman" w:cs="Times New Roman"/>
          <w:szCs w:val="24"/>
          <w:lang w:val="en-US"/>
        </w:rPr>
        <w:t>Hyperglycemia</w:t>
      </w:r>
      <w:r w:rsidR="00E86777" w:rsidRPr="00E86777">
        <w:rPr>
          <w:rFonts w:eastAsia="Times New Roman" w:cs="Times New Roman"/>
          <w:szCs w:val="24"/>
          <w:lang w:val="en-US"/>
        </w:rPr>
        <w:t xml:space="preserve"> increases the risk of developing cardiovascular disease, kidney disease, neuropathy and retinopathy (World Health Organization, 2024). HbA1c is important as it indicates </w:t>
      </w:r>
      <w:r w:rsidRPr="00E86777">
        <w:rPr>
          <w:rFonts w:eastAsia="Times New Roman" w:cs="Times New Roman"/>
          <w:szCs w:val="24"/>
          <w:lang w:val="en-US"/>
        </w:rPr>
        <w:t>glycemic</w:t>
      </w:r>
      <w:r w:rsidR="00E86777" w:rsidRPr="00E86777">
        <w:rPr>
          <w:rFonts w:eastAsia="Times New Roman" w:cs="Times New Roman"/>
          <w:szCs w:val="24"/>
          <w:lang w:val="en-US"/>
        </w:rPr>
        <w:t xml:space="preserve"> exposure over a prolonged </w:t>
      </w:r>
      <w:r w:rsidRPr="00E86777">
        <w:rPr>
          <w:rFonts w:eastAsia="Times New Roman" w:cs="Times New Roman"/>
          <w:szCs w:val="24"/>
          <w:lang w:val="en-US"/>
        </w:rPr>
        <w:t>period</w:t>
      </w:r>
      <w:r w:rsidR="00E86777" w:rsidRPr="00E86777">
        <w:rPr>
          <w:rFonts w:eastAsia="Times New Roman" w:cs="Times New Roman"/>
          <w:szCs w:val="24"/>
          <w:lang w:val="en-US"/>
        </w:rPr>
        <w:t xml:space="preserve">. Measurement of HbA1c </w:t>
      </w:r>
      <w:proofErr w:type="gramStart"/>
      <w:r w:rsidR="00E86777" w:rsidRPr="00E86777">
        <w:rPr>
          <w:rFonts w:eastAsia="Times New Roman" w:cs="Times New Roman"/>
          <w:szCs w:val="24"/>
          <w:lang w:val="en-US"/>
        </w:rPr>
        <w:t>should be done</w:t>
      </w:r>
      <w:proofErr w:type="gramEnd"/>
      <w:r w:rsidR="00E86777" w:rsidRPr="00E86777">
        <w:rPr>
          <w:rFonts w:eastAsia="Times New Roman" w:cs="Times New Roman"/>
          <w:szCs w:val="24"/>
          <w:lang w:val="en-US"/>
        </w:rPr>
        <w:t xml:space="preserve"> once every 3-6 months until stability and then after every 6 months, individual targets have been agreed upon (NICE, 2026).</w:t>
      </w:r>
    </w:p>
    <w:p w:rsidR="003F7E3D" w:rsidRPr="003F7E3D" w:rsidRDefault="003F7E3D" w:rsidP="00170A12">
      <w:pPr>
        <w:pStyle w:val="Heading1"/>
        <w:spacing w:line="360" w:lineRule="auto"/>
        <w:rPr>
          <w:rFonts w:eastAsia="Times New Roman"/>
          <w:lang w:val="en-US"/>
        </w:rPr>
      </w:pPr>
      <w:bookmarkStart w:id="3" w:name="_Toc241676731"/>
      <w:r w:rsidRPr="003F7E3D">
        <w:rPr>
          <w:rFonts w:eastAsia="Times New Roman"/>
          <w:lang w:val="en-US"/>
        </w:rPr>
        <w:lastRenderedPageBreak/>
        <w:t>Use of Oxygen and Glucose in Cellular Metabolism</w:t>
      </w:r>
      <w:bookmarkEnd w:id="3"/>
    </w:p>
    <w:p w:rsidR="00C73258" w:rsidRDefault="00C73258" w:rsidP="00170A12">
      <w:pPr>
        <w:spacing w:before="100" w:beforeAutospacing="1" w:after="100" w:afterAutospacing="1" w:line="360" w:lineRule="auto"/>
      </w:pPr>
      <w:r w:rsidRPr="00C73258">
        <w:rPr>
          <w:rFonts w:eastAsia="Times New Roman" w:cs="Times New Roman"/>
          <w:szCs w:val="24"/>
          <w:lang w:val="en-US"/>
        </w:rPr>
        <w:t xml:space="preserve">Glucose provides an essential source of energy in the body cell while oxygen is vital in enabling energy production through aerobic respiration. Glucose and oxygen play important roles in the cellular respiration process whereby adenosine triphosphate (ATP) </w:t>
      </w:r>
      <w:proofErr w:type="gramStart"/>
      <w:r w:rsidRPr="00C73258">
        <w:rPr>
          <w:rFonts w:eastAsia="Times New Roman" w:cs="Times New Roman"/>
          <w:szCs w:val="24"/>
          <w:lang w:val="en-US"/>
        </w:rPr>
        <w:t>is produced</w:t>
      </w:r>
      <w:proofErr w:type="gramEnd"/>
      <w:r w:rsidRPr="00C73258">
        <w:rPr>
          <w:rFonts w:eastAsia="Times New Roman" w:cs="Times New Roman"/>
          <w:szCs w:val="24"/>
          <w:lang w:val="en-US"/>
        </w:rPr>
        <w:t xml:space="preserve"> and this is the ma</w:t>
      </w:r>
      <w:r w:rsidR="00F63EF9">
        <w:rPr>
          <w:rFonts w:eastAsia="Times New Roman" w:cs="Times New Roman"/>
          <w:szCs w:val="24"/>
          <w:lang w:val="en-US"/>
        </w:rPr>
        <w:t xml:space="preserve">in energy carrier in the </w:t>
      </w:r>
      <w:r w:rsidR="00F63EF9" w:rsidRPr="00F63EF9">
        <w:rPr>
          <w:rFonts w:eastAsia="Times New Roman" w:cs="Times New Roman"/>
          <w:szCs w:val="24"/>
          <w:lang w:val="en-US"/>
        </w:rPr>
        <w:t xml:space="preserve">cells </w:t>
      </w:r>
      <w:r w:rsidR="00F63EF9" w:rsidRPr="00F63EF9">
        <w:t>(</w:t>
      </w:r>
      <w:proofErr w:type="spellStart"/>
      <w:r w:rsidR="00F63EF9" w:rsidRPr="00F63EF9">
        <w:t>OpenStax</w:t>
      </w:r>
      <w:proofErr w:type="spellEnd"/>
      <w:r w:rsidR="00F63EF9" w:rsidRPr="00F63EF9">
        <w:t>, 2018).</w:t>
      </w:r>
    </w:p>
    <w:p w:rsidR="00F63EF9" w:rsidRDefault="005A04F7" w:rsidP="00F63EF9">
      <w:pPr>
        <w:keepNext/>
        <w:spacing w:before="100" w:beforeAutospacing="1" w:after="100" w:afterAutospacing="1" w:line="360" w:lineRule="auto"/>
        <w:jc w:val="center"/>
      </w:pPr>
      <w:r w:rsidRPr="005A04F7">
        <w:rPr>
          <w:noProof/>
          <w:lang w:val="en-US"/>
        </w:rPr>
        <w:drawing>
          <wp:inline distT="0" distB="0" distL="0" distR="0" wp14:anchorId="1D6EA35A" wp14:editId="3BFC86D4">
            <wp:extent cx="3914251" cy="2872740"/>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924115" cy="2879980"/>
                    </a:xfrm>
                    <a:prstGeom prst="rect">
                      <a:avLst/>
                    </a:prstGeom>
                  </pic:spPr>
                </pic:pic>
              </a:graphicData>
            </a:graphic>
          </wp:inline>
        </w:drawing>
      </w:r>
    </w:p>
    <w:p w:rsidR="00F63EF9" w:rsidRPr="00C73258" w:rsidRDefault="00F63EF9" w:rsidP="00F63EF9">
      <w:pPr>
        <w:pStyle w:val="Caption"/>
        <w:jc w:val="center"/>
        <w:rPr>
          <w:rFonts w:eastAsia="Times New Roman" w:cs="Times New Roman"/>
          <w:szCs w:val="24"/>
          <w:lang w:val="en-US"/>
        </w:rPr>
      </w:pPr>
      <w:r>
        <w:t xml:space="preserve">Figure </w:t>
      </w:r>
      <w:r>
        <w:fldChar w:fldCharType="begin"/>
      </w:r>
      <w:r>
        <w:instrText xml:space="preserve"> SEQ Figure \* ARABIC </w:instrText>
      </w:r>
      <w:r>
        <w:fldChar w:fldCharType="separate"/>
      </w:r>
      <w:r>
        <w:rPr>
          <w:noProof/>
        </w:rPr>
        <w:t>2</w:t>
      </w:r>
      <w:r>
        <w:fldChar w:fldCharType="end"/>
      </w:r>
      <w:r w:rsidR="005A04F7">
        <w:t xml:space="preserve"> </w:t>
      </w:r>
      <w:r w:rsidR="005A04F7" w:rsidRPr="005A04F7">
        <w:t>Chemical structure of D-glucose (C₆H₁₂O₆). Source: PubChem (2026a), CID 5793.</w:t>
      </w:r>
    </w:p>
    <w:p w:rsidR="003F7E3D" w:rsidRDefault="00C73258" w:rsidP="00170A12">
      <w:pPr>
        <w:spacing w:before="100" w:beforeAutospacing="1" w:after="100" w:afterAutospacing="1" w:line="360" w:lineRule="auto"/>
        <w:rPr>
          <w:rFonts w:eastAsia="Times New Roman" w:cs="Times New Roman"/>
          <w:szCs w:val="24"/>
          <w:lang w:val="en-US"/>
        </w:rPr>
      </w:pPr>
      <w:r w:rsidRPr="00C73258">
        <w:rPr>
          <w:rFonts w:eastAsia="Times New Roman" w:cs="Times New Roman"/>
          <w:szCs w:val="24"/>
          <w:lang w:val="en-US"/>
        </w:rPr>
        <w:t xml:space="preserve">There are various steps in the cellular respiration process. In glycolysis that takes place in the cytoplasm, glucose is converted into pyruvate accompanied by ATP formation </w:t>
      </w:r>
      <w:proofErr w:type="gramStart"/>
      <w:r w:rsidRPr="00C73258">
        <w:rPr>
          <w:rFonts w:eastAsia="Times New Roman" w:cs="Times New Roman"/>
          <w:szCs w:val="24"/>
          <w:lang w:val="en-US"/>
        </w:rPr>
        <w:t>and also</w:t>
      </w:r>
      <w:proofErr w:type="gramEnd"/>
      <w:r w:rsidRPr="00C73258">
        <w:rPr>
          <w:rFonts w:eastAsia="Times New Roman" w:cs="Times New Roman"/>
          <w:szCs w:val="24"/>
          <w:lang w:val="en-US"/>
        </w:rPr>
        <w:t xml:space="preserve"> electron carriers reduction. With oxygen available, pyruvate gets into the mitochondria and changes into acetyl-CoA. The acetyl-CoA then goes into the citric acid cycle whereby more electron carriers </w:t>
      </w:r>
      <w:proofErr w:type="gramStart"/>
      <w:r w:rsidRPr="00C73258">
        <w:rPr>
          <w:rFonts w:eastAsia="Times New Roman" w:cs="Times New Roman"/>
          <w:szCs w:val="24"/>
          <w:lang w:val="en-US"/>
        </w:rPr>
        <w:t>are produced</w:t>
      </w:r>
      <w:proofErr w:type="gramEnd"/>
      <w:r w:rsidRPr="00C73258">
        <w:rPr>
          <w:rFonts w:eastAsia="Times New Roman" w:cs="Times New Roman"/>
          <w:szCs w:val="24"/>
          <w:lang w:val="en-US"/>
        </w:rPr>
        <w:t xml:space="preserve">. These carriers transfer the high energy electrons to the electron transport chain located in the inner mitochondrial membrane. There is the production of the proton </w:t>
      </w:r>
      <w:proofErr w:type="gramStart"/>
      <w:r w:rsidRPr="00C73258">
        <w:rPr>
          <w:rFonts w:eastAsia="Times New Roman" w:cs="Times New Roman"/>
          <w:szCs w:val="24"/>
          <w:lang w:val="en-US"/>
        </w:rPr>
        <w:t>gradient which</w:t>
      </w:r>
      <w:proofErr w:type="gramEnd"/>
      <w:r w:rsidRPr="00C73258">
        <w:rPr>
          <w:rFonts w:eastAsia="Times New Roman" w:cs="Times New Roman"/>
          <w:szCs w:val="24"/>
          <w:lang w:val="en-US"/>
        </w:rPr>
        <w:t xml:space="preserve"> enables the production of ATP via oxidative phosphorylation. Oxygen becomes the final electron acceptor in forming water along </w:t>
      </w:r>
      <w:r w:rsidR="005A04F7">
        <w:rPr>
          <w:rFonts w:eastAsia="Times New Roman" w:cs="Times New Roman"/>
          <w:szCs w:val="24"/>
          <w:lang w:val="en-US"/>
        </w:rPr>
        <w:t xml:space="preserve">with hydrogen ions </w:t>
      </w:r>
      <w:r w:rsidR="005A04F7" w:rsidRPr="005A04F7">
        <w:t>(</w:t>
      </w:r>
      <w:proofErr w:type="spellStart"/>
      <w:r w:rsidR="005A04F7" w:rsidRPr="005A04F7">
        <w:t>OpenStax</w:t>
      </w:r>
      <w:proofErr w:type="spellEnd"/>
      <w:r w:rsidR="005A04F7" w:rsidRPr="005A04F7">
        <w:t>, 2018).</w:t>
      </w:r>
    </w:p>
    <w:p w:rsidR="00C73258" w:rsidRDefault="00C73258" w:rsidP="00170A12">
      <w:pPr>
        <w:spacing w:before="100" w:beforeAutospacing="1" w:after="100" w:afterAutospacing="1" w:line="360" w:lineRule="auto"/>
        <w:rPr>
          <w:rFonts w:eastAsia="Times New Roman" w:cs="Times New Roman"/>
          <w:szCs w:val="24"/>
          <w:lang w:val="en-US"/>
        </w:rPr>
      </w:pPr>
      <w:r w:rsidRPr="00C73258">
        <w:rPr>
          <w:rFonts w:eastAsia="Times New Roman" w:cs="Times New Roman"/>
          <w:szCs w:val="24"/>
          <w:lang w:val="en-US"/>
        </w:rPr>
        <w:t xml:space="preserve">The relationship between glucose and cell metabolism is highly important, particularly in the context of diabetes. If, for instance, there is hyperglycemia in the patient, there may be a problem with insulin resistance, whereby there is low glucose uptake by insulin-sensitive tissues despite high blood glucose levels. Therefore, high blood glucose levels do not imply normal glucose </w:t>
      </w:r>
      <w:r w:rsidRPr="00C73258">
        <w:rPr>
          <w:rFonts w:eastAsia="Times New Roman" w:cs="Times New Roman"/>
          <w:szCs w:val="24"/>
          <w:lang w:val="en-US"/>
        </w:rPr>
        <w:lastRenderedPageBreak/>
        <w:t>metabolism</w:t>
      </w:r>
      <w:r w:rsidR="005A04F7">
        <w:rPr>
          <w:rFonts w:eastAsia="Times New Roman" w:cs="Times New Roman"/>
          <w:szCs w:val="24"/>
          <w:lang w:val="en-US"/>
        </w:rPr>
        <w:t xml:space="preserve"> within cells. It will,</w:t>
      </w:r>
      <w:r w:rsidRPr="00C73258">
        <w:rPr>
          <w:rFonts w:eastAsia="Times New Roman" w:cs="Times New Roman"/>
          <w:szCs w:val="24"/>
          <w:lang w:val="en-US"/>
        </w:rPr>
        <w:t xml:space="preserve"> cause damage to cells as well as complications in diabetes patie</w:t>
      </w:r>
      <w:r w:rsidR="005A04F7">
        <w:rPr>
          <w:rFonts w:eastAsia="Times New Roman" w:cs="Times New Roman"/>
          <w:szCs w:val="24"/>
          <w:lang w:val="en-US"/>
        </w:rPr>
        <w:t>nts</w:t>
      </w:r>
      <w:r w:rsidR="005A04F7" w:rsidRPr="005A04F7">
        <w:t xml:space="preserve"> (American Diabetes Association Professional Practice Committee for Diabetes, 2026a).</w:t>
      </w:r>
    </w:p>
    <w:p w:rsidR="00C73258" w:rsidRPr="003F7E3D" w:rsidRDefault="00C73258" w:rsidP="00170A12">
      <w:pPr>
        <w:spacing w:before="100" w:beforeAutospacing="1" w:after="100" w:afterAutospacing="1" w:line="360" w:lineRule="auto"/>
        <w:rPr>
          <w:rFonts w:eastAsia="Times New Roman" w:cs="Times New Roman"/>
          <w:szCs w:val="24"/>
          <w:lang w:val="en-US"/>
        </w:rPr>
      </w:pPr>
      <w:r w:rsidRPr="00C73258">
        <w:rPr>
          <w:rFonts w:eastAsia="Times New Roman" w:cs="Times New Roman"/>
          <w:szCs w:val="24"/>
          <w:lang w:val="en-US"/>
        </w:rPr>
        <w:t xml:space="preserve">This is a good illustration of how anatomy and physiology are interrelated. The pancreas releases hormones that regulate glucose levels in the blood stream, the liver regulates glucose storage within the body, </w:t>
      </w:r>
      <w:proofErr w:type="gramStart"/>
      <w:r w:rsidRPr="00C73258">
        <w:rPr>
          <w:rFonts w:eastAsia="Times New Roman" w:cs="Times New Roman"/>
          <w:szCs w:val="24"/>
          <w:lang w:val="en-US"/>
        </w:rPr>
        <w:t>skeletal</w:t>
      </w:r>
      <w:proofErr w:type="gramEnd"/>
      <w:r w:rsidRPr="00C73258">
        <w:rPr>
          <w:rFonts w:eastAsia="Times New Roman" w:cs="Times New Roman"/>
          <w:szCs w:val="24"/>
          <w:lang w:val="en-US"/>
        </w:rPr>
        <w:t xml:space="preserve"> muscles utilize glucose, while the mitochondria generate ATP. The knowledge of all these relationships proves the fact that diabetes is a systemic disorder, not merely a disor</w:t>
      </w:r>
      <w:r w:rsidR="005A04F7">
        <w:rPr>
          <w:rFonts w:eastAsia="Times New Roman" w:cs="Times New Roman"/>
          <w:szCs w:val="24"/>
          <w:lang w:val="en-US"/>
        </w:rPr>
        <w:t xml:space="preserve">der of high blood glucose level </w:t>
      </w:r>
      <w:r w:rsidR="005A04F7" w:rsidRPr="005A04F7">
        <w:t>(NICE, 2026).</w:t>
      </w:r>
    </w:p>
    <w:p w:rsidR="003F7E3D" w:rsidRPr="003F7E3D" w:rsidRDefault="003F7E3D" w:rsidP="00170A12">
      <w:pPr>
        <w:pStyle w:val="Heading1"/>
        <w:spacing w:line="360" w:lineRule="auto"/>
        <w:rPr>
          <w:rFonts w:eastAsia="Times New Roman"/>
          <w:lang w:val="en-US"/>
        </w:rPr>
      </w:pPr>
      <w:bookmarkStart w:id="4" w:name="_Toc241676732"/>
      <w:r w:rsidRPr="003F7E3D">
        <w:rPr>
          <w:rFonts w:eastAsia="Times New Roman"/>
          <w:lang w:val="en-US"/>
        </w:rPr>
        <w:t>Importance of Recording and Tracking Blood Glucose</w:t>
      </w:r>
      <w:bookmarkEnd w:id="4"/>
    </w:p>
    <w:p w:rsidR="00436A6C" w:rsidRDefault="00436A6C" w:rsidP="00170A12">
      <w:pPr>
        <w:spacing w:before="100" w:beforeAutospacing="1" w:after="100" w:afterAutospacing="1" w:line="360" w:lineRule="auto"/>
        <w:rPr>
          <w:rFonts w:eastAsia="Times New Roman" w:cs="Times New Roman"/>
          <w:szCs w:val="24"/>
          <w:lang w:val="en-US"/>
        </w:rPr>
      </w:pPr>
      <w:r w:rsidRPr="00436A6C">
        <w:rPr>
          <w:rFonts w:eastAsia="Times New Roman" w:cs="Times New Roman"/>
          <w:szCs w:val="24"/>
          <w:lang w:val="en-US"/>
        </w:rPr>
        <w:t>The recording of the blood glucose level could help in the proper management of diabetes because it would help both individuals and medical practitioners identify trends in the glucose levels. The variations in the levels of blood glucose could be a result of diet, exercise, drugs, infections, and stress, among many other factors. Recording of blood glucose levels would thus show the effect of individual actions on glycemic control (Diabetes UK, 2026b).</w:t>
      </w:r>
    </w:p>
    <w:p w:rsidR="005A04F7" w:rsidRPr="00436A6C" w:rsidRDefault="005A04F7" w:rsidP="00170A12">
      <w:pPr>
        <w:spacing w:before="100" w:beforeAutospacing="1" w:after="100" w:afterAutospacing="1" w:line="360" w:lineRule="auto"/>
        <w:rPr>
          <w:rFonts w:eastAsia="Times New Roman" w:cs="Times New Roman"/>
          <w:szCs w:val="24"/>
          <w:lang w:val="en-US"/>
        </w:rPr>
      </w:pPr>
      <w:r w:rsidRPr="005A04F7">
        <w:rPr>
          <w:rFonts w:eastAsia="Times New Roman" w:cs="Times New Roman"/>
          <w:szCs w:val="24"/>
          <w:lang w:val="en-US"/>
        </w:rPr>
        <w:t xml:space="preserve">Regular self-monitoring is not compulsory for all individuals with type 2 diabetes who do not need insulin treatment according to NICE guidelines. It may be required in some cases where </w:t>
      </w:r>
      <w:proofErr w:type="spellStart"/>
      <w:r w:rsidRPr="005A04F7">
        <w:rPr>
          <w:rFonts w:eastAsia="Times New Roman" w:cs="Times New Roman"/>
          <w:szCs w:val="24"/>
          <w:lang w:val="en-US"/>
        </w:rPr>
        <w:t>hypoglycaemia</w:t>
      </w:r>
      <w:proofErr w:type="spellEnd"/>
      <w:r w:rsidRPr="005A04F7">
        <w:rPr>
          <w:rFonts w:eastAsia="Times New Roman" w:cs="Times New Roman"/>
          <w:szCs w:val="24"/>
          <w:lang w:val="en-US"/>
        </w:rPr>
        <w:t xml:space="preserve"> occurs, certain glucose-lowering medicines </w:t>
      </w:r>
      <w:proofErr w:type="gramStart"/>
      <w:r w:rsidRPr="005A04F7">
        <w:rPr>
          <w:rFonts w:eastAsia="Times New Roman" w:cs="Times New Roman"/>
          <w:szCs w:val="24"/>
          <w:lang w:val="en-US"/>
        </w:rPr>
        <w:t>are used</w:t>
      </w:r>
      <w:proofErr w:type="gramEnd"/>
      <w:r w:rsidRPr="005A04F7">
        <w:rPr>
          <w:rFonts w:eastAsia="Times New Roman" w:cs="Times New Roman"/>
          <w:szCs w:val="24"/>
          <w:lang w:val="en-US"/>
        </w:rPr>
        <w:t xml:space="preserve">, when one is pregnant, or during activities which require extra care. This matter must be considered individually and regularly, based on whether the results will </w:t>
      </w:r>
      <w:proofErr w:type="gramStart"/>
      <w:r w:rsidRPr="005A04F7">
        <w:rPr>
          <w:rFonts w:eastAsia="Times New Roman" w:cs="Times New Roman"/>
          <w:szCs w:val="24"/>
          <w:lang w:val="en-US"/>
        </w:rPr>
        <w:t>impact</w:t>
      </w:r>
      <w:proofErr w:type="gramEnd"/>
      <w:r w:rsidRPr="005A04F7">
        <w:rPr>
          <w:rFonts w:eastAsia="Times New Roman" w:cs="Times New Roman"/>
          <w:szCs w:val="24"/>
          <w:lang w:val="en-US"/>
        </w:rPr>
        <w:t xml:space="preserve"> the patient's management (NICE, 2026).</w:t>
      </w:r>
    </w:p>
    <w:p w:rsidR="00436A6C" w:rsidRPr="00436A6C" w:rsidRDefault="00436A6C" w:rsidP="00170A12">
      <w:pPr>
        <w:spacing w:before="100" w:beforeAutospacing="1" w:after="100" w:afterAutospacing="1" w:line="360" w:lineRule="auto"/>
        <w:rPr>
          <w:rFonts w:eastAsia="Times New Roman" w:cs="Times New Roman"/>
          <w:szCs w:val="24"/>
          <w:lang w:val="en-US"/>
        </w:rPr>
      </w:pPr>
      <w:r w:rsidRPr="00436A6C">
        <w:rPr>
          <w:rFonts w:eastAsia="Times New Roman" w:cs="Times New Roman"/>
          <w:szCs w:val="24"/>
          <w:lang w:val="en-US"/>
        </w:rPr>
        <w:t xml:space="preserve">Where patient monitoring is required, then documentation will enable the identification of repetitive patterns. For example, repetitive high glucose readings post certain meals will lead to conversations around portions and selection of carbohydrates. Monitoring of glucose and physical activity will enable the impact of physical activity on glucose levels to </w:t>
      </w:r>
      <w:proofErr w:type="gramStart"/>
      <w:r w:rsidRPr="00436A6C">
        <w:rPr>
          <w:rFonts w:eastAsia="Times New Roman" w:cs="Times New Roman"/>
          <w:szCs w:val="24"/>
          <w:lang w:val="en-US"/>
        </w:rPr>
        <w:t>be seen</w:t>
      </w:r>
      <w:proofErr w:type="gramEnd"/>
      <w:r w:rsidRPr="00436A6C">
        <w:rPr>
          <w:rFonts w:eastAsia="Times New Roman" w:cs="Times New Roman"/>
          <w:szCs w:val="24"/>
          <w:lang w:val="en-US"/>
        </w:rPr>
        <w:t>. As stated by Diabetes UK, physical activity may reduce glucose levels in the blood and increase insulin sensitivity depending on type and intensity of physica</w:t>
      </w:r>
      <w:r>
        <w:rPr>
          <w:rFonts w:eastAsia="Times New Roman" w:cs="Times New Roman"/>
          <w:szCs w:val="24"/>
          <w:lang w:val="en-US"/>
        </w:rPr>
        <w:t>l activity (Diabetes UK, 2024).</w:t>
      </w:r>
    </w:p>
    <w:p w:rsidR="00436A6C" w:rsidRDefault="00436A6C" w:rsidP="00170A12">
      <w:pPr>
        <w:spacing w:before="100" w:beforeAutospacing="1" w:after="100" w:afterAutospacing="1" w:line="360" w:lineRule="auto"/>
        <w:rPr>
          <w:rFonts w:eastAsia="Times New Roman" w:cs="Times New Roman"/>
          <w:szCs w:val="24"/>
          <w:lang w:val="en-US"/>
        </w:rPr>
      </w:pPr>
      <w:r w:rsidRPr="00436A6C">
        <w:rPr>
          <w:rFonts w:eastAsia="Times New Roman" w:cs="Times New Roman"/>
          <w:szCs w:val="24"/>
          <w:lang w:val="en-US"/>
        </w:rPr>
        <w:t xml:space="preserve">Monitoring may also assist in ensuring medication safety, particularly for individuals using insulin and medications for </w:t>
      </w:r>
      <w:proofErr w:type="spellStart"/>
      <w:r w:rsidRPr="00436A6C">
        <w:rPr>
          <w:rFonts w:eastAsia="Times New Roman" w:cs="Times New Roman"/>
          <w:szCs w:val="24"/>
          <w:lang w:val="en-US"/>
        </w:rPr>
        <w:t>hypoglycaemia</w:t>
      </w:r>
      <w:proofErr w:type="spellEnd"/>
      <w:r w:rsidRPr="00436A6C">
        <w:rPr>
          <w:rFonts w:eastAsia="Times New Roman" w:cs="Times New Roman"/>
          <w:szCs w:val="24"/>
          <w:lang w:val="en-US"/>
        </w:rPr>
        <w:t xml:space="preserve">. According to NICE, it is necessary to monitor patient testing skills, frequency, ability to interpret test findings, equipment used and continued relevance (NICE, 2026). Hence, monitoring is useful where findings </w:t>
      </w:r>
      <w:proofErr w:type="gramStart"/>
      <w:r w:rsidRPr="00436A6C">
        <w:rPr>
          <w:rFonts w:eastAsia="Times New Roman" w:cs="Times New Roman"/>
          <w:szCs w:val="24"/>
          <w:lang w:val="en-US"/>
        </w:rPr>
        <w:t>can be properly understood and acted upon</w:t>
      </w:r>
      <w:proofErr w:type="gramEnd"/>
      <w:r w:rsidRPr="00436A6C">
        <w:rPr>
          <w:rFonts w:eastAsia="Times New Roman" w:cs="Times New Roman"/>
          <w:szCs w:val="24"/>
          <w:lang w:val="en-US"/>
        </w:rPr>
        <w:t>.</w:t>
      </w:r>
    </w:p>
    <w:p w:rsidR="00436A6C" w:rsidRPr="003F7E3D" w:rsidRDefault="00436A6C" w:rsidP="00170A12">
      <w:pPr>
        <w:spacing w:before="100" w:beforeAutospacing="1" w:after="100" w:afterAutospacing="1" w:line="360" w:lineRule="auto"/>
        <w:rPr>
          <w:rFonts w:eastAsia="Times New Roman" w:cs="Times New Roman"/>
          <w:szCs w:val="24"/>
          <w:lang w:val="en-US"/>
        </w:rPr>
      </w:pPr>
      <w:r w:rsidRPr="00436A6C">
        <w:rPr>
          <w:rFonts w:eastAsia="Times New Roman" w:cs="Times New Roman"/>
          <w:szCs w:val="24"/>
          <w:lang w:val="en-US"/>
        </w:rPr>
        <w:lastRenderedPageBreak/>
        <w:t>Moreover, the HbA1c values also provide a lot of information about the patient’s glycemic control status. Thus, with the help of self-monitoring along with the clinical examination, one can have a more comprehensive view on diabetes management than through o</w:t>
      </w:r>
      <w:r w:rsidR="005A04F7">
        <w:rPr>
          <w:rFonts w:eastAsia="Times New Roman" w:cs="Times New Roman"/>
          <w:szCs w:val="24"/>
          <w:lang w:val="en-US"/>
        </w:rPr>
        <w:t xml:space="preserve">nly checking the glucose levels </w:t>
      </w:r>
      <w:r w:rsidR="005A04F7" w:rsidRPr="005A04F7">
        <w:t>(NICE, 2026).</w:t>
      </w:r>
    </w:p>
    <w:p w:rsidR="003F7E3D" w:rsidRPr="003F7E3D" w:rsidRDefault="003F7E3D" w:rsidP="00170A12">
      <w:pPr>
        <w:pStyle w:val="Heading1"/>
        <w:spacing w:line="360" w:lineRule="auto"/>
        <w:rPr>
          <w:rFonts w:eastAsia="Times New Roman"/>
          <w:lang w:val="en-US"/>
        </w:rPr>
      </w:pPr>
      <w:bookmarkStart w:id="5" w:name="_Toc241676733"/>
      <w:r w:rsidRPr="003F7E3D">
        <w:rPr>
          <w:rFonts w:eastAsia="Times New Roman"/>
          <w:lang w:val="en-US"/>
        </w:rPr>
        <w:t>Evidence-Based Lifestyle Recommendations</w:t>
      </w:r>
      <w:bookmarkEnd w:id="5"/>
    </w:p>
    <w:p w:rsidR="003F7E3D" w:rsidRPr="003F7E3D" w:rsidRDefault="003F7E3D" w:rsidP="00170A12">
      <w:pPr>
        <w:pStyle w:val="Heading2"/>
        <w:spacing w:line="360" w:lineRule="auto"/>
      </w:pPr>
      <w:bookmarkStart w:id="6" w:name="_Toc241676734"/>
      <w:r w:rsidRPr="003F7E3D">
        <w:t>5.1 Diet</w:t>
      </w:r>
      <w:bookmarkEnd w:id="6"/>
    </w:p>
    <w:p w:rsidR="00436A6C" w:rsidRPr="00436A6C" w:rsidRDefault="00436A6C" w:rsidP="00170A12">
      <w:pPr>
        <w:spacing w:before="100" w:beforeAutospacing="1" w:after="100" w:afterAutospacing="1" w:line="360" w:lineRule="auto"/>
        <w:rPr>
          <w:rFonts w:eastAsia="Times New Roman" w:cs="Times New Roman"/>
          <w:szCs w:val="24"/>
          <w:lang w:val="en-US"/>
        </w:rPr>
      </w:pPr>
      <w:r w:rsidRPr="00436A6C">
        <w:rPr>
          <w:rFonts w:eastAsia="Times New Roman" w:cs="Times New Roman"/>
          <w:szCs w:val="24"/>
          <w:lang w:val="en-US"/>
        </w:rPr>
        <w:t>Dietary treatment is one of the crucial components of type 2 diabetes care. It has to include patient preferences, nutritional needs, cultural issues, and objectives. The charity organization Diabetes UK recommends eating healthy food, increasing vegetable, whole grains, and pulses intake, and limiting consumption of processed food and saturated fats, salt, and carbohydrates (Diabetes UK, 2026b).</w:t>
      </w:r>
    </w:p>
    <w:p w:rsidR="00436A6C" w:rsidRPr="00436A6C" w:rsidRDefault="00436A6C" w:rsidP="00170A12">
      <w:pPr>
        <w:spacing w:before="100" w:beforeAutospacing="1" w:after="100" w:afterAutospacing="1" w:line="360" w:lineRule="auto"/>
        <w:rPr>
          <w:rFonts w:eastAsia="Times New Roman" w:cs="Times New Roman"/>
          <w:szCs w:val="24"/>
          <w:lang w:val="en-US"/>
        </w:rPr>
      </w:pPr>
      <w:r w:rsidRPr="00436A6C">
        <w:rPr>
          <w:rFonts w:eastAsia="Times New Roman" w:cs="Times New Roman"/>
          <w:szCs w:val="24"/>
          <w:lang w:val="en-US"/>
        </w:rPr>
        <w:t xml:space="preserve">Such a program has to </w:t>
      </w:r>
      <w:proofErr w:type="gramStart"/>
      <w:r w:rsidRPr="00436A6C">
        <w:rPr>
          <w:rFonts w:eastAsia="Times New Roman" w:cs="Times New Roman"/>
          <w:szCs w:val="24"/>
          <w:lang w:val="en-US"/>
        </w:rPr>
        <w:t>be focused</w:t>
      </w:r>
      <w:proofErr w:type="gramEnd"/>
      <w:r w:rsidRPr="00436A6C">
        <w:rPr>
          <w:rFonts w:eastAsia="Times New Roman" w:cs="Times New Roman"/>
          <w:szCs w:val="24"/>
          <w:lang w:val="en-US"/>
        </w:rPr>
        <w:t xml:space="preserve"> on improving the quality of the diet rather than limiting any foods. High-fiber carbohydrates might aid to reach the feeling of satiety, while reduction of food intake could be helpful for people experiencing obesity. Weight loss might improve the glycemic control and result in diabetes remission for some individuals with type 2 diabetes (NHS, 2025b).</w:t>
      </w:r>
    </w:p>
    <w:p w:rsidR="003F7E3D" w:rsidRPr="003F7E3D" w:rsidRDefault="00436A6C" w:rsidP="00170A12">
      <w:pPr>
        <w:spacing w:before="100" w:beforeAutospacing="1" w:after="100" w:afterAutospacing="1" w:line="360" w:lineRule="auto"/>
        <w:rPr>
          <w:rFonts w:eastAsia="Times New Roman" w:cs="Times New Roman"/>
          <w:szCs w:val="24"/>
          <w:lang w:val="en-US"/>
        </w:rPr>
      </w:pPr>
      <w:r w:rsidRPr="00436A6C">
        <w:rPr>
          <w:rFonts w:eastAsia="Times New Roman" w:cs="Times New Roman"/>
          <w:szCs w:val="24"/>
          <w:lang w:val="en-US"/>
        </w:rPr>
        <w:t>However, there is an individualization required for such recommendations. Severe restrictions might be difficult to follow and dangerous in nutritional and drug aspects. In that regard, NICE recommends individualized dietary and lifestyle recommendations based on patient's characteristics (NICE, 2026).</w:t>
      </w:r>
    </w:p>
    <w:p w:rsidR="003F7E3D" w:rsidRPr="003F7E3D" w:rsidRDefault="003F7E3D" w:rsidP="00170A12">
      <w:pPr>
        <w:pStyle w:val="Heading2"/>
        <w:spacing w:line="360" w:lineRule="auto"/>
      </w:pPr>
      <w:bookmarkStart w:id="7" w:name="_Toc241676735"/>
      <w:r w:rsidRPr="003F7E3D">
        <w:t>5.2 Physical Activity</w:t>
      </w:r>
      <w:bookmarkEnd w:id="7"/>
    </w:p>
    <w:p w:rsidR="00B42BF7" w:rsidRPr="00B42BF7" w:rsidRDefault="00B42BF7" w:rsidP="00170A12">
      <w:pPr>
        <w:spacing w:before="100" w:beforeAutospacing="1" w:after="100" w:afterAutospacing="1" w:line="360" w:lineRule="auto"/>
        <w:rPr>
          <w:rFonts w:eastAsia="Times New Roman" w:cs="Times New Roman"/>
          <w:szCs w:val="24"/>
          <w:lang w:val="en-US"/>
        </w:rPr>
      </w:pPr>
      <w:r w:rsidRPr="00B42BF7">
        <w:rPr>
          <w:rFonts w:eastAsia="Times New Roman" w:cs="Times New Roman"/>
          <w:szCs w:val="24"/>
          <w:lang w:val="en-US"/>
        </w:rPr>
        <w:t xml:space="preserve">Physical exercises will contribute to keeping glucose level controlled since there will be utilization of glucose during skeletal muscles contractions as well as increase in sensitivity to insulin. According to the NHS recommendation, individuals suffering from type 2 diabetes should participate in 2.5 hours of physical </w:t>
      </w:r>
      <w:r>
        <w:rPr>
          <w:rFonts w:eastAsia="Times New Roman" w:cs="Times New Roman"/>
          <w:szCs w:val="24"/>
          <w:lang w:val="en-US"/>
        </w:rPr>
        <w:t>activity per week (NHS, 2025b).</w:t>
      </w:r>
    </w:p>
    <w:p w:rsidR="00B42BF7" w:rsidRPr="00B42BF7" w:rsidRDefault="00B42BF7" w:rsidP="00170A12">
      <w:pPr>
        <w:spacing w:before="100" w:beforeAutospacing="1" w:after="100" w:afterAutospacing="1" w:line="360" w:lineRule="auto"/>
        <w:rPr>
          <w:rFonts w:eastAsia="Times New Roman" w:cs="Times New Roman"/>
          <w:szCs w:val="24"/>
          <w:lang w:val="en-US"/>
        </w:rPr>
      </w:pPr>
      <w:r w:rsidRPr="00B42BF7">
        <w:rPr>
          <w:rFonts w:eastAsia="Times New Roman" w:cs="Times New Roman"/>
          <w:szCs w:val="24"/>
          <w:lang w:val="en-US"/>
        </w:rPr>
        <w:t xml:space="preserve">The physical exercises chosen by patient should correspond to his health status, level of fitness, preferences and experience of complications. Walking, cycling and swimming are some examples of good </w:t>
      </w:r>
      <w:proofErr w:type="gramStart"/>
      <w:r w:rsidRPr="00B42BF7">
        <w:rPr>
          <w:rFonts w:eastAsia="Times New Roman" w:cs="Times New Roman"/>
          <w:szCs w:val="24"/>
          <w:lang w:val="en-US"/>
        </w:rPr>
        <w:t>exercises,</w:t>
      </w:r>
      <w:proofErr w:type="gramEnd"/>
      <w:r w:rsidRPr="00B42BF7">
        <w:rPr>
          <w:rFonts w:eastAsia="Times New Roman" w:cs="Times New Roman"/>
          <w:szCs w:val="24"/>
          <w:lang w:val="en-US"/>
        </w:rPr>
        <w:t xml:space="preserve"> however gradual increase in physical activity could be more beneficial than </w:t>
      </w:r>
      <w:r w:rsidRPr="00B42BF7">
        <w:rPr>
          <w:rFonts w:eastAsia="Times New Roman" w:cs="Times New Roman"/>
          <w:szCs w:val="24"/>
          <w:lang w:val="en-US"/>
        </w:rPr>
        <w:lastRenderedPageBreak/>
        <w:t>the beginning of intensive physical exercises. Patients using drugs, the use of which poses risk of hypoglycemia, will have to pay additional attention since physical exercises will lower blood glu</w:t>
      </w:r>
      <w:r>
        <w:rPr>
          <w:rFonts w:eastAsia="Times New Roman" w:cs="Times New Roman"/>
          <w:szCs w:val="24"/>
          <w:lang w:val="en-US"/>
        </w:rPr>
        <w:t>cose level (Diabetes UK, 2024).</w:t>
      </w:r>
    </w:p>
    <w:p w:rsidR="003F7E3D" w:rsidRPr="003F7E3D" w:rsidRDefault="00B42BF7" w:rsidP="00170A12">
      <w:pPr>
        <w:spacing w:before="100" w:beforeAutospacing="1" w:after="100" w:afterAutospacing="1" w:line="360" w:lineRule="auto"/>
        <w:rPr>
          <w:rFonts w:eastAsia="Times New Roman" w:cs="Times New Roman"/>
          <w:szCs w:val="24"/>
          <w:lang w:val="en-US"/>
        </w:rPr>
      </w:pPr>
      <w:r w:rsidRPr="00B42BF7">
        <w:rPr>
          <w:rFonts w:eastAsia="Times New Roman" w:cs="Times New Roman"/>
          <w:szCs w:val="24"/>
          <w:lang w:val="en-US"/>
        </w:rPr>
        <w:t xml:space="preserve">Therefore, physical exercises are both interventions and way of </w:t>
      </w:r>
      <w:proofErr w:type="gramStart"/>
      <w:r w:rsidRPr="00B42BF7">
        <w:rPr>
          <w:rFonts w:eastAsia="Times New Roman" w:cs="Times New Roman"/>
          <w:szCs w:val="24"/>
          <w:lang w:val="en-US"/>
        </w:rPr>
        <w:t>life which</w:t>
      </w:r>
      <w:proofErr w:type="gramEnd"/>
      <w:r w:rsidRPr="00B42BF7">
        <w:rPr>
          <w:rFonts w:eastAsia="Times New Roman" w:cs="Times New Roman"/>
          <w:szCs w:val="24"/>
          <w:lang w:val="en-US"/>
        </w:rPr>
        <w:t xml:space="preserve"> should be incorporated realist</w:t>
      </w:r>
      <w:r>
        <w:rPr>
          <w:rFonts w:eastAsia="Times New Roman" w:cs="Times New Roman"/>
          <w:szCs w:val="24"/>
          <w:lang w:val="en-US"/>
        </w:rPr>
        <w:t>ically</w:t>
      </w:r>
      <w:r w:rsidR="005A04F7">
        <w:rPr>
          <w:rFonts w:eastAsia="Times New Roman" w:cs="Times New Roman"/>
          <w:szCs w:val="24"/>
          <w:lang w:val="en-US"/>
        </w:rPr>
        <w:t xml:space="preserve"> </w:t>
      </w:r>
      <w:r w:rsidR="005A04F7" w:rsidRPr="005A04F7">
        <w:t>(NHS, 2025b).</w:t>
      </w:r>
    </w:p>
    <w:p w:rsidR="003F7E3D" w:rsidRPr="003F7E3D" w:rsidRDefault="003F7E3D" w:rsidP="00170A12">
      <w:pPr>
        <w:pStyle w:val="Heading2"/>
        <w:spacing w:line="360" w:lineRule="auto"/>
      </w:pPr>
      <w:bookmarkStart w:id="8" w:name="_Toc241676736"/>
      <w:r w:rsidRPr="003F7E3D">
        <w:t>5.3 Smoking Cessation</w:t>
      </w:r>
      <w:bookmarkEnd w:id="8"/>
    </w:p>
    <w:p w:rsidR="003F7E3D" w:rsidRPr="003F7E3D" w:rsidRDefault="00B42BF7" w:rsidP="00170A12">
      <w:pPr>
        <w:spacing w:before="100" w:beforeAutospacing="1" w:after="100" w:afterAutospacing="1" w:line="360" w:lineRule="auto"/>
        <w:rPr>
          <w:rFonts w:eastAsia="Times New Roman" w:cs="Times New Roman"/>
          <w:szCs w:val="24"/>
          <w:lang w:val="en-US"/>
        </w:rPr>
      </w:pPr>
      <w:r w:rsidRPr="00B42BF7">
        <w:rPr>
          <w:rFonts w:eastAsia="Times New Roman" w:cs="Times New Roman"/>
          <w:szCs w:val="24"/>
          <w:lang w:val="en-US"/>
        </w:rPr>
        <w:t xml:space="preserve">Stopping smoking is another key component in the care of people suffering from diabetes since smoking raises the chance of developing type 2 diabetes, and adds to cardiovascular risk factors (Diabetes UK, 2026a). Hence, stopping smoking by diabetic patients will become a way of decreasing an additional cardiovascular risk factor, and will generally contribute to their health. Encouraging and non-judgmental advice </w:t>
      </w:r>
      <w:proofErr w:type="gramStart"/>
      <w:r w:rsidRPr="00B42BF7">
        <w:rPr>
          <w:rFonts w:eastAsia="Times New Roman" w:cs="Times New Roman"/>
          <w:szCs w:val="24"/>
          <w:lang w:val="en-US"/>
        </w:rPr>
        <w:t>should be provided</w:t>
      </w:r>
      <w:proofErr w:type="gramEnd"/>
      <w:r w:rsidRPr="00B42BF7">
        <w:rPr>
          <w:rFonts w:eastAsia="Times New Roman" w:cs="Times New Roman"/>
          <w:szCs w:val="24"/>
          <w:lang w:val="en-US"/>
        </w:rPr>
        <w:t xml:space="preserve"> to diabetic patients, as well as guidance towards appropriate sm</w:t>
      </w:r>
      <w:r>
        <w:rPr>
          <w:rFonts w:eastAsia="Times New Roman" w:cs="Times New Roman"/>
          <w:szCs w:val="24"/>
          <w:lang w:val="en-US"/>
        </w:rPr>
        <w:t xml:space="preserve">oking cessation facilities. </w:t>
      </w:r>
      <w:r w:rsidRPr="00B42BF7">
        <w:rPr>
          <w:rFonts w:eastAsia="Times New Roman" w:cs="Times New Roman"/>
          <w:szCs w:val="24"/>
          <w:lang w:val="en-US"/>
        </w:rPr>
        <w:t>The focus should be on stopping smoking sustainably rather than simply informing patients since diabetes is a cardiovascular risk by itself.</w:t>
      </w:r>
    </w:p>
    <w:p w:rsidR="003F7E3D" w:rsidRDefault="003F7E3D" w:rsidP="00170A12">
      <w:pPr>
        <w:pStyle w:val="Heading2"/>
        <w:spacing w:line="360" w:lineRule="auto"/>
      </w:pPr>
      <w:bookmarkStart w:id="9" w:name="_Toc241676737"/>
      <w:r w:rsidRPr="003F7E3D">
        <w:t>5.4 Weight Management and Self-Management</w:t>
      </w:r>
      <w:bookmarkEnd w:id="9"/>
    </w:p>
    <w:p w:rsidR="00B42BF7" w:rsidRDefault="00B42BF7" w:rsidP="00170A12">
      <w:pPr>
        <w:spacing w:line="360" w:lineRule="auto"/>
      </w:pPr>
      <w:r w:rsidRPr="00B42BF7">
        <w:t xml:space="preserve">Weight management </w:t>
      </w:r>
      <w:proofErr w:type="gramStart"/>
      <w:r w:rsidRPr="00B42BF7">
        <w:t>could be taken into consideration when appropriate and used as a component of the general approach for managing the disease in every patient</w:t>
      </w:r>
      <w:proofErr w:type="gramEnd"/>
      <w:r w:rsidRPr="00B42BF7">
        <w:t xml:space="preserve">. Excess weight may cause the insulin resistance and </w:t>
      </w:r>
      <w:proofErr w:type="gramStart"/>
      <w:r w:rsidRPr="00B42BF7">
        <w:t>long term</w:t>
      </w:r>
      <w:proofErr w:type="gramEnd"/>
      <w:r w:rsidRPr="00B42BF7">
        <w:t xml:space="preserve"> weight loss will positively impact metabolism. </w:t>
      </w:r>
      <w:proofErr w:type="gramStart"/>
      <w:r w:rsidRPr="00B42BF7">
        <w:t>But</w:t>
      </w:r>
      <w:proofErr w:type="gramEnd"/>
      <w:r w:rsidRPr="00B42BF7">
        <w:t xml:space="preserve"> it must be remembered that the medical professionals should not assume that all the patients with type 2 diabetes are obese. It is possible that a person who is not obese has type 2 diabetes due to fat distribution and metabolic risk (American Diabetes Association Professional Practice Committee for Diabetes, 2026</w:t>
      </w:r>
      <w:r w:rsidR="00717794">
        <w:t>c</w:t>
      </w:r>
      <w:r w:rsidRPr="00B42BF7">
        <w:t>).</w:t>
      </w:r>
    </w:p>
    <w:p w:rsidR="00B42BF7" w:rsidRPr="003F7E3D" w:rsidRDefault="00B42BF7" w:rsidP="00170A12">
      <w:pPr>
        <w:spacing w:line="360" w:lineRule="auto"/>
        <w:rPr>
          <w:b/>
          <w:bCs/>
        </w:rPr>
      </w:pPr>
      <w:r w:rsidRPr="00B42BF7">
        <w:t>Self-mana</w:t>
      </w:r>
      <w:r>
        <w:t>gement education</w:t>
      </w:r>
      <w:r w:rsidRPr="00B42BF7">
        <w:t xml:space="preserve"> is very crucial. The patient needs to know about </w:t>
      </w:r>
      <w:proofErr w:type="gramStart"/>
      <w:r w:rsidRPr="00B42BF7">
        <w:t>his illness, medications, glucose levels, diet, physical activities, and when to see a health care professional</w:t>
      </w:r>
      <w:proofErr w:type="gramEnd"/>
      <w:r w:rsidRPr="00B42BF7">
        <w:t>. Education may assist in applying one's knowledge of physiology in decision-making and active involvement in treatment. It is especially true for diabetes treatment since self-management based on correct education will help control the disease</w:t>
      </w:r>
      <w:r w:rsidR="005A04F7" w:rsidRPr="005A04F7">
        <w:t xml:space="preserve"> (NICE, 2026).</w:t>
      </w:r>
    </w:p>
    <w:p w:rsidR="003F7E3D" w:rsidRPr="003F7E3D" w:rsidRDefault="003F7E3D" w:rsidP="00170A12">
      <w:pPr>
        <w:pStyle w:val="Heading1"/>
        <w:spacing w:line="360" w:lineRule="auto"/>
        <w:rPr>
          <w:rFonts w:eastAsia="Times New Roman"/>
          <w:lang w:val="en-US"/>
        </w:rPr>
      </w:pPr>
      <w:bookmarkStart w:id="10" w:name="_Toc241676738"/>
      <w:r w:rsidRPr="003F7E3D">
        <w:rPr>
          <w:rFonts w:eastAsia="Times New Roman"/>
          <w:lang w:val="en-US"/>
        </w:rPr>
        <w:lastRenderedPageBreak/>
        <w:t>Conclusion</w:t>
      </w:r>
      <w:bookmarkEnd w:id="10"/>
    </w:p>
    <w:p w:rsidR="00B42BF7" w:rsidRDefault="00B42BF7" w:rsidP="00170A12">
      <w:pPr>
        <w:spacing w:line="360" w:lineRule="auto"/>
      </w:pPr>
      <w:r>
        <w:t xml:space="preserve">Type 2 Diabetes Mellitus is a metabolic condition that involves insulin resistance coupled with insufficient secretion of insulin, which results in high blood glucose levels. The process of glucose regulation </w:t>
      </w:r>
      <w:proofErr w:type="gramStart"/>
      <w:r>
        <w:t>is influenced</w:t>
      </w:r>
      <w:proofErr w:type="gramEnd"/>
      <w:r>
        <w:t xml:space="preserve"> by mechanisms involving the pancreas, liver, muscle tissues, fat tissues, and hormones like insulin and glucagon. When there is a problem with the regulation of these processes, it can resul</w:t>
      </w:r>
      <w:r w:rsidR="005A04F7">
        <w:t xml:space="preserve">t in </w:t>
      </w:r>
      <w:proofErr w:type="spellStart"/>
      <w:r w:rsidR="005A04F7">
        <w:t>hyperglycemia</w:t>
      </w:r>
      <w:proofErr w:type="spellEnd"/>
      <w:r w:rsidR="005A04F7">
        <w:t xml:space="preserve"> </w:t>
      </w:r>
      <w:r w:rsidR="005A04F7" w:rsidRPr="005A04F7">
        <w:t>(American Diabetes Association Professional Practice Committee for Diabetes, 2026a).</w:t>
      </w:r>
    </w:p>
    <w:p w:rsidR="00FD26CB" w:rsidRDefault="00B42BF7" w:rsidP="00170A12">
      <w:pPr>
        <w:spacing w:line="360" w:lineRule="auto"/>
      </w:pPr>
      <w:r>
        <w:t xml:space="preserve">Glucose and oxygen are two important elements in the production of energy in the body cells. Glucose undergoes breakdown in the process of aerobic respiration while oxygen takes up the electrons from it hence the production of ATP. It is clear that understanding this concept explains </w:t>
      </w:r>
      <w:r w:rsidR="005A04F7">
        <w:t xml:space="preserve">the need for glucose regulation </w:t>
      </w:r>
      <w:r w:rsidR="005A04F7" w:rsidRPr="005A04F7">
        <w:t>(</w:t>
      </w:r>
      <w:proofErr w:type="spellStart"/>
      <w:r w:rsidR="005A04F7" w:rsidRPr="005A04F7">
        <w:t>OpenStax</w:t>
      </w:r>
      <w:proofErr w:type="spellEnd"/>
      <w:r w:rsidR="005A04F7" w:rsidRPr="005A04F7">
        <w:t>, 2018).</w:t>
      </w:r>
    </w:p>
    <w:p w:rsidR="00B42BF7" w:rsidRDefault="00B42BF7" w:rsidP="00170A12">
      <w:pPr>
        <w:spacing w:line="360" w:lineRule="auto"/>
      </w:pPr>
      <w:r>
        <w:t>Monitoring will help in measuring the blood glucose, determining the effectiveness of treatment and avoiding complications like hypoglycaemia. However, monitoring of blood glucose is not always necessary in individuals with type 2 diabetes, and therefore the kind of monitoring done should be suitable. HbA1c is also important in assessing the control of b</w:t>
      </w:r>
      <w:r w:rsidR="005A04F7">
        <w:t xml:space="preserve">lood sugar for a </w:t>
      </w:r>
      <w:proofErr w:type="gramStart"/>
      <w:r w:rsidR="005A04F7">
        <w:t>period of time</w:t>
      </w:r>
      <w:proofErr w:type="gramEnd"/>
      <w:r w:rsidR="005A04F7">
        <w:t xml:space="preserve"> </w:t>
      </w:r>
      <w:r w:rsidR="005A04F7" w:rsidRPr="005A04F7">
        <w:t>(NICE, 2026).</w:t>
      </w:r>
    </w:p>
    <w:p w:rsidR="00B42BF7" w:rsidRDefault="00B42BF7" w:rsidP="00170A12">
      <w:pPr>
        <w:spacing w:line="360" w:lineRule="auto"/>
      </w:pPr>
      <w:r>
        <w:t xml:space="preserve">Type 2 diabetes management needs to include healthy eating, exercising, quitting smoking, losing weight and education on diabetes management. They </w:t>
      </w:r>
      <w:proofErr w:type="gramStart"/>
      <w:r>
        <w:t>have been found</w:t>
      </w:r>
      <w:proofErr w:type="gramEnd"/>
      <w:r>
        <w:t xml:space="preserve"> to be useful in the management of metabolism. Type 2 diabetes management should include physiology, monitoring and modification of lifestyles rather than man</w:t>
      </w:r>
      <w:r w:rsidR="005A04F7">
        <w:t xml:space="preserve">aging only blood glucose levels </w:t>
      </w:r>
      <w:r w:rsidR="005A04F7" w:rsidRPr="005A04F7">
        <w:t>(NICE, 2026).</w:t>
      </w:r>
    </w:p>
    <w:p w:rsidR="00170A12" w:rsidRDefault="00170A12">
      <w:pPr>
        <w:jc w:val="left"/>
      </w:pPr>
      <w:r>
        <w:br w:type="page"/>
      </w:r>
    </w:p>
    <w:p w:rsidR="00170A12" w:rsidRDefault="00170A12" w:rsidP="00170A12">
      <w:pPr>
        <w:pStyle w:val="Heading1"/>
        <w:rPr>
          <w:rFonts w:ascii="Times New Roman" w:hAnsi="Times New Roman"/>
          <w:lang w:val="en-US"/>
        </w:rPr>
      </w:pPr>
      <w:r>
        <w:lastRenderedPageBreak/>
        <w:t>Reference</w:t>
      </w:r>
    </w:p>
    <w:p w:rsidR="00170A12" w:rsidRDefault="00170A12" w:rsidP="00170A12">
      <w:pPr>
        <w:pStyle w:val="NormalWeb"/>
      </w:pPr>
      <w:r>
        <w:t>American Diabetes Association Professional Practice Committee for Diabetes (2026</w:t>
      </w:r>
      <w:r w:rsidR="00F33A7D">
        <w:t>a</w:t>
      </w:r>
      <w:r>
        <w:t xml:space="preserve">) ‘2. Diagnosis and classification of diabetes: Standards of Care in Diabetes—2026’, </w:t>
      </w:r>
      <w:r>
        <w:rPr>
          <w:rStyle w:val="Emphasis"/>
        </w:rPr>
        <w:t>Diabetes Care</w:t>
      </w:r>
      <w:r>
        <w:t xml:space="preserve">, 49(Supplement 1), pp. S27–S49. Available at: </w:t>
      </w:r>
      <w:hyperlink r:id="rId12" w:history="1">
        <w:r>
          <w:rPr>
            <w:rStyle w:val="Hyperlink"/>
          </w:rPr>
          <w:t>https://doi.org/10.2337/dc26-S002</w:t>
        </w:r>
      </w:hyperlink>
      <w:r w:rsidR="00F33A7D">
        <w:t xml:space="preserve"> (Accessed: 30 September 2026).</w:t>
      </w:r>
    </w:p>
    <w:p w:rsidR="00170A12" w:rsidRDefault="00170A12" w:rsidP="00170A12">
      <w:pPr>
        <w:pStyle w:val="NormalWeb"/>
      </w:pPr>
      <w:r>
        <w:t>American Diabetes Association Professional Practice Committee for Diabetes (2026</w:t>
      </w:r>
      <w:r w:rsidR="00F33A7D">
        <w:t>b</w:t>
      </w:r>
      <w:r>
        <w:t xml:space="preserve">) ‘6. Glycemic goals, hypoglycemia, and hyperglycemic crises: Standards of Care in Diabetes—2026’, </w:t>
      </w:r>
      <w:r>
        <w:rPr>
          <w:rStyle w:val="Emphasis"/>
        </w:rPr>
        <w:t>Diabetes Care</w:t>
      </w:r>
      <w:r>
        <w:t>, 49(Supplement 1).</w:t>
      </w:r>
      <w:r w:rsidR="00F33A7D">
        <w:t xml:space="preserve"> Available at: </w:t>
      </w:r>
      <w:hyperlink r:id="rId13" w:history="1">
        <w:r w:rsidR="00F33A7D" w:rsidRPr="00631CB8">
          <w:rPr>
            <w:rStyle w:val="Hyperlink"/>
          </w:rPr>
          <w:t>https://diabetesjournals.org/care/article/49/Supplement_1/S27/163926/2-Diagnosis-and-Classification-of-Diabetes</w:t>
        </w:r>
      </w:hyperlink>
      <w:r w:rsidR="00F33A7D">
        <w:t xml:space="preserve">  (Accessed: 30 September 2026).</w:t>
      </w:r>
    </w:p>
    <w:p w:rsidR="00170A12" w:rsidRDefault="00170A12" w:rsidP="00170A12">
      <w:pPr>
        <w:pStyle w:val="NormalWeb"/>
      </w:pPr>
      <w:r>
        <w:t>American Diabetes Association Professional Practice Committee for Diabetes (2026</w:t>
      </w:r>
      <w:r w:rsidR="00F33A7D">
        <w:t>c</w:t>
      </w:r>
      <w:r>
        <w:t xml:space="preserve">) ‘7. Diabetes technology: Standards of Care in Diabetes—2026’, </w:t>
      </w:r>
      <w:r>
        <w:rPr>
          <w:rStyle w:val="Emphasis"/>
        </w:rPr>
        <w:t>Diabetes Care</w:t>
      </w:r>
      <w:r>
        <w:t>, 49(Supplement 1).</w:t>
      </w:r>
      <w:r w:rsidR="00F33A7D">
        <w:t xml:space="preserve"> Available at: </w:t>
      </w:r>
      <w:hyperlink r:id="rId14" w:history="1">
        <w:r w:rsidR="00F33A7D" w:rsidRPr="00631CB8">
          <w:rPr>
            <w:rStyle w:val="Hyperlink"/>
          </w:rPr>
          <w:t>https://diabetesjournals.org/care/article/49/Supplement_1/S150/163922/7-Diabetes-Technology-Standards-of-Care-in</w:t>
        </w:r>
      </w:hyperlink>
      <w:r w:rsidR="00F33A7D">
        <w:t xml:space="preserve"> (Accessed: 30 September 2026).</w:t>
      </w:r>
    </w:p>
    <w:p w:rsidR="00170A12" w:rsidRDefault="00170A12" w:rsidP="00170A12">
      <w:pPr>
        <w:pStyle w:val="NormalWeb"/>
      </w:pPr>
      <w:r>
        <w:t>Diabetes UK (2024) ‘Does exercise lower blood sugar levels?</w:t>
      </w:r>
      <w:proofErr w:type="gramStart"/>
      <w:r>
        <w:t>’.</w:t>
      </w:r>
      <w:proofErr w:type="gramEnd"/>
      <w:r>
        <w:t xml:space="preserve"> Available at: </w:t>
      </w:r>
      <w:hyperlink r:id="rId15" w:history="1">
        <w:r>
          <w:rPr>
            <w:rStyle w:val="Hyperlink"/>
          </w:rPr>
          <w:t>https://www.diabetes.org.uk/living-with-diabetes/exercise/blood-sugar-levels</w:t>
        </w:r>
      </w:hyperlink>
      <w:r>
        <w:t xml:space="preserve"> (Accessed: 30 September 2026).</w:t>
      </w:r>
    </w:p>
    <w:p w:rsidR="00170A12" w:rsidRDefault="00170A12" w:rsidP="00170A12">
      <w:pPr>
        <w:pStyle w:val="NormalWeb"/>
      </w:pPr>
      <w:r>
        <w:t xml:space="preserve">Diabetes UK (2026a) ‘Type 2 diabetes risk factors’. Available at: </w:t>
      </w:r>
      <w:hyperlink r:id="rId16" w:history="1">
        <w:r>
          <w:rPr>
            <w:rStyle w:val="Hyperlink"/>
          </w:rPr>
          <w:t>https://www.diabetes.org.uk/about-diabetes/type-2-diabetes/diabetes-risk-factors</w:t>
        </w:r>
      </w:hyperlink>
      <w:r>
        <w:t xml:space="preserve"> (Accessed: 30 September 2026).</w:t>
      </w:r>
    </w:p>
    <w:p w:rsidR="00170A12" w:rsidRDefault="00170A12" w:rsidP="00170A12">
      <w:pPr>
        <w:pStyle w:val="NormalWeb"/>
      </w:pPr>
      <w:r>
        <w:t>Diabetes UK (2026b) ‘I have type 2 diabetes – what can I eat?</w:t>
      </w:r>
      <w:proofErr w:type="gramStart"/>
      <w:r>
        <w:t>’.</w:t>
      </w:r>
      <w:proofErr w:type="gramEnd"/>
      <w:r>
        <w:t xml:space="preserve"> Available at: </w:t>
      </w:r>
      <w:hyperlink r:id="rId17" w:history="1">
        <w:r>
          <w:rPr>
            <w:rStyle w:val="Hyperlink"/>
          </w:rPr>
          <w:t>https://www.diabetes.org.uk/living-with-diabetes/eating/i-have-type-2-diabetes</w:t>
        </w:r>
      </w:hyperlink>
      <w:r>
        <w:t xml:space="preserve"> (Accessed: 30 September 2026).</w:t>
      </w:r>
    </w:p>
    <w:p w:rsidR="00170A12" w:rsidRDefault="00170A12" w:rsidP="00170A12">
      <w:pPr>
        <w:pStyle w:val="NormalWeb"/>
      </w:pPr>
      <w:r>
        <w:t>NHS (2025a) ‘What is type 2 diabetes?</w:t>
      </w:r>
      <w:proofErr w:type="gramStart"/>
      <w:r>
        <w:t>’.</w:t>
      </w:r>
      <w:proofErr w:type="gramEnd"/>
      <w:r>
        <w:t xml:space="preserve"> Available at: </w:t>
      </w:r>
      <w:hyperlink r:id="rId18" w:history="1">
        <w:r>
          <w:rPr>
            <w:rStyle w:val="Hyperlink"/>
          </w:rPr>
          <w:t>https://www.nhs.uk/conditions/type-2-diabetes/what-is-type-2-diabetes/</w:t>
        </w:r>
      </w:hyperlink>
      <w:r>
        <w:t xml:space="preserve"> (Accessed: 30 September 2026).</w:t>
      </w:r>
    </w:p>
    <w:p w:rsidR="00170A12" w:rsidRDefault="00170A12" w:rsidP="00170A12">
      <w:pPr>
        <w:pStyle w:val="NormalWeb"/>
      </w:pPr>
      <w:r>
        <w:t xml:space="preserve">NHS (2025b) ‘Treatment for type 2 diabetes’. Available at: </w:t>
      </w:r>
      <w:hyperlink r:id="rId19" w:history="1">
        <w:r>
          <w:rPr>
            <w:rStyle w:val="Hyperlink"/>
          </w:rPr>
          <w:t>https://www.nhs.uk/conditions/type-2-diabetes/treatment/</w:t>
        </w:r>
      </w:hyperlink>
      <w:r>
        <w:t xml:space="preserve"> (Accessed: 30 September 2026).</w:t>
      </w:r>
    </w:p>
    <w:p w:rsidR="00170A12" w:rsidRDefault="00170A12" w:rsidP="00170A12">
      <w:pPr>
        <w:pStyle w:val="NormalWeb"/>
      </w:pPr>
      <w:r>
        <w:t xml:space="preserve">NICE (2026) </w:t>
      </w:r>
      <w:r>
        <w:rPr>
          <w:rStyle w:val="Emphasis"/>
        </w:rPr>
        <w:t>Type 2 diabetes in adults: management (NG28)</w:t>
      </w:r>
      <w:r>
        <w:t xml:space="preserve">. London: National Institute for Health and Care Excellence. Available at: </w:t>
      </w:r>
      <w:hyperlink r:id="rId20" w:history="1">
        <w:r>
          <w:rPr>
            <w:rStyle w:val="Hyperlink"/>
          </w:rPr>
          <w:t>https://www.nice.org.uk/guidance/ng28</w:t>
        </w:r>
      </w:hyperlink>
      <w:r>
        <w:t xml:space="preserve"> (Accessed: 30 September 2026).</w:t>
      </w:r>
    </w:p>
    <w:p w:rsidR="005A04F7" w:rsidRDefault="005A04F7" w:rsidP="005A04F7">
      <w:proofErr w:type="spellStart"/>
      <w:r w:rsidRPr="005A04F7">
        <w:t>OpenStax</w:t>
      </w:r>
      <w:proofErr w:type="spellEnd"/>
      <w:r w:rsidRPr="005A04F7">
        <w:t xml:space="preserve"> (2018) Biology 2e. Houston, TX: </w:t>
      </w:r>
      <w:proofErr w:type="spellStart"/>
      <w:r w:rsidRPr="005A04F7">
        <w:t>OpenStax</w:t>
      </w:r>
      <w:proofErr w:type="spellEnd"/>
      <w:r w:rsidRPr="005A04F7">
        <w:t xml:space="preserve">. Available at: </w:t>
      </w:r>
      <w:hyperlink r:id="rId21" w:history="1">
        <w:r w:rsidRPr="00836AE9">
          <w:rPr>
            <w:rStyle w:val="Hyperlink"/>
          </w:rPr>
          <w:t>https://openstax.org/details/books/biology-2e</w:t>
        </w:r>
      </w:hyperlink>
      <w:r>
        <w:t xml:space="preserve"> </w:t>
      </w:r>
      <w:r w:rsidR="00246D51">
        <w:t>(Accessed: 30</w:t>
      </w:r>
      <w:r w:rsidRPr="005A04F7">
        <w:t xml:space="preserve"> October 2026).</w:t>
      </w:r>
    </w:p>
    <w:p w:rsidR="00246D51" w:rsidRDefault="00246D51" w:rsidP="005A04F7">
      <w:r w:rsidRPr="005A04F7">
        <w:t xml:space="preserve">PubChem (2026a) D-Glucose, CID 5793. National </w:t>
      </w:r>
      <w:proofErr w:type="spellStart"/>
      <w:r w:rsidRPr="005A04F7">
        <w:t>Center</w:t>
      </w:r>
      <w:proofErr w:type="spellEnd"/>
      <w:r w:rsidRPr="005A04F7">
        <w:t xml:space="preserve"> for Biotechnology Information. Available at: </w:t>
      </w:r>
      <w:hyperlink r:id="rId22" w:history="1">
        <w:r w:rsidRPr="00836AE9">
          <w:rPr>
            <w:rStyle w:val="Hyperlink"/>
          </w:rPr>
          <w:t>https://pubchem.ncbi.nlm.nih.gov/compound/5793</w:t>
        </w:r>
      </w:hyperlink>
      <w:r>
        <w:t xml:space="preserve">  (Accessed: 30</w:t>
      </w:r>
      <w:r w:rsidRPr="005A04F7">
        <w:t xml:space="preserve"> October 2026).</w:t>
      </w:r>
    </w:p>
    <w:p w:rsidR="00246D51" w:rsidRDefault="00246D51" w:rsidP="005A04F7">
      <w:r w:rsidRPr="005A04F7">
        <w:t xml:space="preserve">PubChem (2026b) Glucagon, CID 16132283. National </w:t>
      </w:r>
      <w:proofErr w:type="spellStart"/>
      <w:r w:rsidRPr="005A04F7">
        <w:t>Center</w:t>
      </w:r>
      <w:proofErr w:type="spellEnd"/>
      <w:r w:rsidRPr="005A04F7">
        <w:t xml:space="preserve"> for Biotechnology Information. Available at: </w:t>
      </w:r>
      <w:hyperlink r:id="rId23" w:history="1">
        <w:r w:rsidRPr="00836AE9">
          <w:rPr>
            <w:rStyle w:val="Hyperlink"/>
          </w:rPr>
          <w:t>https://pubchem.ncbi.nlm.nih.gov/compound/16132283</w:t>
        </w:r>
      </w:hyperlink>
      <w:r>
        <w:t xml:space="preserve"> </w:t>
      </w:r>
      <w:r w:rsidRPr="005A04F7">
        <w:t xml:space="preserve"> (Accessed: 11 October 2026).</w:t>
      </w:r>
    </w:p>
    <w:p w:rsidR="00170A12" w:rsidRDefault="00170A12" w:rsidP="00170A12">
      <w:pPr>
        <w:pStyle w:val="NormalWeb"/>
      </w:pPr>
      <w:r>
        <w:lastRenderedPageBreak/>
        <w:t xml:space="preserve">World Health Organization (2024) ‘Diabetes’. Available at: </w:t>
      </w:r>
      <w:hyperlink r:id="rId24" w:history="1">
        <w:r>
          <w:rPr>
            <w:rStyle w:val="Hyperlink"/>
          </w:rPr>
          <w:t>https://www.who.int/news-room/fact-sheets/detail/diabetes</w:t>
        </w:r>
      </w:hyperlink>
      <w:r>
        <w:t xml:space="preserve"> (Accessed: 30 September 2026).</w:t>
      </w:r>
    </w:p>
    <w:p w:rsidR="00170A12" w:rsidRDefault="00170A12" w:rsidP="00170A12">
      <w:pPr>
        <w:spacing w:line="360" w:lineRule="auto"/>
      </w:pPr>
    </w:p>
    <w:sectPr w:rsidR="00170A12" w:rsidSect="00281251">
      <w:footerReference w:type="default" r:id="rId25"/>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367C6" w:rsidRDefault="00B367C6" w:rsidP="00281251">
      <w:pPr>
        <w:spacing w:after="0" w:line="240" w:lineRule="auto"/>
      </w:pPr>
      <w:r>
        <w:separator/>
      </w:r>
    </w:p>
  </w:endnote>
  <w:endnote w:type="continuationSeparator" w:id="0">
    <w:p w:rsidR="00B367C6" w:rsidRDefault="00B367C6" w:rsidP="002812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70A12" w:rsidRDefault="00170A12">
    <w:pPr>
      <w:pStyle w:val="Footer"/>
      <w:jc w:val="right"/>
    </w:pPr>
  </w:p>
  <w:p w:rsidR="00170A12" w:rsidRDefault="00170A1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08296948"/>
      <w:docPartObj>
        <w:docPartGallery w:val="Page Numbers (Bottom of Page)"/>
        <w:docPartUnique/>
      </w:docPartObj>
    </w:sdtPr>
    <w:sdtEndPr>
      <w:rPr>
        <w:noProof/>
      </w:rPr>
    </w:sdtEndPr>
    <w:sdtContent>
      <w:p w:rsidR="00281251" w:rsidRDefault="00281251">
        <w:pPr>
          <w:pStyle w:val="Footer"/>
          <w:jc w:val="right"/>
        </w:pPr>
        <w:r>
          <w:fldChar w:fldCharType="begin"/>
        </w:r>
        <w:r>
          <w:instrText xml:space="preserve"> PAGE   \* MERGEFORMAT </w:instrText>
        </w:r>
        <w:r>
          <w:fldChar w:fldCharType="separate"/>
        </w:r>
        <w:r w:rsidR="00C74953">
          <w:rPr>
            <w:noProof/>
          </w:rPr>
          <w:t>9</w:t>
        </w:r>
        <w:r>
          <w:rPr>
            <w:noProof/>
          </w:rPr>
          <w:fldChar w:fldCharType="end"/>
        </w:r>
      </w:p>
    </w:sdtContent>
  </w:sdt>
  <w:p w:rsidR="00281251" w:rsidRDefault="002812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367C6" w:rsidRDefault="00B367C6" w:rsidP="00281251">
      <w:pPr>
        <w:spacing w:after="0" w:line="240" w:lineRule="auto"/>
      </w:pPr>
      <w:r>
        <w:separator/>
      </w:r>
    </w:p>
  </w:footnote>
  <w:footnote w:type="continuationSeparator" w:id="0">
    <w:p w:rsidR="00B367C6" w:rsidRDefault="00B367C6" w:rsidP="002812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1" w15:restartNumberingAfterBreak="0">
    <w:nsid w:val="0021329D"/>
    <w:multiLevelType w:val="multilevel"/>
    <w:tmpl w:val="F3F00042"/>
    <w:lvl w:ilvl="0">
      <w:start w:val="1"/>
      <w:numFmt w:val="decimal"/>
      <w:pStyle w:val="Heading1"/>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146A48CF"/>
    <w:multiLevelType w:val="multilevel"/>
    <w:tmpl w:val="E19227E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D26CB"/>
    <w:rsid w:val="00170A12"/>
    <w:rsid w:val="001D7F52"/>
    <w:rsid w:val="001E16A4"/>
    <w:rsid w:val="00246D51"/>
    <w:rsid w:val="00281251"/>
    <w:rsid w:val="002812F5"/>
    <w:rsid w:val="002C5744"/>
    <w:rsid w:val="003C3393"/>
    <w:rsid w:val="003D129D"/>
    <w:rsid w:val="003F7E3D"/>
    <w:rsid w:val="00436A6C"/>
    <w:rsid w:val="00506516"/>
    <w:rsid w:val="0056714C"/>
    <w:rsid w:val="005A04F7"/>
    <w:rsid w:val="005F54AC"/>
    <w:rsid w:val="00696550"/>
    <w:rsid w:val="00717794"/>
    <w:rsid w:val="00784583"/>
    <w:rsid w:val="00801F85"/>
    <w:rsid w:val="00807287"/>
    <w:rsid w:val="008874C7"/>
    <w:rsid w:val="00A65B7A"/>
    <w:rsid w:val="00B367C6"/>
    <w:rsid w:val="00B42BF7"/>
    <w:rsid w:val="00B46399"/>
    <w:rsid w:val="00C73258"/>
    <w:rsid w:val="00C74953"/>
    <w:rsid w:val="00C74C12"/>
    <w:rsid w:val="00C86CFD"/>
    <w:rsid w:val="00D46825"/>
    <w:rsid w:val="00E86777"/>
    <w:rsid w:val="00F33A7D"/>
    <w:rsid w:val="00F63EF9"/>
    <w:rsid w:val="00F76A73"/>
    <w:rsid w:val="00FD26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4B81A3"/>
  <w15:chartTrackingRefBased/>
  <w15:docId w15:val="{1626715A-E026-4F9E-9389-6930019CCE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81251"/>
    <w:pPr>
      <w:jc w:val="both"/>
    </w:pPr>
    <w:rPr>
      <w:rFonts w:ascii="Arial" w:hAnsi="Arial"/>
      <w:lang w:val="en-AU"/>
    </w:rPr>
  </w:style>
  <w:style w:type="paragraph" w:styleId="Heading1">
    <w:name w:val="heading 1"/>
    <w:basedOn w:val="ListNumber"/>
    <w:next w:val="Normal"/>
    <w:link w:val="Heading1Char"/>
    <w:uiPriority w:val="9"/>
    <w:qFormat/>
    <w:rsid w:val="00281251"/>
    <w:pPr>
      <w:keepNext/>
      <w:keepLines/>
      <w:numPr>
        <w:numId w:val="3"/>
      </w:numPr>
      <w:spacing w:before="480" w:after="0" w:line="276" w:lineRule="auto"/>
      <w:outlineLvl w:val="0"/>
    </w:pPr>
    <w:rPr>
      <w:rFonts w:eastAsiaTheme="majorEastAsia" w:cstheme="majorBidi"/>
      <w:b/>
      <w:bCs/>
      <w:color w:val="2E74B5" w:themeColor="accent1" w:themeShade="BF"/>
      <w:sz w:val="32"/>
      <w:szCs w:val="28"/>
    </w:rPr>
  </w:style>
  <w:style w:type="paragraph" w:styleId="Heading2">
    <w:name w:val="heading 2"/>
    <w:basedOn w:val="Normal"/>
    <w:link w:val="Heading2Char"/>
    <w:uiPriority w:val="9"/>
    <w:qFormat/>
    <w:rsid w:val="00281251"/>
    <w:pPr>
      <w:spacing w:before="100" w:beforeAutospacing="1" w:after="100" w:afterAutospacing="1" w:line="240" w:lineRule="auto"/>
      <w:outlineLvl w:val="1"/>
    </w:pPr>
    <w:rPr>
      <w:rFonts w:eastAsia="Times New Roman" w:cs="Times New Roman"/>
      <w:b/>
      <w:bCs/>
      <w:color w:val="2E74B5" w:themeColor="accent1" w:themeShade="BF"/>
      <w:sz w:val="28"/>
      <w:szCs w:val="36"/>
      <w:lang w:val="en-US"/>
    </w:rPr>
  </w:style>
  <w:style w:type="paragraph" w:styleId="Heading3">
    <w:name w:val="heading 3"/>
    <w:basedOn w:val="Normal"/>
    <w:link w:val="Heading3Char"/>
    <w:uiPriority w:val="9"/>
    <w:qFormat/>
    <w:rsid w:val="003F7E3D"/>
    <w:pPr>
      <w:spacing w:before="100" w:beforeAutospacing="1" w:after="100" w:afterAutospacing="1" w:line="240" w:lineRule="auto"/>
      <w:outlineLvl w:val="2"/>
    </w:pPr>
    <w:rPr>
      <w:rFonts w:eastAsia="Times New Roman" w:cs="Times New Roman"/>
      <w:b/>
      <w:bCs/>
      <w:sz w:val="27"/>
      <w:szCs w:val="27"/>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1251"/>
    <w:rPr>
      <w:rFonts w:ascii="Arial" w:eastAsiaTheme="majorEastAsia" w:hAnsi="Arial" w:cstheme="majorBidi"/>
      <w:b/>
      <w:bCs/>
      <w:color w:val="2E74B5" w:themeColor="accent1" w:themeShade="BF"/>
      <w:sz w:val="32"/>
      <w:szCs w:val="28"/>
      <w:lang w:val="en-AU"/>
    </w:rPr>
  </w:style>
  <w:style w:type="paragraph" w:styleId="ListNumber">
    <w:name w:val="List Number"/>
    <w:basedOn w:val="Normal"/>
    <w:uiPriority w:val="99"/>
    <w:semiHidden/>
    <w:unhideWhenUsed/>
    <w:rsid w:val="0056714C"/>
    <w:pPr>
      <w:numPr>
        <w:numId w:val="2"/>
      </w:numPr>
      <w:contextualSpacing/>
    </w:pPr>
  </w:style>
  <w:style w:type="character" w:customStyle="1" w:styleId="Heading2Char">
    <w:name w:val="Heading 2 Char"/>
    <w:basedOn w:val="DefaultParagraphFont"/>
    <w:link w:val="Heading2"/>
    <w:uiPriority w:val="9"/>
    <w:rsid w:val="00281251"/>
    <w:rPr>
      <w:rFonts w:ascii="Arial" w:eastAsia="Times New Roman" w:hAnsi="Arial" w:cs="Times New Roman"/>
      <w:b/>
      <w:bCs/>
      <w:color w:val="2E74B5" w:themeColor="accent1" w:themeShade="BF"/>
      <w:sz w:val="28"/>
      <w:szCs w:val="36"/>
    </w:rPr>
  </w:style>
  <w:style w:type="character" w:customStyle="1" w:styleId="Heading3Char">
    <w:name w:val="Heading 3 Char"/>
    <w:basedOn w:val="DefaultParagraphFont"/>
    <w:link w:val="Heading3"/>
    <w:uiPriority w:val="9"/>
    <w:rsid w:val="003F7E3D"/>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3F7E3D"/>
    <w:pPr>
      <w:spacing w:before="100" w:beforeAutospacing="1" w:after="100" w:afterAutospacing="1" w:line="240" w:lineRule="auto"/>
    </w:pPr>
    <w:rPr>
      <w:rFonts w:eastAsia="Times New Roman" w:cs="Times New Roman"/>
      <w:szCs w:val="24"/>
      <w:lang w:val="en-US"/>
    </w:rPr>
  </w:style>
  <w:style w:type="character" w:styleId="Strong">
    <w:name w:val="Strong"/>
    <w:basedOn w:val="DefaultParagraphFont"/>
    <w:uiPriority w:val="22"/>
    <w:qFormat/>
    <w:rsid w:val="003F7E3D"/>
    <w:rPr>
      <w:b/>
      <w:bCs/>
    </w:rPr>
  </w:style>
  <w:style w:type="paragraph" w:styleId="Header">
    <w:name w:val="header"/>
    <w:basedOn w:val="Normal"/>
    <w:link w:val="HeaderChar"/>
    <w:uiPriority w:val="99"/>
    <w:unhideWhenUsed/>
    <w:rsid w:val="00281251"/>
    <w:pPr>
      <w:tabs>
        <w:tab w:val="center" w:pos="4680"/>
        <w:tab w:val="right" w:pos="9360"/>
      </w:tabs>
      <w:spacing w:after="0" w:line="240" w:lineRule="auto"/>
    </w:pPr>
  </w:style>
  <w:style w:type="character" w:customStyle="1" w:styleId="HeaderChar">
    <w:name w:val="Header Char"/>
    <w:basedOn w:val="DefaultParagraphFont"/>
    <w:link w:val="Header"/>
    <w:uiPriority w:val="99"/>
    <w:rsid w:val="00281251"/>
    <w:rPr>
      <w:rFonts w:ascii="Arial" w:hAnsi="Arial"/>
      <w:lang w:val="en-AU"/>
    </w:rPr>
  </w:style>
  <w:style w:type="paragraph" w:styleId="Footer">
    <w:name w:val="footer"/>
    <w:basedOn w:val="Normal"/>
    <w:link w:val="FooterChar"/>
    <w:uiPriority w:val="99"/>
    <w:unhideWhenUsed/>
    <w:rsid w:val="00281251"/>
    <w:pPr>
      <w:tabs>
        <w:tab w:val="center" w:pos="4680"/>
        <w:tab w:val="right" w:pos="9360"/>
      </w:tabs>
      <w:spacing w:after="0" w:line="240" w:lineRule="auto"/>
    </w:pPr>
  </w:style>
  <w:style w:type="character" w:customStyle="1" w:styleId="FooterChar">
    <w:name w:val="Footer Char"/>
    <w:basedOn w:val="DefaultParagraphFont"/>
    <w:link w:val="Footer"/>
    <w:uiPriority w:val="99"/>
    <w:rsid w:val="00281251"/>
    <w:rPr>
      <w:rFonts w:ascii="Arial" w:hAnsi="Arial"/>
      <w:lang w:val="en-AU"/>
    </w:rPr>
  </w:style>
  <w:style w:type="paragraph" w:styleId="TOCHeading">
    <w:name w:val="TOC Heading"/>
    <w:basedOn w:val="Heading1"/>
    <w:next w:val="Normal"/>
    <w:uiPriority w:val="39"/>
    <w:unhideWhenUsed/>
    <w:qFormat/>
    <w:rsid w:val="00170A12"/>
    <w:pPr>
      <w:numPr>
        <w:numId w:val="0"/>
      </w:numPr>
      <w:spacing w:before="240" w:line="259" w:lineRule="auto"/>
      <w:contextualSpacing w:val="0"/>
      <w:jc w:val="left"/>
      <w:outlineLvl w:val="9"/>
    </w:pPr>
    <w:rPr>
      <w:rFonts w:asciiTheme="majorHAnsi" w:hAnsiTheme="majorHAnsi"/>
      <w:b w:val="0"/>
      <w:bCs w:val="0"/>
      <w:szCs w:val="32"/>
      <w:lang w:val="en-US"/>
    </w:rPr>
  </w:style>
  <w:style w:type="paragraph" w:styleId="TOC1">
    <w:name w:val="toc 1"/>
    <w:basedOn w:val="Normal"/>
    <w:next w:val="Normal"/>
    <w:autoRedefine/>
    <w:uiPriority w:val="39"/>
    <w:unhideWhenUsed/>
    <w:rsid w:val="00170A12"/>
    <w:pPr>
      <w:spacing w:after="100"/>
    </w:pPr>
  </w:style>
  <w:style w:type="paragraph" w:styleId="TOC2">
    <w:name w:val="toc 2"/>
    <w:basedOn w:val="Normal"/>
    <w:next w:val="Normal"/>
    <w:autoRedefine/>
    <w:uiPriority w:val="39"/>
    <w:unhideWhenUsed/>
    <w:rsid w:val="00170A12"/>
    <w:pPr>
      <w:spacing w:after="100"/>
      <w:ind w:left="220"/>
    </w:pPr>
  </w:style>
  <w:style w:type="character" w:styleId="Hyperlink">
    <w:name w:val="Hyperlink"/>
    <w:basedOn w:val="DefaultParagraphFont"/>
    <w:uiPriority w:val="99"/>
    <w:unhideWhenUsed/>
    <w:rsid w:val="00170A12"/>
    <w:rPr>
      <w:color w:val="0563C1" w:themeColor="hyperlink"/>
      <w:u w:val="single"/>
    </w:rPr>
  </w:style>
  <w:style w:type="character" w:styleId="Emphasis">
    <w:name w:val="Emphasis"/>
    <w:basedOn w:val="DefaultParagraphFont"/>
    <w:uiPriority w:val="20"/>
    <w:qFormat/>
    <w:rsid w:val="00170A12"/>
    <w:rPr>
      <w:i/>
      <w:iCs/>
    </w:rPr>
  </w:style>
  <w:style w:type="paragraph" w:styleId="Caption">
    <w:name w:val="caption"/>
    <w:basedOn w:val="Normal"/>
    <w:next w:val="Normal"/>
    <w:uiPriority w:val="35"/>
    <w:unhideWhenUsed/>
    <w:qFormat/>
    <w:rsid w:val="00F63EF9"/>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31285372">
      <w:bodyDiv w:val="1"/>
      <w:marLeft w:val="0"/>
      <w:marRight w:val="0"/>
      <w:marTop w:val="0"/>
      <w:marBottom w:val="0"/>
      <w:divBdr>
        <w:top w:val="none" w:sz="0" w:space="0" w:color="auto"/>
        <w:left w:val="none" w:sz="0" w:space="0" w:color="auto"/>
        <w:bottom w:val="none" w:sz="0" w:space="0" w:color="auto"/>
        <w:right w:val="none" w:sz="0" w:space="0" w:color="auto"/>
      </w:divBdr>
      <w:divsChild>
        <w:div w:id="1124157419">
          <w:marLeft w:val="0"/>
          <w:marRight w:val="0"/>
          <w:marTop w:val="0"/>
          <w:marBottom w:val="0"/>
          <w:divBdr>
            <w:top w:val="none" w:sz="0" w:space="0" w:color="auto"/>
            <w:left w:val="none" w:sz="0" w:space="0" w:color="auto"/>
            <w:bottom w:val="none" w:sz="0" w:space="0" w:color="auto"/>
            <w:right w:val="none" w:sz="0" w:space="0" w:color="auto"/>
          </w:divBdr>
        </w:div>
        <w:div w:id="2107119029">
          <w:marLeft w:val="0"/>
          <w:marRight w:val="0"/>
          <w:marTop w:val="0"/>
          <w:marBottom w:val="0"/>
          <w:divBdr>
            <w:top w:val="none" w:sz="0" w:space="0" w:color="auto"/>
            <w:left w:val="none" w:sz="0" w:space="0" w:color="auto"/>
            <w:bottom w:val="none" w:sz="0" w:space="0" w:color="auto"/>
            <w:right w:val="none" w:sz="0" w:space="0" w:color="auto"/>
          </w:divBdr>
        </w:div>
      </w:divsChild>
    </w:div>
    <w:div w:id="21060299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iabetesjournals.org/care/article/49/Supplement_1/S27/163926/2-Diagnosis-and-Classification-of-Diabetes" TargetMode="External"/><Relationship Id="rId18" Type="http://schemas.openxmlformats.org/officeDocument/2006/relationships/hyperlink" Target="https://www.nhs.uk/conditions/type-2-diabetes/what-is-type-2-diabetes/"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openstax.org/details/books/biology-2e" TargetMode="External"/><Relationship Id="rId7" Type="http://schemas.openxmlformats.org/officeDocument/2006/relationships/endnotes" Target="endnotes.xml"/><Relationship Id="rId12" Type="http://schemas.openxmlformats.org/officeDocument/2006/relationships/hyperlink" Target="https://doi.org/10.2337/dc26-S002" TargetMode="External"/><Relationship Id="rId17" Type="http://schemas.openxmlformats.org/officeDocument/2006/relationships/hyperlink" Target="https://www.diabetes.org.uk/living-with-diabetes/eating/i-have-type-2-diabetes" TargetMode="External"/><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www.diabetes.org.uk/about-diabetes/type-2-diabetes/diabetes-risk-factors" TargetMode="External"/><Relationship Id="rId20" Type="http://schemas.openxmlformats.org/officeDocument/2006/relationships/hyperlink" Target="https://www.nice.org.uk/guidance/ng2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who.int/news-room/fact-sheets/detail/diabetes" TargetMode="External"/><Relationship Id="rId5" Type="http://schemas.openxmlformats.org/officeDocument/2006/relationships/webSettings" Target="webSettings.xml"/><Relationship Id="rId15" Type="http://schemas.openxmlformats.org/officeDocument/2006/relationships/hyperlink" Target="https://www.diabetes.org.uk/living-with-diabetes/exercise/blood-sugar-levels" TargetMode="External"/><Relationship Id="rId23" Type="http://schemas.openxmlformats.org/officeDocument/2006/relationships/hyperlink" Target="https://pubchem.ncbi.nlm.nih.gov/compound/16132283" TargetMode="External"/><Relationship Id="rId10" Type="http://schemas.openxmlformats.org/officeDocument/2006/relationships/image" Target="media/image2.png"/><Relationship Id="rId19" Type="http://schemas.openxmlformats.org/officeDocument/2006/relationships/hyperlink" Target="https://www.nhs.uk/conditions/type-2-diabetes/treatment/"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diabetesjournals.org/care/article/49/Supplement_1/S150/163922/7-Diabetes-Technology-Standards-of-Care-in" TargetMode="External"/><Relationship Id="rId22" Type="http://schemas.openxmlformats.org/officeDocument/2006/relationships/hyperlink" Target="https://pubchem.ncbi.nlm.nih.gov/compound/5793"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E02420-9A4D-48BE-9087-A8724E9BD7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TotalTime>
  <Pages>11</Pages>
  <Words>2832</Words>
  <Characters>16145</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Asma Bashir</dc:creator>
  <cp:keywords/>
  <dc:description/>
  <cp:lastModifiedBy>Asma Bashir</cp:lastModifiedBy>
  <cp:revision>8</cp:revision>
  <dcterms:created xsi:type="dcterms:W3CDTF">2026-09-30T08:47:00Z</dcterms:created>
  <dcterms:modified xsi:type="dcterms:W3CDTF">2026-10-11T12:18:00Z</dcterms:modified>
</cp:coreProperties>
</file>