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41195298"/>
        <w:docPartObj>
          <w:docPartGallery w:val="Cover Pages"/>
          <w:docPartUnique/>
        </w:docPartObj>
      </w:sdtPr>
      <w:sdtEndPr>
        <w:rPr>
          <w:sz w:val="22"/>
        </w:rPr>
      </w:sdtEndPr>
      <w:sdtContent>
        <w:p w14:paraId="5C3D1176" w14:textId="5A34D868" w:rsidR="00754320" w:rsidRDefault="00DB20E5">
          <w:pPr>
            <w:pStyle w:val="NoSpacing"/>
            <w:rPr>
              <w:sz w:val="2"/>
            </w:rPr>
          </w:pPr>
          <w:r>
            <w:rPr>
              <w:noProof/>
            </w:rPr>
            <mc:AlternateContent>
              <mc:Choice Requires="wps">
                <w:drawing>
                  <wp:anchor distT="0" distB="0" distL="114300" distR="114300" simplePos="0" relativeHeight="251660800" behindDoc="0" locked="0" layoutInCell="1" allowOverlap="1" wp14:anchorId="2D5C1906" wp14:editId="385EFD33">
                    <wp:simplePos x="0" y="0"/>
                    <wp:positionH relativeFrom="margin">
                      <wp:align>left</wp:align>
                    </wp:positionH>
                    <wp:positionV relativeFrom="margin">
                      <wp:align>top</wp:align>
                    </wp:positionV>
                    <wp:extent cx="630555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3055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FF561E8" w14:textId="55ECF319" w:rsidR="00754320" w:rsidRPr="00DB20E5" w:rsidRDefault="00824A34" w:rsidP="005D71AD">
                                    <w:pPr>
                                      <w:pStyle w:val="NoSpacing"/>
                                      <w:rPr>
                                        <w:rFonts w:ascii="Arial" w:eastAsiaTheme="majorEastAsia" w:hAnsi="Arial" w:cs="Arial"/>
                                        <w:caps/>
                                        <w:color w:val="2C7FCE" w:themeColor="text2" w:themeTint="99"/>
                                        <w:sz w:val="48"/>
                                        <w:szCs w:val="48"/>
                                      </w:rPr>
                                    </w:pPr>
                                    <w:r w:rsidRPr="00DB20E5">
                                      <w:rPr>
                                        <w:rFonts w:ascii="Arial" w:eastAsiaTheme="majorEastAsia" w:hAnsi="Arial" w:cs="Arial"/>
                                        <w:caps/>
                                        <w:color w:val="2C7FCE" w:themeColor="text2" w:themeTint="99"/>
                                        <w:sz w:val="48"/>
                                        <w:szCs w:val="48"/>
                                      </w:rPr>
                                      <w:t>Moving Beyond Compliance: Employment Law Risks and Employee Relations Improvement Strategy for Elmbridge Electronics Ltd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2D5C1906" id="_x0000_t202" coordsize="21600,21600" o:spt="202" path="m,l,21600r21600,l21600,xe">
                    <v:stroke joinstyle="miter"/>
                    <v:path gradientshapeok="t" o:connecttype="rect"/>
                  </v:shapetype>
                  <v:shape id="Text Box 66" o:spid="_x0000_s1026" type="#_x0000_t202" style="position:absolute;margin-left:0;margin-top:0;width:496.5pt;height:1in;z-index:251660800;visibility:visible;mso-wrap-style:square;mso-width-percent:0;mso-wrap-distance-left:9pt;mso-wrap-distance-top:0;mso-wrap-distance-right:9pt;mso-wrap-distance-bottom:0;mso-position-horizontal:left;mso-position-horizontal-relative:margin;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lZZAIAAD0FAAAOAAAAZHJzL2Uyb0RvYy54bWysVN1v0zAQf0fif7D8TpOOdUC1dCqdipCq&#10;baJDe3Yde41wfMa+Nil//c5O+kHhZYgX53L3833+ztc3bW3YVvlQgS34cJBzpqyEsrLPBf/+OH/3&#10;kbOAwpbCgFUF36nAbyZv31w3bqwuYA2mVJ6RExvGjSv4GtGNsyzItapFGIBTlowafC2Qfv1zVnrR&#10;kPfaZBd5fpU14EvnQaoQSHvbGfkk+ddaSbzXOihkpuCUG6bTp3MVz2xyLcbPXrh1Jfs0xD9kUYvK&#10;UtCDq1uBgm189YerupIeAmgcSKgz0LqSKtVA1Qzzs2qWa+FUqoWaE9yhTeH/uZV326V78Azbz9DS&#10;AGNDGhfGgZSxnlb7On4pU0Z2auHu0DbVIpOkvHqfj0YjMkmyfRpeXuapr9nxtvMBvyioWRQK7mks&#10;qVtiuwhIEQm6h8RgFuaVMWk0xrImRiD3v1nohrFRo9KQezfHzJOEO6MixthvSrOqTAVERaKXmhnP&#10;toKIIaRUFlPtyS+hI0pTEq+52OOPWb3mclfHPjJYPFyuKws+VX+Wdvljn7Lu8NTIk7qjiO2q7Se6&#10;gnJHg/bQ7UBwcl7RNBYi4IPwRHoaIC0y3tOhDVDXoZc4W4P/9Td9xBMXycpZQ0tU8PBzI7zizHy1&#10;xNJEBtq69HM5+nBBMfypZXVqsZt6BjSOIT0ZTiYx4tHsRe2hfqJ9n8aoZBJWUuyC416cYbfa9F5I&#10;NZ0mEO2ZE7iwSyej6zidyLXH9kl41xMSicp3sF83MT7jZYdNxHHTDRI7E2ljg7uu9o2nHU1c7t+T&#10;+Aic/ifU8dWbvAAAAP//AwBQSwMEFAAGAAgAAAAhAMwOTDTYAAAABQEAAA8AAABkcnMvZG93bnJl&#10;di54bWxMj8FOwzAQRO9I/IO1SFwQtVsqRNM4FaqUc9W0H+DGS5Jir6PYacLfs3CBy0qjGc2+yXez&#10;d+KGQ+wCaVguFAikOtiOGg3nU/n8BiImQ9a4QKjhCyPsivu73GQ2THTEW5UawSUUM6OhTanPpIx1&#10;i97EReiR2PsIgzeJ5dBIO5iJy72TK6VepTcd8YfW9Lhvsf6sRq8hrKYnd6yW5f4wXUt1GPFURdT6&#10;8WF+34JIOKe/MPzgMzoUzHQJI9konAYekn4ve5vNC8sLh9ZrBbLI5X/64hsAAP//AwBQSwECLQAU&#10;AAYACAAAACEAtoM4kv4AAADhAQAAEwAAAAAAAAAAAAAAAAAAAAAAW0NvbnRlbnRfVHlwZXNdLnht&#10;bFBLAQItABQABgAIAAAAIQA4/SH/1gAAAJQBAAALAAAAAAAAAAAAAAAAAC8BAABfcmVscy8ucmVs&#10;c1BLAQItABQABgAIAAAAIQAWOKlZZAIAAD0FAAAOAAAAAAAAAAAAAAAAAC4CAABkcnMvZTJvRG9j&#10;LnhtbFBLAQItABQABgAIAAAAIQDMDkw02AAAAAUBAAAPAAAAAAAAAAAAAAAAAL4EAABkcnMvZG93&#10;bnJldi54bWxQSwUGAAAAAAQABADzAAAAwwUAAAAA&#10;" filled="f" stroked="f" strokeweight=".5pt">
                    <v:textbox style="mso-fit-shape-to-text:t">
                      <w:txbxContent>
                        <w:sdt>
                          <w:sdtPr>
                            <w:rPr>
                              <w:rFonts w:ascii="Arial" w:eastAsiaTheme="majorEastAsia" w:hAnsi="Arial" w:cs="Arial"/>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FF561E8" w14:textId="55ECF319" w:rsidR="00754320" w:rsidRPr="00DB20E5" w:rsidRDefault="00824A34" w:rsidP="005D71AD">
                              <w:pPr>
                                <w:pStyle w:val="NoSpacing"/>
                                <w:rPr>
                                  <w:rFonts w:ascii="Arial" w:eastAsiaTheme="majorEastAsia" w:hAnsi="Arial" w:cs="Arial"/>
                                  <w:caps/>
                                  <w:color w:val="2C7FCE" w:themeColor="text2" w:themeTint="99"/>
                                  <w:sz w:val="48"/>
                                  <w:szCs w:val="48"/>
                                </w:rPr>
                              </w:pPr>
                              <w:r w:rsidRPr="00DB20E5">
                                <w:rPr>
                                  <w:rFonts w:ascii="Arial" w:eastAsiaTheme="majorEastAsia" w:hAnsi="Arial" w:cs="Arial"/>
                                  <w:caps/>
                                  <w:color w:val="2C7FCE" w:themeColor="text2" w:themeTint="99"/>
                                  <w:sz w:val="48"/>
                                  <w:szCs w:val="48"/>
                                </w:rPr>
                                <w:t>Moving Beyond Compliance: Employment Law Risks and Employee Relations Improvement Strategy for Elmbridge Electronics Ltd</w:t>
                              </w:r>
                            </w:p>
                          </w:sdtContent>
                        </w:sdt>
                      </w:txbxContent>
                    </v:textbox>
                    <w10:wrap anchorx="margin" anchory="margin"/>
                  </v:shape>
                </w:pict>
              </mc:Fallback>
            </mc:AlternateContent>
          </w:r>
        </w:p>
        <w:p w14:paraId="2DD3B1E3" w14:textId="6DD20BEE" w:rsidR="00754320" w:rsidRDefault="00754320">
          <w:r>
            <w:rPr>
              <w:noProof/>
              <w:color w:val="156082" w:themeColor="accent1"/>
              <w:sz w:val="36"/>
              <w:szCs w:val="36"/>
            </w:rPr>
            <mc:AlternateContent>
              <mc:Choice Requires="wpg">
                <w:drawing>
                  <wp:anchor distT="0" distB="0" distL="114300" distR="114300" simplePos="0" relativeHeight="251657728" behindDoc="1" locked="0" layoutInCell="1" allowOverlap="1" wp14:anchorId="394035CC" wp14:editId="6F5C92A5">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57802F7" id="Group 2" o:spid="_x0000_s1026" style="position:absolute;margin-left:0;margin-top:0;width:432.65pt;height:448.55pt;z-index:-25165875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353EC96" w14:textId="2E20944F" w:rsidR="00754320" w:rsidRDefault="00A74230">
          <w:r>
            <w:rPr>
              <w:noProof/>
            </w:rPr>
            <mc:AlternateContent>
              <mc:Choice Requires="wps">
                <w:drawing>
                  <wp:anchor distT="0" distB="0" distL="114300" distR="114300" simplePos="0" relativeHeight="251656704" behindDoc="0" locked="0" layoutInCell="1" allowOverlap="1" wp14:anchorId="4D72C558" wp14:editId="32817620">
                    <wp:simplePos x="0" y="0"/>
                    <wp:positionH relativeFrom="margin">
                      <wp:posOffset>-447675</wp:posOffset>
                    </wp:positionH>
                    <wp:positionV relativeFrom="margin">
                      <wp:posOffset>7454900</wp:posOffset>
                    </wp:positionV>
                    <wp:extent cx="6838950" cy="374904"/>
                    <wp:effectExtent l="0" t="0" r="0" b="0"/>
                    <wp:wrapNone/>
                    <wp:docPr id="69" name="Text Box 73"/>
                    <wp:cNvGraphicFramePr/>
                    <a:graphic xmlns:a="http://schemas.openxmlformats.org/drawingml/2006/main">
                      <a:graphicData uri="http://schemas.microsoft.com/office/word/2010/wordprocessingShape">
                        <wps:wsp>
                          <wps:cNvSpPr txBox="1"/>
                          <wps:spPr>
                            <a:xfrm>
                              <a:off x="0" y="0"/>
                              <a:ext cx="683895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64A55" w14:textId="4E342241" w:rsidR="00754320" w:rsidRDefault="0075432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A74230">
                                      <w:rPr>
                                        <w:color w:val="156082" w:themeColor="accent1"/>
                                        <w:sz w:val="36"/>
                                        <w:szCs w:val="36"/>
                                      </w:rPr>
                                      <w:t xml:space="preserve">     </w:t>
                                    </w:r>
                                  </w:sdtContent>
                                </w:sdt>
                              </w:p>
                              <w:p w14:paraId="1B8BA818" w14:textId="77777777" w:rsidR="00A74230" w:rsidRDefault="00A74230" w:rsidP="00A74230">
                                <w:pPr>
                                  <w:pStyle w:val="NoSpacing"/>
                                  <w:rPr>
                                    <w:rFonts w:ascii="Arial" w:hAnsi="Arial" w:cs="Arial"/>
                                    <w:b/>
                                    <w:bCs/>
                                    <w:color w:val="000000" w:themeColor="text1"/>
                                    <w:sz w:val="24"/>
                                    <w:szCs w:val="24"/>
                                  </w:rPr>
                                </w:pPr>
                              </w:p>
                              <w:p w14:paraId="57BC6D5F" w14:textId="77777777" w:rsidR="00A74230" w:rsidRDefault="00A74230" w:rsidP="00A74230">
                                <w:pPr>
                                  <w:pStyle w:val="NoSpacing"/>
                                  <w:rPr>
                                    <w:rFonts w:ascii="Arial" w:hAnsi="Arial" w:cs="Arial"/>
                                    <w:b/>
                                    <w:bCs/>
                                    <w:color w:val="000000" w:themeColor="text1"/>
                                    <w:sz w:val="24"/>
                                    <w:szCs w:val="24"/>
                                  </w:rPr>
                                </w:pPr>
                              </w:p>
                              <w:p w14:paraId="72BCA861" w14:textId="77777777" w:rsidR="00A74230" w:rsidRDefault="00A74230" w:rsidP="00A74230">
                                <w:pPr>
                                  <w:pStyle w:val="NoSpacing"/>
                                  <w:rPr>
                                    <w:rFonts w:ascii="Arial" w:hAnsi="Arial" w:cs="Arial"/>
                                    <w:b/>
                                    <w:bCs/>
                                    <w:color w:val="000000" w:themeColor="text1"/>
                                    <w:sz w:val="24"/>
                                    <w:szCs w:val="24"/>
                                  </w:rPr>
                                </w:pPr>
                                <w:r>
                                  <w:rPr>
                                    <w:rFonts w:ascii="Arial" w:hAnsi="Arial" w:cs="Arial"/>
                                    <w:b/>
                                    <w:bCs/>
                                    <w:color w:val="000000" w:themeColor="text1"/>
                                    <w:sz w:val="24"/>
                                    <w:szCs w:val="24"/>
                                  </w:rPr>
                                  <w:t>Task 1</w:t>
                                </w:r>
                              </w:p>
                              <w:p w14:paraId="4A948D65"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Name:</w:t>
                                </w:r>
                                <w:r w:rsidRPr="00AC4EF6">
                                  <w:rPr>
                                    <w:rFonts w:ascii="Arial" w:hAnsi="Arial" w:cs="Arial"/>
                                    <w:color w:val="000000" w:themeColor="text1"/>
                                    <w:sz w:val="24"/>
                                    <w:szCs w:val="24"/>
                                  </w:rPr>
                                  <w:t xml:space="preserve"> Olivia Jenkins</w:t>
                                </w:r>
                              </w:p>
                              <w:p w14:paraId="400134C8"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 xml:space="preserve">Student Number: </w:t>
                                </w:r>
                                <w:r w:rsidRPr="00AC4EF6">
                                  <w:rPr>
                                    <w:rFonts w:ascii="Arial" w:hAnsi="Arial" w:cs="Arial"/>
                                    <w:color w:val="000000" w:themeColor="text1"/>
                                    <w:sz w:val="24"/>
                                    <w:szCs w:val="24"/>
                                  </w:rPr>
                                  <w:t>2517763</w:t>
                                </w:r>
                              </w:p>
                              <w:p w14:paraId="0952B560" w14:textId="31E88CB2"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Word Count:</w:t>
                                </w:r>
                                <w:r w:rsidRPr="00AC4EF6">
                                  <w:rPr>
                                    <w:rFonts w:ascii="Arial" w:hAnsi="Arial" w:cs="Arial"/>
                                    <w:color w:val="000000" w:themeColor="text1"/>
                                    <w:sz w:val="24"/>
                                    <w:szCs w:val="24"/>
                                  </w:rPr>
                                  <w:t xml:space="preserve"> </w:t>
                                </w:r>
                                <w:r w:rsidR="001F6B21">
                                  <w:rPr>
                                    <w:rFonts w:ascii="Arial" w:hAnsi="Arial" w:cs="Arial"/>
                                    <w:color w:val="000000" w:themeColor="text1"/>
                                    <w:sz w:val="24"/>
                                    <w:szCs w:val="24"/>
                                  </w:rPr>
                                  <w:t>3294</w:t>
                                </w:r>
                              </w:p>
                              <w:p w14:paraId="5B4E6AEE" w14:textId="40542129" w:rsidR="00754320" w:rsidRPr="001F6B21" w:rsidRDefault="00A74230" w:rsidP="001F6B21">
                                <w:pPr>
                                  <w:pStyle w:val="NoSpacing"/>
                                  <w:rPr>
                                    <w:rFonts w:ascii="Arial" w:hAnsi="Arial" w:cs="Arial"/>
                                    <w:color w:val="000000" w:themeColor="text1"/>
                                    <w:sz w:val="24"/>
                                    <w:szCs w:val="24"/>
                                  </w:rPr>
                                </w:pPr>
                                <w:r w:rsidRPr="00AC4EF6">
                                  <w:rPr>
                                    <w:rFonts w:ascii="Arial" w:hAnsi="Arial" w:cs="Arial"/>
                                    <w:color w:val="000000" w:themeColor="text1"/>
                                    <w:sz w:val="24"/>
                                    <w:szCs w:val="24"/>
                                  </w:rPr>
                                  <w:t>I confirm that this work is entirely my own and that I have used academic referencing throughout.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D72C558" id="Text Box 73" o:spid="_x0000_s1027" type="#_x0000_t202" style="position:absolute;margin-left:-35.25pt;margin-top:587pt;width:538.5pt;height:29.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o/YAIAADQFAAAOAAAAZHJzL2Uyb0RvYy54bWysVE1v2zAMvQ/YfxB0X5w0XdcGcYqsRYcB&#10;QVusHXpWZCkxJosapcTOfn0p2U6ybJcOu8g0ST1+PWp63VSGbRX6EmzOR4MhZ8pKKEq7yvn357sP&#10;l5z5IGwhDFiV853y/Hr2/t20dhN1BmswhUJGINZPapfzdQhukmVerlUl/ACcsmTUgJUI9IurrEBR&#10;E3plsrPh8CKrAQuHIJX3pL1tjXyW8LVWMjxo7VVgJueUW0gnpnMZz2w2FZMVCrcuZZeG+IcsKlFa&#10;CrqHuhVBsA2Wf0BVpUTwoMNAQpWB1qVUqQaqZjQ8qeZpLZxKtVBzvNu3yf8/WHm/fXKPyELzGRoa&#10;YGxI7fzEkzLW02is4pcyZWSnFu72bVNNYJKUF5fjy6uPZJJkG386vxqeR5jscNuhD18UVCwKOUca&#10;S+qW2C58aF17lxjMwl1pTBqNsaymCGOC/81C4MZGjUpD7mAOmScp7IyKPsZ+U5qVRSogKhK91I1B&#10;thVEDCGlsiHVnnDJO3ppSuItFzv/Q1ZvudzW0UcGG/aXq9ICpupP0i5+9Cnr1p96flR3FEOzbKjw&#10;o8EuodjRvBHaVfBO3pU0lIXw4VEgcZ/mSPscHujQBqj50EmcrQF//U0f/YmSZOWspl3Kuf+5Eag4&#10;M18tkTUuXi9gLyx7wW6qG6ApjOilcDKJdAGD6UWNUL3Qms9jFDIJKylWzpe9eBPajaZnQqr5PDnR&#10;ejkRFvbJyQgdhxIp9ty8CHQdDwMx+B76LROTEzq2vokvbr4JRMrE1djXtotdv2k1E9u7ZyTu/vF/&#10;8jo8drNXAAAA//8DAFBLAwQUAAYACAAAACEA/13G2d8AAAAOAQAADwAAAGRycy9kb3ducmV2Lnht&#10;bExPy07DMBC8I/EP1iJxa502LUEhToWQkJA4UXqAmxtvk1B7HcVuHf6+2xPcdnZG86g2k7PijGPo&#10;PSlYzDMQSI03PbUKdp+vs0cQIWoy2npCBb8YYFPf3lS6ND7RB563sRVsQqHUCroYh1LK0HTodJj7&#10;AYm5gx+djgzHVppRJzZ3Vi6z7EE63RMndHrAlw6b4/bkFFA85Ga3Tkhf729t+rHFMX2PSt3fTc9P&#10;ICJO8U8M1/pcHWrutPcnMkFYBbMiW7OUiUWx4lVXCQfyb8/XMs8zkHUl/8+oLwAAAP//AwBQSwEC&#10;LQAUAAYACAAAACEAtoM4kv4AAADhAQAAEwAAAAAAAAAAAAAAAAAAAAAAW0NvbnRlbnRfVHlwZXNd&#10;LnhtbFBLAQItABQABgAIAAAAIQA4/SH/1gAAAJQBAAALAAAAAAAAAAAAAAAAAC8BAABfcmVscy8u&#10;cmVsc1BLAQItABQABgAIAAAAIQBPnKo/YAIAADQFAAAOAAAAAAAAAAAAAAAAAC4CAABkcnMvZTJv&#10;RG9jLnhtbFBLAQItABQABgAIAAAAIQD/XcbZ3wAAAA4BAAAPAAAAAAAAAAAAAAAAALoEAABkcnMv&#10;ZG93bnJldi54bWxQSwUGAAAAAAQABADzAAAAxgUAAAAA&#10;" filled="f" stroked="f" strokeweight=".5pt">
                    <v:textbox style="mso-fit-shape-to-text:t" inset="0,0,0,0">
                      <w:txbxContent>
                        <w:p w14:paraId="3BB64A55" w14:textId="4E342241" w:rsidR="00754320" w:rsidRDefault="0075432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A74230">
                                <w:rPr>
                                  <w:color w:val="156082" w:themeColor="accent1"/>
                                  <w:sz w:val="36"/>
                                  <w:szCs w:val="36"/>
                                </w:rPr>
                                <w:t xml:space="preserve">     </w:t>
                              </w:r>
                            </w:sdtContent>
                          </w:sdt>
                        </w:p>
                        <w:p w14:paraId="1B8BA818" w14:textId="77777777" w:rsidR="00A74230" w:rsidRDefault="00A74230" w:rsidP="00A74230">
                          <w:pPr>
                            <w:pStyle w:val="NoSpacing"/>
                            <w:rPr>
                              <w:rFonts w:ascii="Arial" w:hAnsi="Arial" w:cs="Arial"/>
                              <w:b/>
                              <w:bCs/>
                              <w:color w:val="000000" w:themeColor="text1"/>
                              <w:sz w:val="24"/>
                              <w:szCs w:val="24"/>
                            </w:rPr>
                          </w:pPr>
                        </w:p>
                        <w:p w14:paraId="57BC6D5F" w14:textId="77777777" w:rsidR="00A74230" w:rsidRDefault="00A74230" w:rsidP="00A74230">
                          <w:pPr>
                            <w:pStyle w:val="NoSpacing"/>
                            <w:rPr>
                              <w:rFonts w:ascii="Arial" w:hAnsi="Arial" w:cs="Arial"/>
                              <w:b/>
                              <w:bCs/>
                              <w:color w:val="000000" w:themeColor="text1"/>
                              <w:sz w:val="24"/>
                              <w:szCs w:val="24"/>
                            </w:rPr>
                          </w:pPr>
                        </w:p>
                        <w:p w14:paraId="72BCA861" w14:textId="77777777" w:rsidR="00A74230" w:rsidRDefault="00A74230" w:rsidP="00A74230">
                          <w:pPr>
                            <w:pStyle w:val="NoSpacing"/>
                            <w:rPr>
                              <w:rFonts w:ascii="Arial" w:hAnsi="Arial" w:cs="Arial"/>
                              <w:b/>
                              <w:bCs/>
                              <w:color w:val="000000" w:themeColor="text1"/>
                              <w:sz w:val="24"/>
                              <w:szCs w:val="24"/>
                            </w:rPr>
                          </w:pPr>
                          <w:r>
                            <w:rPr>
                              <w:rFonts w:ascii="Arial" w:hAnsi="Arial" w:cs="Arial"/>
                              <w:b/>
                              <w:bCs/>
                              <w:color w:val="000000" w:themeColor="text1"/>
                              <w:sz w:val="24"/>
                              <w:szCs w:val="24"/>
                            </w:rPr>
                            <w:t>Task 1</w:t>
                          </w:r>
                        </w:p>
                        <w:p w14:paraId="4A948D65"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Name:</w:t>
                          </w:r>
                          <w:r w:rsidRPr="00AC4EF6">
                            <w:rPr>
                              <w:rFonts w:ascii="Arial" w:hAnsi="Arial" w:cs="Arial"/>
                              <w:color w:val="000000" w:themeColor="text1"/>
                              <w:sz w:val="24"/>
                              <w:szCs w:val="24"/>
                            </w:rPr>
                            <w:t xml:space="preserve"> Olivia Jenkins</w:t>
                          </w:r>
                        </w:p>
                        <w:p w14:paraId="400134C8"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 xml:space="preserve">Student Number: </w:t>
                          </w:r>
                          <w:r w:rsidRPr="00AC4EF6">
                            <w:rPr>
                              <w:rFonts w:ascii="Arial" w:hAnsi="Arial" w:cs="Arial"/>
                              <w:color w:val="000000" w:themeColor="text1"/>
                              <w:sz w:val="24"/>
                              <w:szCs w:val="24"/>
                            </w:rPr>
                            <w:t>2517763</w:t>
                          </w:r>
                        </w:p>
                        <w:p w14:paraId="0952B560" w14:textId="31E88CB2"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Word Count:</w:t>
                          </w:r>
                          <w:r w:rsidRPr="00AC4EF6">
                            <w:rPr>
                              <w:rFonts w:ascii="Arial" w:hAnsi="Arial" w:cs="Arial"/>
                              <w:color w:val="000000" w:themeColor="text1"/>
                              <w:sz w:val="24"/>
                              <w:szCs w:val="24"/>
                            </w:rPr>
                            <w:t xml:space="preserve"> </w:t>
                          </w:r>
                          <w:r w:rsidR="001F6B21">
                            <w:rPr>
                              <w:rFonts w:ascii="Arial" w:hAnsi="Arial" w:cs="Arial"/>
                              <w:color w:val="000000" w:themeColor="text1"/>
                              <w:sz w:val="24"/>
                              <w:szCs w:val="24"/>
                            </w:rPr>
                            <w:t>3294</w:t>
                          </w:r>
                        </w:p>
                        <w:p w14:paraId="5B4E6AEE" w14:textId="40542129" w:rsidR="00754320" w:rsidRPr="001F6B21" w:rsidRDefault="00A74230" w:rsidP="001F6B21">
                          <w:pPr>
                            <w:pStyle w:val="NoSpacing"/>
                            <w:rPr>
                              <w:rFonts w:ascii="Arial" w:hAnsi="Arial" w:cs="Arial"/>
                              <w:color w:val="000000" w:themeColor="text1"/>
                              <w:sz w:val="24"/>
                              <w:szCs w:val="24"/>
                            </w:rPr>
                          </w:pPr>
                          <w:r w:rsidRPr="00AC4EF6">
                            <w:rPr>
                              <w:rFonts w:ascii="Arial" w:hAnsi="Arial" w:cs="Arial"/>
                              <w:color w:val="000000" w:themeColor="text1"/>
                              <w:sz w:val="24"/>
                              <w:szCs w:val="24"/>
                            </w:rPr>
                            <w:t>I confirm that this work is entirely my own and that I have used academic referencing throughout.</w:t>
                          </w:r>
                        </w:p>
                      </w:txbxContent>
                    </v:textbox>
                    <w10:wrap anchorx="margin" anchory="margin"/>
                  </v:shape>
                </w:pict>
              </mc:Fallback>
            </mc:AlternateContent>
          </w:r>
          <w:r w:rsidR="00754320">
            <w:br w:type="page"/>
          </w:r>
        </w:p>
      </w:sdtContent>
    </w:sdt>
    <w:sdt>
      <w:sdtPr>
        <w:id w:val="150032518"/>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BEBCFA2" w14:textId="52DC2A69" w:rsidR="009B5C72" w:rsidRPr="007B39E9" w:rsidRDefault="009B5C72">
          <w:pPr>
            <w:pStyle w:val="TOCHeading"/>
            <w:rPr>
              <w:rFonts w:ascii="Arial" w:hAnsi="Arial" w:cs="Arial"/>
              <w:b/>
              <w:bCs/>
              <w:color w:val="auto"/>
              <w:sz w:val="24"/>
              <w:szCs w:val="24"/>
            </w:rPr>
          </w:pPr>
          <w:r w:rsidRPr="007B39E9">
            <w:rPr>
              <w:rFonts w:ascii="Arial" w:hAnsi="Arial" w:cs="Arial"/>
              <w:b/>
              <w:bCs/>
              <w:color w:val="auto"/>
              <w:sz w:val="24"/>
              <w:szCs w:val="24"/>
            </w:rPr>
            <w:t>Contents</w:t>
          </w:r>
        </w:p>
        <w:p w14:paraId="2B2B4162" w14:textId="451CB035" w:rsidR="009B5C72" w:rsidRPr="007B39E9" w:rsidRDefault="009B5C72">
          <w:pPr>
            <w:pStyle w:val="TOC1"/>
            <w:tabs>
              <w:tab w:val="right" w:leader="dot" w:pos="9350"/>
            </w:tabs>
            <w:rPr>
              <w:rFonts w:ascii="Arial" w:eastAsiaTheme="minorEastAsia" w:hAnsi="Arial" w:cs="Arial"/>
              <w:noProof/>
              <w:kern w:val="2"/>
              <w:sz w:val="24"/>
              <w:szCs w:val="24"/>
              <w:lang w:eastAsia="en-GB"/>
              <w14:ligatures w14:val="standardContextual"/>
            </w:rPr>
          </w:pPr>
          <w:r w:rsidRPr="007B39E9">
            <w:rPr>
              <w:rFonts w:ascii="Arial" w:hAnsi="Arial" w:cs="Arial"/>
              <w:sz w:val="24"/>
              <w:szCs w:val="24"/>
            </w:rPr>
            <w:fldChar w:fldCharType="begin"/>
          </w:r>
          <w:r w:rsidRPr="007B39E9">
            <w:rPr>
              <w:rFonts w:ascii="Arial" w:hAnsi="Arial" w:cs="Arial"/>
              <w:sz w:val="24"/>
              <w:szCs w:val="24"/>
            </w:rPr>
            <w:instrText xml:space="preserve"> TOC \o "1-3" \h \z \u </w:instrText>
          </w:r>
          <w:r w:rsidRPr="007B39E9">
            <w:rPr>
              <w:rFonts w:ascii="Arial" w:hAnsi="Arial" w:cs="Arial"/>
              <w:sz w:val="24"/>
              <w:szCs w:val="24"/>
            </w:rPr>
            <w:fldChar w:fldCharType="separate"/>
          </w:r>
          <w:hyperlink w:anchor="_Toc229424470" w:history="1">
            <w:r w:rsidRPr="007B39E9">
              <w:rPr>
                <w:rStyle w:val="Hyperlink"/>
                <w:rFonts w:ascii="Arial" w:hAnsi="Arial" w:cs="Arial"/>
                <w:noProof/>
                <w:color w:val="auto"/>
                <w:sz w:val="24"/>
                <w:szCs w:val="24"/>
              </w:rPr>
              <w:t>Executive Summary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_Toc229424470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2</w:t>
            </w:r>
            <w:r w:rsidRPr="007B39E9">
              <w:rPr>
                <w:rFonts w:ascii="Arial" w:hAnsi="Arial" w:cs="Arial"/>
                <w:noProof/>
                <w:webHidden/>
                <w:sz w:val="24"/>
                <w:szCs w:val="24"/>
              </w:rPr>
              <w:fldChar w:fldCharType="end"/>
            </w:r>
          </w:hyperlink>
        </w:p>
        <w:p w14:paraId="35781E33" w14:textId="47678E36"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1" w:history="1">
            <w:r w:rsidRPr="007B39E9">
              <w:rPr>
                <w:rStyle w:val="Hyperlink"/>
                <w:rFonts w:ascii="Arial" w:hAnsi="Arial" w:cs="Arial"/>
                <w:noProof/>
                <w:color w:val="auto"/>
                <w:sz w:val="24"/>
                <w:szCs w:val="24"/>
              </w:rPr>
              <w:t>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Introduction</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_Toc229424471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5C2B5CF2" w14:textId="0548124C"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2" w:history="1">
            <w:r w:rsidRPr="007B39E9">
              <w:rPr>
                <w:rStyle w:val="Hyperlink"/>
                <w:rFonts w:ascii="Arial" w:hAnsi="Arial" w:cs="Arial"/>
                <w:noProof/>
                <w:color w:val="auto"/>
                <w:sz w:val="24"/>
                <w:szCs w:val="24"/>
              </w:rPr>
              <w:t>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Immediate Risks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_Toc229424472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0699A8A1" w14:textId="50DB067D"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3" w:history="1">
            <w:r w:rsidRPr="007B39E9">
              <w:rPr>
                <w:rStyle w:val="Hyperlink"/>
                <w:rFonts w:ascii="Arial" w:hAnsi="Arial" w:cs="Arial"/>
                <w:noProof/>
                <w:color w:val="auto"/>
                <w:sz w:val="24"/>
                <w:szCs w:val="24"/>
                <w:lang w:val="en-US" w:eastAsia="en-GB"/>
              </w:rPr>
              <w:t>2.1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Reactive Employment Relations (ER) Culture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_Toc229424473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4FE6CD81" w14:textId="506670A9"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4" w:history="1">
            <w:r w:rsidRPr="007B39E9">
              <w:rPr>
                <w:rStyle w:val="Hyperlink"/>
                <w:rFonts w:ascii="Arial" w:hAnsi="Arial" w:cs="Arial"/>
                <w:noProof/>
                <w:color w:val="auto"/>
                <w:sz w:val="24"/>
                <w:szCs w:val="24"/>
                <w:lang w:val="en-US" w:eastAsia="en-GB"/>
              </w:rPr>
              <w:t>2.2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Equality and discrimination failures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_Toc229424474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5</w:t>
            </w:r>
            <w:r w:rsidRPr="007B39E9">
              <w:rPr>
                <w:rFonts w:ascii="Arial" w:hAnsi="Arial" w:cs="Arial"/>
                <w:noProof/>
                <w:webHidden/>
                <w:sz w:val="24"/>
                <w:szCs w:val="24"/>
              </w:rPr>
              <w:fldChar w:fldCharType="end"/>
            </w:r>
          </w:hyperlink>
        </w:p>
        <w:p w14:paraId="64669D5C" w14:textId="758C03C6"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5" w:history="1">
            <w:r w:rsidRPr="007B39E9">
              <w:rPr>
                <w:rStyle w:val="Hyperlink"/>
                <w:rFonts w:ascii="Arial" w:hAnsi="Arial" w:cs="Arial"/>
                <w:noProof/>
                <w:color w:val="auto"/>
                <w:sz w:val="24"/>
                <w:szCs w:val="24"/>
                <w:lang w:val="en-US" w:eastAsia="en-GB"/>
              </w:rPr>
              <w:t>2.3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Failure to Consult Over TUPE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_Toc229424475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6</w:t>
            </w:r>
            <w:r w:rsidRPr="007B39E9">
              <w:rPr>
                <w:rFonts w:ascii="Arial" w:hAnsi="Arial" w:cs="Arial"/>
                <w:noProof/>
                <w:webHidden/>
                <w:sz w:val="24"/>
                <w:szCs w:val="24"/>
              </w:rPr>
              <w:fldChar w:fldCharType="end"/>
            </w:r>
          </w:hyperlink>
        </w:p>
        <w:p w14:paraId="4FAFC7E9" w14:textId="341A8E4A"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6" w:history="1">
            <w:r w:rsidRPr="007B39E9">
              <w:rPr>
                <w:rStyle w:val="Hyperlink"/>
                <w:rFonts w:ascii="Arial" w:hAnsi="Arial" w:cs="Arial"/>
                <w:noProof/>
                <w:color w:val="auto"/>
                <w:sz w:val="24"/>
                <w:szCs w:val="24"/>
                <w:lang w:val="en-US" w:eastAsia="en-GB"/>
              </w:rPr>
              <w:t>2.4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Employment Status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_Toc229424476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7</w:t>
            </w:r>
            <w:r w:rsidRPr="007B39E9">
              <w:rPr>
                <w:rFonts w:ascii="Arial" w:hAnsi="Arial" w:cs="Arial"/>
                <w:noProof/>
                <w:webHidden/>
                <w:sz w:val="24"/>
                <w:szCs w:val="24"/>
              </w:rPr>
              <w:fldChar w:fldCharType="end"/>
            </w:r>
          </w:hyperlink>
        </w:p>
        <w:p w14:paraId="2595084B" w14:textId="76E51078"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7" w:history="1">
            <w:r w:rsidRPr="007B39E9">
              <w:rPr>
                <w:rStyle w:val="Hyperlink"/>
                <w:rFonts w:ascii="Arial" w:hAnsi="Arial" w:cs="Arial"/>
                <w:noProof/>
                <w:color w:val="auto"/>
                <w:sz w:val="24"/>
                <w:szCs w:val="24"/>
              </w:rPr>
              <w:t>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Business Case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_Toc229424477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9</w:t>
            </w:r>
            <w:r w:rsidRPr="007B39E9">
              <w:rPr>
                <w:rFonts w:ascii="Arial" w:hAnsi="Arial" w:cs="Arial"/>
                <w:noProof/>
                <w:webHidden/>
                <w:sz w:val="24"/>
                <w:szCs w:val="24"/>
              </w:rPr>
              <w:fldChar w:fldCharType="end"/>
            </w:r>
          </w:hyperlink>
        </w:p>
        <w:p w14:paraId="616BE622" w14:textId="7563A256"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8" w:history="1">
            <w:r w:rsidRPr="007B39E9">
              <w:rPr>
                <w:rStyle w:val="Hyperlink"/>
                <w:rFonts w:ascii="Arial" w:hAnsi="Arial" w:cs="Arial"/>
                <w:noProof/>
                <w:color w:val="auto"/>
                <w:sz w:val="24"/>
                <w:szCs w:val="24"/>
              </w:rPr>
              <w:t>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Conclusion</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_Toc229424478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10</w:t>
            </w:r>
            <w:r w:rsidRPr="007B39E9">
              <w:rPr>
                <w:rFonts w:ascii="Arial" w:hAnsi="Arial" w:cs="Arial"/>
                <w:noProof/>
                <w:webHidden/>
                <w:sz w:val="24"/>
                <w:szCs w:val="24"/>
              </w:rPr>
              <w:fldChar w:fldCharType="end"/>
            </w:r>
          </w:hyperlink>
        </w:p>
        <w:p w14:paraId="03688BBC" w14:textId="618D416F"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9" w:history="1">
            <w:r w:rsidRPr="007B39E9">
              <w:rPr>
                <w:rStyle w:val="Hyperlink"/>
                <w:rFonts w:ascii="Arial" w:hAnsi="Arial" w:cs="Arial"/>
                <w:noProof/>
                <w:color w:val="auto"/>
                <w:sz w:val="24"/>
                <w:szCs w:val="24"/>
              </w:rPr>
              <w:t>5.</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Recommendations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_Toc229424479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11</w:t>
            </w:r>
            <w:r w:rsidRPr="007B39E9">
              <w:rPr>
                <w:rFonts w:ascii="Arial" w:hAnsi="Arial" w:cs="Arial"/>
                <w:noProof/>
                <w:webHidden/>
                <w:sz w:val="24"/>
                <w:szCs w:val="24"/>
              </w:rPr>
              <w:fldChar w:fldCharType="end"/>
            </w:r>
          </w:hyperlink>
        </w:p>
        <w:p w14:paraId="5CC5558E" w14:textId="38C227A4"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0" w:history="1">
            <w:r w:rsidRPr="007B39E9">
              <w:rPr>
                <w:rStyle w:val="Hyperlink"/>
                <w:rFonts w:ascii="Arial" w:hAnsi="Arial" w:cs="Arial"/>
                <w:noProof/>
                <w:color w:val="auto"/>
                <w:sz w:val="24"/>
                <w:szCs w:val="24"/>
                <w:lang w:val="en-US" w:eastAsia="en-GB"/>
              </w:rPr>
              <w:t>5.1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Leadership Capability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_Toc229424480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11</w:t>
            </w:r>
            <w:r w:rsidRPr="007B39E9">
              <w:rPr>
                <w:rFonts w:ascii="Arial" w:hAnsi="Arial" w:cs="Arial"/>
                <w:noProof/>
                <w:webHidden/>
                <w:sz w:val="24"/>
                <w:szCs w:val="24"/>
              </w:rPr>
              <w:fldChar w:fldCharType="end"/>
            </w:r>
          </w:hyperlink>
        </w:p>
        <w:p w14:paraId="19701383" w14:textId="055312BB"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1" w:history="1">
            <w:r w:rsidRPr="007B39E9">
              <w:rPr>
                <w:rStyle w:val="Hyperlink"/>
                <w:rFonts w:ascii="Arial" w:hAnsi="Arial" w:cs="Arial"/>
                <w:noProof/>
                <w:color w:val="auto"/>
                <w:sz w:val="24"/>
                <w:szCs w:val="24"/>
                <w:lang w:val="en-US" w:eastAsia="en-GB"/>
              </w:rPr>
              <w:t>5.2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Equality, Diversity and Inclusion (EDI) training</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_Toc229424481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12</w:t>
            </w:r>
            <w:r w:rsidRPr="007B39E9">
              <w:rPr>
                <w:rFonts w:ascii="Arial" w:hAnsi="Arial" w:cs="Arial"/>
                <w:noProof/>
                <w:webHidden/>
                <w:sz w:val="24"/>
                <w:szCs w:val="24"/>
              </w:rPr>
              <w:fldChar w:fldCharType="end"/>
            </w:r>
          </w:hyperlink>
        </w:p>
        <w:p w14:paraId="7BA943C8" w14:textId="770E8BB9"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2" w:history="1">
            <w:r w:rsidRPr="007B39E9">
              <w:rPr>
                <w:rStyle w:val="Hyperlink"/>
                <w:rFonts w:ascii="Arial" w:hAnsi="Arial" w:cs="Arial"/>
                <w:noProof/>
                <w:color w:val="auto"/>
                <w:sz w:val="24"/>
                <w:szCs w:val="24"/>
                <w:lang w:val="en-US" w:eastAsia="en-GB"/>
              </w:rPr>
              <w:t>5.3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TUPE and Employee Voice Strategy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_Toc229424482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12</w:t>
            </w:r>
            <w:r w:rsidRPr="007B39E9">
              <w:rPr>
                <w:rFonts w:ascii="Arial" w:hAnsi="Arial" w:cs="Arial"/>
                <w:noProof/>
                <w:webHidden/>
                <w:sz w:val="24"/>
                <w:szCs w:val="24"/>
              </w:rPr>
              <w:fldChar w:fldCharType="end"/>
            </w:r>
          </w:hyperlink>
        </w:p>
        <w:p w14:paraId="279A3C87" w14:textId="71425C0F"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3" w:history="1">
            <w:r w:rsidRPr="007B39E9">
              <w:rPr>
                <w:rStyle w:val="Hyperlink"/>
                <w:rFonts w:ascii="Arial" w:hAnsi="Arial" w:cs="Arial"/>
                <w:noProof/>
                <w:color w:val="auto"/>
                <w:sz w:val="24"/>
                <w:szCs w:val="24"/>
                <w:lang w:val="en-US" w:eastAsia="en-GB"/>
              </w:rPr>
              <w:t>5.4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Workforce Contract Review</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_Toc229424483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13</w:t>
            </w:r>
            <w:r w:rsidRPr="007B39E9">
              <w:rPr>
                <w:rFonts w:ascii="Arial" w:hAnsi="Arial" w:cs="Arial"/>
                <w:noProof/>
                <w:webHidden/>
                <w:sz w:val="24"/>
                <w:szCs w:val="24"/>
              </w:rPr>
              <w:fldChar w:fldCharType="end"/>
            </w:r>
          </w:hyperlink>
        </w:p>
        <w:p w14:paraId="6310DE08" w14:textId="4218971A"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84" w:history="1">
            <w:r w:rsidRPr="007B39E9">
              <w:rPr>
                <w:rStyle w:val="Hyperlink"/>
                <w:rFonts w:ascii="Arial" w:hAnsi="Arial" w:cs="Arial"/>
                <w:noProof/>
                <w:color w:val="auto"/>
                <w:sz w:val="24"/>
                <w:szCs w:val="24"/>
              </w:rPr>
              <w:t>6.</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eastAsia="Times New Roman" w:hAnsi="Arial" w:cs="Arial"/>
                <w:noProof/>
                <w:color w:val="auto"/>
                <w:sz w:val="24"/>
                <w:szCs w:val="24"/>
                <w:lang w:eastAsia="en-GB"/>
              </w:rPr>
              <w:t>Bibliography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_Toc229424484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15</w:t>
            </w:r>
            <w:r w:rsidRPr="007B39E9">
              <w:rPr>
                <w:rFonts w:ascii="Arial" w:hAnsi="Arial" w:cs="Arial"/>
                <w:noProof/>
                <w:webHidden/>
                <w:sz w:val="24"/>
                <w:szCs w:val="24"/>
              </w:rPr>
              <w:fldChar w:fldCharType="end"/>
            </w:r>
          </w:hyperlink>
        </w:p>
        <w:p w14:paraId="4B266B36" w14:textId="4FF3E850" w:rsidR="009B5C72" w:rsidRDefault="009B5C72" w:rsidP="004C0DC6">
          <w:pPr>
            <w:rPr>
              <w:b/>
              <w:bCs/>
            </w:rPr>
          </w:pPr>
          <w:r w:rsidRPr="007B39E9">
            <w:rPr>
              <w:rFonts w:ascii="Arial" w:hAnsi="Arial" w:cs="Arial"/>
              <w:sz w:val="24"/>
              <w:szCs w:val="24"/>
            </w:rPr>
            <w:fldChar w:fldCharType="end"/>
          </w:r>
        </w:p>
      </w:sdtContent>
    </w:sdt>
    <w:p w14:paraId="36D6D1EA" w14:textId="77777777" w:rsidR="004C0DC6" w:rsidRDefault="004C0DC6" w:rsidP="004C0DC6">
      <w:pPr>
        <w:rPr>
          <w:b/>
          <w:bCs/>
        </w:rPr>
      </w:pPr>
    </w:p>
    <w:p w14:paraId="2EF209E0" w14:textId="77777777" w:rsidR="004C0DC6" w:rsidRDefault="004C0DC6" w:rsidP="004C0DC6">
      <w:pPr>
        <w:rPr>
          <w:b/>
          <w:bCs/>
        </w:rPr>
      </w:pPr>
    </w:p>
    <w:p w14:paraId="352EB1AF" w14:textId="77777777" w:rsidR="004C0DC6" w:rsidRDefault="004C0DC6" w:rsidP="004C0DC6">
      <w:pPr>
        <w:rPr>
          <w:b/>
          <w:bCs/>
        </w:rPr>
      </w:pPr>
    </w:p>
    <w:p w14:paraId="2D69ACDD" w14:textId="77777777" w:rsidR="004C0DC6" w:rsidRDefault="004C0DC6" w:rsidP="004C0DC6">
      <w:pPr>
        <w:rPr>
          <w:b/>
          <w:bCs/>
        </w:rPr>
      </w:pPr>
    </w:p>
    <w:p w14:paraId="63ACF5DE" w14:textId="77777777" w:rsidR="004C0DC6" w:rsidRDefault="004C0DC6" w:rsidP="004C0DC6">
      <w:pPr>
        <w:rPr>
          <w:b/>
          <w:bCs/>
        </w:rPr>
      </w:pPr>
    </w:p>
    <w:p w14:paraId="6C2897B2" w14:textId="77777777" w:rsidR="004C0DC6" w:rsidRDefault="004C0DC6" w:rsidP="004C0DC6">
      <w:pPr>
        <w:rPr>
          <w:b/>
          <w:bCs/>
        </w:rPr>
      </w:pPr>
    </w:p>
    <w:p w14:paraId="70421F0F" w14:textId="77777777" w:rsidR="004C0DC6" w:rsidRDefault="004C0DC6" w:rsidP="004C0DC6">
      <w:pPr>
        <w:rPr>
          <w:b/>
          <w:bCs/>
        </w:rPr>
      </w:pPr>
    </w:p>
    <w:p w14:paraId="22023E42" w14:textId="77777777" w:rsidR="004C0DC6" w:rsidRDefault="004C0DC6" w:rsidP="004C0DC6">
      <w:pPr>
        <w:rPr>
          <w:b/>
          <w:bCs/>
        </w:rPr>
      </w:pPr>
    </w:p>
    <w:p w14:paraId="65DB4734" w14:textId="77777777" w:rsidR="004C0DC6" w:rsidRDefault="004C0DC6" w:rsidP="004C0DC6">
      <w:pPr>
        <w:rPr>
          <w:b/>
          <w:bCs/>
        </w:rPr>
      </w:pPr>
    </w:p>
    <w:p w14:paraId="29A7E55E" w14:textId="77777777" w:rsidR="004C0DC6" w:rsidRDefault="004C0DC6" w:rsidP="004C0DC6">
      <w:pPr>
        <w:rPr>
          <w:b/>
          <w:bCs/>
        </w:rPr>
      </w:pPr>
    </w:p>
    <w:p w14:paraId="013DF8FA" w14:textId="77777777" w:rsidR="004C0DC6" w:rsidRDefault="004C0DC6" w:rsidP="004C0DC6">
      <w:pPr>
        <w:rPr>
          <w:b/>
          <w:bCs/>
        </w:rPr>
      </w:pPr>
    </w:p>
    <w:p w14:paraId="36B10DCA" w14:textId="77777777" w:rsidR="004C0DC6" w:rsidRDefault="004C0DC6" w:rsidP="004C0DC6">
      <w:pPr>
        <w:rPr>
          <w:b/>
          <w:bCs/>
        </w:rPr>
      </w:pPr>
    </w:p>
    <w:p w14:paraId="3DB94915" w14:textId="77777777" w:rsidR="004C0DC6" w:rsidRDefault="004C0DC6" w:rsidP="004C0DC6"/>
    <w:p w14:paraId="240B7B5F" w14:textId="22845E67" w:rsidR="00C9293D" w:rsidRPr="00F56755" w:rsidRDefault="00C9293D" w:rsidP="004C0DC6">
      <w:pPr>
        <w:pStyle w:val="Heading1"/>
      </w:pPr>
      <w:bookmarkStart w:id="0" w:name="_Toc229424470"/>
      <w:r w:rsidRPr="00F56755">
        <w:lastRenderedPageBreak/>
        <w:t>Executive Summary</w:t>
      </w:r>
      <w:bookmarkEnd w:id="0"/>
      <w:r w:rsidRPr="00F56755">
        <w:t xml:space="preserve"> </w:t>
      </w:r>
    </w:p>
    <w:p w14:paraId="6788A68E" w14:textId="2947236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Elmbridge Electronics Ltd faces major employment law and organisational risks due to a reactive employment relations culture with escalating disputes, increasing stress-related absence and Employment Tribunal claims. Recent cases of harassment and disability discrimination alongside TUPE and data protection breaches demonstrate important management capability and governance issues in terms of consultation processes and policy implementation. Zero-hour contracts pose a particular future risk given proposed reforms under the Employment Rights Act 2025</w:t>
      </w:r>
      <w:r w:rsidR="0089465B" w:rsidRPr="009467E7">
        <w:rPr>
          <w:rFonts w:ascii="Arial" w:eastAsiaTheme="minorEastAsia" w:hAnsi="Arial" w:cs="Arial"/>
          <w:sz w:val="24"/>
          <w:szCs w:val="24"/>
          <w:lang w:val="en-US" w:eastAsia="en-GB"/>
          <w14:ligatures w14:val="standardContextual"/>
        </w:rPr>
        <w:t xml:space="preserve"> (ERA 2025)</w:t>
      </w:r>
      <w:r w:rsidRPr="009467E7">
        <w:rPr>
          <w:rFonts w:ascii="Arial" w:eastAsiaTheme="minorEastAsia" w:hAnsi="Arial" w:cs="Arial"/>
          <w:sz w:val="24"/>
          <w:szCs w:val="24"/>
          <w:lang w:val="en-US" w:eastAsia="en-GB"/>
          <w14:ligatures w14:val="standardContextual"/>
        </w:rPr>
        <w:t>.</w:t>
      </w:r>
    </w:p>
    <w:p w14:paraId="006A8B87"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most immediate concerns are the effectiveness of conflict resolution mechanisms, potential vicarious liability under the Equality Act 2010, failure to consult correctly under TUPE and uncertainty around employment status and job security. These are legal risks but also impact productivity, employee trust, turnover and organisational stability.</w:t>
      </w:r>
    </w:p>
    <w:p w14:paraId="127769C7"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report recommends that Elmbridge Electronics goes beyond compliance and adopts a more proactive approach to employment relations, which could include investing in management capability, training on equality and inclusion, implementing a more structured approach to TUPE and employee voice and reviewing the use of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The CEO should also reconsider discussions around employee voice and trade union engagement to reduce the risk of statutory recognition and improve the outcome of consultation.</w:t>
      </w:r>
    </w:p>
    <w:p w14:paraId="0A219F7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Although the recommendations involve upfront costs, this investment may be offset by reduced disputes, absence and turnover along with greater retention and employee engagement. Key performance indicators to measure this shift include employee relations case trends, absence data, engagement feedback, consultation outcomes and broader workforce stability.</w:t>
      </w:r>
    </w:p>
    <w:p w14:paraId="46EF184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D82D93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CD230C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46A64425" w14:textId="77777777" w:rsidR="00C9293D" w:rsidRPr="00F56755" w:rsidRDefault="00C9293D" w:rsidP="00F56755">
      <w:pPr>
        <w:pStyle w:val="Heading1"/>
      </w:pPr>
      <w:bookmarkStart w:id="1" w:name="_Toc229424471"/>
      <w:r w:rsidRPr="00F56755">
        <w:lastRenderedPageBreak/>
        <w:t>Introduction</w:t>
      </w:r>
      <w:bookmarkEnd w:id="1"/>
    </w:p>
    <w:p w14:paraId="739110F6" w14:textId="2F414B51" w:rsidR="00C9293D" w:rsidRPr="009467E7" w:rsidRDefault="009467E7"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At</w:t>
      </w:r>
      <w:r w:rsidR="00C9293D" w:rsidRPr="009467E7">
        <w:rPr>
          <w:rFonts w:ascii="Arial" w:eastAsiaTheme="minorEastAsia" w:hAnsi="Arial" w:cs="Arial"/>
          <w:sz w:val="24"/>
          <w:szCs w:val="24"/>
          <w:lang w:val="en-US" w:eastAsia="en-GB"/>
          <w14:ligatures w14:val="standardContextual"/>
        </w:rPr>
        <w:t xml:space="preserve"> Elmbridge Electronics Ltd (EE), serious issues in employment relations (ER) are emerging with rising dispute levels, increasing work-related stress, sickness absence and more Employment Tribunal (ET) claims. The current ER management approach is purely reactive, operating within formalised structures rather than proactively seeking prevention or early mediation through informal channels once issues arise. CIPD (2020) shows that such reactive strategies often exacerbate wellbeing decline and erode organisational cohesion. CIPD (2025) demonstrates that job quality, fair treatment and employee voice are important drivers of organisational performance. </w:t>
      </w:r>
    </w:p>
    <w:p w14:paraId="1F449F30" w14:textId="6997CA35"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eastAsia="en-GB"/>
          <w14:ligatures w14:val="standardContextual"/>
        </w:rPr>
      </w:pPr>
      <w:r w:rsidRPr="009467E7">
        <w:rPr>
          <w:rFonts w:ascii="Arial" w:eastAsiaTheme="minorEastAsia" w:hAnsi="Arial" w:cs="Arial"/>
          <w:sz w:val="24"/>
          <w:szCs w:val="24"/>
          <w:lang w:val="en-US" w:eastAsia="en-GB"/>
          <w14:ligatures w14:val="standardContextual"/>
        </w:rPr>
        <w:t xml:space="preserve">Recent cases involving harassment, disability discrimination, Transfer of Undertakings (Protection of Employment) Regulations 2006 (TUPE) non-compliance and data protection breaches have shown important legal and organisational risks arising from these incidents. These cases also touch on broader concerns about management capability, governance and policy implementation. In addition, the reliance on zero-hours contracts raises more uncertainty given the proposed reforms in the </w:t>
      </w:r>
      <w:r w:rsidR="0089465B" w:rsidRPr="009467E7">
        <w:rPr>
          <w:rFonts w:ascii="Arial" w:eastAsiaTheme="minorEastAsia" w:hAnsi="Arial" w:cs="Arial"/>
          <w:sz w:val="24"/>
          <w:szCs w:val="24"/>
          <w:lang w:val="en-US" w:eastAsia="en-GB"/>
          <w14:ligatures w14:val="standardContextual"/>
        </w:rPr>
        <w:t>ERA 2025</w:t>
      </w:r>
      <w:r w:rsidRPr="009467E7">
        <w:rPr>
          <w:rFonts w:ascii="Arial" w:eastAsiaTheme="minorEastAsia" w:hAnsi="Arial" w:cs="Arial"/>
          <w:sz w:val="24"/>
          <w:szCs w:val="24"/>
          <w:lang w:val="en-US" w:eastAsia="en-GB"/>
          <w14:ligatures w14:val="standardContextual"/>
        </w:rPr>
        <w:t xml:space="preserve"> </w:t>
      </w:r>
      <w:r w:rsidRPr="009467E7">
        <w:rPr>
          <w:rFonts w:ascii="Arial" w:eastAsiaTheme="minorEastAsia" w:hAnsi="Arial" w:cs="Arial"/>
          <w:sz w:val="24"/>
          <w:szCs w:val="24"/>
          <w:lang w:eastAsia="en-GB"/>
          <w14:ligatures w14:val="standardContextual"/>
        </w:rPr>
        <w:t>(GOV.UK, 2026)</w:t>
      </w:r>
      <w:r w:rsidRPr="009467E7">
        <w:rPr>
          <w:rFonts w:ascii="Arial" w:eastAsiaTheme="minorEastAsia" w:hAnsi="Arial" w:cs="Arial"/>
          <w:sz w:val="24"/>
          <w:szCs w:val="24"/>
          <w:lang w:val="en-US" w:eastAsia="en-GB"/>
          <w14:ligatures w14:val="standardContextual"/>
        </w:rPr>
        <w:t>.</w:t>
      </w:r>
    </w:p>
    <w:p w14:paraId="269BA49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report critically analyses the key employment law risks facing EE and provides recommendations to improve compliance and organisational performance. It will also set out a business case for moving from reactive compliance model to a more preventative and strategically aligned approach to ER to support a stronger psychological contract and job quality whilst supporting organisational performance.</w:t>
      </w:r>
    </w:p>
    <w:p w14:paraId="3C07135F" w14:textId="77777777" w:rsidR="00C9293D" w:rsidRPr="00F56755" w:rsidRDefault="00C9293D" w:rsidP="00F56755">
      <w:pPr>
        <w:pStyle w:val="Heading1"/>
      </w:pPr>
      <w:bookmarkStart w:id="2" w:name="_Toc229424472"/>
      <w:r w:rsidRPr="00F56755">
        <w:t>Immediate Risks</w:t>
      </w:r>
      <w:bookmarkEnd w:id="2"/>
    </w:p>
    <w:p w14:paraId="767EF269" w14:textId="2842E8E4" w:rsidR="00C9293D" w:rsidRPr="007562E5" w:rsidRDefault="00C9293D" w:rsidP="00D941D0">
      <w:pPr>
        <w:pStyle w:val="Heading2"/>
        <w:rPr>
          <w:rFonts w:eastAsiaTheme="minorEastAsia"/>
          <w:lang w:val="en-US" w:eastAsia="en-GB"/>
        </w:rPr>
      </w:pPr>
      <w:bookmarkStart w:id="3" w:name="_Toc229424473"/>
      <w:r w:rsidRPr="007562E5">
        <w:rPr>
          <w:rFonts w:eastAsiaTheme="minorEastAsia"/>
          <w:lang w:val="en-US" w:eastAsia="en-GB"/>
        </w:rPr>
        <w:t>Reactive Employment Relations (ER) Culture</w:t>
      </w:r>
      <w:bookmarkEnd w:id="3"/>
    </w:p>
    <w:p w14:paraId="7F268A3F" w14:textId="7A51A1E6" w:rsidR="00C9293D" w:rsidRPr="009467E7" w:rsidRDefault="006D72FF"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EE’s</w:t>
      </w:r>
      <w:r w:rsidR="00C9293D" w:rsidRPr="009467E7">
        <w:rPr>
          <w:rFonts w:ascii="Arial" w:eastAsiaTheme="minorEastAsia" w:hAnsi="Arial" w:cs="Arial"/>
          <w:sz w:val="24"/>
          <w:szCs w:val="24"/>
          <w:lang w:val="en-US" w:eastAsia="en-GB"/>
          <w14:ligatures w14:val="standardContextual"/>
        </w:rPr>
        <w:t xml:space="preserve"> reactive nature around ER presents a serious systemic risk to the organisation in how it manages workplace conflict. The increase in formal, disciplinary and grievance cases and stress related absence are all indicators of conflict escalating into formal processes when they should have been resolved informally at an earlier stage. ACAS (2025a) highlights that most workplace issues can be resolved informally and that the early use of formal process generates unnecessary conflict and damages working </w:t>
      </w:r>
      <w:r w:rsidR="00C9293D" w:rsidRPr="009467E7">
        <w:rPr>
          <w:rFonts w:ascii="Arial" w:eastAsiaTheme="minorEastAsia" w:hAnsi="Arial" w:cs="Arial"/>
          <w:sz w:val="24"/>
          <w:szCs w:val="24"/>
          <w:lang w:val="en-US" w:eastAsia="en-GB"/>
          <w14:ligatures w14:val="standardContextual"/>
        </w:rPr>
        <w:lastRenderedPageBreak/>
        <w:t>relations. The problem is compounded by the HR function being focused in a largely reactive way, where resources are concentrated on dealing with conflict rather than preventing it.</w:t>
      </w:r>
    </w:p>
    <w:p w14:paraId="0492868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has experienced data protection breaches in the past, highlighting governance and reporting failures. These failures lead to inadequate risk identification and management, particularly in the early stages of incidents. Information Commissioner's Office (2023) guidance emphasizes the importance of employers having proper organisational measures and clear reporting structures to detect, investigate and document breaches. This involves having confidential reporting mechanisms, clear escalation routes and regular compliance checks. Without such structures, concerns may not be reported, increasing the likelihood of repeated breaches and regulatory scrutiny. This can damage trust and reputational harm, affecting overall performance.</w:t>
      </w:r>
    </w:p>
    <w:p w14:paraId="043EC0D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 reactive approach creates higher risk of ET claims as disputes, if not resolved or handled poorly, are more likely to escalate to formal proceedings including harassment, discrimination and unfair treatment (ACAS, 2025a). EE’s risk is compounded by its statutory obligations both to apply fair processes under the Employment Rights Act 1996 and to have a duty of care to prevent work-related injury including stress at work under the Health and Safety at Work etc. Act 1974.</w:t>
      </w:r>
    </w:p>
    <w:p w14:paraId="7678672B"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However, it’s not only a question of legal compliance but also points to a deeper failure to embed a coherent and preventative ER structure. ACAS (2025c) research has found that nearly half of working-age adults experienced some form of conflict in the past 12 months, the highest ever recorded in Great Britain, with 57% stating that it impacted on their mental health causing stress, anxiety or depression. These poor workplace relationships and failure to address conflicts constructively will not only disrupt collaboration but also reduce discretionary effort, weakening the overall organisational performance (CIPD, 2025).</w:t>
      </w:r>
    </w:p>
    <w:p w14:paraId="041ADAE1" w14:textId="57D3ABE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Although most workplace conflicts are resolved informally, with only 9% escalating to formal processes. EE’s high usage of formal processes points to a failure in developing preventative ER practices. CIPD (2020) </w:t>
      </w:r>
      <w:proofErr w:type="gramStart"/>
      <w:r w:rsidRPr="009467E7">
        <w:rPr>
          <w:rFonts w:ascii="Arial" w:eastAsiaTheme="minorEastAsia" w:hAnsi="Arial" w:cs="Arial"/>
          <w:sz w:val="24"/>
          <w:szCs w:val="24"/>
          <w:lang w:val="en-US" w:eastAsia="en-GB"/>
          <w14:ligatures w14:val="standardContextual"/>
        </w:rPr>
        <w:t>highlight</w:t>
      </w:r>
      <w:proofErr w:type="gramEnd"/>
      <w:r w:rsidRPr="009467E7">
        <w:rPr>
          <w:rFonts w:ascii="Arial" w:eastAsiaTheme="minorEastAsia" w:hAnsi="Arial" w:cs="Arial"/>
          <w:sz w:val="24"/>
          <w:szCs w:val="24"/>
          <w:lang w:val="en-US" w:eastAsia="en-GB"/>
          <w14:ligatures w14:val="standardContextual"/>
        </w:rPr>
        <w:t xml:space="preserve"> </w:t>
      </w:r>
      <w:proofErr w:type="gramStart"/>
      <w:r w:rsidRPr="009467E7">
        <w:rPr>
          <w:rFonts w:ascii="Arial" w:eastAsiaTheme="minorEastAsia" w:hAnsi="Arial" w:cs="Arial"/>
          <w:sz w:val="24"/>
          <w:szCs w:val="24"/>
          <w:lang w:val="en-US" w:eastAsia="en-GB"/>
          <w14:ligatures w14:val="standardContextual"/>
        </w:rPr>
        <w:t>that proactive approaches</w:t>
      </w:r>
      <w:proofErr w:type="gramEnd"/>
      <w:r w:rsidRPr="009467E7">
        <w:rPr>
          <w:rFonts w:ascii="Arial" w:eastAsiaTheme="minorEastAsia" w:hAnsi="Arial" w:cs="Arial"/>
          <w:sz w:val="24"/>
          <w:szCs w:val="24"/>
          <w:lang w:val="en-US" w:eastAsia="en-GB"/>
          <w14:ligatures w14:val="standardContextual"/>
        </w:rPr>
        <w:t xml:space="preserve"> to managing </w:t>
      </w:r>
      <w:r w:rsidRPr="009467E7">
        <w:rPr>
          <w:rFonts w:ascii="Arial" w:eastAsiaTheme="minorEastAsia" w:hAnsi="Arial" w:cs="Arial"/>
          <w:sz w:val="24"/>
          <w:szCs w:val="24"/>
          <w:lang w:val="en-US" w:eastAsia="en-GB"/>
          <w14:ligatures w14:val="standardContextual"/>
        </w:rPr>
        <w:lastRenderedPageBreak/>
        <w:t xml:space="preserve">conflict, together with early interventions can help reduce levels of conflict as well as promote wellbeing. </w:t>
      </w:r>
      <w:r w:rsidR="003C692C" w:rsidRPr="009467E7">
        <w:rPr>
          <w:rFonts w:ascii="Arial" w:eastAsiaTheme="minorEastAsia" w:hAnsi="Arial" w:cs="Arial"/>
          <w:sz w:val="24"/>
          <w:szCs w:val="24"/>
          <w:lang w:val="en-US" w:eastAsia="en-GB"/>
          <w14:ligatures w14:val="standardContextual"/>
        </w:rPr>
        <w:t>EE’s</w:t>
      </w:r>
      <w:r w:rsidRPr="009467E7">
        <w:rPr>
          <w:rFonts w:ascii="Arial" w:eastAsiaTheme="minorEastAsia" w:hAnsi="Arial" w:cs="Arial"/>
          <w:sz w:val="24"/>
          <w:szCs w:val="24"/>
          <w:lang w:val="en-US" w:eastAsia="en-GB"/>
          <w14:ligatures w14:val="standardContextual"/>
        </w:rPr>
        <w:t xml:space="preserve"> approach may show insufficient degree of managerial confidence which can lead to loss of trust and breakdown in psychological contract (Conway and Briner, 2005).</w:t>
      </w:r>
    </w:p>
    <w:p w14:paraId="154B9FC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 capability driven ER model, which proactively intervenes at the early stages of an issue, will equip managers to resolve issues at source rather than escalate them. This is in line with ACAS research showing that the competence of managers to prevent issues escalating is built on their ability to intervene early, to resolve conflicts and handle difficult conversations with confidence (ACAS, 2024).</w:t>
      </w:r>
    </w:p>
    <w:p w14:paraId="113CD442" w14:textId="7082BF92" w:rsidR="00C9293D" w:rsidRPr="00D941D0" w:rsidRDefault="00C9293D" w:rsidP="009467E7">
      <w:pPr>
        <w:pStyle w:val="Heading2"/>
        <w:jc w:val="both"/>
        <w:rPr>
          <w:rFonts w:eastAsiaTheme="minorEastAsia" w:cs="Arial"/>
          <w:color w:val="auto"/>
          <w:szCs w:val="24"/>
          <w:lang w:val="en-US" w:eastAsia="en-GB"/>
        </w:rPr>
      </w:pPr>
      <w:bookmarkStart w:id="4" w:name="_Toc229424474"/>
      <w:r w:rsidRPr="00D941D0">
        <w:rPr>
          <w:rFonts w:eastAsiaTheme="minorEastAsia" w:cs="Arial"/>
          <w:color w:val="auto"/>
          <w:szCs w:val="24"/>
          <w:lang w:val="en-US" w:eastAsia="en-GB"/>
        </w:rPr>
        <w:t>Equality and discrimination failures</w:t>
      </w:r>
      <w:bookmarkEnd w:id="4"/>
      <w:r w:rsidRPr="00D941D0">
        <w:rPr>
          <w:rFonts w:eastAsiaTheme="minorEastAsia" w:cs="Arial"/>
          <w:color w:val="auto"/>
          <w:szCs w:val="24"/>
          <w:lang w:val="en-US" w:eastAsia="en-GB"/>
        </w:rPr>
        <w:t xml:space="preserve"> </w:t>
      </w:r>
    </w:p>
    <w:p w14:paraId="65A7A857" w14:textId="0FC1656E"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Equality and discrimination failures pose an important and recurring risk </w:t>
      </w:r>
      <w:r w:rsidR="003C692C" w:rsidRPr="009467E7">
        <w:rPr>
          <w:rFonts w:ascii="Arial" w:eastAsiaTheme="minorEastAsia" w:hAnsi="Arial" w:cs="Arial"/>
          <w:sz w:val="24"/>
          <w:szCs w:val="24"/>
          <w:lang w:val="en-US" w:eastAsia="en-GB"/>
          <w14:ligatures w14:val="standardContextual"/>
        </w:rPr>
        <w:t>for</w:t>
      </w:r>
      <w:r w:rsidRPr="009467E7">
        <w:rPr>
          <w:rFonts w:ascii="Arial" w:eastAsiaTheme="minorEastAsia" w:hAnsi="Arial" w:cs="Arial"/>
          <w:sz w:val="24"/>
          <w:szCs w:val="24"/>
          <w:lang w:val="en-US" w:eastAsia="en-GB"/>
          <w14:ligatures w14:val="standardContextual"/>
        </w:rPr>
        <w:t xml:space="preserve"> EE, especially given EE’s recent high-profile harassment claim and another case involving a disability discrimination failure to provide reasonable adjustments. Both cases demonstrate deeper challenges in how EE addresses equality issues. These cases suggest there are such policies that exist, but they might not be carried out effectively in practice, especially by line management.</w:t>
      </w:r>
    </w:p>
    <w:p w14:paraId="6BF1EC9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This shows that EE may be vulnerable to potential legal action or claims of harassment and may be found vicariously liable for discriminatory acts of employees under the Equality Act 2010, unless EE can demonstrate that it took all reasonable steps to prevent discrimination and harassment. A failure to take effective action to manage and prevent the likelihood can undermine that defense. Without proper steps to make reasonable adjustments for disabled employees, EE is not only failing to meet its statutory duty but also running a high likelihood of successful claims that could lead to unlimited compensation awards. Case law, such as </w:t>
      </w:r>
      <w:r w:rsidRPr="009467E7">
        <w:rPr>
          <w:rFonts w:ascii="Arial" w:eastAsiaTheme="minorEastAsia" w:hAnsi="Arial" w:cs="Arial"/>
          <w:i/>
          <w:iCs/>
          <w:sz w:val="24"/>
          <w:szCs w:val="24"/>
          <w:lang w:val="en-US" w:eastAsia="en-GB"/>
          <w14:ligatures w14:val="standardContextual"/>
        </w:rPr>
        <w:t>Archibald v Fife Council (2004)</w:t>
      </w:r>
      <w:r w:rsidRPr="009467E7">
        <w:rPr>
          <w:rFonts w:ascii="Arial" w:eastAsiaTheme="minorEastAsia" w:hAnsi="Arial" w:cs="Arial"/>
          <w:sz w:val="24"/>
          <w:szCs w:val="24"/>
          <w:lang w:val="en-US" w:eastAsia="en-GB"/>
          <w14:ligatures w14:val="standardContextual"/>
        </w:rPr>
        <w:t xml:space="preserve">, shows how </w:t>
      </w:r>
      <w:proofErr w:type="gramStart"/>
      <w:r w:rsidRPr="009467E7">
        <w:rPr>
          <w:rFonts w:ascii="Arial" w:eastAsiaTheme="minorEastAsia" w:hAnsi="Arial" w:cs="Arial"/>
          <w:sz w:val="24"/>
          <w:szCs w:val="24"/>
          <w:lang w:val="en-US" w:eastAsia="en-GB"/>
          <w14:ligatures w14:val="standardContextual"/>
        </w:rPr>
        <w:t>a strict</w:t>
      </w:r>
      <w:proofErr w:type="gramEnd"/>
      <w:r w:rsidRPr="009467E7">
        <w:rPr>
          <w:rFonts w:ascii="Arial" w:eastAsiaTheme="minorEastAsia" w:hAnsi="Arial" w:cs="Arial"/>
          <w:sz w:val="24"/>
          <w:szCs w:val="24"/>
          <w:lang w:val="en-US" w:eastAsia="en-GB"/>
          <w14:ligatures w14:val="standardContextual"/>
        </w:rPr>
        <w:t xml:space="preserve"> approach is taken when tribunals find that employers have not fulfilled this duty. </w:t>
      </w:r>
    </w:p>
    <w:p w14:paraId="3B0D642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These failures also reflect weaknesses in leadership capability and organisational culture. Failure to deal with bullying complaints suggests that managers lack confidence, training and support to deal with such issues sensitively and that broader issues around grievance process are not working effectively, instead intensifying existing issues rather than </w:t>
      </w:r>
      <w:r w:rsidRPr="009467E7">
        <w:rPr>
          <w:rFonts w:ascii="Arial" w:eastAsiaTheme="minorEastAsia" w:hAnsi="Arial" w:cs="Arial"/>
          <w:sz w:val="24"/>
          <w:szCs w:val="24"/>
          <w:lang w:val="en-US" w:eastAsia="en-GB"/>
          <w14:ligatures w14:val="standardContextual"/>
        </w:rPr>
        <w:lastRenderedPageBreak/>
        <w:t xml:space="preserve">resolving them. According to CIPD (2024a), poor handling of conflicts and complaints in the workplace can lead to a breakdown of trust, reduce employee engagement and higher levels of dissatisfaction and turnover. Organisational Justice Theory underpins the idea that employees will react more positively to decisions that are perceived as fair and made with a transparent and consistent process (Colquitt et al., 2001). </w:t>
      </w:r>
    </w:p>
    <w:p w14:paraId="0BC7C7D2" w14:textId="7FF40C55"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These failures can lead to reputational damage, reduced trust in leadership, increase absence and turnover, all of which have implications for business performance (CIPD, 2024). A culture that fails to address inappropriate </w:t>
      </w:r>
      <w:proofErr w:type="spellStart"/>
      <w:r w:rsidRPr="009467E7">
        <w:rPr>
          <w:rFonts w:ascii="Arial" w:eastAsiaTheme="minorEastAsia" w:hAnsi="Arial" w:cs="Arial"/>
          <w:sz w:val="24"/>
          <w:szCs w:val="24"/>
          <w:lang w:val="en-US" w:eastAsia="en-GB"/>
          <w14:ligatures w14:val="standardContextual"/>
        </w:rPr>
        <w:t>behaviour</w:t>
      </w:r>
      <w:proofErr w:type="spellEnd"/>
      <w:r w:rsidRPr="009467E7">
        <w:rPr>
          <w:rFonts w:ascii="Arial" w:eastAsiaTheme="minorEastAsia" w:hAnsi="Arial" w:cs="Arial"/>
          <w:sz w:val="24"/>
          <w:szCs w:val="24"/>
          <w:lang w:val="en-US" w:eastAsia="en-GB"/>
          <w14:ligatures w14:val="standardContextual"/>
        </w:rPr>
        <w:t xml:space="preserve"> also fails to support psychological safety, reducing willingness of employees to speak up and affecting discretionary effort (CIPD, 2025). The need for a more proactive and </w:t>
      </w:r>
      <w:r w:rsidR="00D40BAA" w:rsidRPr="009467E7">
        <w:rPr>
          <w:rFonts w:ascii="Arial" w:eastAsiaTheme="minorEastAsia" w:hAnsi="Arial" w:cs="Arial"/>
          <w:sz w:val="24"/>
          <w:szCs w:val="24"/>
          <w:lang w:val="en-US" w:eastAsia="en-GB"/>
          <w14:ligatures w14:val="standardContextual"/>
        </w:rPr>
        <w:t>ability-led</w:t>
      </w:r>
      <w:r w:rsidRPr="009467E7">
        <w:rPr>
          <w:rFonts w:ascii="Arial" w:eastAsiaTheme="minorEastAsia" w:hAnsi="Arial" w:cs="Arial"/>
          <w:sz w:val="24"/>
          <w:szCs w:val="24"/>
          <w:lang w:val="en-US" w:eastAsia="en-GB"/>
          <w14:ligatures w14:val="standardContextual"/>
        </w:rPr>
        <w:t xml:space="preserve"> approach is clear, where managers are equipped to identify, prevent and respond to </w:t>
      </w:r>
      <w:proofErr w:type="gramStart"/>
      <w:r w:rsidRPr="009467E7">
        <w:rPr>
          <w:rFonts w:ascii="Arial" w:eastAsiaTheme="minorEastAsia" w:hAnsi="Arial" w:cs="Arial"/>
          <w:sz w:val="24"/>
          <w:szCs w:val="24"/>
          <w:lang w:val="en-US" w:eastAsia="en-GB"/>
          <w14:ligatures w14:val="standardContextual"/>
        </w:rPr>
        <w:t>equality related</w:t>
      </w:r>
      <w:proofErr w:type="gramEnd"/>
      <w:r w:rsidRPr="009467E7">
        <w:rPr>
          <w:rFonts w:ascii="Arial" w:eastAsiaTheme="minorEastAsia" w:hAnsi="Arial" w:cs="Arial"/>
          <w:sz w:val="24"/>
          <w:szCs w:val="24"/>
          <w:lang w:val="en-US" w:eastAsia="en-GB"/>
          <w14:ligatures w14:val="standardContextual"/>
        </w:rPr>
        <w:t xml:space="preserve"> issues at the earliest opportunity.</w:t>
      </w:r>
    </w:p>
    <w:p w14:paraId="0A4977BE" w14:textId="32B4E37F" w:rsidR="00C9293D" w:rsidRPr="00D941D0" w:rsidRDefault="00C9293D" w:rsidP="009467E7">
      <w:pPr>
        <w:pStyle w:val="Heading2"/>
        <w:jc w:val="both"/>
        <w:rPr>
          <w:rFonts w:eastAsiaTheme="minorEastAsia" w:cs="Arial"/>
          <w:color w:val="auto"/>
          <w:szCs w:val="24"/>
          <w:lang w:val="en-US" w:eastAsia="en-GB"/>
        </w:rPr>
      </w:pPr>
      <w:bookmarkStart w:id="5" w:name="_Toc229424475"/>
      <w:r w:rsidRPr="00D941D0">
        <w:rPr>
          <w:rFonts w:eastAsiaTheme="minorEastAsia" w:cs="Arial"/>
          <w:color w:val="auto"/>
          <w:szCs w:val="24"/>
          <w:lang w:val="en-US" w:eastAsia="en-GB"/>
        </w:rPr>
        <w:t>Failure to Consult Over TUPE</w:t>
      </w:r>
      <w:bookmarkEnd w:id="5"/>
    </w:p>
    <w:p w14:paraId="3F836D32" w14:textId="6C73BA4F"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Failure in respect of the Transfer of Undertakings (Protection of Employment) Regulations 2006 (TUPE) </w:t>
      </w:r>
      <w:r w:rsidR="00BA0F78" w:rsidRPr="009467E7">
        <w:rPr>
          <w:rFonts w:ascii="Arial" w:eastAsiaTheme="minorEastAsia" w:hAnsi="Arial" w:cs="Arial"/>
          <w:sz w:val="24"/>
          <w:szCs w:val="24"/>
          <w:lang w:val="en-US" w:eastAsia="en-GB"/>
          <w14:ligatures w14:val="standardContextual"/>
        </w:rPr>
        <w:t>presents</w:t>
      </w:r>
      <w:r w:rsidRPr="009467E7">
        <w:rPr>
          <w:rFonts w:ascii="Arial" w:eastAsiaTheme="minorEastAsia" w:hAnsi="Arial" w:cs="Arial"/>
          <w:sz w:val="24"/>
          <w:szCs w:val="24"/>
          <w:lang w:val="en-US" w:eastAsia="en-GB"/>
          <w14:ligatures w14:val="standardContextual"/>
        </w:rPr>
        <w:t xml:space="preserve"> an important and foreseeable risk for EE. EE has previously been found to be in breach of its duties to inform and consult employees during an outsourcing exercise, resulting in a protective award. Given the proposed outsourcing of facilities management to </w:t>
      </w:r>
      <w:proofErr w:type="spellStart"/>
      <w:r w:rsidRPr="009467E7">
        <w:rPr>
          <w:rFonts w:ascii="Arial" w:eastAsiaTheme="minorEastAsia" w:hAnsi="Arial" w:cs="Arial"/>
          <w:sz w:val="24"/>
          <w:szCs w:val="24"/>
          <w:lang w:val="en-US" w:eastAsia="en-GB"/>
          <w14:ligatures w14:val="standardContextual"/>
        </w:rPr>
        <w:t>FacCo</w:t>
      </w:r>
      <w:proofErr w:type="spellEnd"/>
      <w:r w:rsidRPr="009467E7">
        <w:rPr>
          <w:rFonts w:ascii="Arial" w:eastAsiaTheme="minorEastAsia" w:hAnsi="Arial" w:cs="Arial"/>
          <w:sz w:val="24"/>
          <w:szCs w:val="24"/>
          <w:lang w:val="en-US" w:eastAsia="en-GB"/>
          <w14:ligatures w14:val="standardContextual"/>
        </w:rPr>
        <w:t xml:space="preserve"> as it demonstrates that similar issues could arise if a more planned approach is not taken.</w:t>
      </w:r>
    </w:p>
    <w:p w14:paraId="3000E15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situation falls under TUPE 2006 requirements that employers inform and, where appropriate, consult with the affected employees and their representatives about the transfer. Not fulfilling these obligations can trigger protective awards of up to 13 </w:t>
      </w:r>
      <w:proofErr w:type="spellStart"/>
      <w:proofErr w:type="gramStart"/>
      <w:r w:rsidRPr="009467E7">
        <w:rPr>
          <w:rFonts w:ascii="Arial" w:eastAsiaTheme="minorEastAsia" w:hAnsi="Arial" w:cs="Arial"/>
          <w:sz w:val="24"/>
          <w:szCs w:val="24"/>
          <w:lang w:val="en-US" w:eastAsia="en-GB"/>
          <w14:ligatures w14:val="standardContextual"/>
        </w:rPr>
        <w:t>weeks</w:t>
      </w:r>
      <w:proofErr w:type="spellEnd"/>
      <w:proofErr w:type="gramEnd"/>
      <w:r w:rsidRPr="009467E7">
        <w:rPr>
          <w:rFonts w:ascii="Arial" w:eastAsiaTheme="minorEastAsia" w:hAnsi="Arial" w:cs="Arial"/>
          <w:sz w:val="24"/>
          <w:szCs w:val="24"/>
          <w:lang w:val="en-US" w:eastAsia="en-GB"/>
          <w14:ligatures w14:val="standardContextual"/>
        </w:rPr>
        <w:t xml:space="preserve"> pay per affected employee, highlighting the potential financial risk of an organisation of 15,000 employees.  In practice, case law has established that tribunals take a strict approach when interpreting these requirements, which reinforces the need for meaningful consultation between employer and employees. </w:t>
      </w:r>
      <w:r w:rsidRPr="009467E7">
        <w:rPr>
          <w:rFonts w:ascii="Arial" w:eastAsiaTheme="minorEastAsia" w:hAnsi="Arial" w:cs="Arial"/>
          <w:i/>
          <w:iCs/>
          <w:sz w:val="24"/>
          <w:szCs w:val="24"/>
          <w:lang w:val="en-US" w:eastAsia="en-GB"/>
          <w14:ligatures w14:val="standardContextual"/>
        </w:rPr>
        <w:t>Litster v Forth Dry Dock and Engineering Co Ltd (1989)</w:t>
      </w:r>
      <w:r w:rsidRPr="009467E7">
        <w:rPr>
          <w:rFonts w:ascii="Arial" w:eastAsiaTheme="minorEastAsia" w:hAnsi="Arial" w:cs="Arial"/>
          <w:sz w:val="24"/>
          <w:szCs w:val="24"/>
          <w:lang w:val="en-US" w:eastAsia="en-GB"/>
          <w14:ligatures w14:val="standardContextual"/>
        </w:rPr>
        <w:t xml:space="preserve"> demonstrates that TUPE is intended to protect employees’ rights when organisational change happens. </w:t>
      </w:r>
    </w:p>
    <w:p w14:paraId="2CD1C01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key aim of TUPE is to protect employees' terms and conditions of employment during </w:t>
      </w:r>
      <w:r w:rsidRPr="009467E7">
        <w:rPr>
          <w:rFonts w:ascii="Arial" w:eastAsiaTheme="minorEastAsia" w:hAnsi="Arial" w:cs="Arial"/>
          <w:sz w:val="24"/>
          <w:szCs w:val="24"/>
          <w:lang w:val="en-US" w:eastAsia="en-GB"/>
          <w14:ligatures w14:val="standardContextual"/>
        </w:rPr>
        <w:lastRenderedPageBreak/>
        <w:t xml:space="preserve">organisational transfers while requiring employers to provide clear and meaningful information and consultation over the transfer and any proposed measures in relation to affected employees (TUPE, 2006). In this case, EE did not meet this duty which led to legal liability and has also highlighted the importance of consultation </w:t>
      </w:r>
      <w:proofErr w:type="gramStart"/>
      <w:r w:rsidRPr="009467E7">
        <w:rPr>
          <w:rFonts w:ascii="Arial" w:eastAsiaTheme="minorEastAsia" w:hAnsi="Arial" w:cs="Arial"/>
          <w:sz w:val="24"/>
          <w:szCs w:val="24"/>
          <w:lang w:val="en-US" w:eastAsia="en-GB"/>
          <w14:ligatures w14:val="standardContextual"/>
        </w:rPr>
        <w:t>in order to</w:t>
      </w:r>
      <w:proofErr w:type="gramEnd"/>
      <w:r w:rsidRPr="009467E7">
        <w:rPr>
          <w:rFonts w:ascii="Arial" w:eastAsiaTheme="minorEastAsia" w:hAnsi="Arial" w:cs="Arial"/>
          <w:sz w:val="24"/>
          <w:szCs w:val="24"/>
          <w:lang w:val="en-US" w:eastAsia="en-GB"/>
          <w14:ligatures w14:val="standardContextual"/>
        </w:rPr>
        <w:t xml:space="preserve"> maintain the trust and confidence of employees.</w:t>
      </w:r>
    </w:p>
    <w:p w14:paraId="05C2108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Poor handling of TUPE can cause organisational disruption and result in a loss of key employees and damage to the organisation reputation as an employer. CIPD (2025) shows how having a strong employee voice, conducting meaningful consultation and sharing information effectively can help engage employees, reduce uncertainty and maintain continuity through organisational change. </w:t>
      </w:r>
    </w:p>
    <w:p w14:paraId="01003E3F"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absence of </w:t>
      </w:r>
      <w:proofErr w:type="spellStart"/>
      <w:r w:rsidRPr="009467E7">
        <w:rPr>
          <w:rFonts w:ascii="Arial" w:eastAsiaTheme="minorEastAsia" w:hAnsi="Arial" w:cs="Arial"/>
          <w:sz w:val="24"/>
          <w:szCs w:val="24"/>
          <w:lang w:val="en-US" w:eastAsia="en-GB"/>
          <w14:ligatures w14:val="standardContextual"/>
        </w:rPr>
        <w:t>recognised</w:t>
      </w:r>
      <w:proofErr w:type="spellEnd"/>
      <w:r w:rsidRPr="009467E7">
        <w:rPr>
          <w:rFonts w:ascii="Arial" w:eastAsiaTheme="minorEastAsia" w:hAnsi="Arial" w:cs="Arial"/>
          <w:sz w:val="24"/>
          <w:szCs w:val="24"/>
          <w:lang w:val="en-US" w:eastAsia="en-GB"/>
          <w14:ligatures w14:val="standardContextual"/>
        </w:rPr>
        <w:t xml:space="preserve"> trade union and the lack of other effective structures for employee voice </w:t>
      </w:r>
      <w:proofErr w:type="gramStart"/>
      <w:r w:rsidRPr="009467E7">
        <w:rPr>
          <w:rFonts w:ascii="Arial" w:eastAsiaTheme="minorEastAsia" w:hAnsi="Arial" w:cs="Arial"/>
          <w:sz w:val="24"/>
          <w:szCs w:val="24"/>
          <w:lang w:val="en-US" w:eastAsia="en-GB"/>
          <w14:ligatures w14:val="standardContextual"/>
        </w:rPr>
        <w:t>has</w:t>
      </w:r>
      <w:proofErr w:type="gramEnd"/>
      <w:r w:rsidRPr="009467E7">
        <w:rPr>
          <w:rFonts w:ascii="Arial" w:eastAsiaTheme="minorEastAsia" w:hAnsi="Arial" w:cs="Arial"/>
          <w:sz w:val="24"/>
          <w:szCs w:val="24"/>
          <w:lang w:val="en-US" w:eastAsia="en-GB"/>
          <w14:ligatures w14:val="standardContextual"/>
        </w:rPr>
        <w:t xml:space="preserve"> meant that on occasions the risk of inadequate consultation happens compared to where there </w:t>
      </w:r>
      <w:proofErr w:type="gramStart"/>
      <w:r w:rsidRPr="009467E7">
        <w:rPr>
          <w:rFonts w:ascii="Arial" w:eastAsiaTheme="minorEastAsia" w:hAnsi="Arial" w:cs="Arial"/>
          <w:sz w:val="24"/>
          <w:szCs w:val="24"/>
          <w:lang w:val="en-US" w:eastAsia="en-GB"/>
          <w14:ligatures w14:val="standardContextual"/>
        </w:rPr>
        <w:t>is</w:t>
      </w:r>
      <w:proofErr w:type="gramEnd"/>
      <w:r w:rsidRPr="009467E7">
        <w:rPr>
          <w:rFonts w:ascii="Arial" w:eastAsiaTheme="minorEastAsia" w:hAnsi="Arial" w:cs="Arial"/>
          <w:sz w:val="24"/>
          <w:szCs w:val="24"/>
          <w:lang w:val="en-US" w:eastAsia="en-GB"/>
          <w14:ligatures w14:val="standardContextual"/>
        </w:rPr>
        <w:t xml:space="preserve"> effective consultation, communication and support. Research on employee voice has shown that both formal and informal voice channels matter in enabling employees to express concerns (Wilkinson and Fay, 2011). When these are weak, employees are more likely to switch off and remain silent, increasing the risks associated with organisational change (Morrison, 2011). This indicates the need for EE to adopt a more structured and proactive approach to managing organisational change whilst ensuring that its legal obligations and the expectations of its employees are met.</w:t>
      </w:r>
    </w:p>
    <w:p w14:paraId="0160A366" w14:textId="41A12476" w:rsidR="00C9293D" w:rsidRPr="00D941D0" w:rsidRDefault="00C9293D" w:rsidP="009467E7">
      <w:pPr>
        <w:pStyle w:val="Heading2"/>
        <w:jc w:val="both"/>
        <w:rPr>
          <w:rFonts w:eastAsiaTheme="minorEastAsia" w:cs="Arial"/>
          <w:color w:val="auto"/>
          <w:szCs w:val="24"/>
          <w:lang w:val="en-US" w:eastAsia="en-GB"/>
        </w:rPr>
      </w:pPr>
      <w:bookmarkStart w:id="6" w:name="_Toc229424476"/>
      <w:r w:rsidRPr="00D941D0">
        <w:rPr>
          <w:rFonts w:eastAsiaTheme="minorEastAsia" w:cs="Arial"/>
          <w:color w:val="auto"/>
          <w:szCs w:val="24"/>
          <w:lang w:val="en-US" w:eastAsia="en-GB"/>
        </w:rPr>
        <w:t>Employment Status</w:t>
      </w:r>
      <w:bookmarkEnd w:id="6"/>
    </w:p>
    <w:p w14:paraId="73692F7C" w14:textId="244331EC"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depends on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workers and the one-sided contracts that underpin the industry. However, these types of arrangements are likely to come under increasing legal and operational pressure, particularly if the proposed </w:t>
      </w:r>
      <w:r w:rsidR="0089465B" w:rsidRPr="009467E7">
        <w:rPr>
          <w:rFonts w:ascii="Arial" w:eastAsiaTheme="minorEastAsia" w:hAnsi="Arial" w:cs="Arial"/>
          <w:sz w:val="24"/>
          <w:szCs w:val="24"/>
          <w:lang w:val="en-US" w:eastAsia="en-GB"/>
          <w14:ligatures w14:val="standardContextual"/>
        </w:rPr>
        <w:t>ERA 2025</w:t>
      </w:r>
      <w:r w:rsidRPr="009467E7">
        <w:rPr>
          <w:rFonts w:ascii="Arial" w:eastAsiaTheme="minorEastAsia" w:hAnsi="Arial" w:cs="Arial"/>
          <w:sz w:val="24"/>
          <w:szCs w:val="24"/>
          <w:lang w:val="en-US" w:eastAsia="en-GB"/>
          <w14:ligatures w14:val="standardContextual"/>
        </w:rPr>
        <w:t xml:space="preserve"> comes into force in 2027 as expected. Workers on </w:t>
      </w:r>
      <w:proofErr w:type="gramStart"/>
      <w:r w:rsidRPr="009467E7">
        <w:rPr>
          <w:rFonts w:ascii="Arial" w:eastAsiaTheme="minorEastAsia" w:hAnsi="Arial" w:cs="Arial"/>
          <w:sz w:val="24"/>
          <w:szCs w:val="24"/>
          <w:lang w:val="en-US" w:eastAsia="en-GB"/>
          <w14:ligatures w14:val="standardContextual"/>
        </w:rPr>
        <w:t>zero hour</w:t>
      </w:r>
      <w:proofErr w:type="gramEnd"/>
      <w:r w:rsidRPr="009467E7">
        <w:rPr>
          <w:rFonts w:ascii="Arial" w:eastAsiaTheme="minorEastAsia" w:hAnsi="Arial" w:cs="Arial"/>
          <w:sz w:val="24"/>
          <w:szCs w:val="24"/>
          <w:lang w:val="en-US" w:eastAsia="en-GB"/>
          <w14:ligatures w14:val="standardContextual"/>
        </w:rPr>
        <w:t xml:space="preserve"> or </w:t>
      </w:r>
      <w:proofErr w:type="gramStart"/>
      <w:r w:rsidRPr="009467E7">
        <w:rPr>
          <w:rFonts w:ascii="Arial" w:eastAsiaTheme="minorEastAsia" w:hAnsi="Arial" w:cs="Arial"/>
          <w:sz w:val="24"/>
          <w:szCs w:val="24"/>
          <w:lang w:val="en-US" w:eastAsia="en-GB"/>
          <w14:ligatures w14:val="standardContextual"/>
        </w:rPr>
        <w:t>low hours</w:t>
      </w:r>
      <w:proofErr w:type="gramEnd"/>
      <w:r w:rsidRPr="009467E7">
        <w:rPr>
          <w:rFonts w:ascii="Arial" w:eastAsiaTheme="minorEastAsia" w:hAnsi="Arial" w:cs="Arial"/>
          <w:sz w:val="24"/>
          <w:szCs w:val="24"/>
          <w:lang w:val="en-US" w:eastAsia="en-GB"/>
          <w14:ligatures w14:val="standardContextual"/>
        </w:rPr>
        <w:t xml:space="preserve"> contracts are likely to gain enhanced rights to guaranteed </w:t>
      </w:r>
      <w:proofErr w:type="gramStart"/>
      <w:r w:rsidRPr="009467E7">
        <w:rPr>
          <w:rFonts w:ascii="Arial" w:eastAsiaTheme="minorEastAsia" w:hAnsi="Arial" w:cs="Arial"/>
          <w:sz w:val="24"/>
          <w:szCs w:val="24"/>
          <w:lang w:val="en-US" w:eastAsia="en-GB"/>
          <w14:ligatures w14:val="standardContextual"/>
        </w:rPr>
        <w:t>hours</w:t>
      </w:r>
      <w:proofErr w:type="gramEnd"/>
      <w:r w:rsidRPr="009467E7">
        <w:rPr>
          <w:rFonts w:ascii="Arial" w:eastAsiaTheme="minorEastAsia" w:hAnsi="Arial" w:cs="Arial"/>
          <w:sz w:val="24"/>
          <w:szCs w:val="24"/>
          <w:lang w:val="en-US" w:eastAsia="en-GB"/>
          <w14:ligatures w14:val="standardContextual"/>
        </w:rPr>
        <w:t xml:space="preserve"> and notice periods and employers could face increased penalties for non-compliance with these changes (GOV.UK, 2026). EE now uses 900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workers in the manufacturing process to meet variable production demands flexibly. While the current system enables operational flexibility, it raises large concerns around employment status, job security and fairness for employees facing unpredictable working </w:t>
      </w:r>
      <w:r w:rsidRPr="009467E7">
        <w:rPr>
          <w:rFonts w:ascii="Arial" w:eastAsiaTheme="minorEastAsia" w:hAnsi="Arial" w:cs="Arial"/>
          <w:sz w:val="24"/>
          <w:szCs w:val="24"/>
          <w:lang w:val="en-US" w:eastAsia="en-GB"/>
          <w14:ligatures w14:val="standardContextual"/>
        </w:rPr>
        <w:lastRenderedPageBreak/>
        <w:t>patterns (GOV.UK, 2026).</w:t>
      </w:r>
    </w:p>
    <w:p w14:paraId="254F8C9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Zero-hour contracts are now legal but are becoming increasingly </w:t>
      </w:r>
      <w:proofErr w:type="spellStart"/>
      <w:r w:rsidRPr="009467E7">
        <w:rPr>
          <w:rFonts w:ascii="Arial" w:eastAsiaTheme="minorEastAsia" w:hAnsi="Arial" w:cs="Arial"/>
          <w:sz w:val="24"/>
          <w:szCs w:val="24"/>
          <w:lang w:val="en-US" w:eastAsia="en-GB"/>
          <w14:ligatures w14:val="standardContextual"/>
        </w:rPr>
        <w:t>scrutinised</w:t>
      </w:r>
      <w:proofErr w:type="spellEnd"/>
      <w:r w:rsidRPr="009467E7">
        <w:rPr>
          <w:rFonts w:ascii="Arial" w:eastAsiaTheme="minorEastAsia" w:hAnsi="Arial" w:cs="Arial"/>
          <w:sz w:val="24"/>
          <w:szCs w:val="24"/>
          <w:lang w:val="en-US" w:eastAsia="en-GB"/>
          <w14:ligatures w14:val="standardContextual"/>
        </w:rPr>
        <w:t xml:space="preserve"> due to potential unfairness and insecurity in the work environment (CIPD, 2024b). The situation is worse when there is power imbalance between the employer and employee. For example, </w:t>
      </w:r>
      <w:r w:rsidRPr="009467E7">
        <w:rPr>
          <w:rFonts w:ascii="Arial" w:eastAsiaTheme="minorEastAsia" w:hAnsi="Arial" w:cs="Arial"/>
          <w:i/>
          <w:iCs/>
          <w:sz w:val="24"/>
          <w:szCs w:val="24"/>
          <w:lang w:val="en-US" w:eastAsia="en-GB"/>
          <w14:ligatures w14:val="standardContextual"/>
        </w:rPr>
        <w:t xml:space="preserve">in </w:t>
      </w:r>
      <w:proofErr w:type="spellStart"/>
      <w:r w:rsidRPr="009467E7">
        <w:rPr>
          <w:rFonts w:ascii="Arial" w:eastAsiaTheme="minorEastAsia" w:hAnsi="Arial" w:cs="Arial"/>
          <w:i/>
          <w:iCs/>
          <w:sz w:val="24"/>
          <w:szCs w:val="24"/>
          <w:lang w:val="en-US" w:eastAsia="en-GB"/>
          <w14:ligatures w14:val="standardContextual"/>
        </w:rPr>
        <w:t>Autoclenz</w:t>
      </w:r>
      <w:proofErr w:type="spellEnd"/>
      <w:r w:rsidRPr="009467E7">
        <w:rPr>
          <w:rFonts w:ascii="Arial" w:eastAsiaTheme="minorEastAsia" w:hAnsi="Arial" w:cs="Arial"/>
          <w:i/>
          <w:iCs/>
          <w:sz w:val="24"/>
          <w:szCs w:val="24"/>
          <w:lang w:val="en-US" w:eastAsia="en-GB"/>
          <w14:ligatures w14:val="standardContextual"/>
        </w:rPr>
        <w:t xml:space="preserve"> Ltd v Belcher &amp; Ors (2011)</w:t>
      </w:r>
      <w:r w:rsidRPr="009467E7">
        <w:rPr>
          <w:rFonts w:ascii="Arial" w:eastAsiaTheme="minorEastAsia" w:hAnsi="Arial" w:cs="Arial"/>
          <w:sz w:val="24"/>
          <w:szCs w:val="24"/>
          <w:lang w:val="en-US" w:eastAsia="en-GB"/>
          <w14:ligatures w14:val="standardContextual"/>
        </w:rPr>
        <w:t xml:space="preserve">, the Supreme Court held that tribunals need to look beyond the written terms of a contract to the actual relationship between the parties when determining employment status. This scenario has the potential to pose a risk for EE. If workers employed on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have duties </w:t>
      </w:r>
      <w:proofErr w:type="gramStart"/>
      <w:r w:rsidRPr="009467E7">
        <w:rPr>
          <w:rFonts w:ascii="Arial" w:eastAsiaTheme="minorEastAsia" w:hAnsi="Arial" w:cs="Arial"/>
          <w:sz w:val="24"/>
          <w:szCs w:val="24"/>
          <w:lang w:val="en-US" w:eastAsia="en-GB"/>
          <w14:ligatures w14:val="standardContextual"/>
        </w:rPr>
        <w:t>similar to</w:t>
      </w:r>
      <w:proofErr w:type="gramEnd"/>
      <w:r w:rsidRPr="009467E7">
        <w:rPr>
          <w:rFonts w:ascii="Arial" w:eastAsiaTheme="minorEastAsia" w:hAnsi="Arial" w:cs="Arial"/>
          <w:sz w:val="24"/>
          <w:szCs w:val="24"/>
          <w:lang w:val="en-US" w:eastAsia="en-GB"/>
          <w14:ligatures w14:val="standardContextual"/>
        </w:rPr>
        <w:t xml:space="preserve"> employees, they could benefit from increased legal rights. This could increase the risk for EE of employment rights claims including unfair dismissal, holiday pay or statutory benefits.  </w:t>
      </w:r>
    </w:p>
    <w:p w14:paraId="77D039D0" w14:textId="78488E90"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If no action is taken by EE, this could lead to both legal and operational challenges related to its existing business model. In parallel, many employers in the manufacturing sector are reviewing their workforce approaches due to increasing </w:t>
      </w:r>
      <w:proofErr w:type="spellStart"/>
      <w:r w:rsidRPr="009467E7">
        <w:rPr>
          <w:rFonts w:ascii="Arial" w:eastAsiaTheme="minorEastAsia" w:hAnsi="Arial" w:cs="Arial"/>
          <w:sz w:val="24"/>
          <w:szCs w:val="24"/>
          <w:lang w:val="en-US" w:eastAsia="en-GB"/>
          <w14:ligatures w14:val="standardContextual"/>
        </w:rPr>
        <w:t>labour</w:t>
      </w:r>
      <w:proofErr w:type="spellEnd"/>
      <w:r w:rsidRPr="009467E7">
        <w:rPr>
          <w:rFonts w:ascii="Arial" w:eastAsiaTheme="minorEastAsia" w:hAnsi="Arial" w:cs="Arial"/>
          <w:sz w:val="24"/>
          <w:szCs w:val="24"/>
          <w:lang w:val="en-US" w:eastAsia="en-GB"/>
          <w14:ligatures w14:val="standardContextual"/>
        </w:rPr>
        <w:t xml:space="preserve"> costs, skills gaps and ongoing regulatory change (MHA, 2025). CIPD (2026) reports that three-quarters of employers expect the ERA </w:t>
      </w:r>
      <w:r w:rsidR="00B87002" w:rsidRPr="009467E7">
        <w:rPr>
          <w:rFonts w:ascii="Arial" w:eastAsiaTheme="minorEastAsia" w:hAnsi="Arial" w:cs="Arial"/>
          <w:sz w:val="24"/>
          <w:szCs w:val="24"/>
          <w:lang w:val="en-US" w:eastAsia="en-GB"/>
          <w14:ligatures w14:val="standardContextual"/>
        </w:rPr>
        <w:t xml:space="preserve">2025 </w:t>
      </w:r>
      <w:r w:rsidRPr="009467E7">
        <w:rPr>
          <w:rFonts w:ascii="Arial" w:eastAsiaTheme="minorEastAsia" w:hAnsi="Arial" w:cs="Arial"/>
          <w:sz w:val="24"/>
          <w:szCs w:val="24"/>
          <w:lang w:val="en-US" w:eastAsia="en-GB"/>
          <w14:ligatures w14:val="standardContextual"/>
        </w:rPr>
        <w:t xml:space="preserve">to increase their employment costs and over a third plan to recruit fewer permanent staff </w:t>
      </w:r>
      <w:proofErr w:type="gramStart"/>
      <w:r w:rsidRPr="009467E7">
        <w:rPr>
          <w:rFonts w:ascii="Arial" w:eastAsiaTheme="minorEastAsia" w:hAnsi="Arial" w:cs="Arial"/>
          <w:sz w:val="24"/>
          <w:szCs w:val="24"/>
          <w:lang w:val="en-US" w:eastAsia="en-GB"/>
          <w14:ligatures w14:val="standardContextual"/>
        </w:rPr>
        <w:t>as a consequence of</w:t>
      </w:r>
      <w:proofErr w:type="gramEnd"/>
      <w:r w:rsidRPr="009467E7">
        <w:rPr>
          <w:rFonts w:ascii="Arial" w:eastAsiaTheme="minorEastAsia" w:hAnsi="Arial" w:cs="Arial"/>
          <w:sz w:val="24"/>
          <w:szCs w:val="24"/>
          <w:lang w:val="en-US" w:eastAsia="en-GB"/>
          <w14:ligatures w14:val="standardContextual"/>
        </w:rPr>
        <w:t xml:space="preserve"> the reforms. This suggests organisations are actively assessing the sustainability of their employment models, highlighting the importance for EE to assess their current approach before regulatory change. </w:t>
      </w:r>
    </w:p>
    <w:p w14:paraId="0A46E80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widespread use of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could undermine job quality and engagement. CIPD (2025) highlights the importance of security, predictability and fair treatment in supporting employee wellbeing and organisational performance. Without guaranteed hours, workers may reduce their commitment and increase turnover, making it harder to attract and retain skilled workers. This could reduce workforce stability and increase reliance on short-terms </w:t>
      </w:r>
      <w:proofErr w:type="spellStart"/>
      <w:r w:rsidRPr="009467E7">
        <w:rPr>
          <w:rFonts w:ascii="Arial" w:eastAsiaTheme="minorEastAsia" w:hAnsi="Arial" w:cs="Arial"/>
          <w:sz w:val="24"/>
          <w:szCs w:val="24"/>
          <w:lang w:val="en-US" w:eastAsia="en-GB"/>
          <w14:ligatures w14:val="standardContextual"/>
        </w:rPr>
        <w:t>labour</w:t>
      </w:r>
      <w:proofErr w:type="spellEnd"/>
      <w:r w:rsidRPr="009467E7">
        <w:rPr>
          <w:rFonts w:ascii="Arial" w:eastAsiaTheme="minorEastAsia" w:hAnsi="Arial" w:cs="Arial"/>
          <w:sz w:val="24"/>
          <w:szCs w:val="24"/>
          <w:lang w:val="en-US" w:eastAsia="en-GB"/>
          <w14:ligatures w14:val="standardContextual"/>
        </w:rPr>
        <w:t xml:space="preserve"> finally affecting production and operational continuity.</w:t>
      </w:r>
    </w:p>
    <w:p w14:paraId="5D40645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raises the need for EE to take a more balanced approach to workforce flexibility, which meets the organisation’s operational needs whilst improving job security and reducing future legal risks.</w:t>
      </w:r>
    </w:p>
    <w:p w14:paraId="0A55DA2A" w14:textId="77777777" w:rsidR="00C9293D" w:rsidRPr="00D941D0" w:rsidRDefault="00C9293D" w:rsidP="00BC2ABB">
      <w:pPr>
        <w:pStyle w:val="Heading1"/>
        <w:rPr>
          <w:rFonts w:cs="Arial"/>
          <w:color w:val="auto"/>
          <w:szCs w:val="24"/>
        </w:rPr>
      </w:pPr>
      <w:bookmarkStart w:id="7" w:name="_Toc229424477"/>
      <w:r w:rsidRPr="00D941D0">
        <w:rPr>
          <w:rFonts w:cs="Arial"/>
          <w:color w:val="auto"/>
          <w:szCs w:val="24"/>
        </w:rPr>
        <w:lastRenderedPageBreak/>
        <w:t>Business Case</w:t>
      </w:r>
      <w:bookmarkEnd w:id="7"/>
    </w:p>
    <w:p w14:paraId="1A9F231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uses a reactive and compliance-led approach to employment issues. This is resulting in a significant impact on both financial and operational costs. The rise in ET claims, combined with the high levels of employee absence and </w:t>
      </w:r>
      <w:proofErr w:type="gramStart"/>
      <w:r w:rsidRPr="009467E7">
        <w:rPr>
          <w:rFonts w:ascii="Arial" w:eastAsiaTheme="minorEastAsia" w:hAnsi="Arial" w:cs="Arial"/>
          <w:sz w:val="24"/>
          <w:szCs w:val="24"/>
          <w:lang w:val="en-US" w:eastAsia="en-GB"/>
          <w14:ligatures w14:val="standardContextual"/>
        </w:rPr>
        <w:t>turnover</w:t>
      </w:r>
      <w:proofErr w:type="gramEnd"/>
      <w:r w:rsidRPr="009467E7">
        <w:rPr>
          <w:rFonts w:ascii="Arial" w:eastAsiaTheme="minorEastAsia" w:hAnsi="Arial" w:cs="Arial"/>
          <w:sz w:val="24"/>
          <w:szCs w:val="24"/>
          <w:lang w:val="en-US" w:eastAsia="en-GB"/>
          <w14:ligatures w14:val="standardContextual"/>
        </w:rPr>
        <w:t xml:space="preserve"> shows an ongoing failure to address workplace issues proactively. Defending these claims, dealing with formal grievance processes and replacing lost employees consumes organisational resources that could be allocated to enhancing productivity and performance. </w:t>
      </w:r>
    </w:p>
    <w:p w14:paraId="6612458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financial impact of reactive ER is well-documented, with workplace conflict cost UK employers an estimated £28.5 billion each year (ACAS, 2021). This is largely due to absence, turnover and management time. Reinforcing the shift from compliance-led ER to one that focused on prevention. Recent claims, including TUPE breaches and ER disputes demonstrate the direct cost of a reactive approach.</w:t>
      </w:r>
    </w:p>
    <w:p w14:paraId="6601546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switch to a preventative model over a compliance-based approach has its benefits for the business. Adhering to the minimum legal requirements ensures legal obligations are met but it doesn’t prevent disputes from arising. These require more proactive management than minimum compliance (Daniels, 2024). In contrast, proactive ER practices such as early intervention and informal conflict resolution reduce the likelihood of issues escalating to formal disputes. ACAS (2025b) argue that early resolution is critical to preventing workplace conflict and employers that invest in such approaches are likely to be less exposed to litigation and the associated costs.</w:t>
      </w:r>
    </w:p>
    <w:p w14:paraId="5C0F0A5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may help to strengthen alignment between what employers want and what employees expect. Psychological contract theory highlights how employees evaluate organisational treatment in terms of fairness, trust and perceived obligations. When organisations demonstrate fairness and support, employees respond with greater commitment and effort, but when expectations are breached, employees disengage or withdraw. Managing the psychological contract has been associated with improved performance, lower absence and lower turnover (Conway and Briner, 2005).</w:t>
      </w:r>
    </w:p>
    <w:p w14:paraId="480D9F0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Improving job quality directly links to business performance. CIPD (2025) highlights security, employee voice, fair treatment and wellbeing as key drivers of productivity. EE’s </w:t>
      </w:r>
      <w:r w:rsidRPr="009467E7">
        <w:rPr>
          <w:rFonts w:ascii="Arial" w:eastAsiaTheme="minorEastAsia" w:hAnsi="Arial" w:cs="Arial"/>
          <w:sz w:val="24"/>
          <w:szCs w:val="24"/>
          <w:lang w:val="en-US" w:eastAsia="en-GB"/>
          <w14:ligatures w14:val="standardContextual"/>
        </w:rPr>
        <w:lastRenderedPageBreak/>
        <w:t xml:space="preserve">current overreliance on reactive process and insecure work shows these drivers are not now being met. Better job quality, through more stable and supportive employment practices, can drive retention, improve employee engagement and drive productivity. Positive ER relations are closely linked to productivity as engaged and well supported employees are better able to perform effectively and contribute to an organisation’s success (CIPD, 2025). </w:t>
      </w:r>
    </w:p>
    <w:p w14:paraId="4D9A921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From a strategic perspective, this approach to ER enables EE to move from managing problems to preventing them. It </w:t>
      </w:r>
      <w:proofErr w:type="spellStart"/>
      <w:r w:rsidRPr="009467E7">
        <w:rPr>
          <w:rFonts w:ascii="Arial" w:eastAsiaTheme="minorEastAsia" w:hAnsi="Arial" w:cs="Arial"/>
          <w:sz w:val="24"/>
          <w:szCs w:val="24"/>
          <w:lang w:val="en-US" w:eastAsia="en-GB"/>
          <w14:ligatures w14:val="standardContextual"/>
        </w:rPr>
        <w:t>minimises</w:t>
      </w:r>
      <w:proofErr w:type="spellEnd"/>
      <w:r w:rsidRPr="009467E7">
        <w:rPr>
          <w:rFonts w:ascii="Arial" w:eastAsiaTheme="minorEastAsia" w:hAnsi="Arial" w:cs="Arial"/>
          <w:sz w:val="24"/>
          <w:szCs w:val="24"/>
          <w:lang w:val="en-US" w:eastAsia="en-GB"/>
          <w14:ligatures w14:val="standardContextual"/>
        </w:rPr>
        <w:t xml:space="preserve"> legal and financial risk while creating an engaged and productive workforce that aligns employment practices and organisational objectives. This enhances EE’s competitive position by improving employee experience and operational performance.</w:t>
      </w:r>
    </w:p>
    <w:p w14:paraId="3DE2EE7F" w14:textId="77777777" w:rsidR="00C9293D" w:rsidRPr="00D941D0" w:rsidRDefault="00C9293D" w:rsidP="009467E7">
      <w:pPr>
        <w:pStyle w:val="Heading1"/>
        <w:jc w:val="both"/>
        <w:rPr>
          <w:rFonts w:eastAsiaTheme="minorEastAsia" w:cs="Arial"/>
          <w:color w:val="auto"/>
          <w:szCs w:val="24"/>
          <w:lang w:val="en-US" w:eastAsia="en-GB"/>
        </w:rPr>
      </w:pPr>
      <w:bookmarkStart w:id="8" w:name="_Toc229424478"/>
      <w:r w:rsidRPr="00D941D0">
        <w:rPr>
          <w:rFonts w:eastAsiaTheme="minorEastAsia" w:cs="Arial"/>
          <w:color w:val="auto"/>
          <w:szCs w:val="24"/>
          <w:lang w:val="en-US" w:eastAsia="en-GB"/>
        </w:rPr>
        <w:t>Conclusion</w:t>
      </w:r>
      <w:bookmarkEnd w:id="8"/>
    </w:p>
    <w:p w14:paraId="45E440D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faces extensive employment law and organisational risks stemming from its reactive stance on ER, inconsistent management capability and gaps in compliance with key legal obligations. There is a growing threat of ET claims around discrimination, TUPE and data protection</w:t>
      </w:r>
      <w:r w:rsidRPr="009467E7">
        <w:rPr>
          <w:rFonts w:ascii="Arial" w:eastAsiaTheme="minorEastAsia" w:hAnsi="Arial" w:cs="Arial"/>
          <w:kern w:val="2"/>
          <w:sz w:val="24"/>
          <w:szCs w:val="24"/>
          <w:lang w:eastAsia="en-GB"/>
          <w14:ligatures w14:val="standardContextual"/>
        </w:rPr>
        <w:t xml:space="preserve"> </w:t>
      </w:r>
      <w:r w:rsidRPr="009467E7">
        <w:rPr>
          <w:rFonts w:ascii="Arial" w:eastAsiaTheme="minorEastAsia" w:hAnsi="Arial" w:cs="Arial"/>
          <w:sz w:val="24"/>
          <w:szCs w:val="24"/>
          <w:lang w:val="en-US" w:eastAsia="en-GB"/>
          <w14:ligatures w14:val="standardContextual"/>
        </w:rPr>
        <w:t>(Equality Act 2010; TUPE 2006; Data Protection Act 2018), showing not only immediate legal exposure but also deeper structural weaknesses.</w:t>
      </w:r>
    </w:p>
    <w:p w14:paraId="6097AB7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analysis clearly demonstrates that a compliance-led approach to managing these risks is not sufficient (ACAS, 2021; CIPD, 2024a). EE needs to pivot towards a more proactive, preventative and inclusive ER strategy (ACAS, 2021). That means developing the leadership capabilities to manage diversity and inclusion (CIPD, 2025), enhancing equality and inclusion practices, embedding effective consultation and engagement and reviewing the reliance on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given proposed reforms to strengthen protections for precarious work (GOV.UK, 2026). This approach will not only reduce the risk of legal claims but also deliver positive outcomes for employees and the stability of the business.</w:t>
      </w:r>
    </w:p>
    <w:p w14:paraId="359961F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approach also helps build a strong psychological contract between employees and EE and contributes to better job quality and productivity</w:t>
      </w:r>
      <w:r w:rsidRPr="009467E7">
        <w:rPr>
          <w:rFonts w:ascii="Arial" w:eastAsiaTheme="minorEastAsia" w:hAnsi="Arial" w:cs="Arial"/>
          <w:kern w:val="2"/>
          <w:sz w:val="24"/>
          <w:szCs w:val="24"/>
          <w:lang w:eastAsia="en-GB"/>
          <w14:ligatures w14:val="standardContextual"/>
        </w:rPr>
        <w:t xml:space="preserve"> </w:t>
      </w:r>
      <w:r w:rsidRPr="009467E7">
        <w:rPr>
          <w:rFonts w:ascii="Arial" w:eastAsiaTheme="minorEastAsia" w:hAnsi="Arial" w:cs="Arial"/>
          <w:sz w:val="24"/>
          <w:szCs w:val="24"/>
          <w:lang w:val="en-US" w:eastAsia="en-GB"/>
          <w14:ligatures w14:val="standardContextual"/>
        </w:rPr>
        <w:t xml:space="preserve">(Conway and Briner, 2005; CIPD, 2025). The CEO must implement these changes with a clear, measurable plan and sure </w:t>
      </w:r>
      <w:r w:rsidRPr="009467E7">
        <w:rPr>
          <w:rFonts w:ascii="Arial" w:eastAsiaTheme="minorEastAsia" w:hAnsi="Arial" w:cs="Arial"/>
          <w:sz w:val="24"/>
          <w:szCs w:val="24"/>
          <w:lang w:val="en-US" w:eastAsia="en-GB"/>
          <w14:ligatures w14:val="standardContextual"/>
        </w:rPr>
        <w:lastRenderedPageBreak/>
        <w:t>that ER are managed in line with both the law and the organisations strategic goals (ACAS, 2021).</w:t>
      </w:r>
    </w:p>
    <w:p w14:paraId="584F74D4" w14:textId="77777777" w:rsidR="00C9293D" w:rsidRPr="00D941D0" w:rsidRDefault="00C9293D" w:rsidP="009467E7">
      <w:pPr>
        <w:pStyle w:val="Heading1"/>
        <w:jc w:val="both"/>
        <w:rPr>
          <w:rFonts w:eastAsiaTheme="minorEastAsia" w:cs="Arial"/>
          <w:color w:val="auto"/>
          <w:szCs w:val="24"/>
          <w:lang w:val="en-US" w:eastAsia="en-GB"/>
        </w:rPr>
      </w:pPr>
      <w:bookmarkStart w:id="9" w:name="_Toc229424479"/>
      <w:r w:rsidRPr="00D941D0">
        <w:rPr>
          <w:rFonts w:eastAsiaTheme="minorEastAsia" w:cs="Arial"/>
          <w:color w:val="auto"/>
          <w:szCs w:val="24"/>
          <w:lang w:val="en-US" w:eastAsia="en-GB"/>
        </w:rPr>
        <w:t>Recommendations</w:t>
      </w:r>
      <w:bookmarkEnd w:id="9"/>
    </w:p>
    <w:p w14:paraId="7B41C2C7" w14:textId="77777777" w:rsidR="00C9293D" w:rsidRPr="00D941D0" w:rsidRDefault="00C9293D" w:rsidP="009467E7">
      <w:pPr>
        <w:pStyle w:val="Heading2"/>
        <w:jc w:val="both"/>
        <w:rPr>
          <w:rFonts w:eastAsiaTheme="minorEastAsia" w:cs="Arial"/>
          <w:color w:val="auto"/>
          <w:szCs w:val="24"/>
          <w:lang w:val="en-US" w:eastAsia="en-GB"/>
        </w:rPr>
      </w:pPr>
      <w:bookmarkStart w:id="10" w:name="_Toc229424480"/>
      <w:r w:rsidRPr="00D941D0">
        <w:rPr>
          <w:rFonts w:eastAsiaTheme="minorEastAsia" w:cs="Arial"/>
          <w:color w:val="auto"/>
          <w:szCs w:val="24"/>
          <w:lang w:val="en-US" w:eastAsia="en-GB"/>
        </w:rPr>
        <w:t>Leadership Capability</w:t>
      </w:r>
      <w:bookmarkEnd w:id="10"/>
    </w:p>
    <w:p w14:paraId="24DA3D5D"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Immediate (0-6 months)</w:t>
      </w:r>
    </w:p>
    <w:p w14:paraId="6370D00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should focus on upskilling line managers to drive early intervention and resolution of issues around grievances, absence and workplace conduct issues. This proactive approach addresses the reactive ER culture and governance gaps in the organisation. Training needs to focus on informal resolution techniques, effective communication and compliance with rules and regulations. ACAS (2024) suggest investing in this ability would ensure that issues are resolved before they escalate, leading to improved workplace outcomes. </w:t>
      </w:r>
    </w:p>
    <w:p w14:paraId="79E8B18B"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ACAS (2021) report shows that formal grievance costs around £951 in management and administrative time, highlighting the value of preventing escalation.</w:t>
      </w:r>
    </w:p>
    <w:p w14:paraId="6EF0130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Cost</w:t>
      </w:r>
    </w:p>
    <w:p w14:paraId="0B163B20"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Leadership Capability training: £3,250 (ACAS, 2026b)</w:t>
      </w:r>
    </w:p>
    <w:p w14:paraId="6EE6F6CA"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Management time (training attendance and application): £2,000–£3,000 (Ashdown Group, 2026)</w:t>
      </w:r>
    </w:p>
    <w:p w14:paraId="2D969E1E"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support, coordination and materials: £1,000–£2,000</w:t>
      </w:r>
    </w:p>
    <w:p w14:paraId="063CACC2"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£6,250-£8,250</w:t>
      </w:r>
    </w:p>
    <w:p w14:paraId="60BC495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3257928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Measures of success include decreases in formal ER cases of stress-related absence, improved manager training completion rates and quarterly analysis of ER trends. These costs will be offset by savings from reduced formal disputes and absenteeism (ACAS, 2021). This aligns with ACAS (2025b) and CIPD (2020) findings that proactive management and improved leadership skills prevent escalations and reduce conflict-related absence. </w:t>
      </w:r>
    </w:p>
    <w:p w14:paraId="649C6CA0" w14:textId="77777777" w:rsidR="00C9293D" w:rsidRPr="00D941D0" w:rsidRDefault="00C9293D" w:rsidP="009467E7">
      <w:pPr>
        <w:pStyle w:val="Heading2"/>
        <w:jc w:val="both"/>
        <w:rPr>
          <w:rFonts w:eastAsiaTheme="minorEastAsia" w:cs="Arial"/>
          <w:color w:val="auto"/>
          <w:szCs w:val="24"/>
          <w:lang w:val="en-US" w:eastAsia="en-GB"/>
        </w:rPr>
      </w:pPr>
      <w:bookmarkStart w:id="11" w:name="_Toc229424481"/>
      <w:r w:rsidRPr="00D941D0">
        <w:rPr>
          <w:rFonts w:eastAsiaTheme="minorEastAsia" w:cs="Arial"/>
          <w:color w:val="auto"/>
          <w:szCs w:val="24"/>
          <w:lang w:val="en-US" w:eastAsia="en-GB"/>
        </w:rPr>
        <w:lastRenderedPageBreak/>
        <w:t>Equality, Diversity and Inclusion (EDI) training</w:t>
      </w:r>
      <w:bookmarkEnd w:id="11"/>
      <w:r w:rsidRPr="00D941D0">
        <w:rPr>
          <w:rFonts w:eastAsiaTheme="minorEastAsia" w:cs="Arial"/>
          <w:color w:val="auto"/>
          <w:szCs w:val="24"/>
          <w:lang w:val="en-US" w:eastAsia="en-GB"/>
        </w:rPr>
        <w:t xml:space="preserve"> </w:t>
      </w:r>
    </w:p>
    <w:p w14:paraId="6000297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Immediate (0-9 months)</w:t>
      </w:r>
    </w:p>
    <w:p w14:paraId="01429C7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should implement compulsory EDI training and increase management accountability. This addresses the identified risk of discrimination and inconsistent decision making. Strengthening fairness and transparency are linked to improved engagement and reduced conflict (CIPD, 2024a). Building managers’ confidence to address equality issues helps the organisation demonstrate it has taken all reasonable steps to prevent discrimination.</w:t>
      </w:r>
    </w:p>
    <w:p w14:paraId="737813A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6096085D"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EDI training delivery (train</w:t>
      </w:r>
      <w:r w:rsidRPr="009467E7">
        <w:rPr>
          <w:rFonts w:ascii="Cambria Math" w:eastAsiaTheme="minorEastAsia" w:hAnsi="Cambria Math" w:cs="Cambria Math"/>
          <w:sz w:val="24"/>
          <w:szCs w:val="24"/>
          <w:lang w:val="en-US" w:eastAsia="en-GB"/>
          <w14:ligatures w14:val="standardContextual"/>
        </w:rPr>
        <w:t>‑</w:t>
      </w:r>
      <w:r w:rsidRPr="009467E7">
        <w:rPr>
          <w:rFonts w:ascii="Arial" w:eastAsiaTheme="minorEastAsia" w:hAnsi="Arial" w:cs="Arial"/>
          <w:sz w:val="24"/>
          <w:szCs w:val="24"/>
          <w:lang w:val="en-US" w:eastAsia="en-GB"/>
          <w14:ligatures w14:val="standardContextual"/>
        </w:rPr>
        <w:t>the</w:t>
      </w:r>
      <w:r w:rsidRPr="009467E7">
        <w:rPr>
          <w:rFonts w:ascii="Cambria Math" w:eastAsiaTheme="minorEastAsia" w:hAnsi="Cambria Math" w:cs="Cambria Math"/>
          <w:sz w:val="24"/>
          <w:szCs w:val="24"/>
          <w:lang w:val="en-US" w:eastAsia="en-GB"/>
          <w14:ligatures w14:val="standardContextual"/>
        </w:rPr>
        <w:t>‑</w:t>
      </w:r>
      <w:r w:rsidRPr="009467E7">
        <w:rPr>
          <w:rFonts w:ascii="Arial" w:eastAsiaTheme="minorEastAsia" w:hAnsi="Arial" w:cs="Arial"/>
          <w:sz w:val="24"/>
          <w:szCs w:val="24"/>
          <w:lang w:val="en-US" w:eastAsia="en-GB"/>
          <w14:ligatures w14:val="standardContextual"/>
        </w:rPr>
        <w:t>trainer model): £3,000–£5,000 (ACAS, 2026a)</w:t>
      </w:r>
    </w:p>
    <w:p w14:paraId="76CBCD58"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Management time: £1,500–£2,500 (Ashdown Group, 2026)</w:t>
      </w:r>
    </w:p>
    <w:p w14:paraId="0391A8F3"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HR support, policy updates and communication materials: £1,000–£1,500  </w:t>
      </w:r>
    </w:p>
    <w:p w14:paraId="060B2F0C"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£5,500–£9,000</w:t>
      </w:r>
    </w:p>
    <w:p w14:paraId="76189EBF"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6CED9996" w14:textId="1A9DD4E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Success is measured by reducing discrimination claims, increasing employee engagement scores and tracking diversity, equity and inclusion metrics. Costs of training and implementation will be outweighed by reduced risk of discrimination claims and reputational damage. CIPD (2024a) shows that effective management of workplace conflict and fairness is positively related to employee engagement and reduces organisational risk.</w:t>
      </w:r>
    </w:p>
    <w:p w14:paraId="7229F9E3" w14:textId="77777777" w:rsidR="00C9293D" w:rsidRPr="00D941D0" w:rsidRDefault="00C9293D" w:rsidP="009467E7">
      <w:pPr>
        <w:pStyle w:val="Heading2"/>
        <w:jc w:val="both"/>
        <w:rPr>
          <w:rFonts w:eastAsiaTheme="minorEastAsia" w:cs="Arial"/>
          <w:color w:val="auto"/>
          <w:szCs w:val="24"/>
          <w:lang w:val="en-US" w:eastAsia="en-GB"/>
        </w:rPr>
      </w:pPr>
      <w:bookmarkStart w:id="12" w:name="_Toc229424482"/>
      <w:r w:rsidRPr="00D941D0">
        <w:rPr>
          <w:rFonts w:eastAsiaTheme="minorEastAsia" w:cs="Arial"/>
          <w:color w:val="auto"/>
          <w:szCs w:val="24"/>
          <w:lang w:val="en-US" w:eastAsia="en-GB"/>
        </w:rPr>
        <w:t>TUPE and Employee Voice Strategy</w:t>
      </w:r>
      <w:bookmarkEnd w:id="12"/>
    </w:p>
    <w:p w14:paraId="4F6476F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Short Term (6-12 months)</w:t>
      </w:r>
    </w:p>
    <w:p w14:paraId="5C34EB8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Implement a structured TUPE process that involves early consultation and clear communication with strengthened employee voice mechanisms and potential revisiting relationships with trade unions to create better communication channels and reduce risks of statutory recognition. CIPD (2025) demonstrates that meaningful consultation and strong employee voice can help reduce uncertainty and ensure compliance during </w:t>
      </w:r>
      <w:r w:rsidRPr="009467E7">
        <w:rPr>
          <w:rFonts w:ascii="Arial" w:eastAsiaTheme="minorEastAsia" w:hAnsi="Arial" w:cs="Arial"/>
          <w:sz w:val="24"/>
          <w:szCs w:val="24"/>
          <w:lang w:val="en-US" w:eastAsia="en-GB"/>
          <w14:ligatures w14:val="standardContextual"/>
        </w:rPr>
        <w:lastRenderedPageBreak/>
        <w:t>organisation change.</w:t>
      </w:r>
    </w:p>
    <w:p w14:paraId="753C4EF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25AD5688"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time for TUPE planning, consultation and coordination: £2,000–£3,000 (Ashdown Group, 2026)</w:t>
      </w:r>
    </w:p>
    <w:p w14:paraId="05DD774D"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Communication materials and employee engagement activities: £1,000–£1,500</w:t>
      </w:r>
    </w:p>
    <w:p w14:paraId="1C367AEC"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Manager briefing and guidance sessions: £1,000</w:t>
      </w:r>
    </w:p>
    <w:p w14:paraId="7116812E" w14:textId="1714CE4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£4,000–£5,500</w:t>
      </w:r>
    </w:p>
    <w:p w14:paraId="0766AC9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7DE46C80" w14:textId="4C529E6A"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Complying with TUPE consultation requirements, minimising ER disputes when there </w:t>
      </w:r>
      <w:proofErr w:type="gramStart"/>
      <w:r w:rsidRPr="009467E7">
        <w:rPr>
          <w:rFonts w:ascii="Arial" w:eastAsiaTheme="minorEastAsia" w:hAnsi="Arial" w:cs="Arial"/>
          <w:sz w:val="24"/>
          <w:szCs w:val="24"/>
          <w:lang w:val="en-US" w:eastAsia="en-GB"/>
          <w14:ligatures w14:val="standardContextual"/>
        </w:rPr>
        <w:t>is</w:t>
      </w:r>
      <w:proofErr w:type="gramEnd"/>
      <w:r w:rsidRPr="009467E7">
        <w:rPr>
          <w:rFonts w:ascii="Arial" w:eastAsiaTheme="minorEastAsia" w:hAnsi="Arial" w:cs="Arial"/>
          <w:sz w:val="24"/>
          <w:szCs w:val="24"/>
          <w:lang w:val="en-US" w:eastAsia="en-GB"/>
          <w14:ligatures w14:val="standardContextual"/>
        </w:rPr>
        <w:t xml:space="preserve"> a </w:t>
      </w:r>
      <w:proofErr w:type="gramStart"/>
      <w:r w:rsidRPr="009467E7">
        <w:rPr>
          <w:rFonts w:ascii="Arial" w:eastAsiaTheme="minorEastAsia" w:hAnsi="Arial" w:cs="Arial"/>
          <w:sz w:val="24"/>
          <w:szCs w:val="24"/>
          <w:lang w:val="en-US" w:eastAsia="en-GB"/>
          <w14:ligatures w14:val="standardContextual"/>
        </w:rPr>
        <w:t>restructure</w:t>
      </w:r>
      <w:proofErr w:type="gramEnd"/>
      <w:r w:rsidRPr="009467E7">
        <w:rPr>
          <w:rFonts w:ascii="Arial" w:eastAsiaTheme="minorEastAsia" w:hAnsi="Arial" w:cs="Arial"/>
          <w:sz w:val="24"/>
          <w:szCs w:val="24"/>
          <w:lang w:val="en-US" w:eastAsia="en-GB"/>
          <w14:ligatures w14:val="standardContextual"/>
        </w:rPr>
        <w:t xml:space="preserve"> or other organisational change and monitoring employee engagement and feedback throughout the consultation process. This significantly reduces the risk of financial penalties, legal claims and reputational damage due to non-compliance. In the case of non-compliance, protective awards can reach up to 13 weeks' pay per affected employee (TUPE, 2006).</w:t>
      </w:r>
    </w:p>
    <w:p w14:paraId="3F235F2A" w14:textId="77777777" w:rsidR="00C9293D" w:rsidRPr="00D941D0" w:rsidRDefault="00C9293D" w:rsidP="009467E7">
      <w:pPr>
        <w:pStyle w:val="Heading2"/>
        <w:jc w:val="both"/>
        <w:rPr>
          <w:rFonts w:eastAsiaTheme="minorEastAsia" w:cs="Arial"/>
          <w:color w:val="auto"/>
          <w:szCs w:val="24"/>
          <w:lang w:val="en-US" w:eastAsia="en-GB"/>
        </w:rPr>
      </w:pPr>
      <w:bookmarkStart w:id="13" w:name="_Toc229424483"/>
      <w:r w:rsidRPr="00D941D0">
        <w:rPr>
          <w:rFonts w:eastAsiaTheme="minorEastAsia" w:cs="Arial"/>
          <w:color w:val="auto"/>
          <w:szCs w:val="24"/>
          <w:lang w:val="en-US" w:eastAsia="en-GB"/>
        </w:rPr>
        <w:t>Workforce Contract Review</w:t>
      </w:r>
      <w:bookmarkEnd w:id="13"/>
      <w:r w:rsidRPr="00D941D0">
        <w:rPr>
          <w:rFonts w:eastAsiaTheme="minorEastAsia" w:cs="Arial"/>
          <w:color w:val="auto"/>
          <w:szCs w:val="24"/>
          <w:lang w:val="en-US" w:eastAsia="en-GB"/>
        </w:rPr>
        <w:t xml:space="preserve"> </w:t>
      </w:r>
    </w:p>
    <w:p w14:paraId="4B06A10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Medium Term (12-18 months)</w:t>
      </w:r>
    </w:p>
    <w:p w14:paraId="585D64E9" w14:textId="1FAA897E"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should minimize its usage of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and explore alternatives like guaranteed hours where it is possible to improve job quality and prepare for upcoming changes to the ERA</w:t>
      </w:r>
      <w:r w:rsidR="00FE471F" w:rsidRPr="009467E7">
        <w:rPr>
          <w:rFonts w:ascii="Arial" w:eastAsiaTheme="minorEastAsia" w:hAnsi="Arial" w:cs="Arial"/>
          <w:sz w:val="24"/>
          <w:szCs w:val="24"/>
          <w:lang w:val="en-US" w:eastAsia="en-GB"/>
          <w14:ligatures w14:val="standardContextual"/>
        </w:rPr>
        <w:t xml:space="preserve"> 2025</w:t>
      </w:r>
      <w:r w:rsidRPr="009467E7">
        <w:rPr>
          <w:rFonts w:ascii="Arial" w:eastAsiaTheme="minorEastAsia" w:hAnsi="Arial" w:cs="Arial"/>
          <w:sz w:val="24"/>
          <w:szCs w:val="24"/>
          <w:lang w:val="en-US" w:eastAsia="en-GB"/>
          <w14:ligatures w14:val="standardContextual"/>
        </w:rPr>
        <w:t xml:space="preserve"> (GOV.UK, 2026). CIPD (2025) demonstrates that job security directly influences employee retention and productivity.</w:t>
      </w:r>
    </w:p>
    <w:p w14:paraId="11F51BC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03379908"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resource time for contract review and workforce planning: £2,000 - £3,000 (Ashdown Group, 2026)</w:t>
      </w:r>
    </w:p>
    <w:p w14:paraId="06F6856D"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Policy development, communication and manager guidance materials: £1000</w:t>
      </w:r>
    </w:p>
    <w:p w14:paraId="3A695EF2"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Implementation and consultation processes: £1000</w:t>
      </w:r>
    </w:p>
    <w:p w14:paraId="75F96DC0" w14:textId="77777777" w:rsidR="00267D4A" w:rsidRPr="009467E7" w:rsidRDefault="00267D4A"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p>
    <w:p w14:paraId="776C4B29" w14:textId="7A284559"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lastRenderedPageBreak/>
        <w:t xml:space="preserve">Total estimated cost: </w:t>
      </w:r>
      <w:r w:rsidRPr="009467E7">
        <w:rPr>
          <w:rFonts w:ascii="Arial" w:eastAsiaTheme="minorEastAsia" w:hAnsi="Arial" w:cs="Arial"/>
          <w:sz w:val="24"/>
          <w:szCs w:val="24"/>
          <w:lang w:val="en-US" w:eastAsia="en-GB"/>
          <w14:ligatures w14:val="standardContextual"/>
        </w:rPr>
        <w:t>£4,000 - £5,000</w:t>
      </w:r>
    </w:p>
    <w:p w14:paraId="108C4BF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714B4E7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Decreased dependency on </w:t>
      </w:r>
      <w:proofErr w:type="spellStart"/>
      <w:r w:rsidRPr="009467E7">
        <w:rPr>
          <w:rFonts w:ascii="Arial" w:eastAsiaTheme="minorEastAsia" w:hAnsi="Arial" w:cs="Arial"/>
          <w:sz w:val="24"/>
          <w:szCs w:val="24"/>
          <w:lang w:val="en-US" w:eastAsia="en-GB"/>
          <w14:ligatures w14:val="standardContextual"/>
        </w:rPr>
        <w:t>zero-hour</w:t>
      </w:r>
      <w:proofErr w:type="spellEnd"/>
      <w:r w:rsidRPr="009467E7">
        <w:rPr>
          <w:rFonts w:ascii="Arial" w:eastAsiaTheme="minorEastAsia" w:hAnsi="Arial" w:cs="Arial"/>
          <w:sz w:val="24"/>
          <w:szCs w:val="24"/>
          <w:lang w:val="en-US" w:eastAsia="en-GB"/>
          <w14:ligatures w14:val="standardContextual"/>
        </w:rPr>
        <w:t xml:space="preserve"> contracts, increased workforce stability and tracking employee retention and turnover trends. This may temporality increase </w:t>
      </w:r>
      <w:proofErr w:type="spellStart"/>
      <w:r w:rsidRPr="009467E7">
        <w:rPr>
          <w:rFonts w:ascii="Arial" w:eastAsiaTheme="minorEastAsia" w:hAnsi="Arial" w:cs="Arial"/>
          <w:sz w:val="24"/>
          <w:szCs w:val="24"/>
          <w:lang w:val="en-US" w:eastAsia="en-GB"/>
          <w14:ligatures w14:val="standardContextual"/>
        </w:rPr>
        <w:t>labour</w:t>
      </w:r>
      <w:proofErr w:type="spellEnd"/>
      <w:r w:rsidRPr="009467E7">
        <w:rPr>
          <w:rFonts w:ascii="Arial" w:eastAsiaTheme="minorEastAsia" w:hAnsi="Arial" w:cs="Arial"/>
          <w:sz w:val="24"/>
          <w:szCs w:val="24"/>
          <w:lang w:val="en-US" w:eastAsia="en-GB"/>
          <w14:ligatures w14:val="standardContextual"/>
        </w:rPr>
        <w:t xml:space="preserve"> costs but is likely to be offset by reduced turnover and a more stable workforce (CIPD, 2025). </w:t>
      </w:r>
    </w:p>
    <w:p w14:paraId="710E489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4C0340B0"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3D58192"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9B296F0"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A49F6C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588C604"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DF40582"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A30C649"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9569A8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1AF3BED"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B0EDA6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0D88B8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E6D19C0"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A81A99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7AD9011" w14:textId="2A832F77" w:rsidR="00BA0B1A" w:rsidRPr="00D941D0" w:rsidRDefault="009467E7" w:rsidP="009467E7">
      <w:pPr>
        <w:pStyle w:val="Heading1"/>
        <w:rPr>
          <w:rFonts w:eastAsia="Times New Roman" w:cs="Arial"/>
          <w:color w:val="auto"/>
          <w:szCs w:val="24"/>
          <w:lang w:eastAsia="en-GB"/>
        </w:rPr>
      </w:pPr>
      <w:bookmarkStart w:id="14" w:name="_Toc229424484"/>
      <w:r w:rsidRPr="00D941D0">
        <w:rPr>
          <w:rFonts w:eastAsia="Times New Roman" w:cs="Arial"/>
          <w:color w:val="auto"/>
          <w:szCs w:val="24"/>
          <w:lang w:eastAsia="en-GB"/>
        </w:rPr>
        <w:lastRenderedPageBreak/>
        <w:t>B</w:t>
      </w:r>
      <w:r w:rsidRPr="00D941D0">
        <w:rPr>
          <w:rFonts w:eastAsia="Times New Roman" w:cs="Arial"/>
          <w:color w:val="auto"/>
          <w:szCs w:val="24"/>
          <w:lang w:eastAsia="en-GB"/>
        </w:rPr>
        <w:t>ibliography</w:t>
      </w:r>
      <w:bookmarkEnd w:id="14"/>
    </w:p>
    <w:p w14:paraId="787CA4B4"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(2021) </w:t>
      </w:r>
      <w:r w:rsidRPr="009467E7">
        <w:rPr>
          <w:rFonts w:ascii="Arial" w:eastAsia="Times New Roman" w:hAnsi="Arial" w:cs="Arial"/>
          <w:i/>
          <w:iCs/>
          <w:sz w:val="24"/>
          <w:szCs w:val="24"/>
          <w:lang w:eastAsia="en-GB"/>
        </w:rPr>
        <w:t>Estimating the costs of workplace conflict</w:t>
      </w:r>
      <w:r w:rsidRPr="009467E7">
        <w:rPr>
          <w:rFonts w:ascii="Arial" w:eastAsia="Times New Roman" w:hAnsi="Arial" w:cs="Arial"/>
          <w:sz w:val="24"/>
          <w:szCs w:val="24"/>
          <w:lang w:eastAsia="en-GB"/>
        </w:rPr>
        <w:t>. Available at: https://www.acas.org.uk/research-and-commentary/estimating-the-costs-of-workplace-conflict/report (Accessed: 1 May 2026).</w:t>
      </w:r>
    </w:p>
    <w:p w14:paraId="60C786FF" w14:textId="694DF0ED"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(2024) </w:t>
      </w:r>
      <w:r w:rsidRPr="009467E7">
        <w:rPr>
          <w:rFonts w:ascii="Arial" w:eastAsia="Times New Roman" w:hAnsi="Arial" w:cs="Arial"/>
          <w:i/>
          <w:iCs/>
          <w:sz w:val="24"/>
          <w:szCs w:val="24"/>
          <w:lang w:eastAsia="en-GB"/>
        </w:rPr>
        <w:t>Skilled Managers Productive Workplaces: Translating research into workplace practice that works</w:t>
      </w:r>
      <w:r w:rsidRPr="009467E7">
        <w:rPr>
          <w:rFonts w:ascii="Arial" w:eastAsia="Times New Roman" w:hAnsi="Arial" w:cs="Arial"/>
          <w:sz w:val="24"/>
          <w:szCs w:val="24"/>
          <w:lang w:eastAsia="en-GB"/>
        </w:rPr>
        <w:t>. Available at: https://www.acas.org.uk/skilled-managers-translating-research-into-workplace-practice-that-works (Accessed: 23 April 2026).</w:t>
      </w:r>
    </w:p>
    <w:p w14:paraId="6192DD58" w14:textId="5554CBD5"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(2025a) </w:t>
      </w:r>
      <w:r w:rsidRPr="009467E7">
        <w:rPr>
          <w:rFonts w:ascii="Arial" w:eastAsia="Times New Roman" w:hAnsi="Arial" w:cs="Arial"/>
          <w:i/>
          <w:iCs/>
          <w:sz w:val="24"/>
          <w:szCs w:val="24"/>
          <w:lang w:eastAsia="en-GB"/>
        </w:rPr>
        <w:t>Dealing with a Problem Raised by an Employee</w:t>
      </w:r>
      <w:r w:rsidR="007C43A2">
        <w:rPr>
          <w:rFonts w:ascii="Arial" w:eastAsia="Times New Roman" w:hAnsi="Arial" w:cs="Arial"/>
          <w:i/>
          <w:iCs/>
          <w:sz w:val="24"/>
          <w:szCs w:val="24"/>
          <w:lang w:eastAsia="en-GB"/>
        </w:rPr>
        <w:t xml:space="preserve">. </w:t>
      </w:r>
      <w:r w:rsidRPr="009467E7">
        <w:rPr>
          <w:rFonts w:ascii="Arial" w:eastAsia="Times New Roman" w:hAnsi="Arial" w:cs="Arial"/>
          <w:sz w:val="24"/>
          <w:szCs w:val="24"/>
          <w:lang w:eastAsia="en-GB"/>
        </w:rPr>
        <w:t>Available at: https://www.acas.org.uk/dealing-with-a-problem-raised-by-an-employee (Accessed: 11 April 2026).</w:t>
      </w:r>
    </w:p>
    <w:p w14:paraId="5A426AB5"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(2025b) </w:t>
      </w:r>
      <w:r w:rsidRPr="009467E7">
        <w:rPr>
          <w:rFonts w:ascii="Arial" w:eastAsia="Times New Roman" w:hAnsi="Arial" w:cs="Arial"/>
          <w:i/>
          <w:iCs/>
          <w:sz w:val="24"/>
          <w:szCs w:val="24"/>
          <w:lang w:eastAsia="en-GB"/>
        </w:rPr>
        <w:t>Defining and enabling informal workplace conflict resolution</w:t>
      </w:r>
      <w:r w:rsidRPr="009467E7">
        <w:rPr>
          <w:rFonts w:ascii="Arial" w:eastAsia="Times New Roman" w:hAnsi="Arial" w:cs="Arial"/>
          <w:sz w:val="24"/>
          <w:szCs w:val="24"/>
          <w:lang w:eastAsia="en-GB"/>
        </w:rPr>
        <w:t>. Available at: https://www.acas.org.uk/research-and-commentary/workplace-conflict/defining-and-enabling-informal-workplace-conflict-resolution/report (Accessed: 1 May 2026).</w:t>
      </w:r>
    </w:p>
    <w:p w14:paraId="4104979E" w14:textId="020AC3E9"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(2025c) </w:t>
      </w:r>
      <w:r w:rsidRPr="009467E7">
        <w:rPr>
          <w:rFonts w:ascii="Arial" w:eastAsia="Times New Roman" w:hAnsi="Arial" w:cs="Arial"/>
          <w:i/>
          <w:iCs/>
          <w:sz w:val="24"/>
          <w:szCs w:val="24"/>
          <w:lang w:eastAsia="en-GB"/>
        </w:rPr>
        <w:t xml:space="preserve">How prevalent is individual conflict at work in Great Britain in </w:t>
      </w:r>
      <w:r w:rsidR="008A6CC5" w:rsidRPr="009467E7">
        <w:rPr>
          <w:rFonts w:ascii="Arial" w:eastAsia="Times New Roman" w:hAnsi="Arial" w:cs="Arial"/>
          <w:i/>
          <w:iCs/>
          <w:sz w:val="24"/>
          <w:szCs w:val="24"/>
          <w:lang w:eastAsia="en-GB"/>
        </w:rPr>
        <w:t>2025</w:t>
      </w:r>
      <w:r w:rsidR="008A6CC5">
        <w:rPr>
          <w:rFonts w:ascii="Arial" w:eastAsia="Times New Roman" w:hAnsi="Arial" w:cs="Arial"/>
          <w:i/>
          <w:iCs/>
          <w:sz w:val="24"/>
          <w:szCs w:val="24"/>
          <w:lang w:eastAsia="en-GB"/>
        </w:rPr>
        <w:t>?</w:t>
      </w:r>
      <w:r w:rsidRPr="009467E7">
        <w:rPr>
          <w:rFonts w:ascii="Arial" w:eastAsia="Times New Roman" w:hAnsi="Arial" w:cs="Arial"/>
          <w:sz w:val="24"/>
          <w:szCs w:val="24"/>
          <w:lang w:eastAsia="en-GB"/>
        </w:rPr>
        <w:t xml:space="preserve"> Available at: https://www.acas.org.uk/research-and-commentary/workplace-conflict/prevalence-of-conflict-at-work/report (Accessed: 12 April 2026).</w:t>
      </w:r>
    </w:p>
    <w:p w14:paraId="68395785" w14:textId="5877D735"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(2026a) </w:t>
      </w:r>
      <w:r w:rsidRPr="009467E7">
        <w:rPr>
          <w:rFonts w:ascii="Arial" w:eastAsia="Times New Roman" w:hAnsi="Arial" w:cs="Arial"/>
          <w:i/>
          <w:iCs/>
          <w:sz w:val="24"/>
          <w:szCs w:val="24"/>
          <w:lang w:eastAsia="en-GB"/>
        </w:rPr>
        <w:t>Equality, diversity and inclusion: the essentials - Book Training</w:t>
      </w:r>
      <w:r w:rsidRPr="009467E7">
        <w:rPr>
          <w:rFonts w:ascii="Arial" w:eastAsia="Times New Roman" w:hAnsi="Arial" w:cs="Arial"/>
          <w:sz w:val="24"/>
          <w:szCs w:val="24"/>
          <w:lang w:eastAsia="en-GB"/>
        </w:rPr>
        <w:t>. Available at: https://obs.acas.org.uk/ViewEvent.aspx?EventId=209916 (Accessed: 5 May 2026).</w:t>
      </w:r>
    </w:p>
    <w:p w14:paraId="7ADF8253" w14:textId="38D73B91"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(2026b) </w:t>
      </w:r>
      <w:r w:rsidRPr="009467E7">
        <w:rPr>
          <w:rFonts w:ascii="Arial" w:eastAsia="Times New Roman" w:hAnsi="Arial" w:cs="Arial"/>
          <w:i/>
          <w:iCs/>
          <w:sz w:val="24"/>
          <w:szCs w:val="24"/>
          <w:lang w:eastAsia="en-GB"/>
        </w:rPr>
        <w:t>Management training for developing managers - two 3hr sessions over two consecutive days - Book Training</w:t>
      </w:r>
      <w:r w:rsidRPr="009467E7">
        <w:rPr>
          <w:rFonts w:ascii="Arial" w:eastAsia="Times New Roman" w:hAnsi="Arial" w:cs="Arial"/>
          <w:sz w:val="24"/>
          <w:szCs w:val="24"/>
          <w:lang w:eastAsia="en-GB"/>
        </w:rPr>
        <w:t>. Available at: https://obs.acas.org.uk/ViewEvent.aspx?EventId=209868 (Accessed: 11 May 2026).</w:t>
      </w:r>
    </w:p>
    <w:p w14:paraId="6B979167"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Archibald v Fife Council (2004) House of Lords, UKHL 32. </w:t>
      </w:r>
      <w:r w:rsidRPr="009467E7">
        <w:rPr>
          <w:rFonts w:ascii="Arial" w:eastAsia="Times New Roman" w:hAnsi="Arial" w:cs="Arial"/>
          <w:i/>
          <w:iCs/>
          <w:sz w:val="24"/>
          <w:szCs w:val="24"/>
          <w:lang w:eastAsia="en-GB"/>
        </w:rPr>
        <w:t>Parliament.uk</w:t>
      </w:r>
      <w:r w:rsidRPr="009467E7">
        <w:rPr>
          <w:rFonts w:ascii="Arial" w:eastAsia="Times New Roman" w:hAnsi="Arial" w:cs="Arial"/>
          <w:sz w:val="24"/>
          <w:szCs w:val="24"/>
          <w:lang w:eastAsia="en-GB"/>
        </w:rPr>
        <w:t xml:space="preserve">. Available at: https://publications.parliament.uk/pa/ld200304/ldjudgmt/jd040701/arch-1.htm (Accessed: 16 April 2026). </w:t>
      </w:r>
    </w:p>
    <w:p w14:paraId="30B201F2"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Ashdown Group (2026) </w:t>
      </w:r>
      <w:r w:rsidRPr="009467E7">
        <w:rPr>
          <w:rFonts w:ascii="Arial" w:eastAsia="Times New Roman" w:hAnsi="Arial" w:cs="Arial"/>
          <w:i/>
          <w:iCs/>
          <w:sz w:val="24"/>
          <w:szCs w:val="24"/>
          <w:lang w:eastAsia="en-GB"/>
        </w:rPr>
        <w:t>HR Salary Guide 2025</w:t>
      </w:r>
      <w:r w:rsidRPr="009467E7">
        <w:rPr>
          <w:rFonts w:ascii="Arial" w:eastAsia="Times New Roman" w:hAnsi="Arial" w:cs="Arial"/>
          <w:sz w:val="24"/>
          <w:szCs w:val="24"/>
          <w:lang w:eastAsia="en-GB"/>
        </w:rPr>
        <w:t>. Available at: https://www.ashdowngroup.com/salary-guide/humanresources (Accessed: 5 May 2026).</w:t>
      </w:r>
    </w:p>
    <w:p w14:paraId="38017F8D" w14:textId="28362399" w:rsidR="00BA0B1A" w:rsidRPr="009467E7" w:rsidRDefault="00BA0B1A" w:rsidP="00BA0B1A">
      <w:pPr>
        <w:spacing w:after="240" w:line="360" w:lineRule="auto"/>
        <w:rPr>
          <w:rFonts w:ascii="Arial" w:eastAsia="Times New Roman" w:hAnsi="Arial" w:cs="Arial"/>
          <w:sz w:val="24"/>
          <w:szCs w:val="24"/>
          <w:lang w:eastAsia="en-GB"/>
        </w:rPr>
      </w:pPr>
      <w:proofErr w:type="spellStart"/>
      <w:r w:rsidRPr="009467E7">
        <w:rPr>
          <w:rFonts w:ascii="Arial" w:eastAsia="Times New Roman" w:hAnsi="Arial" w:cs="Arial"/>
          <w:i/>
          <w:iCs/>
          <w:sz w:val="24"/>
          <w:szCs w:val="24"/>
          <w:lang w:eastAsia="en-GB"/>
        </w:rPr>
        <w:lastRenderedPageBreak/>
        <w:t>Autoclenz</w:t>
      </w:r>
      <w:proofErr w:type="spellEnd"/>
      <w:r w:rsidRPr="009467E7">
        <w:rPr>
          <w:rFonts w:ascii="Arial" w:eastAsia="Times New Roman" w:hAnsi="Arial" w:cs="Arial"/>
          <w:i/>
          <w:iCs/>
          <w:sz w:val="24"/>
          <w:szCs w:val="24"/>
          <w:lang w:eastAsia="en-GB"/>
        </w:rPr>
        <w:t xml:space="preserve"> Ltd v Belcher &amp; Ors</w:t>
      </w:r>
      <w:r w:rsidRPr="009467E7">
        <w:rPr>
          <w:rFonts w:ascii="Arial" w:eastAsia="Times New Roman" w:hAnsi="Arial" w:cs="Arial"/>
          <w:sz w:val="24"/>
          <w:szCs w:val="24"/>
          <w:lang w:eastAsia="en-GB"/>
        </w:rPr>
        <w:t xml:space="preserve"> (2011). Available at: </w:t>
      </w:r>
      <w:hyperlink r:id="rId8" w:history="1">
        <w:r w:rsidR="00020237" w:rsidRPr="000001AC">
          <w:rPr>
            <w:rStyle w:val="Hyperlink"/>
            <w:rFonts w:ascii="Arial" w:eastAsia="Times New Roman" w:hAnsi="Arial" w:cs="Arial"/>
            <w:sz w:val="24"/>
            <w:szCs w:val="24"/>
            <w:lang w:eastAsia="en-GB"/>
          </w:rPr>
          <w:t>https://www.bailii.org/uk/cases/UKSC/2011/41.html</w:t>
        </w:r>
      </w:hyperlink>
      <w:r w:rsidRPr="009467E7">
        <w:rPr>
          <w:rFonts w:ascii="Arial" w:eastAsia="Times New Roman" w:hAnsi="Arial" w:cs="Arial"/>
          <w:sz w:val="24"/>
          <w:szCs w:val="24"/>
          <w:lang w:eastAsia="en-GB"/>
        </w:rPr>
        <w:t>.</w:t>
      </w:r>
      <w:r w:rsidR="00020237">
        <w:rPr>
          <w:rFonts w:ascii="Arial" w:eastAsia="Times New Roman" w:hAnsi="Arial" w:cs="Arial"/>
          <w:sz w:val="24"/>
          <w:szCs w:val="24"/>
          <w:lang w:eastAsia="en-GB"/>
        </w:rPr>
        <w:t xml:space="preserve"> (Accessed</w:t>
      </w:r>
      <w:r w:rsidR="00D329D4">
        <w:rPr>
          <w:rFonts w:ascii="Arial" w:eastAsia="Times New Roman" w:hAnsi="Arial" w:cs="Arial"/>
          <w:sz w:val="24"/>
          <w:szCs w:val="24"/>
          <w:lang w:eastAsia="en-GB"/>
        </w:rPr>
        <w:t>: 9 April 2026).</w:t>
      </w:r>
    </w:p>
    <w:p w14:paraId="2C870783" w14:textId="1C020116"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(2020) </w:t>
      </w:r>
      <w:r w:rsidRPr="009467E7">
        <w:rPr>
          <w:rFonts w:ascii="Arial" w:eastAsia="Times New Roman" w:hAnsi="Arial" w:cs="Arial"/>
          <w:i/>
          <w:iCs/>
          <w:sz w:val="24"/>
          <w:szCs w:val="24"/>
          <w:lang w:eastAsia="en-GB"/>
        </w:rPr>
        <w:t>Managing conflict in the modern workplace report</w:t>
      </w:r>
      <w:r w:rsidRPr="009467E7">
        <w:rPr>
          <w:rFonts w:ascii="Arial" w:eastAsia="Times New Roman" w:hAnsi="Arial" w:cs="Arial"/>
          <w:sz w:val="24"/>
          <w:szCs w:val="24"/>
          <w:lang w:eastAsia="en-GB"/>
        </w:rPr>
        <w:t>. Available at: https://www.cipd.org/globalassets/media/knowledge/knowledge-hub/reports/managing-conflict-in-the-workplace-2_tcm18-70655.pdf (Accessed: 9 April 2026).</w:t>
      </w:r>
    </w:p>
    <w:p w14:paraId="5337E469" w14:textId="18559822"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CIPD (2024a)</w:t>
      </w:r>
      <w:r w:rsidR="00C21EE1">
        <w:rPr>
          <w:rFonts w:ascii="Arial" w:eastAsia="Times New Roman" w:hAnsi="Arial" w:cs="Arial"/>
          <w:sz w:val="24"/>
          <w:szCs w:val="24"/>
          <w:lang w:eastAsia="en-GB"/>
        </w:rPr>
        <w:t xml:space="preserve"> </w:t>
      </w:r>
      <w:r w:rsidRPr="009467E7">
        <w:rPr>
          <w:rFonts w:ascii="Arial" w:eastAsia="Times New Roman" w:hAnsi="Arial" w:cs="Arial"/>
          <w:i/>
          <w:iCs/>
          <w:sz w:val="24"/>
          <w:szCs w:val="24"/>
          <w:lang w:eastAsia="en-GB"/>
        </w:rPr>
        <w:t>Workplace conflict puts strain on job quality for estimated eight million UK workers</w:t>
      </w:r>
      <w:r w:rsidRPr="009467E7">
        <w:rPr>
          <w:rFonts w:ascii="Arial" w:eastAsia="Times New Roman" w:hAnsi="Arial" w:cs="Arial"/>
          <w:sz w:val="24"/>
          <w:szCs w:val="24"/>
          <w:lang w:eastAsia="en-GB"/>
        </w:rPr>
        <w:t>. Available at: https://www.cipd.org/en/about/press-releases/workplace-conflict-puts-strain-on-job-quality/ (Accessed: 18 April 2026).</w:t>
      </w:r>
    </w:p>
    <w:p w14:paraId="22427659" w14:textId="07F27D8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(2024b) </w:t>
      </w:r>
      <w:r w:rsidRPr="009467E7">
        <w:rPr>
          <w:rFonts w:ascii="Arial" w:eastAsia="Times New Roman" w:hAnsi="Arial" w:cs="Arial"/>
          <w:i/>
          <w:iCs/>
          <w:sz w:val="24"/>
          <w:szCs w:val="24"/>
          <w:lang w:eastAsia="en-GB"/>
        </w:rPr>
        <w:t>Zero Hours Contracts Factsheets</w:t>
      </w:r>
      <w:r w:rsidRPr="009467E7">
        <w:rPr>
          <w:rFonts w:ascii="Arial" w:eastAsia="Times New Roman" w:hAnsi="Arial" w:cs="Arial"/>
          <w:sz w:val="24"/>
          <w:szCs w:val="24"/>
          <w:lang w:eastAsia="en-GB"/>
        </w:rPr>
        <w:t>. Available at: https://www.cipd.org/uk/knowledge/factsheets/zero-hours-factsheet/ (Accessed: 27 April 2026).</w:t>
      </w:r>
    </w:p>
    <w:p w14:paraId="6AC304E1"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(2025) </w:t>
      </w:r>
      <w:r w:rsidRPr="009467E7">
        <w:rPr>
          <w:rFonts w:ascii="Arial" w:eastAsia="Times New Roman" w:hAnsi="Arial" w:cs="Arial"/>
          <w:i/>
          <w:iCs/>
          <w:sz w:val="24"/>
          <w:szCs w:val="24"/>
          <w:lang w:eastAsia="en-GB"/>
        </w:rPr>
        <w:t>CIPD Good Work Index 2025</w:t>
      </w:r>
      <w:r w:rsidRPr="009467E7">
        <w:rPr>
          <w:rFonts w:ascii="Arial" w:eastAsia="Times New Roman" w:hAnsi="Arial" w:cs="Arial"/>
          <w:sz w:val="24"/>
          <w:szCs w:val="24"/>
          <w:lang w:eastAsia="en-GB"/>
        </w:rPr>
        <w:t>. Available at: https://www.cipd.org/globalassets/media/knowledge/knowledge-hub/reports/2025-pdfs/8868-good-work-index-2025-report-web1.pdf (Accessed: 11 April 2026).</w:t>
      </w:r>
    </w:p>
    <w:p w14:paraId="569F0FB1"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(2026) </w:t>
      </w:r>
      <w:r w:rsidRPr="009467E7">
        <w:rPr>
          <w:rFonts w:ascii="Arial" w:eastAsia="Times New Roman" w:hAnsi="Arial" w:cs="Arial"/>
          <w:i/>
          <w:iCs/>
          <w:sz w:val="24"/>
          <w:szCs w:val="24"/>
          <w:lang w:eastAsia="en-GB"/>
        </w:rPr>
        <w:t>Labour Market Outlook – winter 2025/26</w:t>
      </w:r>
      <w:r w:rsidRPr="009467E7">
        <w:rPr>
          <w:rFonts w:ascii="Arial" w:eastAsia="Times New Roman" w:hAnsi="Arial" w:cs="Arial"/>
          <w:sz w:val="24"/>
          <w:szCs w:val="24"/>
          <w:lang w:eastAsia="en-GB"/>
        </w:rPr>
        <w:t>. Available at: https://www.cipd.org/globalassets/media/knowledge/knowledge-hub/reports/2026-pdfs/9094-lmo-winter-2025-26-report-web.pdf (Accessed: 28 April 2026).</w:t>
      </w:r>
    </w:p>
    <w:p w14:paraId="2F29DEF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Colquitt, J.A., Conlon, D.E., Wesson, M.J., Porter, C.O.L.H. and Ng, K.Y. (2001) ‘Justice at the millennium: a meta-analytic Review of 25 Years of Organizational Justice research.’ </w:t>
      </w:r>
      <w:r w:rsidRPr="009467E7">
        <w:rPr>
          <w:rFonts w:ascii="Arial" w:eastAsia="Times New Roman" w:hAnsi="Arial" w:cs="Arial"/>
          <w:i/>
          <w:iCs/>
          <w:sz w:val="24"/>
          <w:szCs w:val="24"/>
          <w:lang w:eastAsia="en-GB"/>
        </w:rPr>
        <w:t>Journal of Applied Psychology</w:t>
      </w:r>
      <w:r w:rsidRPr="009467E7">
        <w:rPr>
          <w:rFonts w:ascii="Arial" w:eastAsia="Times New Roman" w:hAnsi="Arial" w:cs="Arial"/>
          <w:sz w:val="24"/>
          <w:szCs w:val="24"/>
          <w:lang w:eastAsia="en-GB"/>
        </w:rPr>
        <w:t xml:space="preserve"> 86(3), pp. 425–445. </w:t>
      </w:r>
      <w:proofErr w:type="spellStart"/>
      <w:r w:rsidRPr="009467E7">
        <w:rPr>
          <w:rFonts w:ascii="Arial" w:eastAsia="Times New Roman" w:hAnsi="Arial" w:cs="Arial"/>
          <w:sz w:val="24"/>
          <w:szCs w:val="24"/>
          <w:lang w:eastAsia="en-GB"/>
        </w:rPr>
        <w:t>doi</w:t>
      </w:r>
      <w:proofErr w:type="spellEnd"/>
      <w:r w:rsidRPr="009467E7">
        <w:rPr>
          <w:rFonts w:ascii="Arial" w:eastAsia="Times New Roman" w:hAnsi="Arial" w:cs="Arial"/>
          <w:sz w:val="24"/>
          <w:szCs w:val="24"/>
          <w:lang w:eastAsia="en-GB"/>
        </w:rPr>
        <w:t>: https://doi.org/10.1037/0021-9010.86.3.425.</w:t>
      </w:r>
    </w:p>
    <w:p w14:paraId="745C0950"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Conway, N. and Briner, R.B. (2005) </w:t>
      </w:r>
      <w:r w:rsidRPr="009467E7">
        <w:rPr>
          <w:rFonts w:ascii="Arial" w:eastAsia="Times New Roman" w:hAnsi="Arial" w:cs="Arial"/>
          <w:i/>
          <w:iCs/>
          <w:sz w:val="24"/>
          <w:szCs w:val="24"/>
          <w:lang w:eastAsia="en-GB"/>
        </w:rPr>
        <w:t>Understanding psychological contracts at work a critical evaluation of theory and research</w:t>
      </w:r>
      <w:r w:rsidRPr="009467E7">
        <w:rPr>
          <w:rFonts w:ascii="Arial" w:eastAsia="Times New Roman" w:hAnsi="Arial" w:cs="Arial"/>
          <w:sz w:val="24"/>
          <w:szCs w:val="24"/>
          <w:lang w:eastAsia="en-GB"/>
        </w:rPr>
        <w:t xml:space="preserve">. </w:t>
      </w:r>
      <w:proofErr w:type="gramStart"/>
      <w:r w:rsidRPr="009467E7">
        <w:rPr>
          <w:rFonts w:ascii="Arial" w:eastAsia="Times New Roman" w:hAnsi="Arial" w:cs="Arial"/>
          <w:sz w:val="24"/>
          <w:szCs w:val="24"/>
          <w:lang w:eastAsia="en-GB"/>
        </w:rPr>
        <w:t>Oxford ;</w:t>
      </w:r>
      <w:proofErr w:type="gramEnd"/>
      <w:r w:rsidRPr="009467E7">
        <w:rPr>
          <w:rFonts w:ascii="Arial" w:eastAsia="Times New Roman" w:hAnsi="Arial" w:cs="Arial"/>
          <w:sz w:val="24"/>
          <w:szCs w:val="24"/>
          <w:lang w:eastAsia="en-GB"/>
        </w:rPr>
        <w:t xml:space="preserve"> New York: Oxford University Press Inc.</w:t>
      </w:r>
    </w:p>
    <w:p w14:paraId="09DE42DE"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Daniels, K. (2022) </w:t>
      </w:r>
      <w:r w:rsidRPr="009467E7">
        <w:rPr>
          <w:rFonts w:ascii="Arial" w:eastAsia="Times New Roman" w:hAnsi="Arial" w:cs="Arial"/>
          <w:i/>
          <w:iCs/>
          <w:sz w:val="24"/>
          <w:szCs w:val="24"/>
          <w:lang w:eastAsia="en-GB"/>
        </w:rPr>
        <w:t>Introduction to Employment Law: Fundamentals for HR and Business Students</w:t>
      </w:r>
      <w:r w:rsidRPr="009467E7">
        <w:rPr>
          <w:rFonts w:ascii="Arial" w:eastAsia="Times New Roman" w:hAnsi="Arial" w:cs="Arial"/>
          <w:sz w:val="24"/>
          <w:szCs w:val="24"/>
          <w:lang w:eastAsia="en-GB"/>
        </w:rPr>
        <w:t>. Chartered Institute of Personnel &amp; Development.</w:t>
      </w:r>
    </w:p>
    <w:p w14:paraId="2EB7FB6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lastRenderedPageBreak/>
        <w:t xml:space="preserve">Daniels, K. (2024) </w:t>
      </w:r>
      <w:r w:rsidRPr="009467E7">
        <w:rPr>
          <w:rFonts w:ascii="Arial" w:eastAsia="Times New Roman" w:hAnsi="Arial" w:cs="Arial"/>
          <w:i/>
          <w:iCs/>
          <w:sz w:val="24"/>
          <w:szCs w:val="24"/>
          <w:lang w:eastAsia="en-GB"/>
        </w:rPr>
        <w:t xml:space="preserve">Introduction </w:t>
      </w:r>
      <w:proofErr w:type="gramStart"/>
      <w:r w:rsidRPr="009467E7">
        <w:rPr>
          <w:rFonts w:ascii="Arial" w:eastAsia="Times New Roman" w:hAnsi="Arial" w:cs="Arial"/>
          <w:i/>
          <w:iCs/>
          <w:sz w:val="24"/>
          <w:szCs w:val="24"/>
          <w:lang w:eastAsia="en-GB"/>
        </w:rPr>
        <w:t>To</w:t>
      </w:r>
      <w:proofErr w:type="gramEnd"/>
      <w:r w:rsidRPr="009467E7">
        <w:rPr>
          <w:rFonts w:ascii="Arial" w:eastAsia="Times New Roman" w:hAnsi="Arial" w:cs="Arial"/>
          <w:i/>
          <w:iCs/>
          <w:sz w:val="24"/>
          <w:szCs w:val="24"/>
          <w:lang w:eastAsia="en-GB"/>
        </w:rPr>
        <w:t xml:space="preserve"> Employment Law Fundamentals for HR and Business Students</w:t>
      </w:r>
      <w:r w:rsidRPr="009467E7">
        <w:rPr>
          <w:rFonts w:ascii="Arial" w:eastAsia="Times New Roman" w:hAnsi="Arial" w:cs="Arial"/>
          <w:sz w:val="24"/>
          <w:szCs w:val="24"/>
          <w:lang w:eastAsia="en-GB"/>
        </w:rPr>
        <w:t>. London: CIPD - Kogan Page.</w:t>
      </w:r>
    </w:p>
    <w:p w14:paraId="6334F742" w14:textId="72FD3A3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Data Protection Act 2018</w:t>
      </w:r>
      <w:r w:rsidRPr="009467E7">
        <w:rPr>
          <w:rFonts w:ascii="Arial" w:eastAsia="Times New Roman" w:hAnsi="Arial" w:cs="Arial"/>
          <w:sz w:val="24"/>
          <w:szCs w:val="24"/>
          <w:lang w:eastAsia="en-GB"/>
        </w:rPr>
        <w:t xml:space="preserve">. Available at: </w:t>
      </w:r>
      <w:hyperlink r:id="rId9" w:history="1">
        <w:r w:rsidR="00A107EB" w:rsidRPr="000001AC">
          <w:rPr>
            <w:rStyle w:val="Hyperlink"/>
            <w:rFonts w:ascii="Arial" w:eastAsia="Times New Roman" w:hAnsi="Arial" w:cs="Arial"/>
            <w:sz w:val="24"/>
            <w:szCs w:val="24"/>
            <w:lang w:eastAsia="en-GB"/>
          </w:rPr>
          <w:t>https://www.legislation.gov.uk/ukpga/2018/12/contents</w:t>
        </w:r>
      </w:hyperlink>
      <w:r w:rsidR="00A107EB">
        <w:rPr>
          <w:rFonts w:ascii="Arial" w:eastAsia="Times New Roman" w:hAnsi="Arial" w:cs="Arial"/>
          <w:sz w:val="24"/>
          <w:szCs w:val="24"/>
          <w:lang w:eastAsia="en-GB"/>
        </w:rPr>
        <w:t xml:space="preserve"> </w:t>
      </w:r>
      <w:r w:rsidR="00A107EB" w:rsidRPr="009467E7">
        <w:rPr>
          <w:rFonts w:ascii="Arial" w:eastAsia="Times New Roman" w:hAnsi="Arial" w:cs="Arial"/>
          <w:sz w:val="24"/>
          <w:szCs w:val="24"/>
          <w:lang w:eastAsia="en-GB"/>
        </w:rPr>
        <w:t>(Accessed: 12 April 2026).</w:t>
      </w:r>
    </w:p>
    <w:p w14:paraId="01FE9272"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Employment Rights Act 1996</w:t>
      </w:r>
      <w:r w:rsidRPr="009467E7">
        <w:rPr>
          <w:rFonts w:ascii="Arial" w:eastAsia="Times New Roman" w:hAnsi="Arial" w:cs="Arial"/>
          <w:sz w:val="24"/>
          <w:szCs w:val="24"/>
          <w:lang w:eastAsia="en-GB"/>
        </w:rPr>
        <w:t xml:space="preserve"> s.98. Available at: https://www.legislation.gov.uk/ukpga/1996/18/contents (Accessed: 12 April 2026).</w:t>
      </w:r>
    </w:p>
    <w:p w14:paraId="1E44CF5F"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Equality Act 2010</w:t>
      </w:r>
      <w:r w:rsidRPr="009467E7">
        <w:rPr>
          <w:rFonts w:ascii="Arial" w:eastAsia="Times New Roman" w:hAnsi="Arial" w:cs="Arial"/>
          <w:sz w:val="24"/>
          <w:szCs w:val="24"/>
          <w:lang w:eastAsia="en-GB"/>
        </w:rPr>
        <w:t xml:space="preserve"> 109. Available at: https://www.legislation.gov.uk/ukpga/2010/15/section/109 (Accessed: 13 April 2026).</w:t>
      </w:r>
    </w:p>
    <w:p w14:paraId="50D42C94"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GOV.UK (2026) </w:t>
      </w:r>
      <w:r w:rsidRPr="009467E7">
        <w:rPr>
          <w:rFonts w:ascii="Arial" w:eastAsia="Times New Roman" w:hAnsi="Arial" w:cs="Arial"/>
          <w:i/>
          <w:iCs/>
          <w:sz w:val="24"/>
          <w:szCs w:val="24"/>
          <w:lang w:eastAsia="en-GB"/>
        </w:rPr>
        <w:t>Plan to Make Work Pay and Employment Rights Act: timeline update</w:t>
      </w:r>
      <w:r w:rsidRPr="009467E7">
        <w:rPr>
          <w:rFonts w:ascii="Arial" w:eastAsia="Times New Roman" w:hAnsi="Arial" w:cs="Arial"/>
          <w:sz w:val="24"/>
          <w:szCs w:val="24"/>
          <w:lang w:eastAsia="en-GB"/>
        </w:rPr>
        <w:t>. Available at: https://www.gov.uk/government/publications/implementing-the-plan-to-make-work-pay-and-employment-rights-act/plan-to-make-work-pay-and-employment-rights-act-timeline-update (Accessed: 27 April 2026).</w:t>
      </w:r>
    </w:p>
    <w:p w14:paraId="76BF1C07"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Health and Safety at Work etc. Act 1974</w:t>
      </w:r>
      <w:r w:rsidRPr="009467E7">
        <w:rPr>
          <w:rFonts w:ascii="Arial" w:eastAsia="Times New Roman" w:hAnsi="Arial" w:cs="Arial"/>
          <w:sz w:val="24"/>
          <w:szCs w:val="24"/>
          <w:lang w:eastAsia="en-GB"/>
        </w:rPr>
        <w:t xml:space="preserve"> s.2. Available at: https://www.legislation.gov.uk/ukpga/1974/37/section/2 (Accessed: 14 April 2026).</w:t>
      </w:r>
    </w:p>
    <w:p w14:paraId="1CA338D3"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Information Commissioner's Office (2023) </w:t>
      </w:r>
      <w:r w:rsidRPr="009467E7">
        <w:rPr>
          <w:rFonts w:ascii="Arial" w:eastAsia="Times New Roman" w:hAnsi="Arial" w:cs="Arial"/>
          <w:i/>
          <w:iCs/>
          <w:sz w:val="24"/>
          <w:szCs w:val="24"/>
          <w:lang w:eastAsia="en-GB"/>
        </w:rPr>
        <w:t>Guide to accountability and governance</w:t>
      </w:r>
      <w:r w:rsidRPr="009467E7">
        <w:rPr>
          <w:rFonts w:ascii="Arial" w:eastAsia="Times New Roman" w:hAnsi="Arial" w:cs="Arial"/>
          <w:sz w:val="24"/>
          <w:szCs w:val="24"/>
          <w:lang w:eastAsia="en-GB"/>
        </w:rPr>
        <w:t>. Available at: https://ico.org.uk/for-organisations/uk-gdpr-guidance-and-resources/accountability-and-governance/guide-to-accountability-and-governance/ (Accessed: 30 April 2026).</w:t>
      </w:r>
    </w:p>
    <w:p w14:paraId="3CC7A8EE"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Litster V Forth Dry Dock and Engineering Co Ltd</w:t>
      </w:r>
      <w:r w:rsidRPr="009467E7">
        <w:rPr>
          <w:rFonts w:ascii="Arial" w:eastAsia="Times New Roman" w:hAnsi="Arial" w:cs="Arial"/>
          <w:sz w:val="24"/>
          <w:szCs w:val="24"/>
          <w:lang w:eastAsia="en-GB"/>
        </w:rPr>
        <w:t xml:space="preserve"> (1989). Available at: https://www.bailii.org/uk/cases/UKHL/1988/10.html (Accessed: 25 April 2026).</w:t>
      </w:r>
    </w:p>
    <w:p w14:paraId="52A887B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MHA (2025) </w:t>
      </w:r>
      <w:r w:rsidRPr="009467E7">
        <w:rPr>
          <w:rFonts w:ascii="Arial" w:eastAsia="Times New Roman" w:hAnsi="Arial" w:cs="Arial"/>
          <w:i/>
          <w:iCs/>
          <w:sz w:val="24"/>
          <w:szCs w:val="24"/>
          <w:lang w:eastAsia="en-GB"/>
        </w:rPr>
        <w:t>Manufacturing Roundtable: Strategic insights for an industry under…</w:t>
      </w:r>
      <w:r w:rsidRPr="009467E7">
        <w:rPr>
          <w:rFonts w:ascii="Arial" w:eastAsia="Times New Roman" w:hAnsi="Arial" w:cs="Arial"/>
          <w:sz w:val="24"/>
          <w:szCs w:val="24"/>
          <w:lang w:eastAsia="en-GB"/>
        </w:rPr>
        <w:t>. Available at: https://www.mha.co.uk/insights/manufacturing-roundtable-strategic-insights-for-an-industry-under-pressure (Accessed: 30 April 2026).</w:t>
      </w:r>
    </w:p>
    <w:p w14:paraId="266BDF89"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Morrison, E.W. (2011) ‘Employee Voice </w:t>
      </w:r>
      <w:proofErr w:type="spellStart"/>
      <w:r w:rsidRPr="009467E7">
        <w:rPr>
          <w:rFonts w:ascii="Arial" w:eastAsia="Times New Roman" w:hAnsi="Arial" w:cs="Arial"/>
          <w:sz w:val="24"/>
          <w:szCs w:val="24"/>
          <w:lang w:eastAsia="en-GB"/>
        </w:rPr>
        <w:t>Behavior</w:t>
      </w:r>
      <w:proofErr w:type="spellEnd"/>
      <w:r w:rsidRPr="009467E7">
        <w:rPr>
          <w:rFonts w:ascii="Arial" w:eastAsia="Times New Roman" w:hAnsi="Arial" w:cs="Arial"/>
          <w:sz w:val="24"/>
          <w:szCs w:val="24"/>
          <w:lang w:eastAsia="en-GB"/>
        </w:rPr>
        <w:t>: Integration and Directions for Future Research’, </w:t>
      </w:r>
      <w:r w:rsidRPr="009467E7">
        <w:rPr>
          <w:rFonts w:ascii="Arial" w:eastAsia="Times New Roman" w:hAnsi="Arial" w:cs="Arial"/>
          <w:i/>
          <w:iCs/>
          <w:sz w:val="24"/>
          <w:szCs w:val="24"/>
          <w:lang w:eastAsia="en-GB"/>
        </w:rPr>
        <w:t>Academy of Management Annals</w:t>
      </w:r>
      <w:r w:rsidRPr="009467E7">
        <w:rPr>
          <w:rFonts w:ascii="Arial" w:eastAsia="Times New Roman" w:hAnsi="Arial" w:cs="Arial"/>
          <w:sz w:val="24"/>
          <w:szCs w:val="24"/>
          <w:lang w:eastAsia="en-GB"/>
        </w:rPr>
        <w:t xml:space="preserve">, 5(1), pp. 373–412. doi:10.5465/19416520.2011.574506. </w:t>
      </w:r>
    </w:p>
    <w:p w14:paraId="136B5301"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lastRenderedPageBreak/>
        <w:t>The Transfer of Undertakings (Protection of Employment) Regulations 2006</w:t>
      </w:r>
      <w:r w:rsidRPr="009467E7">
        <w:rPr>
          <w:rFonts w:ascii="Arial" w:eastAsia="Times New Roman" w:hAnsi="Arial" w:cs="Arial"/>
          <w:sz w:val="24"/>
          <w:szCs w:val="24"/>
          <w:lang w:eastAsia="en-GB"/>
        </w:rPr>
        <w:t>. Available at: https://www.legislation.gov.uk/uksi/2006/246/contents.</w:t>
      </w:r>
    </w:p>
    <w:p w14:paraId="175C04BD"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Wilkinson, A. and Fay, C. (2011) ‘New times for employee voice?’ </w:t>
      </w:r>
      <w:r w:rsidRPr="009467E7">
        <w:rPr>
          <w:rFonts w:ascii="Arial" w:eastAsia="Times New Roman" w:hAnsi="Arial" w:cs="Arial"/>
          <w:i/>
          <w:iCs/>
          <w:sz w:val="24"/>
          <w:szCs w:val="24"/>
          <w:lang w:eastAsia="en-GB"/>
        </w:rPr>
        <w:t>Human Resource Management</w:t>
      </w:r>
      <w:r w:rsidRPr="009467E7">
        <w:rPr>
          <w:rFonts w:ascii="Arial" w:eastAsia="Times New Roman" w:hAnsi="Arial" w:cs="Arial"/>
          <w:sz w:val="24"/>
          <w:szCs w:val="24"/>
          <w:lang w:eastAsia="en-GB"/>
        </w:rPr>
        <w:t xml:space="preserve"> 50(1), pp. 65–74. Available at: https://onlinelibrary.wiley.com/doi/abs/10.1002/hrm.20411 (Accessed: 1 May 2026).</w:t>
      </w:r>
    </w:p>
    <w:p w14:paraId="4B53498A"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5390481"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076EACBF"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BE5D3BC"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7AF89D8C"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EC1044A"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DCE4B3F"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CF0CA8B" w14:textId="77777777" w:rsidR="00C9293D" w:rsidRPr="009467E7" w:rsidRDefault="00C9293D" w:rsidP="00C9293D">
      <w:pPr>
        <w:widowControl w:val="0"/>
        <w:autoSpaceDE w:val="0"/>
        <w:autoSpaceDN w:val="0"/>
        <w:adjustRightInd w:val="0"/>
        <w:spacing w:after="240" w:line="360" w:lineRule="auto"/>
        <w:rPr>
          <w:rFonts w:ascii="Arial" w:eastAsiaTheme="minorEastAsia" w:hAnsi="Arial" w:cs="Arial"/>
          <w:sz w:val="24"/>
          <w:szCs w:val="24"/>
          <w:lang w:eastAsia="en-GB"/>
          <w14:ligatures w14:val="standardContextual"/>
        </w:rPr>
      </w:pPr>
    </w:p>
    <w:p w14:paraId="2C96FB95" w14:textId="77777777" w:rsidR="00C9293D" w:rsidRPr="009467E7" w:rsidRDefault="00C9293D" w:rsidP="00C9293D">
      <w:pPr>
        <w:widowControl w:val="0"/>
        <w:autoSpaceDE w:val="0"/>
        <w:autoSpaceDN w:val="0"/>
        <w:adjustRightInd w:val="0"/>
        <w:spacing w:after="240" w:line="360" w:lineRule="auto"/>
        <w:rPr>
          <w:rFonts w:ascii="Arial" w:eastAsiaTheme="minorEastAsia" w:hAnsi="Arial" w:cs="Arial"/>
          <w:kern w:val="2"/>
          <w:sz w:val="24"/>
          <w:szCs w:val="24"/>
          <w:lang w:eastAsia="en-GB"/>
          <w14:ligatures w14:val="standardContextual"/>
        </w:rPr>
      </w:pPr>
    </w:p>
    <w:p w14:paraId="0DEC7EDE" w14:textId="77777777" w:rsidR="009D5872" w:rsidRPr="009467E7" w:rsidRDefault="009D5872">
      <w:pPr>
        <w:rPr>
          <w:rFonts w:ascii="Arial" w:hAnsi="Arial" w:cs="Arial"/>
          <w:sz w:val="24"/>
          <w:szCs w:val="24"/>
        </w:rPr>
      </w:pPr>
    </w:p>
    <w:sectPr w:rsidR="009D5872" w:rsidRPr="009467E7" w:rsidSect="00754320">
      <w:footerReference w:type="default" r:id="rId10"/>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C5BD0" w14:textId="77777777" w:rsidR="000D2E56" w:rsidRDefault="000D2E56" w:rsidP="00FE471F">
      <w:pPr>
        <w:spacing w:after="0" w:line="240" w:lineRule="auto"/>
      </w:pPr>
      <w:r>
        <w:separator/>
      </w:r>
    </w:p>
  </w:endnote>
  <w:endnote w:type="continuationSeparator" w:id="0">
    <w:p w14:paraId="708B587C" w14:textId="77777777" w:rsidR="000D2E56" w:rsidRDefault="000D2E56" w:rsidP="00FE4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991807"/>
      <w:docPartObj>
        <w:docPartGallery w:val="Page Numbers (Bottom of Page)"/>
        <w:docPartUnique/>
      </w:docPartObj>
    </w:sdtPr>
    <w:sdtContent>
      <w:p w14:paraId="41E576F7" w14:textId="42BA1999" w:rsidR="00FE471F" w:rsidRDefault="00FE471F">
        <w:pPr>
          <w:pStyle w:val="Footer"/>
          <w:jc w:val="center"/>
        </w:pPr>
        <w:r>
          <w:fldChar w:fldCharType="begin"/>
        </w:r>
        <w:r>
          <w:instrText>PAGE   \* MERGEFORMAT</w:instrText>
        </w:r>
        <w:r>
          <w:fldChar w:fldCharType="separate"/>
        </w:r>
        <w:r>
          <w:t>2</w:t>
        </w:r>
        <w:r>
          <w:fldChar w:fldCharType="end"/>
        </w:r>
      </w:p>
    </w:sdtContent>
  </w:sdt>
  <w:p w14:paraId="62F50625" w14:textId="77777777" w:rsidR="00FE471F" w:rsidRDefault="00FE4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9699A" w14:textId="77777777" w:rsidR="000D2E56" w:rsidRDefault="000D2E56" w:rsidP="00FE471F">
      <w:pPr>
        <w:spacing w:after="0" w:line="240" w:lineRule="auto"/>
      </w:pPr>
      <w:r>
        <w:separator/>
      </w:r>
    </w:p>
  </w:footnote>
  <w:footnote w:type="continuationSeparator" w:id="0">
    <w:p w14:paraId="1EF7D2C0" w14:textId="77777777" w:rsidR="000D2E56" w:rsidRDefault="000D2E56" w:rsidP="00FE4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2B0"/>
    <w:multiLevelType w:val="hybridMultilevel"/>
    <w:tmpl w:val="E9B461EA"/>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E7157"/>
    <w:multiLevelType w:val="hybridMultilevel"/>
    <w:tmpl w:val="B36E2502"/>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E3C0D"/>
    <w:multiLevelType w:val="hybridMultilevel"/>
    <w:tmpl w:val="05F85D74"/>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52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4A0B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FFE346E"/>
    <w:multiLevelType w:val="hybridMultilevel"/>
    <w:tmpl w:val="10AAB94C"/>
    <w:lvl w:ilvl="0" w:tplc="718EDE0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24731B"/>
    <w:multiLevelType w:val="hybridMultilevel"/>
    <w:tmpl w:val="0774576E"/>
    <w:lvl w:ilvl="0" w:tplc="8A58F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1D32D59"/>
    <w:multiLevelType w:val="multilevel"/>
    <w:tmpl w:val="99283220"/>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F6D5B5A"/>
    <w:multiLevelType w:val="hybridMultilevel"/>
    <w:tmpl w:val="A03C845C"/>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160262">
    <w:abstractNumId w:val="6"/>
  </w:num>
  <w:num w:numId="2" w16cid:durableId="218715989">
    <w:abstractNumId w:val="1"/>
  </w:num>
  <w:num w:numId="3" w16cid:durableId="60061211">
    <w:abstractNumId w:val="8"/>
  </w:num>
  <w:num w:numId="4" w16cid:durableId="646663721">
    <w:abstractNumId w:val="0"/>
  </w:num>
  <w:num w:numId="5" w16cid:durableId="1729569321">
    <w:abstractNumId w:val="2"/>
  </w:num>
  <w:num w:numId="6" w16cid:durableId="1597594167">
    <w:abstractNumId w:val="4"/>
  </w:num>
  <w:num w:numId="7" w16cid:durableId="1846043892">
    <w:abstractNumId w:val="3"/>
  </w:num>
  <w:num w:numId="8" w16cid:durableId="320231721">
    <w:abstractNumId w:val="5"/>
  </w:num>
  <w:num w:numId="9" w16cid:durableId="20381900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93D"/>
    <w:rsid w:val="000040CE"/>
    <w:rsid w:val="00020237"/>
    <w:rsid w:val="000D2E56"/>
    <w:rsid w:val="001F6B21"/>
    <w:rsid w:val="00267D4A"/>
    <w:rsid w:val="0027250A"/>
    <w:rsid w:val="002E1661"/>
    <w:rsid w:val="003059AC"/>
    <w:rsid w:val="00327CEC"/>
    <w:rsid w:val="003C1D62"/>
    <w:rsid w:val="003C692C"/>
    <w:rsid w:val="00404848"/>
    <w:rsid w:val="00425612"/>
    <w:rsid w:val="004C0DC6"/>
    <w:rsid w:val="004E213D"/>
    <w:rsid w:val="005515A5"/>
    <w:rsid w:val="005C0E02"/>
    <w:rsid w:val="005D71AD"/>
    <w:rsid w:val="006D72FF"/>
    <w:rsid w:val="00754320"/>
    <w:rsid w:val="007562E5"/>
    <w:rsid w:val="007B39E9"/>
    <w:rsid w:val="007C43A2"/>
    <w:rsid w:val="007E30F7"/>
    <w:rsid w:val="00824A34"/>
    <w:rsid w:val="0089465B"/>
    <w:rsid w:val="008A6CC5"/>
    <w:rsid w:val="008D2D2B"/>
    <w:rsid w:val="008E5B36"/>
    <w:rsid w:val="009467E7"/>
    <w:rsid w:val="009B5C72"/>
    <w:rsid w:val="009D5872"/>
    <w:rsid w:val="00A107EB"/>
    <w:rsid w:val="00A74230"/>
    <w:rsid w:val="00AF7591"/>
    <w:rsid w:val="00B87002"/>
    <w:rsid w:val="00BA0B1A"/>
    <w:rsid w:val="00BA0F78"/>
    <w:rsid w:val="00BC2ABB"/>
    <w:rsid w:val="00C10743"/>
    <w:rsid w:val="00C21EE1"/>
    <w:rsid w:val="00C9293D"/>
    <w:rsid w:val="00CB55D4"/>
    <w:rsid w:val="00D14AFF"/>
    <w:rsid w:val="00D329D4"/>
    <w:rsid w:val="00D40BAA"/>
    <w:rsid w:val="00D42F21"/>
    <w:rsid w:val="00D941D0"/>
    <w:rsid w:val="00DB20E5"/>
    <w:rsid w:val="00E9608E"/>
    <w:rsid w:val="00EC6A73"/>
    <w:rsid w:val="00F2028E"/>
    <w:rsid w:val="00F56755"/>
    <w:rsid w:val="00FC60C0"/>
    <w:rsid w:val="00FE47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A2BB8"/>
  <w15:chartTrackingRefBased/>
  <w15:docId w15:val="{808C2D7D-61B6-4053-8BBF-B428733E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755"/>
    <w:pPr>
      <w:keepNext/>
      <w:keepLines/>
      <w:numPr>
        <w:numId w:val="9"/>
      </w:numPr>
      <w:spacing w:before="360" w:after="80"/>
      <w:outlineLvl w:val="0"/>
    </w:pPr>
    <w:rPr>
      <w:rFonts w:ascii="Arial" w:eastAsiaTheme="majorEastAsia" w:hAnsi="Arial" w:cstheme="majorBidi"/>
      <w:b/>
      <w:color w:val="000000" w:themeColor="text1"/>
      <w:sz w:val="24"/>
      <w:szCs w:val="40"/>
    </w:rPr>
  </w:style>
  <w:style w:type="paragraph" w:styleId="Heading2">
    <w:name w:val="heading 2"/>
    <w:basedOn w:val="Normal"/>
    <w:next w:val="Normal"/>
    <w:link w:val="Heading2Char"/>
    <w:uiPriority w:val="9"/>
    <w:unhideWhenUsed/>
    <w:qFormat/>
    <w:rsid w:val="00D941D0"/>
    <w:pPr>
      <w:keepNext/>
      <w:keepLines/>
      <w:numPr>
        <w:ilvl w:val="1"/>
        <w:numId w:val="9"/>
      </w:numPr>
      <w:spacing w:before="160" w:after="8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unhideWhenUsed/>
    <w:qFormat/>
    <w:rsid w:val="00C9293D"/>
    <w:pPr>
      <w:keepNext/>
      <w:keepLines/>
      <w:numPr>
        <w:ilvl w:val="2"/>
        <w:numId w:val="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93D"/>
    <w:pPr>
      <w:keepNext/>
      <w:keepLines/>
      <w:numPr>
        <w:ilvl w:val="3"/>
        <w:numId w:val="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93D"/>
    <w:pPr>
      <w:keepNext/>
      <w:keepLines/>
      <w:numPr>
        <w:ilvl w:val="4"/>
        <w:numId w:val="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93D"/>
    <w:pPr>
      <w:keepNext/>
      <w:keepLines/>
      <w:numPr>
        <w:ilvl w:val="5"/>
        <w:numId w:val="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93D"/>
    <w:pPr>
      <w:keepNext/>
      <w:keepLines/>
      <w:numPr>
        <w:ilvl w:val="6"/>
        <w:numId w:val="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93D"/>
    <w:pPr>
      <w:keepNext/>
      <w:keepLines/>
      <w:numPr>
        <w:ilvl w:val="7"/>
        <w:numId w:val="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93D"/>
    <w:pPr>
      <w:keepNext/>
      <w:keepLines/>
      <w:numPr>
        <w:ilvl w:val="8"/>
        <w:numId w:val="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55"/>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rsid w:val="00D941D0"/>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C92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93D"/>
    <w:rPr>
      <w:rFonts w:eastAsiaTheme="majorEastAsia" w:cstheme="majorBidi"/>
      <w:color w:val="272727" w:themeColor="text1" w:themeTint="D8"/>
    </w:rPr>
  </w:style>
  <w:style w:type="paragraph" w:styleId="Title">
    <w:name w:val="Title"/>
    <w:basedOn w:val="Normal"/>
    <w:next w:val="Normal"/>
    <w:link w:val="TitleChar"/>
    <w:uiPriority w:val="10"/>
    <w:qFormat/>
    <w:rsid w:val="00C92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93D"/>
    <w:pPr>
      <w:spacing w:before="160"/>
      <w:jc w:val="center"/>
    </w:pPr>
    <w:rPr>
      <w:i/>
      <w:iCs/>
      <w:color w:val="404040" w:themeColor="text1" w:themeTint="BF"/>
    </w:rPr>
  </w:style>
  <w:style w:type="character" w:customStyle="1" w:styleId="QuoteChar">
    <w:name w:val="Quote Char"/>
    <w:basedOn w:val="DefaultParagraphFont"/>
    <w:link w:val="Quote"/>
    <w:uiPriority w:val="29"/>
    <w:rsid w:val="00C9293D"/>
    <w:rPr>
      <w:i/>
      <w:iCs/>
      <w:color w:val="404040" w:themeColor="text1" w:themeTint="BF"/>
    </w:rPr>
  </w:style>
  <w:style w:type="paragraph" w:styleId="ListParagraph">
    <w:name w:val="List Paragraph"/>
    <w:basedOn w:val="Normal"/>
    <w:uiPriority w:val="34"/>
    <w:qFormat/>
    <w:rsid w:val="00C9293D"/>
    <w:pPr>
      <w:ind w:left="720"/>
      <w:contextualSpacing/>
    </w:pPr>
  </w:style>
  <w:style w:type="character" w:styleId="IntenseEmphasis">
    <w:name w:val="Intense Emphasis"/>
    <w:basedOn w:val="DefaultParagraphFont"/>
    <w:uiPriority w:val="21"/>
    <w:qFormat/>
    <w:rsid w:val="00C9293D"/>
    <w:rPr>
      <w:i/>
      <w:iCs/>
      <w:color w:val="0F4761" w:themeColor="accent1" w:themeShade="BF"/>
    </w:rPr>
  </w:style>
  <w:style w:type="paragraph" w:styleId="IntenseQuote">
    <w:name w:val="Intense Quote"/>
    <w:basedOn w:val="Normal"/>
    <w:next w:val="Normal"/>
    <w:link w:val="IntenseQuoteChar"/>
    <w:uiPriority w:val="30"/>
    <w:qFormat/>
    <w:rsid w:val="00C92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93D"/>
    <w:rPr>
      <w:i/>
      <w:iCs/>
      <w:color w:val="0F4761" w:themeColor="accent1" w:themeShade="BF"/>
    </w:rPr>
  </w:style>
  <w:style w:type="character" w:styleId="IntenseReference">
    <w:name w:val="Intense Reference"/>
    <w:basedOn w:val="DefaultParagraphFont"/>
    <w:uiPriority w:val="32"/>
    <w:qFormat/>
    <w:rsid w:val="00C9293D"/>
    <w:rPr>
      <w:b/>
      <w:bCs/>
      <w:smallCaps/>
      <w:color w:val="0F4761" w:themeColor="accent1" w:themeShade="BF"/>
      <w:spacing w:val="5"/>
    </w:rPr>
  </w:style>
  <w:style w:type="paragraph" w:styleId="Header">
    <w:name w:val="header"/>
    <w:basedOn w:val="Normal"/>
    <w:link w:val="HeaderChar"/>
    <w:uiPriority w:val="99"/>
    <w:unhideWhenUsed/>
    <w:rsid w:val="00FE4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1F"/>
  </w:style>
  <w:style w:type="paragraph" w:styleId="Footer">
    <w:name w:val="footer"/>
    <w:basedOn w:val="Normal"/>
    <w:link w:val="FooterChar"/>
    <w:uiPriority w:val="99"/>
    <w:unhideWhenUsed/>
    <w:rsid w:val="00FE4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1F"/>
  </w:style>
  <w:style w:type="paragraph" w:styleId="NoSpacing">
    <w:name w:val="No Spacing"/>
    <w:link w:val="NoSpacingChar"/>
    <w:uiPriority w:val="1"/>
    <w:qFormat/>
    <w:rsid w:val="00404848"/>
    <w:pPr>
      <w:spacing w:after="0" w:line="240" w:lineRule="auto"/>
    </w:pPr>
  </w:style>
  <w:style w:type="paragraph" w:styleId="TOCHeading">
    <w:name w:val="TOC Heading"/>
    <w:basedOn w:val="Heading1"/>
    <w:next w:val="Normal"/>
    <w:uiPriority w:val="39"/>
    <w:unhideWhenUsed/>
    <w:qFormat/>
    <w:rsid w:val="009B5C72"/>
    <w:pPr>
      <w:numPr>
        <w:numId w:val="0"/>
      </w:numPr>
      <w:spacing w:before="240" w:after="0"/>
      <w:outlineLvl w:val="9"/>
    </w:pPr>
    <w:rPr>
      <w:rFonts w:asciiTheme="majorHAnsi" w:hAnsiTheme="majorHAnsi"/>
      <w:b w:val="0"/>
      <w:color w:val="0F4761" w:themeColor="accent1" w:themeShade="BF"/>
      <w:sz w:val="32"/>
      <w:szCs w:val="32"/>
      <w:lang w:eastAsia="en-GB"/>
    </w:rPr>
  </w:style>
  <w:style w:type="paragraph" w:styleId="TOC1">
    <w:name w:val="toc 1"/>
    <w:basedOn w:val="Normal"/>
    <w:next w:val="Normal"/>
    <w:autoRedefine/>
    <w:uiPriority w:val="39"/>
    <w:unhideWhenUsed/>
    <w:rsid w:val="009B5C72"/>
    <w:pPr>
      <w:spacing w:after="100"/>
    </w:pPr>
  </w:style>
  <w:style w:type="paragraph" w:styleId="TOC2">
    <w:name w:val="toc 2"/>
    <w:basedOn w:val="Normal"/>
    <w:next w:val="Normal"/>
    <w:autoRedefine/>
    <w:uiPriority w:val="39"/>
    <w:unhideWhenUsed/>
    <w:rsid w:val="009B5C72"/>
    <w:pPr>
      <w:spacing w:after="100"/>
      <w:ind w:left="220"/>
    </w:pPr>
  </w:style>
  <w:style w:type="character" w:styleId="Hyperlink">
    <w:name w:val="Hyperlink"/>
    <w:basedOn w:val="DefaultParagraphFont"/>
    <w:uiPriority w:val="99"/>
    <w:unhideWhenUsed/>
    <w:rsid w:val="009B5C72"/>
    <w:rPr>
      <w:color w:val="467886" w:themeColor="hyperlink"/>
      <w:u w:val="single"/>
    </w:rPr>
  </w:style>
  <w:style w:type="character" w:customStyle="1" w:styleId="NoSpacingChar">
    <w:name w:val="No Spacing Char"/>
    <w:basedOn w:val="DefaultParagraphFont"/>
    <w:link w:val="NoSpacing"/>
    <w:uiPriority w:val="1"/>
    <w:rsid w:val="00754320"/>
  </w:style>
  <w:style w:type="character" w:styleId="UnresolvedMention">
    <w:name w:val="Unresolved Mention"/>
    <w:basedOn w:val="DefaultParagraphFont"/>
    <w:uiPriority w:val="99"/>
    <w:semiHidden/>
    <w:unhideWhenUsed/>
    <w:rsid w:val="000202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SC/2011/4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25F7D-E9B4-4D8D-894F-1B429CBD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4790</Words>
  <Characters>27307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Moving Beyond Compliance: Employment Law Risks and Employee Relations Improvement Strategy for Elmbridge Electronics Ltd</vt:lpstr>
    </vt:vector>
  </TitlesOfParts>
  <Company/>
  <LinksUpToDate>false</LinksUpToDate>
  <CharactersWithSpaces>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Beyond Compliance: Employment Law Risks and Employee Relations Improvement Strategy for Elmbridge Electronics Ltd</dc:title>
  <dc:subject/>
  <dc:creator>Olivia Jenkins</dc:creator>
  <cp:keywords/>
  <dc:description/>
  <cp:lastModifiedBy>Olivia Jenkins</cp:lastModifiedBy>
  <cp:revision>4</cp:revision>
  <dcterms:created xsi:type="dcterms:W3CDTF">2026-05-11T19:58:00Z</dcterms:created>
  <dcterms:modified xsi:type="dcterms:W3CDTF">2026-05-11T20:02:00Z</dcterms:modified>
</cp:coreProperties>
</file>