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346AF" w14:textId="70A07D64" w:rsidR="005211F1" w:rsidRPr="00E848AA" w:rsidRDefault="00882222" w:rsidP="00E848AA">
      <w:pPr>
        <w:jc w:val="center"/>
        <w:rPr>
          <w:b/>
          <w:bCs/>
        </w:rPr>
      </w:pPr>
      <w:r>
        <w:rPr>
          <w:b/>
          <w:bCs/>
        </w:rPr>
        <w:t xml:space="preserve">NPGL </w:t>
      </w:r>
      <w:r w:rsidR="001261E1">
        <w:rPr>
          <w:b/>
          <w:bCs/>
        </w:rPr>
        <w:t xml:space="preserve">Financial </w:t>
      </w:r>
      <w:r>
        <w:rPr>
          <w:b/>
          <w:bCs/>
        </w:rPr>
        <w:t>Repo</w:t>
      </w:r>
      <w:r w:rsidR="00E848AA">
        <w:rPr>
          <w:b/>
          <w:bCs/>
        </w:rPr>
        <w:t xml:space="preserve">rt </w:t>
      </w:r>
    </w:p>
    <w:p w14:paraId="1BDB779A" w14:textId="77777777" w:rsidR="005211F1" w:rsidRPr="00F917CB" w:rsidRDefault="005211F1" w:rsidP="005211F1">
      <w:pPr>
        <w:jc w:val="center"/>
      </w:pPr>
    </w:p>
    <w:p w14:paraId="0F53848C" w14:textId="5011FB66" w:rsidR="005211F1" w:rsidRDefault="005211F1" w:rsidP="00E848AA"/>
    <w:p w14:paraId="5CE645D4" w14:textId="714D0CA6" w:rsidR="00E848AA" w:rsidRDefault="00E848AA" w:rsidP="00E848AA">
      <w:r>
        <w:t xml:space="preserve">                                                   Adelina-Victoria Dumitru 2015292</w:t>
      </w:r>
    </w:p>
    <w:p w14:paraId="09B35248" w14:textId="3F684C6E" w:rsidR="00E848AA" w:rsidRDefault="00E848AA" w:rsidP="00E848AA"/>
    <w:p w14:paraId="1F48DB40" w14:textId="490FDE12" w:rsidR="00E848AA" w:rsidRDefault="00E848AA" w:rsidP="00E848AA"/>
    <w:p w14:paraId="00C73EBF" w14:textId="76BECF91" w:rsidR="00E848AA" w:rsidRDefault="00E848AA" w:rsidP="00E848AA"/>
    <w:p w14:paraId="112DF7FF" w14:textId="33EB297A" w:rsidR="00E848AA" w:rsidRDefault="00E848AA" w:rsidP="00E848AA"/>
    <w:p w14:paraId="5FA2F9D2" w14:textId="0A56D897" w:rsidR="00E848AA" w:rsidRDefault="00E848AA" w:rsidP="00E848AA"/>
    <w:p w14:paraId="40BFD087" w14:textId="19AFA350" w:rsidR="00E848AA" w:rsidRDefault="00E848AA" w:rsidP="00E848AA"/>
    <w:p w14:paraId="0218E67E" w14:textId="104F2C9E" w:rsidR="00E848AA" w:rsidRDefault="00E848AA" w:rsidP="00E848AA"/>
    <w:p w14:paraId="486F6FC2" w14:textId="77777777" w:rsidR="00E848AA" w:rsidRDefault="00E848AA" w:rsidP="00E848AA"/>
    <w:p w14:paraId="443EF2DB" w14:textId="3DF7A788" w:rsidR="00E848AA" w:rsidRDefault="00E848AA" w:rsidP="00E848AA"/>
    <w:p w14:paraId="60E2DC6E" w14:textId="77777777" w:rsidR="00E848AA" w:rsidRPr="00F917CB" w:rsidRDefault="00E848AA" w:rsidP="00E848AA"/>
    <w:sdt>
      <w:sdtPr>
        <w:rPr>
          <w:rFonts w:ascii="Times New Roman" w:eastAsiaTheme="minorHAnsi" w:hAnsi="Times New Roman" w:cs="Times New Roman"/>
          <w:color w:val="auto"/>
          <w:sz w:val="24"/>
          <w:szCs w:val="24"/>
          <w:lang w:val="en-GB"/>
        </w:rPr>
        <w:id w:val="1132055359"/>
        <w:docPartObj>
          <w:docPartGallery w:val="Table of Contents"/>
          <w:docPartUnique/>
        </w:docPartObj>
      </w:sdtPr>
      <w:sdtEndPr>
        <w:rPr>
          <w:noProof/>
        </w:rPr>
      </w:sdtEndPr>
      <w:sdtContent>
        <w:p w14:paraId="12109527" w14:textId="77777777" w:rsidR="005211F1" w:rsidRPr="00457B6A" w:rsidRDefault="005211F1" w:rsidP="005211F1">
          <w:pPr>
            <w:pStyle w:val="TOCHeading"/>
            <w:jc w:val="center"/>
            <w:rPr>
              <w:b/>
              <w:bCs/>
              <w:color w:val="000000" w:themeColor="text1"/>
              <w:sz w:val="24"/>
              <w:szCs w:val="24"/>
            </w:rPr>
          </w:pPr>
          <w:r w:rsidRPr="00457B6A">
            <w:rPr>
              <w:b/>
              <w:bCs/>
              <w:color w:val="000000" w:themeColor="text1"/>
              <w:sz w:val="24"/>
              <w:szCs w:val="24"/>
            </w:rPr>
            <w:t>Table of Contents</w:t>
          </w:r>
        </w:p>
        <w:p w14:paraId="1E706F7E" w14:textId="6BFAA182" w:rsidR="009D198C" w:rsidRDefault="005211F1">
          <w:pPr>
            <w:pStyle w:val="TOC1"/>
            <w:tabs>
              <w:tab w:val="right" w:leader="dot" w:pos="9350"/>
            </w:tabs>
            <w:rPr>
              <w:rFonts w:asciiTheme="minorHAnsi" w:eastAsiaTheme="minorEastAsia" w:hAnsiTheme="minorHAnsi" w:cstheme="minorBidi"/>
              <w:noProof/>
              <w:sz w:val="22"/>
              <w:szCs w:val="22"/>
              <w:lang w:eastAsia="en-GB"/>
            </w:rPr>
          </w:pPr>
          <w:r w:rsidRPr="00F917CB">
            <w:fldChar w:fldCharType="begin"/>
          </w:r>
          <w:r w:rsidRPr="00F917CB">
            <w:instrText xml:space="preserve"> TOC \o "1-3" \h \z \u </w:instrText>
          </w:r>
          <w:r w:rsidRPr="00F917CB">
            <w:fldChar w:fldCharType="separate"/>
          </w:r>
          <w:hyperlink w:anchor="_Toc97132606" w:history="1">
            <w:r w:rsidR="009D198C" w:rsidRPr="00E17B3B">
              <w:rPr>
                <w:rStyle w:val="Hyperlink"/>
                <w:noProof/>
              </w:rPr>
              <w:t>Introduction</w:t>
            </w:r>
            <w:r w:rsidR="009D198C">
              <w:rPr>
                <w:noProof/>
                <w:webHidden/>
              </w:rPr>
              <w:tab/>
            </w:r>
            <w:r w:rsidR="009D198C">
              <w:rPr>
                <w:noProof/>
                <w:webHidden/>
              </w:rPr>
              <w:fldChar w:fldCharType="begin"/>
            </w:r>
            <w:r w:rsidR="009D198C">
              <w:rPr>
                <w:noProof/>
                <w:webHidden/>
              </w:rPr>
              <w:instrText xml:space="preserve"> PAGEREF _Toc97132606 \h </w:instrText>
            </w:r>
            <w:r w:rsidR="009D198C">
              <w:rPr>
                <w:noProof/>
                <w:webHidden/>
              </w:rPr>
            </w:r>
            <w:r w:rsidR="009D198C">
              <w:rPr>
                <w:noProof/>
                <w:webHidden/>
              </w:rPr>
              <w:fldChar w:fldCharType="separate"/>
            </w:r>
            <w:r w:rsidR="009D198C">
              <w:rPr>
                <w:noProof/>
                <w:webHidden/>
              </w:rPr>
              <w:t>3</w:t>
            </w:r>
            <w:r w:rsidR="009D198C">
              <w:rPr>
                <w:noProof/>
                <w:webHidden/>
              </w:rPr>
              <w:fldChar w:fldCharType="end"/>
            </w:r>
          </w:hyperlink>
        </w:p>
        <w:p w14:paraId="5A71F3C9" w14:textId="462639DF" w:rsidR="009D198C" w:rsidRDefault="00747597">
          <w:pPr>
            <w:pStyle w:val="TOC1"/>
            <w:tabs>
              <w:tab w:val="right" w:leader="dot" w:pos="9350"/>
            </w:tabs>
            <w:rPr>
              <w:rFonts w:asciiTheme="minorHAnsi" w:eastAsiaTheme="minorEastAsia" w:hAnsiTheme="minorHAnsi" w:cstheme="minorBidi"/>
              <w:noProof/>
              <w:sz w:val="22"/>
              <w:szCs w:val="22"/>
              <w:lang w:eastAsia="en-GB"/>
            </w:rPr>
          </w:pPr>
          <w:hyperlink w:anchor="_Toc97132607" w:history="1">
            <w:r w:rsidR="009D198C" w:rsidRPr="00E17B3B">
              <w:rPr>
                <w:rStyle w:val="Hyperlink"/>
                <w:noProof/>
              </w:rPr>
              <w:t>Section 1:</w:t>
            </w:r>
            <w:r w:rsidR="009D198C">
              <w:rPr>
                <w:noProof/>
                <w:webHidden/>
              </w:rPr>
              <w:tab/>
            </w:r>
            <w:r w:rsidR="009D198C">
              <w:rPr>
                <w:noProof/>
                <w:webHidden/>
              </w:rPr>
              <w:fldChar w:fldCharType="begin"/>
            </w:r>
            <w:r w:rsidR="009D198C">
              <w:rPr>
                <w:noProof/>
                <w:webHidden/>
              </w:rPr>
              <w:instrText xml:space="preserve"> PAGEREF _Toc97132607 \h </w:instrText>
            </w:r>
            <w:r w:rsidR="009D198C">
              <w:rPr>
                <w:noProof/>
                <w:webHidden/>
              </w:rPr>
            </w:r>
            <w:r w:rsidR="009D198C">
              <w:rPr>
                <w:noProof/>
                <w:webHidden/>
              </w:rPr>
              <w:fldChar w:fldCharType="separate"/>
            </w:r>
            <w:r w:rsidR="009D198C">
              <w:rPr>
                <w:noProof/>
                <w:webHidden/>
              </w:rPr>
              <w:t>3</w:t>
            </w:r>
            <w:r w:rsidR="009D198C">
              <w:rPr>
                <w:noProof/>
                <w:webHidden/>
              </w:rPr>
              <w:fldChar w:fldCharType="end"/>
            </w:r>
          </w:hyperlink>
        </w:p>
        <w:p w14:paraId="60A25D01" w14:textId="00F8BEDE" w:rsidR="009D198C" w:rsidRDefault="00747597">
          <w:pPr>
            <w:pStyle w:val="TOC2"/>
            <w:tabs>
              <w:tab w:val="left" w:pos="880"/>
              <w:tab w:val="right" w:leader="dot" w:pos="9350"/>
            </w:tabs>
            <w:rPr>
              <w:rFonts w:asciiTheme="minorHAnsi" w:eastAsiaTheme="minorEastAsia" w:hAnsiTheme="minorHAnsi" w:cstheme="minorBidi"/>
              <w:noProof/>
              <w:sz w:val="22"/>
              <w:szCs w:val="22"/>
              <w:lang w:eastAsia="en-GB"/>
            </w:rPr>
          </w:pPr>
          <w:hyperlink w:anchor="_Toc97132608" w:history="1">
            <w:r w:rsidR="009D198C" w:rsidRPr="00E17B3B">
              <w:rPr>
                <w:rStyle w:val="Hyperlink"/>
                <w:noProof/>
              </w:rPr>
              <w:t>(i)</w:t>
            </w:r>
            <w:r w:rsidR="009D198C">
              <w:rPr>
                <w:rFonts w:asciiTheme="minorHAnsi" w:eastAsiaTheme="minorEastAsia" w:hAnsiTheme="minorHAnsi" w:cstheme="minorBidi"/>
                <w:noProof/>
                <w:sz w:val="22"/>
                <w:szCs w:val="22"/>
                <w:lang w:eastAsia="en-GB"/>
              </w:rPr>
              <w:tab/>
            </w:r>
            <w:r w:rsidR="009D198C" w:rsidRPr="00E17B3B">
              <w:rPr>
                <w:rStyle w:val="Hyperlink"/>
                <w:noProof/>
              </w:rPr>
              <w:t>Create a monthly control report that shows the initial budget, the flexed budget, and the deviations from the original plan:</w:t>
            </w:r>
            <w:r w:rsidR="009D198C">
              <w:rPr>
                <w:noProof/>
                <w:webHidden/>
              </w:rPr>
              <w:tab/>
            </w:r>
            <w:r w:rsidR="009D198C">
              <w:rPr>
                <w:noProof/>
                <w:webHidden/>
              </w:rPr>
              <w:fldChar w:fldCharType="begin"/>
            </w:r>
            <w:r w:rsidR="009D198C">
              <w:rPr>
                <w:noProof/>
                <w:webHidden/>
              </w:rPr>
              <w:instrText xml:space="preserve"> PAGEREF _Toc97132608 \h </w:instrText>
            </w:r>
            <w:r w:rsidR="009D198C">
              <w:rPr>
                <w:noProof/>
                <w:webHidden/>
              </w:rPr>
            </w:r>
            <w:r w:rsidR="009D198C">
              <w:rPr>
                <w:noProof/>
                <w:webHidden/>
              </w:rPr>
              <w:fldChar w:fldCharType="separate"/>
            </w:r>
            <w:r w:rsidR="009D198C">
              <w:rPr>
                <w:noProof/>
                <w:webHidden/>
              </w:rPr>
              <w:t>3</w:t>
            </w:r>
            <w:r w:rsidR="009D198C">
              <w:rPr>
                <w:noProof/>
                <w:webHidden/>
              </w:rPr>
              <w:fldChar w:fldCharType="end"/>
            </w:r>
          </w:hyperlink>
        </w:p>
        <w:p w14:paraId="4FD6DA49" w14:textId="2C9F2D3A" w:rsidR="009D198C" w:rsidRDefault="00747597">
          <w:pPr>
            <w:pStyle w:val="TOC2"/>
            <w:tabs>
              <w:tab w:val="left" w:pos="880"/>
              <w:tab w:val="right" w:leader="dot" w:pos="9350"/>
            </w:tabs>
            <w:rPr>
              <w:rFonts w:asciiTheme="minorHAnsi" w:eastAsiaTheme="minorEastAsia" w:hAnsiTheme="minorHAnsi" w:cstheme="minorBidi"/>
              <w:noProof/>
              <w:sz w:val="22"/>
              <w:szCs w:val="22"/>
              <w:lang w:eastAsia="en-GB"/>
            </w:rPr>
          </w:pPr>
          <w:hyperlink w:anchor="_Toc97132609" w:history="1">
            <w:r w:rsidR="009D198C" w:rsidRPr="00E17B3B">
              <w:rPr>
                <w:rStyle w:val="Hyperlink"/>
                <w:noProof/>
              </w:rPr>
              <w:t>(ii)</w:t>
            </w:r>
            <w:r w:rsidR="009D198C">
              <w:rPr>
                <w:rFonts w:asciiTheme="minorHAnsi" w:eastAsiaTheme="minorEastAsia" w:hAnsiTheme="minorHAnsi" w:cstheme="minorBidi"/>
                <w:noProof/>
                <w:sz w:val="22"/>
                <w:szCs w:val="22"/>
                <w:lang w:eastAsia="en-GB"/>
              </w:rPr>
              <w:tab/>
            </w:r>
            <w:r w:rsidR="009D198C" w:rsidRPr="00E17B3B">
              <w:rPr>
                <w:rStyle w:val="Hyperlink"/>
                <w:noProof/>
              </w:rPr>
              <w:t>Report on NPGL's performance in Manchester based on the cost report given in I above:</w:t>
            </w:r>
            <w:r w:rsidR="009D198C">
              <w:rPr>
                <w:noProof/>
                <w:webHidden/>
              </w:rPr>
              <w:tab/>
            </w:r>
            <w:r w:rsidR="009D198C">
              <w:rPr>
                <w:noProof/>
                <w:webHidden/>
              </w:rPr>
              <w:fldChar w:fldCharType="begin"/>
            </w:r>
            <w:r w:rsidR="009D198C">
              <w:rPr>
                <w:noProof/>
                <w:webHidden/>
              </w:rPr>
              <w:instrText xml:space="preserve"> PAGEREF _Toc97132609 \h </w:instrText>
            </w:r>
            <w:r w:rsidR="009D198C">
              <w:rPr>
                <w:noProof/>
                <w:webHidden/>
              </w:rPr>
            </w:r>
            <w:r w:rsidR="009D198C">
              <w:rPr>
                <w:noProof/>
                <w:webHidden/>
              </w:rPr>
              <w:fldChar w:fldCharType="separate"/>
            </w:r>
            <w:r w:rsidR="009D198C">
              <w:rPr>
                <w:noProof/>
                <w:webHidden/>
              </w:rPr>
              <w:t>7</w:t>
            </w:r>
            <w:r w:rsidR="009D198C">
              <w:rPr>
                <w:noProof/>
                <w:webHidden/>
              </w:rPr>
              <w:fldChar w:fldCharType="end"/>
            </w:r>
          </w:hyperlink>
        </w:p>
        <w:p w14:paraId="00810415" w14:textId="0A190DA3" w:rsidR="009D198C" w:rsidRDefault="00747597">
          <w:pPr>
            <w:pStyle w:val="TOC2"/>
            <w:tabs>
              <w:tab w:val="left" w:pos="880"/>
              <w:tab w:val="right" w:leader="dot" w:pos="9350"/>
            </w:tabs>
            <w:rPr>
              <w:rFonts w:asciiTheme="minorHAnsi" w:eastAsiaTheme="minorEastAsia" w:hAnsiTheme="minorHAnsi" w:cstheme="minorBidi"/>
              <w:noProof/>
              <w:sz w:val="22"/>
              <w:szCs w:val="22"/>
              <w:lang w:eastAsia="en-GB"/>
            </w:rPr>
          </w:pPr>
          <w:hyperlink w:anchor="_Toc97132610" w:history="1">
            <w:r w:rsidR="009D198C" w:rsidRPr="00E17B3B">
              <w:rPr>
                <w:rStyle w:val="Hyperlink"/>
                <w:noProof/>
              </w:rPr>
              <w:t>(iii)</w:t>
            </w:r>
            <w:r w:rsidR="009D198C">
              <w:rPr>
                <w:rFonts w:asciiTheme="minorHAnsi" w:eastAsiaTheme="minorEastAsia" w:hAnsiTheme="minorHAnsi" w:cstheme="minorBidi"/>
                <w:noProof/>
                <w:sz w:val="22"/>
                <w:szCs w:val="22"/>
                <w:lang w:eastAsia="en-GB"/>
              </w:rPr>
              <w:tab/>
            </w:r>
            <w:r w:rsidR="009D198C" w:rsidRPr="00E17B3B">
              <w:rPr>
                <w:rStyle w:val="Hyperlink"/>
                <w:noProof/>
              </w:rPr>
              <w:t>Provide recommendations to NPGL Boards of Directors on areas of improvement:</w:t>
            </w:r>
            <w:r w:rsidR="009D198C">
              <w:rPr>
                <w:noProof/>
                <w:webHidden/>
              </w:rPr>
              <w:tab/>
            </w:r>
            <w:r w:rsidR="009D198C">
              <w:rPr>
                <w:noProof/>
                <w:webHidden/>
              </w:rPr>
              <w:fldChar w:fldCharType="begin"/>
            </w:r>
            <w:r w:rsidR="009D198C">
              <w:rPr>
                <w:noProof/>
                <w:webHidden/>
              </w:rPr>
              <w:instrText xml:space="preserve"> PAGEREF _Toc97132610 \h </w:instrText>
            </w:r>
            <w:r w:rsidR="009D198C">
              <w:rPr>
                <w:noProof/>
                <w:webHidden/>
              </w:rPr>
            </w:r>
            <w:r w:rsidR="009D198C">
              <w:rPr>
                <w:noProof/>
                <w:webHidden/>
              </w:rPr>
              <w:fldChar w:fldCharType="separate"/>
            </w:r>
            <w:r w:rsidR="009D198C">
              <w:rPr>
                <w:noProof/>
                <w:webHidden/>
              </w:rPr>
              <w:t>8</w:t>
            </w:r>
            <w:r w:rsidR="009D198C">
              <w:rPr>
                <w:noProof/>
                <w:webHidden/>
              </w:rPr>
              <w:fldChar w:fldCharType="end"/>
            </w:r>
          </w:hyperlink>
        </w:p>
        <w:p w14:paraId="708639C5" w14:textId="08A8AD94" w:rsidR="009D198C" w:rsidRDefault="00747597">
          <w:pPr>
            <w:pStyle w:val="TOC1"/>
            <w:tabs>
              <w:tab w:val="right" w:leader="dot" w:pos="9350"/>
            </w:tabs>
            <w:rPr>
              <w:rFonts w:asciiTheme="minorHAnsi" w:eastAsiaTheme="minorEastAsia" w:hAnsiTheme="minorHAnsi" w:cstheme="minorBidi"/>
              <w:noProof/>
              <w:sz w:val="22"/>
              <w:szCs w:val="22"/>
              <w:lang w:eastAsia="en-GB"/>
            </w:rPr>
          </w:pPr>
          <w:hyperlink w:anchor="_Toc97132611" w:history="1">
            <w:r w:rsidR="009D198C" w:rsidRPr="00E17B3B">
              <w:rPr>
                <w:rStyle w:val="Hyperlink"/>
                <w:noProof/>
              </w:rPr>
              <w:t>Section B</w:t>
            </w:r>
            <w:r w:rsidR="009D198C">
              <w:rPr>
                <w:noProof/>
                <w:webHidden/>
              </w:rPr>
              <w:tab/>
            </w:r>
            <w:r w:rsidR="009D198C">
              <w:rPr>
                <w:noProof/>
                <w:webHidden/>
              </w:rPr>
              <w:fldChar w:fldCharType="begin"/>
            </w:r>
            <w:r w:rsidR="009D198C">
              <w:rPr>
                <w:noProof/>
                <w:webHidden/>
              </w:rPr>
              <w:instrText xml:space="preserve"> PAGEREF _Toc97132611 \h </w:instrText>
            </w:r>
            <w:r w:rsidR="009D198C">
              <w:rPr>
                <w:noProof/>
                <w:webHidden/>
              </w:rPr>
            </w:r>
            <w:r w:rsidR="009D198C">
              <w:rPr>
                <w:noProof/>
                <w:webHidden/>
              </w:rPr>
              <w:fldChar w:fldCharType="separate"/>
            </w:r>
            <w:r w:rsidR="009D198C">
              <w:rPr>
                <w:noProof/>
                <w:webHidden/>
              </w:rPr>
              <w:t>9</w:t>
            </w:r>
            <w:r w:rsidR="009D198C">
              <w:rPr>
                <w:noProof/>
                <w:webHidden/>
              </w:rPr>
              <w:fldChar w:fldCharType="end"/>
            </w:r>
          </w:hyperlink>
        </w:p>
        <w:p w14:paraId="686337D8" w14:textId="422FB343" w:rsidR="009D198C" w:rsidRDefault="00747597">
          <w:pPr>
            <w:pStyle w:val="TOC1"/>
            <w:tabs>
              <w:tab w:val="right" w:leader="dot" w:pos="9350"/>
            </w:tabs>
            <w:rPr>
              <w:rFonts w:asciiTheme="minorHAnsi" w:eastAsiaTheme="minorEastAsia" w:hAnsiTheme="minorHAnsi" w:cstheme="minorBidi"/>
              <w:noProof/>
              <w:sz w:val="22"/>
              <w:szCs w:val="22"/>
              <w:lang w:eastAsia="en-GB"/>
            </w:rPr>
          </w:pPr>
          <w:hyperlink w:anchor="_Toc97132612" w:history="1">
            <w:r w:rsidR="009D198C" w:rsidRPr="00E17B3B">
              <w:rPr>
                <w:rStyle w:val="Hyperlink"/>
                <w:noProof/>
              </w:rPr>
              <w:t>Report to Board of Directors at NPGL</w:t>
            </w:r>
            <w:r w:rsidR="009D198C">
              <w:rPr>
                <w:noProof/>
                <w:webHidden/>
              </w:rPr>
              <w:tab/>
            </w:r>
            <w:r w:rsidR="009D198C">
              <w:rPr>
                <w:noProof/>
                <w:webHidden/>
              </w:rPr>
              <w:fldChar w:fldCharType="begin"/>
            </w:r>
            <w:r w:rsidR="009D198C">
              <w:rPr>
                <w:noProof/>
                <w:webHidden/>
              </w:rPr>
              <w:instrText xml:space="preserve"> PAGEREF _Toc97132612 \h </w:instrText>
            </w:r>
            <w:r w:rsidR="009D198C">
              <w:rPr>
                <w:noProof/>
                <w:webHidden/>
              </w:rPr>
            </w:r>
            <w:r w:rsidR="009D198C">
              <w:rPr>
                <w:noProof/>
                <w:webHidden/>
              </w:rPr>
              <w:fldChar w:fldCharType="separate"/>
            </w:r>
            <w:r w:rsidR="009D198C">
              <w:rPr>
                <w:noProof/>
                <w:webHidden/>
              </w:rPr>
              <w:t>9</w:t>
            </w:r>
            <w:r w:rsidR="009D198C">
              <w:rPr>
                <w:noProof/>
                <w:webHidden/>
              </w:rPr>
              <w:fldChar w:fldCharType="end"/>
            </w:r>
          </w:hyperlink>
        </w:p>
        <w:p w14:paraId="416259D2" w14:textId="527090B0" w:rsidR="009D198C" w:rsidRDefault="00747597">
          <w:pPr>
            <w:pStyle w:val="TOC1"/>
            <w:tabs>
              <w:tab w:val="right" w:leader="dot" w:pos="9350"/>
            </w:tabs>
            <w:rPr>
              <w:rFonts w:asciiTheme="minorHAnsi" w:eastAsiaTheme="minorEastAsia" w:hAnsiTheme="minorHAnsi" w:cstheme="minorBidi"/>
              <w:noProof/>
              <w:sz w:val="22"/>
              <w:szCs w:val="22"/>
              <w:lang w:eastAsia="en-GB"/>
            </w:rPr>
          </w:pPr>
          <w:hyperlink w:anchor="_Toc97132613" w:history="1">
            <w:r w:rsidR="009D198C" w:rsidRPr="00E17B3B">
              <w:rPr>
                <w:rStyle w:val="Hyperlink"/>
                <w:noProof/>
              </w:rPr>
              <w:t>Conclusion</w:t>
            </w:r>
            <w:r w:rsidR="009D198C">
              <w:rPr>
                <w:noProof/>
                <w:webHidden/>
              </w:rPr>
              <w:tab/>
            </w:r>
            <w:r w:rsidR="009D198C">
              <w:rPr>
                <w:noProof/>
                <w:webHidden/>
              </w:rPr>
              <w:fldChar w:fldCharType="begin"/>
            </w:r>
            <w:r w:rsidR="009D198C">
              <w:rPr>
                <w:noProof/>
                <w:webHidden/>
              </w:rPr>
              <w:instrText xml:space="preserve"> PAGEREF _Toc97132613 \h </w:instrText>
            </w:r>
            <w:r w:rsidR="009D198C">
              <w:rPr>
                <w:noProof/>
                <w:webHidden/>
              </w:rPr>
            </w:r>
            <w:r w:rsidR="009D198C">
              <w:rPr>
                <w:noProof/>
                <w:webHidden/>
              </w:rPr>
              <w:fldChar w:fldCharType="separate"/>
            </w:r>
            <w:r w:rsidR="009D198C">
              <w:rPr>
                <w:noProof/>
                <w:webHidden/>
              </w:rPr>
              <w:t>11</w:t>
            </w:r>
            <w:r w:rsidR="009D198C">
              <w:rPr>
                <w:noProof/>
                <w:webHidden/>
              </w:rPr>
              <w:fldChar w:fldCharType="end"/>
            </w:r>
          </w:hyperlink>
        </w:p>
        <w:p w14:paraId="751CACE5" w14:textId="7E7754CE" w:rsidR="009D198C" w:rsidRDefault="00747597">
          <w:pPr>
            <w:pStyle w:val="TOC1"/>
            <w:tabs>
              <w:tab w:val="right" w:leader="dot" w:pos="9350"/>
            </w:tabs>
            <w:rPr>
              <w:rFonts w:asciiTheme="minorHAnsi" w:eastAsiaTheme="minorEastAsia" w:hAnsiTheme="minorHAnsi" w:cstheme="minorBidi"/>
              <w:noProof/>
              <w:sz w:val="22"/>
              <w:szCs w:val="22"/>
              <w:lang w:eastAsia="en-GB"/>
            </w:rPr>
          </w:pPr>
          <w:hyperlink w:anchor="_Toc97132614" w:history="1">
            <w:r w:rsidR="009D198C" w:rsidRPr="00E17B3B">
              <w:rPr>
                <w:rStyle w:val="Hyperlink"/>
                <w:noProof/>
              </w:rPr>
              <w:t>References</w:t>
            </w:r>
            <w:r w:rsidR="009D198C">
              <w:rPr>
                <w:noProof/>
                <w:webHidden/>
              </w:rPr>
              <w:tab/>
            </w:r>
            <w:r w:rsidR="009D198C">
              <w:rPr>
                <w:noProof/>
                <w:webHidden/>
              </w:rPr>
              <w:fldChar w:fldCharType="begin"/>
            </w:r>
            <w:r w:rsidR="009D198C">
              <w:rPr>
                <w:noProof/>
                <w:webHidden/>
              </w:rPr>
              <w:instrText xml:space="preserve"> PAGEREF _Toc97132614 \h </w:instrText>
            </w:r>
            <w:r w:rsidR="009D198C">
              <w:rPr>
                <w:noProof/>
                <w:webHidden/>
              </w:rPr>
            </w:r>
            <w:r w:rsidR="009D198C">
              <w:rPr>
                <w:noProof/>
                <w:webHidden/>
              </w:rPr>
              <w:fldChar w:fldCharType="separate"/>
            </w:r>
            <w:r w:rsidR="009D198C">
              <w:rPr>
                <w:noProof/>
                <w:webHidden/>
              </w:rPr>
              <w:t>12</w:t>
            </w:r>
            <w:r w:rsidR="009D198C">
              <w:rPr>
                <w:noProof/>
                <w:webHidden/>
              </w:rPr>
              <w:fldChar w:fldCharType="end"/>
            </w:r>
          </w:hyperlink>
        </w:p>
        <w:p w14:paraId="32F994FC" w14:textId="6821C4B3" w:rsidR="005211F1" w:rsidRPr="00F917CB" w:rsidRDefault="005211F1" w:rsidP="005211F1">
          <w:pPr>
            <w:pStyle w:val="TOC1"/>
            <w:tabs>
              <w:tab w:val="left" w:pos="480"/>
              <w:tab w:val="right" w:leader="dot" w:pos="9350"/>
            </w:tabs>
            <w:sectPr w:rsidR="005211F1" w:rsidRPr="00F917CB" w:rsidSect="006219E2">
              <w:footerReference w:type="default" r:id="rId8"/>
              <w:pgSz w:w="12240" w:h="15840"/>
              <w:pgMar w:top="1440" w:right="1440" w:bottom="1440" w:left="1440" w:header="720" w:footer="720" w:gutter="0"/>
              <w:pgNumType w:fmt="upperRoman"/>
              <w:cols w:space="720"/>
              <w:titlePg/>
              <w:docGrid w:linePitch="360"/>
            </w:sectPr>
          </w:pPr>
          <w:r w:rsidRPr="00F917CB">
            <w:rPr>
              <w:noProof/>
            </w:rPr>
            <w:fldChar w:fldCharType="end"/>
          </w:r>
        </w:p>
      </w:sdtContent>
    </w:sdt>
    <w:p w14:paraId="0F438E15" w14:textId="03EFC620" w:rsidR="00B9160E" w:rsidRDefault="00B9160E" w:rsidP="00A45D18">
      <w:pPr>
        <w:pStyle w:val="Heading1"/>
      </w:pPr>
      <w:bookmarkStart w:id="0" w:name="_Toc97132606"/>
      <w:r>
        <w:lastRenderedPageBreak/>
        <w:t>Introduction</w:t>
      </w:r>
      <w:bookmarkEnd w:id="0"/>
    </w:p>
    <w:p w14:paraId="64F0C440" w14:textId="4935CD91" w:rsidR="002B5A1B" w:rsidRDefault="00B9160E" w:rsidP="00A45D18">
      <w:r w:rsidRPr="00B9160E">
        <w:t xml:space="preserve">Giving management access to financial and operational data so they may make well-informed choices about the company is the goal of management accounting. Budgets, predictions, and performance reports are all included in this data. Management accounting emphasises short-term decisions as one of its most important features. Long-term strategic decisions aren't the focus of Management Accounting </w:t>
      </w:r>
      <w:r w:rsidRPr="00A45D18">
        <w:t>Information</w:t>
      </w:r>
      <w:r w:rsidRPr="00B9160E">
        <w:t xml:space="preserve"> (MAI), which is instead intended to help managers make better day-to-day decisions. MAI often includes information about the company's costs, revenues, profitability, and other pertinent elements. One section of this report focuses on </w:t>
      </w:r>
      <w:r w:rsidR="00054FE2">
        <w:t>“</w:t>
      </w:r>
      <w:r w:rsidRPr="00B9160E">
        <w:t>Next Generation Power Limited (NGPL)</w:t>
      </w:r>
      <w:r w:rsidR="00054FE2">
        <w:t>”</w:t>
      </w:r>
      <w:r w:rsidRPr="00B9160E">
        <w:t xml:space="preserve"> performance within Manchester, while the other shows how monthly control reports are prepared. Secondly, </w:t>
      </w:r>
      <w:r>
        <w:t>Board of Directors</w:t>
      </w:r>
      <w:r w:rsidRPr="00B9160E">
        <w:t xml:space="preserve"> is advised to either </w:t>
      </w:r>
      <w:r>
        <w:t xml:space="preserve">to retain the Manchester branch or close them to reduce the expenses </w:t>
      </w:r>
    </w:p>
    <w:p w14:paraId="210D165C" w14:textId="0119FFC0" w:rsidR="00B9160E" w:rsidRDefault="00B9160E" w:rsidP="00A45D18">
      <w:pPr>
        <w:pStyle w:val="Heading1"/>
      </w:pPr>
      <w:bookmarkStart w:id="1" w:name="_Toc97132607"/>
      <w:r w:rsidRPr="00B9160E">
        <w:t>Section 1:</w:t>
      </w:r>
      <w:bookmarkEnd w:id="1"/>
    </w:p>
    <w:p w14:paraId="5F5AFD54" w14:textId="7D21AC25" w:rsidR="00A45D18" w:rsidRPr="00054FE2" w:rsidRDefault="00A45D18" w:rsidP="00054FE2">
      <w:pPr>
        <w:pStyle w:val="Heading2"/>
      </w:pPr>
      <w:bookmarkStart w:id="2" w:name="_Toc97132608"/>
      <w:r w:rsidRPr="00054FE2">
        <w:t>Create a monthly control report that shows the initial budget, the flexed budget, and the deviations from the original plan:</w:t>
      </w:r>
      <w:bookmarkEnd w:id="2"/>
    </w:p>
    <w:p w14:paraId="66DCF304" w14:textId="77777777" w:rsidR="00A45D18" w:rsidRPr="00A45D18" w:rsidRDefault="00A45D18" w:rsidP="00A45D18">
      <w:pPr>
        <w:rPr>
          <w:i/>
          <w:iCs/>
          <w:u w:val="single"/>
        </w:rPr>
      </w:pPr>
      <w:r w:rsidRPr="00A45D18">
        <w:rPr>
          <w:i/>
          <w:iCs/>
          <w:u w:val="single"/>
        </w:rPr>
        <w:t>Monthly Control Report:</w:t>
      </w:r>
    </w:p>
    <w:p w14:paraId="40B56D23" w14:textId="2084E1C5" w:rsidR="00A45D18" w:rsidRDefault="00A45D18" w:rsidP="00A45D18">
      <w:r>
        <w:t>There is a monthly control report that summarises the company's month-to-month performance. A breakup of sales by product/ service is included in the revenue, costs, and profit/loss data. A comparison of actual results to budgeted ones is also included in the report, noting any areas where the latter fall short of expectations. Managers can rapidly discover any issues or areas for improvement. Many purposes can be served by the monthly control report. Among other things, it can be used to measure progress toward certain goals or objectives. It can also be used to discover long-term patterns, allowing the system to make more informed judgments about future strategy. Aside from that, the report could be utilised to predict future results (</w:t>
      </w:r>
      <w:proofErr w:type="spellStart"/>
      <w:r>
        <w:t>Davidyuk</w:t>
      </w:r>
      <w:proofErr w:type="spellEnd"/>
      <w:r>
        <w:t>, 2017).</w:t>
      </w:r>
    </w:p>
    <w:p w14:paraId="0B28A798" w14:textId="6377E8CC" w:rsidR="00A45D18" w:rsidRDefault="00A45D18" w:rsidP="00A45D18">
      <w:r>
        <w:t xml:space="preserve">The "chief financial officer (CFO)" is normally in charge of compiling and disseminating the company's monthly control report, which he or she does in consultation with other members of senior management. It can be mailed out or made available online for the benefit of the company's personnel. Employee intranets often contain substantial databases that can be accessed via the report, making it simple to integrate the report to a protected portion of the site. A copy of the document can then be saved to the employee's hard drive for future reference, or they can access </w:t>
      </w:r>
      <w:r>
        <w:lastRenderedPageBreak/>
        <w:t>from any other computer with Internet access. Executive summaries are frequently included to monthly control reports to highlight the most important findings. Managers don't have to go through the "monthly control report" to find the information they need, thanks to this (Hanif, 2019).</w:t>
      </w:r>
    </w:p>
    <w:p w14:paraId="0A229F3B" w14:textId="77777777" w:rsidR="00A45D18" w:rsidRPr="00A45D18" w:rsidRDefault="00A45D18" w:rsidP="00A45D18">
      <w:pPr>
        <w:rPr>
          <w:i/>
          <w:iCs/>
          <w:u w:val="single"/>
        </w:rPr>
      </w:pPr>
      <w:r w:rsidRPr="00A45D18">
        <w:rPr>
          <w:i/>
          <w:iCs/>
          <w:u w:val="single"/>
        </w:rPr>
        <w:t>Flexed Budget</w:t>
      </w:r>
    </w:p>
    <w:p w14:paraId="5D75169B" w14:textId="4D14581B" w:rsidR="00B9160E" w:rsidRPr="00B9160E" w:rsidRDefault="00A45D18" w:rsidP="00A45D18">
      <w:r>
        <w:t>Also known as "flexible" budgeting, this is the most common kind of budgeting. In the event of greater or even worse performance than projected, a company can adjust its revenue and spending estimates using flexible budgeting. For example, even if a company's income is lower than predicted in a particular month, they can still stay under their budget by reducing few of their spending. When a company's earnings soar one month, the excess cash might be put to good use in growing the company. With flexible budgeting, firms can better respond to swings in revenue and expense and keep tabs on how their actual performance compares to what they had planned. Businesses that can keep tabs on their actual performance are better able to pinpoint areas for improvement. This kind of planning for a firm needs to take into account both the favourable and unfavourable changes within income and expenses that occur over the course of the year (Li, 2018).</w:t>
      </w:r>
    </w:p>
    <w:p w14:paraId="7815A1DA" w14:textId="77777777" w:rsidR="003A6425" w:rsidRDefault="003A6425">
      <w:pPr>
        <w:spacing w:line="259" w:lineRule="auto"/>
        <w:jc w:val="left"/>
        <w:rPr>
          <w:rFonts w:ascii="Calibri" w:eastAsia="Calibri" w:hAnsi="Calibri" w:cs="Calibri"/>
          <w:b/>
        </w:rPr>
      </w:pPr>
      <w:r>
        <w:rPr>
          <w:rFonts w:ascii="Calibri" w:eastAsia="Calibri" w:hAnsi="Calibri" w:cs="Calibri"/>
          <w:b/>
        </w:rPr>
        <w:br w:type="page"/>
      </w:r>
    </w:p>
    <w:p w14:paraId="3FF08008" w14:textId="728E8B2C" w:rsidR="00252649" w:rsidRDefault="00252649" w:rsidP="00252649">
      <w:pPr>
        <w:spacing w:after="0" w:line="259" w:lineRule="auto"/>
        <w:ind w:left="12" w:right="3"/>
        <w:jc w:val="center"/>
        <w:rPr>
          <w:rFonts w:ascii="Calibri" w:eastAsia="Calibri" w:hAnsi="Calibri" w:cs="Calibri"/>
          <w:b/>
        </w:rPr>
      </w:pPr>
      <w:r>
        <w:rPr>
          <w:rFonts w:ascii="Calibri" w:eastAsia="Calibri" w:hAnsi="Calibri" w:cs="Calibri"/>
          <w:b/>
        </w:rPr>
        <w:lastRenderedPageBreak/>
        <w:t>Monthly control report</w:t>
      </w:r>
    </w:p>
    <w:p w14:paraId="41617BAD" w14:textId="4E8DEF76" w:rsidR="00030F85" w:rsidRDefault="003A6425" w:rsidP="003A6425">
      <w:pPr>
        <w:spacing w:after="0" w:line="259" w:lineRule="auto"/>
        <w:ind w:left="12" w:right="3"/>
        <w:rPr>
          <w:rFonts w:ascii="Calibri" w:eastAsia="Calibri" w:hAnsi="Calibri" w:cs="Calibri"/>
          <w:b/>
        </w:rPr>
      </w:pPr>
      <w:r w:rsidRPr="00030F85">
        <w:rPr>
          <w:noProof/>
        </w:rPr>
        <w:drawing>
          <wp:anchor distT="0" distB="0" distL="114300" distR="114300" simplePos="0" relativeHeight="251658240" behindDoc="0" locked="0" layoutInCell="1" allowOverlap="1" wp14:anchorId="719562E3" wp14:editId="616FAEA5">
            <wp:simplePos x="0" y="0"/>
            <wp:positionH relativeFrom="margin">
              <wp:posOffset>-103818</wp:posOffset>
            </wp:positionH>
            <wp:positionV relativeFrom="margin">
              <wp:posOffset>450215</wp:posOffset>
            </wp:positionV>
            <wp:extent cx="6114197" cy="35845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4197" cy="3584575"/>
                    </a:xfrm>
                    <a:prstGeom prst="rect">
                      <a:avLst/>
                    </a:prstGeom>
                    <a:noFill/>
                    <a:ln>
                      <a:noFill/>
                    </a:ln>
                  </pic:spPr>
                </pic:pic>
              </a:graphicData>
            </a:graphic>
          </wp:anchor>
        </w:drawing>
      </w:r>
      <w:r w:rsidRPr="00030F85">
        <w:rPr>
          <w:noProof/>
        </w:rPr>
        <w:drawing>
          <wp:anchor distT="0" distB="0" distL="114300" distR="114300" simplePos="0" relativeHeight="251659264" behindDoc="0" locked="0" layoutInCell="1" allowOverlap="1" wp14:anchorId="65467553" wp14:editId="40A0A187">
            <wp:simplePos x="0" y="0"/>
            <wp:positionH relativeFrom="margin">
              <wp:posOffset>-109211</wp:posOffset>
            </wp:positionH>
            <wp:positionV relativeFrom="margin">
              <wp:posOffset>3875879</wp:posOffset>
            </wp:positionV>
            <wp:extent cx="5963920" cy="406209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63920" cy="4062095"/>
                    </a:xfrm>
                    <a:prstGeom prst="rect">
                      <a:avLst/>
                    </a:prstGeom>
                    <a:noFill/>
                    <a:ln>
                      <a:noFill/>
                    </a:ln>
                  </pic:spPr>
                </pic:pic>
              </a:graphicData>
            </a:graphic>
            <wp14:sizeRelH relativeFrom="margin">
              <wp14:pctWidth>0</wp14:pctWidth>
            </wp14:sizeRelH>
          </wp:anchor>
        </w:drawing>
      </w:r>
    </w:p>
    <w:p w14:paraId="086C803C" w14:textId="70A03E96" w:rsidR="00252649" w:rsidRPr="00030F85" w:rsidRDefault="00252649" w:rsidP="00030F85">
      <w:pPr>
        <w:spacing w:after="0" w:line="259" w:lineRule="auto"/>
        <w:ind w:left="12" w:right="3"/>
        <w:jc w:val="center"/>
        <w:rPr>
          <w:rFonts w:ascii="Calibri" w:eastAsia="Calibri" w:hAnsi="Calibri" w:cs="Calibri"/>
          <w:b/>
        </w:rPr>
      </w:pPr>
    </w:p>
    <w:p w14:paraId="458042A8" w14:textId="103FF5C0" w:rsidR="00252649" w:rsidRDefault="003A6425" w:rsidP="00252649">
      <w:pPr>
        <w:spacing w:after="582" w:line="259" w:lineRule="auto"/>
        <w:ind w:left="-118"/>
        <w:jc w:val="left"/>
      </w:pPr>
      <w:r w:rsidRPr="003A6425">
        <w:rPr>
          <w:noProof/>
        </w:rPr>
        <w:lastRenderedPageBreak/>
        <w:drawing>
          <wp:anchor distT="0" distB="0" distL="114300" distR="114300" simplePos="0" relativeHeight="251661312" behindDoc="0" locked="0" layoutInCell="1" allowOverlap="1" wp14:anchorId="0F1122D5" wp14:editId="78FAA035">
            <wp:simplePos x="0" y="0"/>
            <wp:positionH relativeFrom="margin">
              <wp:posOffset>-126365</wp:posOffset>
            </wp:positionH>
            <wp:positionV relativeFrom="margin">
              <wp:posOffset>4113639</wp:posOffset>
            </wp:positionV>
            <wp:extent cx="5785485" cy="335343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5485" cy="3353435"/>
                    </a:xfrm>
                    <a:prstGeom prst="rect">
                      <a:avLst/>
                    </a:prstGeom>
                    <a:noFill/>
                    <a:ln>
                      <a:noFill/>
                    </a:ln>
                  </pic:spPr>
                </pic:pic>
              </a:graphicData>
            </a:graphic>
            <wp14:sizeRelH relativeFrom="margin">
              <wp14:pctWidth>0</wp14:pctWidth>
            </wp14:sizeRelH>
          </wp:anchor>
        </w:drawing>
      </w:r>
      <w:r w:rsidRPr="003A6425">
        <w:rPr>
          <w:noProof/>
        </w:rPr>
        <w:drawing>
          <wp:anchor distT="0" distB="0" distL="114300" distR="114300" simplePos="0" relativeHeight="251660288" behindDoc="0" locked="0" layoutInCell="1" allowOverlap="1" wp14:anchorId="5564EA98" wp14:editId="47FE4E2D">
            <wp:simplePos x="0" y="0"/>
            <wp:positionH relativeFrom="margin">
              <wp:posOffset>-120316</wp:posOffset>
            </wp:positionH>
            <wp:positionV relativeFrom="margin">
              <wp:posOffset>-240632</wp:posOffset>
            </wp:positionV>
            <wp:extent cx="5943600" cy="453072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4530725"/>
                    </a:xfrm>
                    <a:prstGeom prst="rect">
                      <a:avLst/>
                    </a:prstGeom>
                    <a:noFill/>
                    <a:ln>
                      <a:noFill/>
                    </a:ln>
                  </pic:spPr>
                </pic:pic>
              </a:graphicData>
            </a:graphic>
          </wp:anchor>
        </w:drawing>
      </w:r>
    </w:p>
    <w:p w14:paraId="6489FE19" w14:textId="4405093B" w:rsidR="00252649" w:rsidRDefault="00252649" w:rsidP="00252649">
      <w:pPr>
        <w:spacing w:after="0" w:line="259" w:lineRule="auto"/>
        <w:ind w:left="-118"/>
        <w:jc w:val="left"/>
      </w:pPr>
    </w:p>
    <w:p w14:paraId="4F0C91C9" w14:textId="5654EF44" w:rsidR="00874E23" w:rsidRDefault="00B80F3D" w:rsidP="00054FE2">
      <w:pPr>
        <w:pStyle w:val="Heading2"/>
      </w:pPr>
      <w:bookmarkStart w:id="3" w:name="_Toc97132609"/>
      <w:r w:rsidRPr="00B80F3D">
        <w:lastRenderedPageBreak/>
        <w:t>Report on NPGL's performance in Manchester based on the cost report given in I above</w:t>
      </w:r>
      <w:r w:rsidR="00874E23">
        <w:t>:</w:t>
      </w:r>
      <w:bookmarkEnd w:id="3"/>
    </w:p>
    <w:p w14:paraId="3041AFE6" w14:textId="77777777" w:rsidR="00874E23" w:rsidRDefault="00874E23" w:rsidP="00874E23">
      <w:pPr>
        <w:spacing w:after="258" w:line="259" w:lineRule="auto"/>
        <w:ind w:left="12"/>
        <w:jc w:val="center"/>
      </w:pPr>
      <w:r>
        <w:rPr>
          <w:rFonts w:ascii="Calibri" w:eastAsia="Calibri" w:hAnsi="Calibri" w:cs="Calibri"/>
          <w:b/>
        </w:rPr>
        <w:t>Performance Report</w:t>
      </w:r>
    </w:p>
    <w:p w14:paraId="67AA765B" w14:textId="31055920" w:rsidR="00410FAB" w:rsidRDefault="00410FAB" w:rsidP="00410FAB">
      <w:r>
        <w:t xml:space="preserve">"NGPL" has had a difficult year. Due to the Covid-19 pandemic, transportation and travel have been curtailed, leading in decreased sales. </w:t>
      </w:r>
      <w:r w:rsidR="004F4FFF">
        <w:t>NPGL</w:t>
      </w:r>
      <w:r>
        <w:t xml:space="preserve"> Ltd. anticipates revenue of £100,000, however after expenses, revenue is just £80,000. While selling prices decreased 20% from £25 to £20 per unit, material (£2.50 - £280,000) and labour costs increased significantly (£4 - £440,000). 10% rise in overheads This results in a weight loss of 760 pounds (budget vs actual). The only fixed overhead that has grown from £100,000 to £170,000 is insurance. The salary of the full-time warehouse supervisor will also be slashed by 20%, from £50,000 to £35,000. To maintain the same level of sales, the company's flexible budget was significantly more precise than their first projection. In Manchester, "Next Generation Power Limited (NGPL)" has a terrible performance. Although the selling price per unit has grown, costs continue to be high (Macchia, 2019). The control of fixed costs Profitability has been compromised on a broad scale.</w:t>
      </w:r>
    </w:p>
    <w:p w14:paraId="40992ABF" w14:textId="657F6A67" w:rsidR="00410FAB" w:rsidRDefault="00410FAB" w:rsidP="00410FAB">
      <w:r>
        <w:t xml:space="preserve">NPGL's success has dwindled, compelling them to restructure their revenue and spending structures. "The company "Next Generation Power Limited (NGPL)" should prioritise product demand over industry positioning, such as tourism. The firm should keep unit pricing low and hunt for lower-cost products and materials that are sourced locally. If "Next Generation Power Limited (NGPL)" wishes to keep people purchasing </w:t>
      </w:r>
      <w:r w:rsidR="00351AC4">
        <w:t>power units</w:t>
      </w:r>
      <w:r>
        <w:t>, it may be necessary to reduce prices across the board. The company now sells electricity for £20 per unit but expects to increase that to £25 per unit in the future. This results in a loss of £760,000. (</w:t>
      </w:r>
      <w:proofErr w:type="gramStart"/>
      <w:r>
        <w:t>budget</w:t>
      </w:r>
      <w:proofErr w:type="gramEnd"/>
      <w:r>
        <w:t xml:space="preserve"> vs actual). Cost increases in materials and labour, as well as overhead, all contributed to this loss. To make up for these losses, "Next Generation Power Limited (NGPL)" must place a premium on quality demand over industry positioning. They should keep unit costs down and hunt for less expensive ingredients and resources (i.e., local sourcing). "Next Generation Power Limited (NGPL)" may need to reduce prices across the board in order to keep tourists purchasing gifts, and they may explore expanding into other areas to produce new revenue streams (Malina, 2018). However, if "Next Generation Power Limited (NGPL)" makes the necessary adjustments, the firm will be able to recover from the pandemic's consequences.</w:t>
      </w:r>
    </w:p>
    <w:p w14:paraId="6421DEBD" w14:textId="77777777" w:rsidR="00E823DE" w:rsidRDefault="00E823DE" w:rsidP="00410FAB"/>
    <w:p w14:paraId="5D466F08" w14:textId="714B0157" w:rsidR="00E823DE" w:rsidRDefault="00E823DE" w:rsidP="00E823DE">
      <w:pPr>
        <w:pStyle w:val="Heading2"/>
      </w:pPr>
      <w:bookmarkStart w:id="4" w:name="_Toc10626"/>
      <w:r>
        <w:lastRenderedPageBreak/>
        <w:t xml:space="preserve"> </w:t>
      </w:r>
      <w:bookmarkStart w:id="5" w:name="_Toc97132610"/>
      <w:r>
        <w:t>Provide recommendations to NPGL Boards of Directors on areas of improvement:</w:t>
      </w:r>
      <w:bookmarkEnd w:id="5"/>
      <w:r>
        <w:t xml:space="preserve"> </w:t>
      </w:r>
      <w:bookmarkEnd w:id="4"/>
    </w:p>
    <w:p w14:paraId="4ADEB805" w14:textId="77777777" w:rsidR="00E823DE" w:rsidRPr="00410FAB" w:rsidRDefault="00E823DE" w:rsidP="00410FAB"/>
    <w:p w14:paraId="56361000" w14:textId="77777777" w:rsidR="00410FAB" w:rsidRDefault="00410FAB" w:rsidP="00410FAB">
      <w:pPr>
        <w:spacing w:line="339" w:lineRule="auto"/>
        <w:ind w:left="10" w:right="1"/>
      </w:pPr>
      <w:r>
        <w:t>The company is facing challenging period, and the CEO requires some tangible initiatives to assist her organisation regain its footing. In this instance, revenue growth must be prioritised over variable cost reduction by delivering more units at a profitable price.</w:t>
      </w:r>
    </w:p>
    <w:p w14:paraId="60D1F53A" w14:textId="7310A591" w:rsidR="00410FAB" w:rsidRPr="00410FAB" w:rsidRDefault="00410FAB" w:rsidP="00410FAB">
      <w:pPr>
        <w:spacing w:line="339" w:lineRule="auto"/>
        <w:ind w:left="10" w:right="1"/>
        <w:rPr>
          <w:i/>
          <w:iCs/>
        </w:rPr>
      </w:pPr>
      <w:r w:rsidRPr="00410FAB">
        <w:rPr>
          <w:i/>
          <w:iCs/>
        </w:rPr>
        <w:t>NGPL can increase revenue in a variety of ways:</w:t>
      </w:r>
    </w:p>
    <w:p w14:paraId="0CE961C4" w14:textId="77777777" w:rsidR="00E610E3" w:rsidRDefault="00410FAB" w:rsidP="00E610E3">
      <w:pPr>
        <w:pStyle w:val="ListParagraph"/>
        <w:numPr>
          <w:ilvl w:val="0"/>
          <w:numId w:val="5"/>
        </w:numPr>
      </w:pPr>
      <w:r>
        <w:t>Selling each unit for £30 instead of £25 results in a total revenue gain of £40,000 by increasing the selling price without increasing variable costs. It's possible that NGPL's sales volume will decrease as a result of this strategy, leaving the company with a smaller inventory of goods to sell. This is not an option that should be chosen.</w:t>
      </w:r>
      <w:r w:rsidR="00E610E3">
        <w:t xml:space="preserve"> </w:t>
      </w:r>
    </w:p>
    <w:p w14:paraId="30480A50" w14:textId="77777777" w:rsidR="00E610E3" w:rsidRDefault="00410FAB" w:rsidP="00E610E3">
      <w:pPr>
        <w:pStyle w:val="ListParagraph"/>
        <w:numPr>
          <w:ilvl w:val="0"/>
          <w:numId w:val="5"/>
        </w:numPr>
      </w:pPr>
      <w:r>
        <w:t>Increased revenue of £80,000 may be achieved by raising the sales price from £25 to £30 and reducing the variable costs from £20 to £12 per unit. NGPL's fixed overheads will be increased while losses are reduced with this option. This is the option of choice (Modell, 2017).</w:t>
      </w:r>
      <w:r w:rsidR="00E610E3">
        <w:t xml:space="preserve"> </w:t>
      </w:r>
    </w:p>
    <w:p w14:paraId="0868779E" w14:textId="58C603FE" w:rsidR="00410FAB" w:rsidRDefault="00410FAB" w:rsidP="00E610E3">
      <w:pPr>
        <w:pStyle w:val="ListParagraph"/>
        <w:numPr>
          <w:ilvl w:val="0"/>
          <w:numId w:val="5"/>
        </w:numPr>
      </w:pPr>
      <w:r>
        <w:t xml:space="preserve">It is also possible to increase sales volume and even attract new customers who were previously unable to acquire items because of their high cost by selling them for (£25 to £5) for a limited time. In the long run, however, this strategy could lead to a large inventory of unsold </w:t>
      </w:r>
      <w:r w:rsidR="00351AC4">
        <w:t>power units</w:t>
      </w:r>
      <w:r>
        <w:t>, which would drain the company's working capital. Consequently, it is not suggested that you use this method instead.</w:t>
      </w:r>
    </w:p>
    <w:p w14:paraId="2B0AEE19" w14:textId="77777777" w:rsidR="00B326F4" w:rsidRDefault="00732888" w:rsidP="00732888">
      <w:r>
        <w:t xml:space="preserve">There are several ways to cut variable expenses, including the following: </w:t>
      </w:r>
    </w:p>
    <w:p w14:paraId="1265F316" w14:textId="77777777" w:rsidR="00B326F4" w:rsidRDefault="00732888" w:rsidP="00732888">
      <w:pPr>
        <w:pStyle w:val="ListParagraph"/>
        <w:numPr>
          <w:ilvl w:val="0"/>
          <w:numId w:val="8"/>
        </w:numPr>
      </w:pPr>
      <w:r>
        <w:t>Maintaining other variables constant while reducing the variable cost of materials from £2.5 - £2 per unit that is selling price as well as labour costs remain unaltered. As a result, the contribution margin will grow by £0.5 per unit, translating into a (£20,000) increase in income. This, however, may result in low-quality merchandise, which may have a negative impact on the consumer experience. This is an ill-advised choice.</w:t>
      </w:r>
      <w:r w:rsidR="00B326F4">
        <w:t xml:space="preserve"> </w:t>
      </w:r>
    </w:p>
    <w:p w14:paraId="438A6F77" w14:textId="77777777" w:rsidR="00B326F4" w:rsidRDefault="00732888" w:rsidP="00732888">
      <w:pPr>
        <w:pStyle w:val="ListParagraph"/>
        <w:numPr>
          <w:ilvl w:val="0"/>
          <w:numId w:val="8"/>
        </w:numPr>
      </w:pPr>
      <w:r>
        <w:t>Second, by reducing the number of full-time warehouse staff from four to three while maintaining other variables constant, variable costs will be reduced by £120,000 per year. This is the favoured option since it enables NGPL to reduce losses while raising its contribution to fixed overhead costs.</w:t>
      </w:r>
      <w:r w:rsidR="00B326F4">
        <w:t xml:space="preserve"> </w:t>
      </w:r>
    </w:p>
    <w:p w14:paraId="2B0BAF90" w14:textId="4A23659B" w:rsidR="00732888" w:rsidRDefault="00732888" w:rsidP="00732888">
      <w:pPr>
        <w:pStyle w:val="ListParagraph"/>
        <w:numPr>
          <w:ilvl w:val="0"/>
          <w:numId w:val="8"/>
        </w:numPr>
      </w:pPr>
      <w:r>
        <w:lastRenderedPageBreak/>
        <w:t>By lowering overhead expenditures from £1.50 / unit to £1 / unit, variable expenses can be reduced by £30,000 per year. However, this method may not be feasible because the functioning of the business requires the payment of certain overhead fees for instance insurance). This is not a wise course of action (Nishimura, 2019).</w:t>
      </w:r>
    </w:p>
    <w:p w14:paraId="3F941711" w14:textId="7A5AFCCD" w:rsidR="00732888" w:rsidRDefault="00732888" w:rsidP="00732888">
      <w:r>
        <w:t>To be effective, NGPL's Boards of Directors must prioritise revenue generation while minimising variable expenditures. These objectives can be accomplished and the financial situation of the business improved by making these decisions.</w:t>
      </w:r>
    </w:p>
    <w:p w14:paraId="5880FACB" w14:textId="77777777" w:rsidR="00C91890" w:rsidRPr="00C91890" w:rsidRDefault="00C91890" w:rsidP="00C91890">
      <w:pPr>
        <w:rPr>
          <w:i/>
          <w:iCs/>
        </w:rPr>
      </w:pPr>
      <w:r w:rsidRPr="00C91890">
        <w:rPr>
          <w:i/>
          <w:iCs/>
        </w:rPr>
        <w:t>The following are some of the ways in which variable expenses can be reduced:</w:t>
      </w:r>
    </w:p>
    <w:p w14:paraId="03831D4C" w14:textId="77777777" w:rsidR="00C91890" w:rsidRDefault="00C91890" w:rsidP="00C91890">
      <w:pPr>
        <w:pStyle w:val="ListParagraph"/>
        <w:numPr>
          <w:ilvl w:val="0"/>
          <w:numId w:val="6"/>
        </w:numPr>
      </w:pPr>
      <w:r>
        <w:t xml:space="preserve">While retaining other variables such as selling price and labour expenses, a reduction in variable material costs from £2.5 to £2 per unit is possible. As a result, the contribution margin rises by £0.5 per unit, generating an extra £20,000 in revenue. Although this may lead to lower-quality products, it could have an impact on customer satisfaction. This is not an option that should be chosen. </w:t>
      </w:r>
    </w:p>
    <w:p w14:paraId="4F820D25" w14:textId="77777777" w:rsidR="00C91890" w:rsidRDefault="00C91890" w:rsidP="00C91890">
      <w:pPr>
        <w:pStyle w:val="ListParagraph"/>
        <w:numPr>
          <w:ilvl w:val="0"/>
          <w:numId w:val="6"/>
        </w:numPr>
      </w:pPr>
      <w:r>
        <w:t xml:space="preserve">Variable expenses will fall by £120,000 annually if the number of full-time warehouse staff is lowered from four to three while other aspects remain the same. NGPL's fixed overheads will benefit more from this choice, and losses will be reduced. </w:t>
      </w:r>
    </w:p>
    <w:p w14:paraId="485247A2" w14:textId="77777777" w:rsidR="00C91890" w:rsidRDefault="00C91890" w:rsidP="00C91890">
      <w:pPr>
        <w:pStyle w:val="ListParagraph"/>
        <w:numPr>
          <w:ilvl w:val="0"/>
          <w:numId w:val="6"/>
        </w:numPr>
      </w:pPr>
      <w:r>
        <w:t xml:space="preserve">Reduced overhead costs of £1.50 per unit will cut variable costs by £30,000 annually. Because some overhead expenditures are necessary for the firm to function, this solution may not be practicable (e.g., insurance). In my opinion, this is a bad idea (Nishimura, 2019). </w:t>
      </w:r>
    </w:p>
    <w:p w14:paraId="46AAF00C" w14:textId="1FE500DA" w:rsidR="00B9160E" w:rsidRDefault="00C91890" w:rsidP="008B42CB">
      <w:r>
        <w:t>Boards of NGPL must prioritise income growth while reducing variable costs, as is obvious. An organization's financial health can be improved by using the strategies listed above.</w:t>
      </w:r>
    </w:p>
    <w:p w14:paraId="2F5E63C4" w14:textId="3A5F4AB5" w:rsidR="004F4FFF" w:rsidRDefault="004F4FFF" w:rsidP="004F4FFF">
      <w:pPr>
        <w:pStyle w:val="Heading1"/>
      </w:pPr>
      <w:bookmarkStart w:id="6" w:name="_Toc97132611"/>
      <w:r>
        <w:t>Section B</w:t>
      </w:r>
      <w:bookmarkEnd w:id="6"/>
    </w:p>
    <w:p w14:paraId="74AA691E" w14:textId="6D855EDC" w:rsidR="004F4FFF" w:rsidRDefault="004F4FFF" w:rsidP="00E823DE">
      <w:pPr>
        <w:pStyle w:val="Heading1"/>
      </w:pPr>
      <w:bookmarkStart w:id="7" w:name="_Toc10628"/>
      <w:bookmarkStart w:id="8" w:name="_Toc97132612"/>
      <w:r>
        <w:t xml:space="preserve">Report to </w:t>
      </w:r>
      <w:bookmarkEnd w:id="7"/>
      <w:r>
        <w:t>Board of Directors at NPGL</w:t>
      </w:r>
      <w:bookmarkEnd w:id="8"/>
    </w:p>
    <w:p w14:paraId="54AA904E" w14:textId="77777777" w:rsidR="00351AC4" w:rsidRDefault="00351AC4" w:rsidP="00351AC4">
      <w:r>
        <w:t xml:space="preserve">NPGL's decision to move half of their sales online is a good one. Customers in Brighton, Birmingham, and Manchester could only be served by the company's outlets in these cities' city centres. Due to the high expenditures involved with physical storefronts, NPGL Power units might benefit from a more loyal customer base, but the opportunity to recruit new consumers is limited. </w:t>
      </w:r>
      <w:r>
        <w:lastRenderedPageBreak/>
        <w:t>NPGL Power units have the ability to dramatically expand their market and client base by focusing on the Great Britain, Eu, and the US in their online strategy. At the same time, it can plan to change position its remaining offline sites so that they can better serve its local client base as well as long-term clients. The owner of the company, Mr NPGL, is forced to make a decision amongst selling on Amazon or setting up his own online shop. The company examined the potential financial consequences of each option before making a final decision (Scott, 2019).</w:t>
      </w:r>
    </w:p>
    <w:p w14:paraId="2E6ED741" w14:textId="69A7EC3E" w:rsidR="00351AC4" w:rsidRDefault="00351AC4" w:rsidP="00351AC4">
      <w:r>
        <w:t>NPGL has allocated £1 million for start-up costs as well as an additional £100/ month to maintain their online business. A full-time programmer on a salary of £35,000 per year was also being considered by the company's owners (White, 2019). This would only add to the stress of the firm, since this person would need constant supervision and guidance. The delivery network's cost must also be taken into account. A delivery system for consumers in the Europe, UK, and the United States is expected to cost £150,000. It's evident that NPGL will need £295,000 to launch their own online store, which might lead to an increase in sales for the company.</w:t>
      </w:r>
    </w:p>
    <w:p w14:paraId="6D44A710" w14:textId="77777777" w:rsidR="00351AC4" w:rsidRDefault="00351AC4" w:rsidP="00351AC4">
      <w:r>
        <w:t>Alternatively, NPGL must keep in mind that they will have to pay £5 million within Amazon fulfilment fees if they decide to sell on Amazon. As a result of the fierce rivalry among Amazon merchants, NPGL expects to sell 65,000 units. Even yet, this statistic is subject to fluctuate due to the fact that it is largely driven by market demand.</w:t>
      </w:r>
    </w:p>
    <w:p w14:paraId="7DC9F177" w14:textId="77777777" w:rsidR="00351AC4" w:rsidRDefault="00351AC4" w:rsidP="00351AC4">
      <w:r>
        <w:t>NPGL would need a £5 million investment in order to make sales on Amazon, which can be shown in the table. If the company decides to sell through this ecommerce behemoth, it will incur a total expense of $100,000. NPGL's initial costs will be lower if they choose to sell on Amazon. It is unlikely that they will make as much money as if they had started their own internet firm. In contrast, the company may see an increase in sales and profits if they decide to start their own online store. As a result, they will be able to control all aspects of their business, including pricing, returns, and customer service. Preliminary research is essential before Mr. NPGL decides where to sell his products. He may make an informed decision for his business by considering the benefits and downsides of selling online versus setting up his own online store.</w:t>
      </w:r>
    </w:p>
    <w:p w14:paraId="3095186E" w14:textId="47416EB9" w:rsidR="00351AC4" w:rsidRPr="00351AC4" w:rsidRDefault="00351AC4" w:rsidP="00351AC4">
      <w:r>
        <w:t xml:space="preserve">Mr. NPGL would be wise to begin selling on Amazon for at least the first 1-2 years, given the information presented here. Even though it is expected to face severe competition in this seller industry, it will provide precise feedback to NPGL regarding the items' approval in the specific market and will modify marketing strategies accordingly to increase consumer recognition and </w:t>
      </w:r>
      <w:r>
        <w:lastRenderedPageBreak/>
        <w:t>loyalty over time. after Mr. NPGL has built a significant following in the specific customers for the first 1-2 years, he may decide to open a dedicated online marketplace for NPGL Power units (</w:t>
      </w:r>
      <w:proofErr w:type="spellStart"/>
      <w:r>
        <w:t>Weetman</w:t>
      </w:r>
      <w:proofErr w:type="spellEnd"/>
      <w:r>
        <w:t>, 2019).</w:t>
      </w:r>
    </w:p>
    <w:p w14:paraId="245E7371" w14:textId="77777777" w:rsidR="004F4FFF" w:rsidRDefault="004F4FFF" w:rsidP="004F4FFF">
      <w:pPr>
        <w:pStyle w:val="Heading1"/>
        <w:ind w:left="-5"/>
      </w:pPr>
      <w:bookmarkStart w:id="9" w:name="_Toc97132613"/>
      <w:bookmarkStart w:id="10" w:name="_Toc10629"/>
      <w:r>
        <w:t>Conclusion</w:t>
      </w:r>
      <w:bookmarkEnd w:id="9"/>
      <w:r>
        <w:t xml:space="preserve"> </w:t>
      </w:r>
      <w:bookmarkEnd w:id="10"/>
    </w:p>
    <w:p w14:paraId="74C1DFF0" w14:textId="5EA1C182" w:rsidR="00260B27" w:rsidRDefault="00351AC4" w:rsidP="004F4FFF">
      <w:r w:rsidRPr="00351AC4">
        <w:t>According to the findings of this study, every company should have a management accounting system in place. Using this tool, companies can keep tabs on their financial health and make better-informed decisions that benefit their bottom line. Management accountants utilise a variety of methods and strategies to gather as well as analyse financial information, that they then use to provide business owners and managers with insights and recommendations.</w:t>
      </w:r>
    </w:p>
    <w:p w14:paraId="7E898EAF" w14:textId="77777777" w:rsidR="00260B27" w:rsidRDefault="00260B27">
      <w:pPr>
        <w:spacing w:line="259" w:lineRule="auto"/>
        <w:jc w:val="left"/>
      </w:pPr>
      <w:r>
        <w:br w:type="page"/>
      </w:r>
    </w:p>
    <w:bookmarkStart w:id="11" w:name="_Toc97132614" w:displacedByCustomXml="next"/>
    <w:sdt>
      <w:sdtPr>
        <w:rPr>
          <w:b w:val="0"/>
          <w:bCs w:val="0"/>
        </w:rPr>
        <w:id w:val="-1346472361"/>
        <w:docPartObj>
          <w:docPartGallery w:val="Bibliographies"/>
          <w:docPartUnique/>
        </w:docPartObj>
      </w:sdtPr>
      <w:sdtEndPr/>
      <w:sdtContent>
        <w:p w14:paraId="755E1E7F" w14:textId="57E06DC3" w:rsidR="00260B27" w:rsidRDefault="00260B27">
          <w:pPr>
            <w:pStyle w:val="Heading1"/>
          </w:pPr>
          <w:r>
            <w:t>References</w:t>
          </w:r>
          <w:bookmarkEnd w:id="11"/>
        </w:p>
        <w:sdt>
          <w:sdtPr>
            <w:id w:val="-573587230"/>
            <w:bibliography/>
          </w:sdtPr>
          <w:sdtEndPr/>
          <w:sdtContent>
            <w:p w14:paraId="755A8FE8" w14:textId="77777777" w:rsidR="00260B27" w:rsidRPr="00373CDC" w:rsidRDefault="00260B27" w:rsidP="00260B27">
              <w:pPr>
                <w:spacing w:after="240"/>
                <w:ind w:left="720" w:right="1" w:hanging="720"/>
              </w:pPr>
              <w:proofErr w:type="spellStart"/>
              <w:r w:rsidRPr="00373CDC">
                <w:t>Davidyuk</w:t>
              </w:r>
              <w:proofErr w:type="spellEnd"/>
              <w:r w:rsidRPr="00373CDC">
                <w:t xml:space="preserve">, T.V., 2017. Management accounting organization: basic steps towards increasing the company efficiency. </w:t>
              </w:r>
              <w:proofErr w:type="spellStart"/>
              <w:r w:rsidRPr="00373CDC">
                <w:rPr>
                  <w:rFonts w:eastAsia="Calibri"/>
                  <w:i/>
                </w:rPr>
                <w:t>Экономика</w:t>
              </w:r>
              <w:proofErr w:type="spellEnd"/>
              <w:r w:rsidRPr="00373CDC">
                <w:rPr>
                  <w:rFonts w:eastAsia="Calibri"/>
                  <w:i/>
                </w:rPr>
                <w:t xml:space="preserve">: </w:t>
              </w:r>
              <w:proofErr w:type="spellStart"/>
              <w:r w:rsidRPr="00373CDC">
                <w:rPr>
                  <w:rFonts w:eastAsia="Calibri"/>
                  <w:i/>
                </w:rPr>
                <w:t>реалии</w:t>
              </w:r>
              <w:proofErr w:type="spellEnd"/>
              <w:r w:rsidRPr="00373CDC">
                <w:rPr>
                  <w:rFonts w:eastAsia="Calibri"/>
                  <w:i/>
                </w:rPr>
                <w:t xml:space="preserve"> </w:t>
              </w:r>
              <w:proofErr w:type="spellStart"/>
              <w:r w:rsidRPr="00373CDC">
                <w:rPr>
                  <w:rFonts w:eastAsia="Calibri"/>
                  <w:i/>
                </w:rPr>
                <w:t>времени</w:t>
              </w:r>
              <w:proofErr w:type="spellEnd"/>
              <w:r w:rsidRPr="00373CDC">
                <w:t>, (1 (29)).</w:t>
              </w:r>
            </w:p>
            <w:p w14:paraId="2E4FB17E" w14:textId="77777777" w:rsidR="00260B27" w:rsidRPr="00373CDC" w:rsidRDefault="00260B27" w:rsidP="00260B27">
              <w:pPr>
                <w:spacing w:after="338"/>
                <w:ind w:left="720" w:right="1" w:hanging="720"/>
              </w:pPr>
              <w:r w:rsidRPr="00373CDC">
                <w:t xml:space="preserve">Hanif, M., 2019. </w:t>
              </w:r>
              <w:r w:rsidRPr="00373CDC">
                <w:rPr>
                  <w:rFonts w:eastAsia="Calibri"/>
                  <w:i/>
                </w:rPr>
                <w:t>Modern Cost and Management Accounting</w:t>
              </w:r>
              <w:r w:rsidRPr="00373CDC">
                <w:t>. McGraw-Hill Education.</w:t>
              </w:r>
            </w:p>
            <w:p w14:paraId="4258EC24" w14:textId="77777777" w:rsidR="00260B27" w:rsidRPr="00373CDC" w:rsidRDefault="00260B27" w:rsidP="00260B27">
              <w:pPr>
                <w:spacing w:after="338"/>
                <w:ind w:left="720" w:right="1" w:hanging="720"/>
              </w:pPr>
              <w:r w:rsidRPr="00373CDC">
                <w:t xml:space="preserve">In </w:t>
              </w:r>
              <w:r w:rsidRPr="00373CDC">
                <w:rPr>
                  <w:rFonts w:eastAsia="Calibri"/>
                  <w:i/>
                </w:rPr>
                <w:t>Management, Uncertainty, and Accounting</w:t>
              </w:r>
              <w:r w:rsidRPr="00373CDC">
                <w:t xml:space="preserve"> (pp. 97-127). Palgrave Macmillan, Singapore.</w:t>
              </w:r>
            </w:p>
            <w:p w14:paraId="6867F1D9" w14:textId="77777777" w:rsidR="00260B27" w:rsidRPr="00373CDC" w:rsidRDefault="00260B27" w:rsidP="00260B27">
              <w:pPr>
                <w:spacing w:after="338"/>
                <w:ind w:left="720" w:right="1" w:hanging="720"/>
              </w:pPr>
              <w:r w:rsidRPr="00373CDC">
                <w:t xml:space="preserve">Li, W.S., 2018. Strategic Management Accounting. </w:t>
              </w:r>
              <w:r w:rsidRPr="00373CDC">
                <w:rPr>
                  <w:rFonts w:eastAsia="Calibri"/>
                  <w:i/>
                </w:rPr>
                <w:t>Management for Professionals</w:t>
              </w:r>
              <w:r w:rsidRPr="00373CDC">
                <w:t>.</w:t>
              </w:r>
            </w:p>
            <w:p w14:paraId="76B60AB0" w14:textId="77777777" w:rsidR="00260B27" w:rsidRPr="00373CDC" w:rsidRDefault="00260B27" w:rsidP="00260B27">
              <w:pPr>
                <w:spacing w:after="240"/>
                <w:ind w:left="720" w:right="1" w:hanging="720"/>
              </w:pPr>
              <w:r w:rsidRPr="00373CDC">
                <w:t xml:space="preserve">Macchia, S., 2019. A review on Management Accounting Change. What’s </w:t>
              </w:r>
              <w:proofErr w:type="gramStart"/>
              <w:r w:rsidRPr="00373CDC">
                <w:t>next?.</w:t>
              </w:r>
              <w:proofErr w:type="gramEnd"/>
              <w:r w:rsidRPr="00373CDC">
                <w:t xml:space="preserve"> </w:t>
              </w:r>
              <w:r w:rsidRPr="00373CDC">
                <w:rPr>
                  <w:rFonts w:eastAsia="Calibri"/>
                  <w:i/>
                </w:rPr>
                <w:t xml:space="preserve">Economia </w:t>
              </w:r>
              <w:proofErr w:type="spellStart"/>
              <w:r w:rsidRPr="00373CDC">
                <w:rPr>
                  <w:rFonts w:eastAsia="Calibri"/>
                  <w:i/>
                </w:rPr>
                <w:t>Aziendale</w:t>
              </w:r>
              <w:proofErr w:type="spellEnd"/>
              <w:r w:rsidRPr="00373CDC">
                <w:rPr>
                  <w:rFonts w:eastAsia="Calibri"/>
                  <w:i/>
                </w:rPr>
                <w:t xml:space="preserve"> Online-</w:t>
              </w:r>
              <w:r w:rsidRPr="00373CDC">
                <w:t xml:space="preserve">, </w:t>
              </w:r>
              <w:r w:rsidRPr="00373CDC">
                <w:rPr>
                  <w:rFonts w:eastAsia="Calibri"/>
                  <w:i/>
                </w:rPr>
                <w:t>10</w:t>
              </w:r>
              <w:r w:rsidRPr="00373CDC">
                <w:t>(1), pp.107-134.</w:t>
              </w:r>
            </w:p>
            <w:p w14:paraId="40C5019E" w14:textId="77777777" w:rsidR="00260B27" w:rsidRPr="00373CDC" w:rsidRDefault="00260B27" w:rsidP="00260B27">
              <w:pPr>
                <w:spacing w:after="338"/>
                <w:ind w:left="720" w:right="1" w:hanging="720"/>
              </w:pPr>
              <w:r w:rsidRPr="00373CDC">
                <w:t>Malina, M.A., 2018. Advances in Management Accounting.</w:t>
              </w:r>
            </w:p>
            <w:p w14:paraId="60DBD1A7" w14:textId="77777777" w:rsidR="00260B27" w:rsidRPr="00373CDC" w:rsidRDefault="00260B27" w:rsidP="00260B27">
              <w:pPr>
                <w:spacing w:after="338"/>
                <w:ind w:left="720" w:hanging="720"/>
              </w:pPr>
              <w:r w:rsidRPr="00373CDC">
                <w:t xml:space="preserve">Modell, S. ed., 2017. </w:t>
              </w:r>
              <w:r w:rsidRPr="00373CDC">
                <w:rPr>
                  <w:rFonts w:eastAsia="Calibri"/>
                  <w:i/>
                </w:rPr>
                <w:t>The Societal Relevance of Management Accounting</w:t>
              </w:r>
              <w:r w:rsidRPr="00373CDC">
                <w:t>. Routledge.</w:t>
              </w:r>
            </w:p>
            <w:p w14:paraId="6C06E9E7" w14:textId="77777777" w:rsidR="00260B27" w:rsidRPr="00373CDC" w:rsidRDefault="00260B27" w:rsidP="00260B27">
              <w:pPr>
                <w:spacing w:after="98"/>
                <w:ind w:left="720" w:right="1" w:hanging="720"/>
              </w:pPr>
              <w:r w:rsidRPr="00373CDC">
                <w:t>Nishimura, A., 2019. Profit Opportunity, Strategic Innovation, and Management Accounting.</w:t>
              </w:r>
            </w:p>
            <w:p w14:paraId="604834E2" w14:textId="77777777" w:rsidR="00260B27" w:rsidRPr="00373CDC" w:rsidRDefault="00260B27" w:rsidP="00260B27">
              <w:pPr>
                <w:spacing w:after="338"/>
                <w:ind w:left="720" w:right="1" w:hanging="720"/>
              </w:pPr>
              <w:r w:rsidRPr="00373CDC">
                <w:t xml:space="preserve">Scott, P., 2019. </w:t>
              </w:r>
              <w:r w:rsidRPr="00373CDC">
                <w:rPr>
                  <w:rFonts w:eastAsia="Calibri"/>
                  <w:i/>
                </w:rPr>
                <w:t>Introduction to Management Accounting</w:t>
              </w:r>
              <w:r w:rsidRPr="00373CDC">
                <w:t>. Oxford University Press, USA.</w:t>
              </w:r>
            </w:p>
            <w:p w14:paraId="4D21A694" w14:textId="77777777" w:rsidR="00260B27" w:rsidRPr="00373CDC" w:rsidRDefault="00260B27" w:rsidP="00260B27">
              <w:pPr>
                <w:spacing w:after="240"/>
                <w:ind w:left="720" w:right="1" w:hanging="720"/>
              </w:pPr>
              <w:proofErr w:type="spellStart"/>
              <w:r w:rsidRPr="00373CDC">
                <w:t>Tănase</w:t>
              </w:r>
              <w:proofErr w:type="spellEnd"/>
              <w:r w:rsidRPr="00373CDC">
                <w:t xml:space="preserve">, A.E., 2021. The Budget: The Basic Element of Management Accounting. In </w:t>
              </w:r>
              <w:r w:rsidRPr="00373CDC">
                <w:rPr>
                  <w:rFonts w:eastAsia="Calibri"/>
                  <w:i/>
                </w:rPr>
                <w:t>CSR and Management Accounting Challenges in a Time of Global Crises</w:t>
              </w:r>
              <w:r w:rsidRPr="00373CDC">
                <w:t xml:space="preserve"> (pp. 219-232). IGI Global.</w:t>
              </w:r>
            </w:p>
            <w:p w14:paraId="1F006BDC" w14:textId="77777777" w:rsidR="00260B27" w:rsidRPr="00373CDC" w:rsidRDefault="00260B27" w:rsidP="00260B27">
              <w:pPr>
                <w:spacing w:after="338"/>
                <w:ind w:left="720" w:hanging="720"/>
              </w:pPr>
              <w:proofErr w:type="spellStart"/>
              <w:r w:rsidRPr="00373CDC">
                <w:t>Weetman</w:t>
              </w:r>
              <w:proofErr w:type="spellEnd"/>
              <w:r w:rsidRPr="00373CDC">
                <w:t xml:space="preserve">, P., 2019. </w:t>
              </w:r>
              <w:r w:rsidRPr="00373CDC">
                <w:rPr>
                  <w:rFonts w:eastAsia="Calibri"/>
                  <w:i/>
                </w:rPr>
                <w:t>Financial and management accounting</w:t>
              </w:r>
              <w:r w:rsidRPr="00373CDC">
                <w:t>. Pearson UK.</w:t>
              </w:r>
            </w:p>
            <w:p w14:paraId="6E36A691" w14:textId="77777777" w:rsidR="00260B27" w:rsidRPr="00373CDC" w:rsidRDefault="00260B27" w:rsidP="00260B27">
              <w:pPr>
                <w:ind w:left="720" w:right="1" w:hanging="720"/>
              </w:pPr>
              <w:r w:rsidRPr="00373CDC">
                <w:t xml:space="preserve">White, L., 2019. Understanding the benefits of German controlling and management accounting. In </w:t>
              </w:r>
              <w:r w:rsidRPr="00373CDC">
                <w:rPr>
                  <w:rFonts w:eastAsia="Calibri"/>
                  <w:i/>
                </w:rPr>
                <w:t>Performance Management in Retail and the Consumer Goods Industry</w:t>
              </w:r>
              <w:r w:rsidRPr="00373CDC">
                <w:t xml:space="preserve"> (pp. 39). Springer, Cham.</w:t>
              </w:r>
            </w:p>
            <w:p w14:paraId="36C4ED4A" w14:textId="41A10C1A" w:rsidR="00260B27" w:rsidRDefault="00747597"/>
          </w:sdtContent>
        </w:sdt>
      </w:sdtContent>
    </w:sdt>
    <w:p w14:paraId="393C7002" w14:textId="77777777" w:rsidR="004F4FFF" w:rsidRPr="004F4FFF" w:rsidRDefault="004F4FFF" w:rsidP="004F4FFF"/>
    <w:sectPr w:rsidR="004F4FFF" w:rsidRPr="004F4FF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B62A7" w14:textId="77777777" w:rsidR="00747597" w:rsidRDefault="00747597">
      <w:pPr>
        <w:spacing w:after="0" w:line="240" w:lineRule="auto"/>
      </w:pPr>
      <w:r>
        <w:separator/>
      </w:r>
    </w:p>
  </w:endnote>
  <w:endnote w:type="continuationSeparator" w:id="0">
    <w:p w14:paraId="37C3BD13" w14:textId="77777777" w:rsidR="00747597" w:rsidRDefault="00747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671419"/>
      <w:docPartObj>
        <w:docPartGallery w:val="Page Numbers (Bottom of Page)"/>
        <w:docPartUnique/>
      </w:docPartObj>
    </w:sdtPr>
    <w:sdtEndPr>
      <w:rPr>
        <w:noProof/>
      </w:rPr>
    </w:sdtEndPr>
    <w:sdtContent>
      <w:p w14:paraId="33FA6528" w14:textId="77777777" w:rsidR="003F17E6" w:rsidRDefault="001261E1" w:rsidP="00542CB2">
        <w:pPr>
          <w:pStyle w:val="Footer"/>
        </w:pPr>
        <w:r>
          <w:fldChar w:fldCharType="begin"/>
        </w:r>
        <w:r>
          <w:instrText xml:space="preserve"> PAGE   \* MERGEFORMAT </w:instrText>
        </w:r>
        <w:r>
          <w:fldChar w:fldCharType="separate"/>
        </w:r>
        <w:r>
          <w:rPr>
            <w:noProof/>
          </w:rPr>
          <w:t>10</w:t>
        </w:r>
        <w:r>
          <w:rPr>
            <w:noProof/>
          </w:rPr>
          <w:fldChar w:fldCharType="end"/>
        </w:r>
      </w:p>
    </w:sdtContent>
  </w:sdt>
  <w:p w14:paraId="2807730B" w14:textId="77777777" w:rsidR="00C45D9A" w:rsidRDefault="00747597" w:rsidP="00542C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C93D1" w14:textId="77777777" w:rsidR="00747597" w:rsidRDefault="00747597">
      <w:pPr>
        <w:spacing w:after="0" w:line="240" w:lineRule="auto"/>
      </w:pPr>
      <w:r>
        <w:separator/>
      </w:r>
    </w:p>
  </w:footnote>
  <w:footnote w:type="continuationSeparator" w:id="0">
    <w:p w14:paraId="350B69BC" w14:textId="77777777" w:rsidR="00747597" w:rsidRDefault="007475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51AE"/>
    <w:multiLevelType w:val="hybridMultilevel"/>
    <w:tmpl w:val="ECE4A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D522C4"/>
    <w:multiLevelType w:val="hybridMultilevel"/>
    <w:tmpl w:val="1EE80B5A"/>
    <w:lvl w:ilvl="0" w:tplc="CDE0A0E6">
      <w:start w:val="1"/>
      <w:numFmt w:val="lowerRoman"/>
      <w:pStyle w:val="Heading2"/>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2C466B"/>
    <w:multiLevelType w:val="hybridMultilevel"/>
    <w:tmpl w:val="F746E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994E6C"/>
    <w:multiLevelType w:val="hybridMultilevel"/>
    <w:tmpl w:val="9A30B956"/>
    <w:lvl w:ilvl="0" w:tplc="8CE81D6A">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45CB55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E0616A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C6462E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E3E0EB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25AAF9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FA237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CBA0FD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2D0A89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44D19C4"/>
    <w:multiLevelType w:val="hybridMultilevel"/>
    <w:tmpl w:val="37A042C4"/>
    <w:lvl w:ilvl="0" w:tplc="DCA8A182">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C0A91B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3668C4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F6AC2A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19292B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FDE004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75895F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BE547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D045BD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A477A85"/>
    <w:multiLevelType w:val="hybridMultilevel"/>
    <w:tmpl w:val="8BACA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FB5088"/>
    <w:multiLevelType w:val="hybridMultilevel"/>
    <w:tmpl w:val="0D98BDA6"/>
    <w:lvl w:ilvl="0" w:tplc="064CFBF2">
      <w:start w:val="1"/>
      <w:numFmt w:val="decimal"/>
      <w:lvlText w:val="%1."/>
      <w:lvlJc w:val="left"/>
      <w:pPr>
        <w:ind w:left="355" w:hanging="360"/>
      </w:pPr>
      <w:rPr>
        <w:rFonts w:hint="default"/>
      </w:rPr>
    </w:lvl>
    <w:lvl w:ilvl="1" w:tplc="08090019" w:tentative="1">
      <w:start w:val="1"/>
      <w:numFmt w:val="lowerLetter"/>
      <w:lvlText w:val="%2."/>
      <w:lvlJc w:val="left"/>
      <w:pPr>
        <w:ind w:left="1075" w:hanging="360"/>
      </w:pPr>
    </w:lvl>
    <w:lvl w:ilvl="2" w:tplc="0809001B" w:tentative="1">
      <w:start w:val="1"/>
      <w:numFmt w:val="lowerRoman"/>
      <w:lvlText w:val="%3."/>
      <w:lvlJc w:val="right"/>
      <w:pPr>
        <w:ind w:left="1795" w:hanging="180"/>
      </w:pPr>
    </w:lvl>
    <w:lvl w:ilvl="3" w:tplc="0809000F" w:tentative="1">
      <w:start w:val="1"/>
      <w:numFmt w:val="decimal"/>
      <w:lvlText w:val="%4."/>
      <w:lvlJc w:val="left"/>
      <w:pPr>
        <w:ind w:left="2515" w:hanging="360"/>
      </w:pPr>
    </w:lvl>
    <w:lvl w:ilvl="4" w:tplc="08090019" w:tentative="1">
      <w:start w:val="1"/>
      <w:numFmt w:val="lowerLetter"/>
      <w:lvlText w:val="%5."/>
      <w:lvlJc w:val="left"/>
      <w:pPr>
        <w:ind w:left="3235" w:hanging="360"/>
      </w:pPr>
    </w:lvl>
    <w:lvl w:ilvl="5" w:tplc="0809001B" w:tentative="1">
      <w:start w:val="1"/>
      <w:numFmt w:val="lowerRoman"/>
      <w:lvlText w:val="%6."/>
      <w:lvlJc w:val="right"/>
      <w:pPr>
        <w:ind w:left="3955" w:hanging="180"/>
      </w:pPr>
    </w:lvl>
    <w:lvl w:ilvl="6" w:tplc="0809000F" w:tentative="1">
      <w:start w:val="1"/>
      <w:numFmt w:val="decimal"/>
      <w:lvlText w:val="%7."/>
      <w:lvlJc w:val="left"/>
      <w:pPr>
        <w:ind w:left="4675" w:hanging="360"/>
      </w:pPr>
    </w:lvl>
    <w:lvl w:ilvl="7" w:tplc="08090019" w:tentative="1">
      <w:start w:val="1"/>
      <w:numFmt w:val="lowerLetter"/>
      <w:lvlText w:val="%8."/>
      <w:lvlJc w:val="left"/>
      <w:pPr>
        <w:ind w:left="5395" w:hanging="360"/>
      </w:pPr>
    </w:lvl>
    <w:lvl w:ilvl="8" w:tplc="0809001B" w:tentative="1">
      <w:start w:val="1"/>
      <w:numFmt w:val="lowerRoman"/>
      <w:lvlText w:val="%9."/>
      <w:lvlJc w:val="right"/>
      <w:pPr>
        <w:ind w:left="6115" w:hanging="180"/>
      </w:pPr>
    </w:lvl>
  </w:abstractNum>
  <w:num w:numId="1">
    <w:abstractNumId w:val="4"/>
  </w:num>
  <w:num w:numId="2">
    <w:abstractNumId w:val="3"/>
  </w:num>
  <w:num w:numId="3">
    <w:abstractNumId w:val="1"/>
  </w:num>
  <w:num w:numId="4">
    <w:abstractNumId w:val="6"/>
  </w:num>
  <w:num w:numId="5">
    <w:abstractNumId w:val="2"/>
  </w:num>
  <w:num w:numId="6">
    <w:abstractNumId w:val="0"/>
  </w:num>
  <w:num w:numId="7">
    <w:abstractNumId w:val="1"/>
    <w:lvlOverride w:ilvl="0">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60E"/>
    <w:rsid w:val="00030F85"/>
    <w:rsid w:val="000439DD"/>
    <w:rsid w:val="00054FE2"/>
    <w:rsid w:val="00092897"/>
    <w:rsid w:val="001261E1"/>
    <w:rsid w:val="00252649"/>
    <w:rsid w:val="00260B27"/>
    <w:rsid w:val="002965CE"/>
    <w:rsid w:val="002B5A1B"/>
    <w:rsid w:val="00351AC4"/>
    <w:rsid w:val="003A6425"/>
    <w:rsid w:val="00410FAB"/>
    <w:rsid w:val="00475D35"/>
    <w:rsid w:val="004F4FFF"/>
    <w:rsid w:val="005211F1"/>
    <w:rsid w:val="00732888"/>
    <w:rsid w:val="00747597"/>
    <w:rsid w:val="00874E23"/>
    <w:rsid w:val="00882222"/>
    <w:rsid w:val="008B42CB"/>
    <w:rsid w:val="009D198C"/>
    <w:rsid w:val="00A45D18"/>
    <w:rsid w:val="00B326F4"/>
    <w:rsid w:val="00B80F3D"/>
    <w:rsid w:val="00B9160E"/>
    <w:rsid w:val="00C91890"/>
    <w:rsid w:val="00E610E3"/>
    <w:rsid w:val="00E823DE"/>
    <w:rsid w:val="00E848AA"/>
    <w:rsid w:val="00F71A5B"/>
    <w:rsid w:val="00FC0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7B7AD"/>
  <w15:chartTrackingRefBased/>
  <w15:docId w15:val="{38C6B955-3C42-4B70-9E86-89779577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D18"/>
    <w:pPr>
      <w:spacing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B9160E"/>
    <w:pPr>
      <w:outlineLvl w:val="0"/>
    </w:pPr>
    <w:rPr>
      <w:b/>
      <w:bCs/>
    </w:rPr>
  </w:style>
  <w:style w:type="paragraph" w:styleId="Heading2">
    <w:name w:val="heading 2"/>
    <w:basedOn w:val="ListParagraph"/>
    <w:next w:val="Normal"/>
    <w:link w:val="Heading2Char"/>
    <w:uiPriority w:val="9"/>
    <w:unhideWhenUsed/>
    <w:qFormat/>
    <w:rsid w:val="00054FE2"/>
    <w:pPr>
      <w:numPr>
        <w:numId w:val="3"/>
      </w:numPr>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60E"/>
    <w:rPr>
      <w:rFonts w:ascii="Times New Roman" w:hAnsi="Times New Roman" w:cs="Times New Roman"/>
      <w:b/>
      <w:bCs/>
      <w:sz w:val="24"/>
      <w:szCs w:val="24"/>
      <w:lang w:val="en-GB"/>
    </w:rPr>
  </w:style>
  <w:style w:type="character" w:customStyle="1" w:styleId="Heading2Char">
    <w:name w:val="Heading 2 Char"/>
    <w:basedOn w:val="DefaultParagraphFont"/>
    <w:link w:val="Heading2"/>
    <w:uiPriority w:val="9"/>
    <w:rsid w:val="00054FE2"/>
    <w:rPr>
      <w:rFonts w:ascii="Times New Roman" w:hAnsi="Times New Roman" w:cs="Times New Roman"/>
      <w:b/>
      <w:bCs/>
      <w:i/>
      <w:iCs/>
      <w:sz w:val="24"/>
      <w:szCs w:val="24"/>
      <w:lang w:val="en-GB"/>
    </w:rPr>
  </w:style>
  <w:style w:type="paragraph" w:styleId="ListParagraph">
    <w:name w:val="List Paragraph"/>
    <w:basedOn w:val="Normal"/>
    <w:uiPriority w:val="34"/>
    <w:qFormat/>
    <w:rsid w:val="00054FE2"/>
    <w:pPr>
      <w:ind w:left="720"/>
      <w:contextualSpacing/>
    </w:pPr>
  </w:style>
  <w:style w:type="character" w:styleId="Hyperlink">
    <w:name w:val="Hyperlink"/>
    <w:basedOn w:val="DefaultParagraphFont"/>
    <w:uiPriority w:val="99"/>
    <w:unhideWhenUsed/>
    <w:rsid w:val="005211F1"/>
    <w:rPr>
      <w:color w:val="0563C1" w:themeColor="hyperlink"/>
      <w:u w:val="single"/>
    </w:rPr>
  </w:style>
  <w:style w:type="paragraph" w:styleId="TOCHeading">
    <w:name w:val="TOC Heading"/>
    <w:basedOn w:val="Heading1"/>
    <w:next w:val="Normal"/>
    <w:uiPriority w:val="39"/>
    <w:unhideWhenUsed/>
    <w:qFormat/>
    <w:rsid w:val="005211F1"/>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5211F1"/>
    <w:pPr>
      <w:spacing w:after="100"/>
    </w:pPr>
  </w:style>
  <w:style w:type="paragraph" w:styleId="TOC2">
    <w:name w:val="toc 2"/>
    <w:basedOn w:val="Normal"/>
    <w:next w:val="Normal"/>
    <w:autoRedefine/>
    <w:uiPriority w:val="39"/>
    <w:unhideWhenUsed/>
    <w:rsid w:val="005211F1"/>
    <w:pPr>
      <w:spacing w:after="100"/>
      <w:ind w:left="220"/>
    </w:pPr>
  </w:style>
  <w:style w:type="paragraph" w:styleId="Footer">
    <w:name w:val="footer"/>
    <w:basedOn w:val="Normal"/>
    <w:link w:val="FooterChar"/>
    <w:uiPriority w:val="99"/>
    <w:unhideWhenUsed/>
    <w:rsid w:val="005211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1F1"/>
    <w:rPr>
      <w:rFonts w:ascii="Times New Roman" w:hAnsi="Times New Roman" w:cs="Times New Roman"/>
      <w:sz w:val="24"/>
      <w:szCs w:val="24"/>
      <w:lang w:val="en-GB"/>
    </w:rPr>
  </w:style>
  <w:style w:type="paragraph" w:styleId="TOC3">
    <w:name w:val="toc 3"/>
    <w:basedOn w:val="Normal"/>
    <w:next w:val="Normal"/>
    <w:autoRedefine/>
    <w:uiPriority w:val="39"/>
    <w:unhideWhenUsed/>
    <w:rsid w:val="005211F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D2DEAC8-CE7C-496D-8EE7-8C91435D9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2455</Words>
  <Characters>13998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hassan</dc:creator>
  <cp:keywords/>
  <dc:description/>
  <cp:lastModifiedBy>Adelina-Victoria Dumitru (2015292)</cp:lastModifiedBy>
  <cp:revision>2</cp:revision>
  <dcterms:created xsi:type="dcterms:W3CDTF">2022-03-04T14:42:00Z</dcterms:created>
  <dcterms:modified xsi:type="dcterms:W3CDTF">2022-03-04T14:42:00Z</dcterms:modified>
</cp:coreProperties>
</file>