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AB6D84" w:rsidRDefault="00AB6D84" w:rsidP="00626734">
      <w:pPr>
        <w:spacing w:line="480" w:lineRule="auto"/>
        <w:jc w:val="center"/>
        <w:rPr>
          <w:rFonts w:ascii="Times New Roman" w:hAnsi="Times New Roman" w:cs="Times New Roman"/>
          <w:b/>
          <w:color w:val="000000" w:themeColor="text1"/>
          <w:sz w:val="24"/>
          <w:szCs w:val="24"/>
        </w:rPr>
      </w:pPr>
    </w:p>
    <w:p w:rsidR="001278DE" w:rsidRPr="008D61A6" w:rsidRDefault="001278DE" w:rsidP="00626734">
      <w:pPr>
        <w:spacing w:line="480" w:lineRule="auto"/>
        <w:jc w:val="center"/>
        <w:rPr>
          <w:rFonts w:ascii="Times New Roman" w:hAnsi="Times New Roman" w:cs="Times New Roman"/>
          <w:b/>
          <w:color w:val="000000" w:themeColor="text1"/>
          <w:sz w:val="24"/>
          <w:szCs w:val="24"/>
        </w:rPr>
      </w:pPr>
      <w:r w:rsidRPr="008D61A6">
        <w:rPr>
          <w:rFonts w:ascii="Times New Roman" w:hAnsi="Times New Roman" w:cs="Times New Roman"/>
          <w:b/>
          <w:color w:val="000000" w:themeColor="text1"/>
          <w:sz w:val="24"/>
          <w:szCs w:val="24"/>
        </w:rPr>
        <w:t xml:space="preserve">BMPL4009 Criminal Law </w:t>
      </w:r>
    </w:p>
    <w:p w:rsidR="008D61A6" w:rsidRPr="008D61A6" w:rsidRDefault="008D61A6" w:rsidP="00626734">
      <w:pPr>
        <w:spacing w:line="480" w:lineRule="auto"/>
        <w:jc w:val="center"/>
        <w:rPr>
          <w:rFonts w:ascii="Times New Roman" w:hAnsi="Times New Roman" w:cs="Times New Roman"/>
          <w:color w:val="000000" w:themeColor="text1"/>
          <w:sz w:val="24"/>
          <w:szCs w:val="24"/>
          <w:shd w:val="clear" w:color="auto" w:fill="FFFFFF"/>
        </w:rPr>
      </w:pPr>
    </w:p>
    <w:p w:rsidR="008D61A6" w:rsidRPr="008D61A6" w:rsidRDefault="008D61A6" w:rsidP="00626734">
      <w:pPr>
        <w:spacing w:line="480" w:lineRule="auto"/>
        <w:jc w:val="center"/>
        <w:rPr>
          <w:rFonts w:ascii="Times New Roman" w:hAnsi="Times New Roman" w:cs="Times New Roman"/>
          <w:color w:val="000000" w:themeColor="text1"/>
          <w:sz w:val="24"/>
          <w:szCs w:val="24"/>
          <w:shd w:val="clear" w:color="auto" w:fill="FFFFFF"/>
        </w:rPr>
      </w:pPr>
    </w:p>
    <w:p w:rsidR="001278DE" w:rsidRPr="008D61A6" w:rsidRDefault="005057EA" w:rsidP="00626734">
      <w:pPr>
        <w:spacing w:line="480" w:lineRule="auto"/>
        <w:jc w:val="center"/>
        <w:rPr>
          <w:rFonts w:ascii="Times New Roman" w:hAnsi="Times New Roman" w:cs="Times New Roman"/>
          <w:bCs/>
          <w:color w:val="000000" w:themeColor="text1"/>
          <w:sz w:val="24"/>
          <w:szCs w:val="24"/>
        </w:rPr>
      </w:pPr>
      <w:r w:rsidRPr="008D61A6">
        <w:rPr>
          <w:rFonts w:ascii="Times New Roman" w:hAnsi="Times New Roman" w:cs="Times New Roman"/>
          <w:color w:val="000000" w:themeColor="text1"/>
          <w:sz w:val="24"/>
          <w:szCs w:val="24"/>
          <w:shd w:val="clear" w:color="auto" w:fill="FFFFFF"/>
        </w:rPr>
        <w:t xml:space="preserve">Student: </w:t>
      </w:r>
      <w:r w:rsidR="001278DE" w:rsidRPr="008D61A6">
        <w:rPr>
          <w:rFonts w:ascii="Times New Roman" w:hAnsi="Times New Roman" w:cs="Times New Roman"/>
          <w:bCs/>
          <w:color w:val="000000" w:themeColor="text1"/>
          <w:sz w:val="24"/>
          <w:szCs w:val="24"/>
        </w:rPr>
        <w:t>Tanzeel Ahmed</w:t>
      </w:r>
    </w:p>
    <w:p w:rsidR="008D61A6" w:rsidRPr="008D61A6" w:rsidRDefault="008D61A6" w:rsidP="00626734">
      <w:pPr>
        <w:spacing w:line="480" w:lineRule="auto"/>
        <w:jc w:val="center"/>
        <w:rPr>
          <w:rFonts w:ascii="Times New Roman" w:eastAsia="Times New Roman" w:hAnsi="Times New Roman" w:cs="Times New Roman"/>
          <w:bCs/>
          <w:color w:val="000000" w:themeColor="text1"/>
          <w:sz w:val="24"/>
          <w:szCs w:val="24"/>
        </w:rPr>
      </w:pPr>
    </w:p>
    <w:p w:rsidR="008D61A6" w:rsidRPr="008D61A6" w:rsidRDefault="008D61A6" w:rsidP="00626734">
      <w:pPr>
        <w:spacing w:line="480" w:lineRule="auto"/>
        <w:jc w:val="center"/>
        <w:rPr>
          <w:rFonts w:ascii="Times New Roman" w:eastAsia="Times New Roman" w:hAnsi="Times New Roman" w:cs="Times New Roman"/>
          <w:bCs/>
          <w:color w:val="000000" w:themeColor="text1"/>
          <w:sz w:val="24"/>
          <w:szCs w:val="24"/>
        </w:rPr>
      </w:pPr>
    </w:p>
    <w:p w:rsidR="008D61A6" w:rsidRPr="008D61A6" w:rsidRDefault="008D61A6" w:rsidP="00626734">
      <w:pPr>
        <w:spacing w:line="480" w:lineRule="auto"/>
        <w:jc w:val="center"/>
        <w:rPr>
          <w:rFonts w:ascii="Times New Roman" w:eastAsia="Times New Roman" w:hAnsi="Times New Roman" w:cs="Times New Roman"/>
          <w:bCs/>
          <w:color w:val="000000" w:themeColor="text1"/>
          <w:sz w:val="24"/>
          <w:szCs w:val="24"/>
        </w:rPr>
      </w:pPr>
    </w:p>
    <w:p w:rsidR="008D61A6" w:rsidRPr="008D61A6" w:rsidRDefault="008D61A6" w:rsidP="00626734">
      <w:pPr>
        <w:spacing w:line="480" w:lineRule="auto"/>
        <w:jc w:val="center"/>
        <w:rPr>
          <w:rFonts w:ascii="Times New Roman" w:eastAsia="Times New Roman" w:hAnsi="Times New Roman" w:cs="Times New Roman"/>
          <w:bCs/>
          <w:color w:val="000000" w:themeColor="text1"/>
          <w:sz w:val="24"/>
          <w:szCs w:val="24"/>
        </w:rPr>
      </w:pPr>
    </w:p>
    <w:p w:rsidR="005057EA" w:rsidRPr="008D61A6" w:rsidRDefault="005057EA" w:rsidP="00626734">
      <w:pPr>
        <w:spacing w:line="480" w:lineRule="auto"/>
        <w:jc w:val="center"/>
        <w:rPr>
          <w:rFonts w:ascii="Times New Roman" w:eastAsia="Times New Roman" w:hAnsi="Times New Roman" w:cs="Times New Roman"/>
          <w:bCs/>
          <w:color w:val="000000" w:themeColor="text1"/>
          <w:sz w:val="24"/>
          <w:szCs w:val="24"/>
        </w:rPr>
      </w:pPr>
      <w:r w:rsidRPr="008D61A6">
        <w:rPr>
          <w:rFonts w:ascii="Times New Roman" w:eastAsia="Times New Roman" w:hAnsi="Times New Roman" w:cs="Times New Roman"/>
          <w:bCs/>
          <w:color w:val="000000" w:themeColor="text1"/>
          <w:sz w:val="24"/>
          <w:szCs w:val="24"/>
        </w:rPr>
        <w:t>October 1</w:t>
      </w:r>
      <w:r w:rsidR="001278DE" w:rsidRPr="008D61A6">
        <w:rPr>
          <w:rFonts w:ascii="Times New Roman" w:eastAsia="Times New Roman" w:hAnsi="Times New Roman" w:cs="Times New Roman"/>
          <w:bCs/>
          <w:color w:val="000000" w:themeColor="text1"/>
          <w:sz w:val="24"/>
          <w:szCs w:val="24"/>
        </w:rPr>
        <w:t>6</w:t>
      </w:r>
      <w:r w:rsidRPr="008D61A6">
        <w:rPr>
          <w:rFonts w:ascii="Times New Roman" w:eastAsia="Times New Roman" w:hAnsi="Times New Roman" w:cs="Times New Roman"/>
          <w:bCs/>
          <w:color w:val="000000" w:themeColor="text1"/>
          <w:sz w:val="24"/>
          <w:szCs w:val="24"/>
        </w:rPr>
        <w:t>, 2023</w:t>
      </w:r>
    </w:p>
    <w:p w:rsidR="00CA3216" w:rsidRPr="008D61A6" w:rsidRDefault="00CA3216" w:rsidP="00626734">
      <w:pPr>
        <w:spacing w:line="480" w:lineRule="auto"/>
        <w:jc w:val="both"/>
        <w:rPr>
          <w:rFonts w:ascii="Times New Roman" w:hAnsi="Times New Roman" w:cs="Times New Roman"/>
          <w:b/>
          <w:bCs/>
          <w:sz w:val="24"/>
          <w:szCs w:val="24"/>
        </w:rPr>
      </w:pPr>
    </w:p>
    <w:p w:rsidR="005057EA" w:rsidRPr="008D61A6" w:rsidRDefault="005057EA" w:rsidP="00626734">
      <w:pPr>
        <w:spacing w:line="480" w:lineRule="auto"/>
        <w:jc w:val="both"/>
        <w:rPr>
          <w:rFonts w:ascii="Times New Roman" w:hAnsi="Times New Roman" w:cs="Times New Roman"/>
          <w:b/>
          <w:bCs/>
          <w:sz w:val="24"/>
          <w:szCs w:val="24"/>
        </w:rPr>
      </w:pPr>
    </w:p>
    <w:p w:rsidR="005057EA" w:rsidRPr="008D61A6" w:rsidRDefault="005057EA" w:rsidP="00626734">
      <w:pPr>
        <w:spacing w:line="480" w:lineRule="auto"/>
        <w:jc w:val="both"/>
        <w:rPr>
          <w:rFonts w:ascii="Times New Roman" w:hAnsi="Times New Roman" w:cs="Times New Roman"/>
          <w:b/>
          <w:bCs/>
          <w:sz w:val="24"/>
          <w:szCs w:val="24"/>
        </w:rPr>
      </w:pPr>
    </w:p>
    <w:p w:rsidR="005057EA" w:rsidRPr="008D61A6" w:rsidRDefault="005057EA" w:rsidP="00626734">
      <w:pPr>
        <w:spacing w:line="480" w:lineRule="auto"/>
        <w:jc w:val="both"/>
        <w:rPr>
          <w:rFonts w:ascii="Times New Roman" w:hAnsi="Times New Roman" w:cs="Times New Roman"/>
          <w:b/>
          <w:bCs/>
          <w:sz w:val="24"/>
          <w:szCs w:val="24"/>
        </w:rPr>
      </w:pPr>
    </w:p>
    <w:p w:rsidR="005057EA" w:rsidRDefault="005057EA" w:rsidP="00626734">
      <w:pPr>
        <w:spacing w:line="480" w:lineRule="auto"/>
        <w:jc w:val="both"/>
        <w:rPr>
          <w:rFonts w:ascii="Times New Roman" w:hAnsi="Times New Roman" w:cs="Times New Roman"/>
          <w:b/>
          <w:bCs/>
          <w:sz w:val="24"/>
          <w:szCs w:val="24"/>
        </w:rPr>
      </w:pPr>
    </w:p>
    <w:p w:rsidR="00A02679" w:rsidRDefault="00A02679" w:rsidP="00626734">
      <w:pPr>
        <w:spacing w:line="480" w:lineRule="auto"/>
        <w:jc w:val="both"/>
        <w:rPr>
          <w:rFonts w:ascii="Times New Roman" w:hAnsi="Times New Roman" w:cs="Times New Roman"/>
          <w:b/>
          <w:bCs/>
          <w:sz w:val="24"/>
          <w:szCs w:val="24"/>
        </w:rPr>
      </w:pPr>
    </w:p>
    <w:p w:rsidR="00A02679" w:rsidRDefault="00A02679" w:rsidP="00626734">
      <w:pPr>
        <w:spacing w:line="480" w:lineRule="auto"/>
        <w:jc w:val="both"/>
        <w:rPr>
          <w:rFonts w:ascii="Times New Roman" w:hAnsi="Times New Roman" w:cs="Times New Roman"/>
          <w:b/>
          <w:bCs/>
          <w:sz w:val="24"/>
          <w:szCs w:val="24"/>
        </w:rPr>
      </w:pPr>
    </w:p>
    <w:p w:rsidR="00AB6D84" w:rsidRDefault="00AB6D84" w:rsidP="00626734">
      <w:pPr>
        <w:spacing w:line="480" w:lineRule="auto"/>
        <w:jc w:val="both"/>
        <w:rPr>
          <w:rFonts w:ascii="Times New Roman" w:hAnsi="Times New Roman" w:cs="Times New Roman"/>
          <w:b/>
          <w:bCs/>
          <w:sz w:val="24"/>
          <w:szCs w:val="24"/>
        </w:rPr>
      </w:pPr>
    </w:p>
    <w:p w:rsidR="00626734" w:rsidRPr="008D61A6" w:rsidRDefault="00626734" w:rsidP="00626734">
      <w:pPr>
        <w:spacing w:line="480" w:lineRule="auto"/>
        <w:jc w:val="both"/>
        <w:rPr>
          <w:rFonts w:ascii="Times New Roman" w:hAnsi="Times New Roman" w:cs="Times New Roman"/>
          <w:b/>
          <w:bCs/>
          <w:sz w:val="24"/>
          <w:szCs w:val="24"/>
        </w:rPr>
      </w:pPr>
    </w:p>
    <w:p w:rsidR="00CA3216" w:rsidRPr="008D61A6" w:rsidRDefault="00600EE0" w:rsidP="00C219C8">
      <w:pPr>
        <w:spacing w:line="480" w:lineRule="auto"/>
        <w:jc w:val="center"/>
        <w:rPr>
          <w:rFonts w:ascii="Times New Roman" w:hAnsi="Times New Roman" w:cs="Times New Roman"/>
          <w:b/>
          <w:bCs/>
          <w:sz w:val="24"/>
          <w:szCs w:val="24"/>
        </w:rPr>
      </w:pPr>
      <w:r w:rsidRPr="008D61A6">
        <w:rPr>
          <w:rFonts w:ascii="Times New Roman" w:hAnsi="Times New Roman" w:cs="Times New Roman"/>
          <w:b/>
          <w:bCs/>
          <w:sz w:val="24"/>
          <w:szCs w:val="24"/>
        </w:rPr>
        <w:lastRenderedPageBreak/>
        <w:t>The Concept of Consent in UK Criminal Law: Its Role in Battery Cases</w:t>
      </w:r>
    </w:p>
    <w:p w:rsidR="00CA3216" w:rsidRPr="008D61A6" w:rsidRDefault="00600EE0" w:rsidP="00626734">
      <w:pPr>
        <w:spacing w:line="480" w:lineRule="auto"/>
        <w:jc w:val="both"/>
        <w:outlineLvl w:val="0"/>
        <w:rPr>
          <w:rFonts w:ascii="Times New Roman" w:hAnsi="Times New Roman" w:cs="Times New Roman"/>
          <w:b/>
          <w:bCs/>
          <w:sz w:val="24"/>
          <w:szCs w:val="24"/>
        </w:rPr>
      </w:pPr>
      <w:bookmarkStart w:id="0" w:name="_Toc6542"/>
      <w:r w:rsidRPr="008D61A6">
        <w:rPr>
          <w:rFonts w:ascii="Times New Roman" w:hAnsi="Times New Roman" w:cs="Times New Roman"/>
          <w:b/>
          <w:bCs/>
          <w:sz w:val="24"/>
          <w:szCs w:val="24"/>
        </w:rPr>
        <w:t>Introduction</w:t>
      </w:r>
      <w:bookmarkEnd w:id="0"/>
    </w:p>
    <w:p w:rsidR="00B03B0E" w:rsidRPr="008D61A6" w:rsidRDefault="00B03B0E" w:rsidP="00AB6D84">
      <w:pPr>
        <w:spacing w:line="480" w:lineRule="auto"/>
        <w:ind w:firstLine="720"/>
        <w:jc w:val="both"/>
        <w:rPr>
          <w:rFonts w:ascii="Times New Roman" w:hAnsi="Times New Roman" w:cs="Times New Roman"/>
          <w:sz w:val="24"/>
          <w:szCs w:val="24"/>
        </w:rPr>
      </w:pPr>
      <w:bookmarkStart w:id="1" w:name="_Toc25533"/>
      <w:r w:rsidRPr="008D61A6">
        <w:rPr>
          <w:rFonts w:ascii="Times New Roman" w:hAnsi="Times New Roman" w:cs="Times New Roman"/>
          <w:sz w:val="24"/>
          <w:szCs w:val="24"/>
        </w:rPr>
        <w:t>British criminal law places a premium on the concept of consent. If you've been accused of something serious like battery, this can be used as an alibi. The offence of battery is defined as the willful or wanton use of physical force to cause bodily harm to another person. To prove battery, the prosecution must show that the offender used unlawful force against the victim</w:t>
      </w:r>
      <w:r w:rsidR="00414CD0">
        <w:rPr>
          <w:rFonts w:ascii="Times New Roman" w:hAnsi="Times New Roman" w:cs="Times New Roman"/>
          <w:sz w:val="24"/>
          <w:szCs w:val="24"/>
        </w:rPr>
        <w:t>.</w:t>
      </w:r>
      <w:r w:rsidR="00AB6D84">
        <w:rPr>
          <w:rFonts w:ascii="Times New Roman" w:hAnsi="Times New Roman" w:cs="Times New Roman"/>
          <w:sz w:val="24"/>
          <w:szCs w:val="24"/>
        </w:rPr>
        <w:t xml:space="preserve"> </w:t>
      </w:r>
      <w:r w:rsidRPr="008D61A6">
        <w:rPr>
          <w:rFonts w:ascii="Times New Roman" w:hAnsi="Times New Roman" w:cs="Times New Roman"/>
          <w:sz w:val="24"/>
          <w:szCs w:val="24"/>
        </w:rPr>
        <w:t>Academics have spent a lot of time debating various aspects of the nuanced concept of consent. This study intends to critically examine the idea of consent as it is used in British criminal law, with particular attention paid to its applicability in battery cases. This paper examines consent from a legal and philosophical standpoint, with the latter receiving more attention than the former</w:t>
      </w:r>
      <w:r w:rsidR="0015312D">
        <w:rPr>
          <w:rFonts w:ascii="Times New Roman" w:hAnsi="Times New Roman" w:cs="Times New Roman"/>
          <w:sz w:val="24"/>
          <w:szCs w:val="24"/>
        </w:rPr>
        <w:t>.</w:t>
      </w:r>
      <w:r w:rsidR="00E02CF4">
        <w:rPr>
          <w:rFonts w:ascii="Times New Roman" w:hAnsi="Times New Roman" w:cs="Times New Roman"/>
          <w:sz w:val="24"/>
          <w:szCs w:val="24"/>
        </w:rPr>
        <w:t xml:space="preserve"> The idea of the consent have great importance. Many UK criminal law cases have crucial impacts due to this concept. That's why this study thoroughly examines the consent specially in relevance of the UK criminal law.</w:t>
      </w:r>
    </w:p>
    <w:p w:rsidR="00B03B0E" w:rsidRPr="00414CD0" w:rsidRDefault="00222194" w:rsidP="00626734">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Ethical and philosophical Aspects </w:t>
      </w:r>
    </w:p>
    <w:p w:rsidR="00C219C8" w:rsidRDefault="00B03B0E" w:rsidP="00AB6D84">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t xml:space="preserve">Autonomy, the idea that each person has the freedom to make decisions about their own body and territory, is the philosophical cornerstone upon which the concept of consent rests. </w:t>
      </w:r>
      <w:r w:rsidR="00600EE0">
        <w:rPr>
          <w:rFonts w:ascii="Times New Roman" w:hAnsi="Times New Roman" w:cs="Times New Roman"/>
          <w:sz w:val="24"/>
          <w:szCs w:val="24"/>
        </w:rPr>
        <w:t xml:space="preserve">The essence of autonomy is going to be addressed further in this essay. </w:t>
      </w:r>
      <w:r w:rsidRPr="008D61A6">
        <w:rPr>
          <w:rFonts w:ascii="Times New Roman" w:hAnsi="Times New Roman" w:cs="Times New Roman"/>
          <w:sz w:val="24"/>
          <w:szCs w:val="24"/>
        </w:rPr>
        <w:t>The essence of autonomy is the ability to make choices that have direct bearing on one's own life. One of the most basic human rights is the right to decide what to do with one's own body and life</w:t>
      </w:r>
      <w:r w:rsidR="00403A65">
        <w:rPr>
          <w:rFonts w:ascii="Times New Roman" w:hAnsi="Times New Roman" w:cs="Times New Roman"/>
          <w:sz w:val="24"/>
          <w:szCs w:val="24"/>
        </w:rPr>
        <w:t xml:space="preserve">. </w:t>
      </w:r>
      <w:r w:rsidR="00A76394" w:rsidRPr="008D61A6">
        <w:rPr>
          <w:rFonts w:ascii="Times New Roman" w:hAnsi="Times New Roman" w:cs="Times New Roman"/>
          <w:sz w:val="24"/>
          <w:szCs w:val="24"/>
        </w:rPr>
        <w:t xml:space="preserve">To live one's life in accordance with one's own values, beliefs, and wants is a fundamental human right, and this autonomy notion is at its foundation. In its most basic form, consent is a way to respect and protect an individual's independence. By asking for someone's permission, we're showing that we value and respect their autonomy when it comes to their own body, behaviours, and involvement in a scenario. Seeking permission demonstrates our dedication to value. </w:t>
      </w:r>
    </w:p>
    <w:p w:rsidR="00C219C8" w:rsidRDefault="00A76394" w:rsidP="00AB6D84">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lastRenderedPageBreak/>
        <w:t>Giving one's approval means one is in full agreement with the proposed action and wants it to go through. By giving our consent, we are stating that we agree with the recommended course of action and are ready to move forward with the topic at hand</w:t>
      </w:r>
      <w:r w:rsidR="009E7104">
        <w:rPr>
          <w:rFonts w:ascii="Times New Roman" w:hAnsi="Times New Roman" w:cs="Times New Roman"/>
          <w:sz w:val="24"/>
          <w:szCs w:val="24"/>
        </w:rPr>
        <w:t xml:space="preserve"> (</w:t>
      </w:r>
      <w:r w:rsidR="009E7104" w:rsidRPr="00127DDF">
        <w:rPr>
          <w:rFonts w:ascii="Times New Roman" w:eastAsia="Times New Roman" w:hAnsi="Times New Roman" w:cs="Times New Roman"/>
          <w:color w:val="000000" w:themeColor="text1"/>
          <w:sz w:val="24"/>
          <w:szCs w:val="24"/>
          <w:shd w:val="clear" w:color="auto" w:fill="FFFFFF"/>
        </w:rPr>
        <w:t>Fuller</w:t>
      </w:r>
      <w:r w:rsidR="009E7104">
        <w:rPr>
          <w:rFonts w:ascii="Times New Roman" w:eastAsia="Times New Roman" w:hAnsi="Times New Roman" w:cs="Times New Roman"/>
          <w:color w:val="000000" w:themeColor="text1"/>
          <w:sz w:val="24"/>
          <w:szCs w:val="24"/>
          <w:shd w:val="clear" w:color="auto" w:fill="FFFFFF"/>
        </w:rPr>
        <w:t xml:space="preserve"> et al, 2023)</w:t>
      </w:r>
      <w:r w:rsidRPr="008D61A6">
        <w:rPr>
          <w:rFonts w:ascii="Times New Roman" w:hAnsi="Times New Roman" w:cs="Times New Roman"/>
          <w:sz w:val="24"/>
          <w:szCs w:val="24"/>
        </w:rPr>
        <w:t>.</w:t>
      </w:r>
      <w:r w:rsidR="00414CD0">
        <w:rPr>
          <w:rFonts w:ascii="Times New Roman" w:hAnsi="Times New Roman" w:cs="Times New Roman"/>
          <w:sz w:val="24"/>
          <w:szCs w:val="24"/>
        </w:rPr>
        <w:t xml:space="preserve"> </w:t>
      </w:r>
      <w:r w:rsidRPr="008D61A6">
        <w:rPr>
          <w:rFonts w:ascii="Times New Roman" w:hAnsi="Times New Roman" w:cs="Times New Roman"/>
          <w:sz w:val="24"/>
          <w:szCs w:val="24"/>
        </w:rPr>
        <w:t>Consent, in the context of battery, is defined as the victim's active and informed agreement to the use of physical force. Note that any use of force that occurs without the victim's permission becomes a criminal offence known as battery. Consequently, any use of physical force or physical contact with another person without their consent is a violation of their rights and may result in legal repercussions. Consenting and respectful physical contact with others is essential, as is respecting their autonomy and personal boundaries</w:t>
      </w:r>
      <w:r w:rsidR="00EA7150" w:rsidRPr="00EA7150">
        <w:rPr>
          <w:rFonts w:ascii="Times New Roman" w:eastAsia="Times New Roman" w:hAnsi="Times New Roman" w:cs="Times New Roman"/>
          <w:color w:val="000000" w:themeColor="text1"/>
          <w:sz w:val="24"/>
          <w:szCs w:val="24"/>
          <w:shd w:val="clear" w:color="auto" w:fill="FFFFFF"/>
        </w:rPr>
        <w:t xml:space="preserve"> </w:t>
      </w:r>
      <w:r w:rsidR="00EA7150">
        <w:rPr>
          <w:rFonts w:ascii="Times New Roman" w:eastAsia="Times New Roman" w:hAnsi="Times New Roman" w:cs="Times New Roman"/>
          <w:color w:val="000000" w:themeColor="text1"/>
          <w:sz w:val="24"/>
          <w:szCs w:val="24"/>
          <w:shd w:val="clear" w:color="auto" w:fill="FFFFFF"/>
        </w:rPr>
        <w:t>(</w:t>
      </w:r>
      <w:r w:rsidR="00EA7150" w:rsidRPr="00127DDF">
        <w:rPr>
          <w:rFonts w:ascii="Times New Roman" w:eastAsia="Times New Roman" w:hAnsi="Times New Roman" w:cs="Times New Roman"/>
          <w:color w:val="000000" w:themeColor="text1"/>
          <w:sz w:val="24"/>
          <w:szCs w:val="24"/>
          <w:shd w:val="clear" w:color="auto" w:fill="FFFFFF"/>
        </w:rPr>
        <w:t>Morris</w:t>
      </w:r>
      <w:r w:rsidR="00EA7150">
        <w:rPr>
          <w:rFonts w:ascii="Times New Roman" w:eastAsia="Times New Roman" w:hAnsi="Times New Roman" w:cs="Times New Roman"/>
          <w:color w:val="000000" w:themeColor="text1"/>
          <w:sz w:val="24"/>
          <w:szCs w:val="24"/>
          <w:shd w:val="clear" w:color="auto" w:fill="FFFFFF"/>
        </w:rPr>
        <w:t>, 2023)</w:t>
      </w:r>
      <w:r w:rsidR="00EA7150">
        <w:rPr>
          <w:rFonts w:ascii="Times New Roman" w:hAnsi="Times New Roman" w:cs="Times New Roman"/>
          <w:sz w:val="24"/>
          <w:szCs w:val="24"/>
        </w:rPr>
        <w:t xml:space="preserve">. </w:t>
      </w:r>
      <w:r w:rsidRPr="008D61A6">
        <w:rPr>
          <w:rFonts w:ascii="Times New Roman" w:hAnsi="Times New Roman" w:cs="Times New Roman"/>
          <w:sz w:val="24"/>
          <w:szCs w:val="24"/>
        </w:rPr>
        <w:t xml:space="preserve">It becomes clear that several ethical and philosophical factors get into play when investigating the concept of consent. These things include the intricacy of human relationships and choices, and they are difficult to fathom. </w:t>
      </w:r>
    </w:p>
    <w:p w:rsidR="00A76394" w:rsidRPr="008D61A6" w:rsidRDefault="00872EED" w:rsidP="00AB6D8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Relationships is not easy going te</w:t>
      </w:r>
      <w:bookmarkStart w:id="2" w:name="_GoBack"/>
      <w:bookmarkEnd w:id="2"/>
      <w:r>
        <w:rPr>
          <w:rFonts w:ascii="Times New Roman" w:hAnsi="Times New Roman" w:cs="Times New Roman"/>
          <w:sz w:val="24"/>
          <w:szCs w:val="24"/>
        </w:rPr>
        <w:t xml:space="preserve">rm specially when both parties are obliged to follow the terms of consent. Many important factors in relevance of consent occurs when parties start to questions about the relevancy </w:t>
      </w:r>
      <w:r w:rsidR="00813B9A">
        <w:rPr>
          <w:rFonts w:ascii="Times New Roman" w:hAnsi="Times New Roman" w:cs="Times New Roman"/>
          <w:sz w:val="24"/>
          <w:szCs w:val="24"/>
        </w:rPr>
        <w:t xml:space="preserve">of </w:t>
      </w:r>
      <w:r>
        <w:rPr>
          <w:rFonts w:ascii="Times New Roman" w:hAnsi="Times New Roman" w:cs="Times New Roman"/>
          <w:sz w:val="24"/>
          <w:szCs w:val="24"/>
        </w:rPr>
        <w:t xml:space="preserve">the matter. </w:t>
      </w:r>
      <w:r w:rsidR="00A76394" w:rsidRPr="008D61A6">
        <w:rPr>
          <w:rFonts w:ascii="Times New Roman" w:hAnsi="Times New Roman" w:cs="Times New Roman"/>
          <w:sz w:val="24"/>
          <w:szCs w:val="24"/>
        </w:rPr>
        <w:t>As a cornerstone of human autonomy and agency, consent begs important questions that must be carefully considered. By looking more into these factors, we can learn more about the nuanced nature of consent and its ramifications in varied settings. How much freedom and voluntariness there is in the consent process is an important consideration. The legitimacy of consent is compromised when an individual is pushed or pressured into giving it. Forcing someone to agree against their will or against their values might result in fake consent. True consent should be freely provided, without any outside influences or manipulation, and this fact should be acknowledged. An imbalance of power and the consequent compromising of the individual's autonomy and agency might render their consent invalid when coercion or pressure is present</w:t>
      </w:r>
      <w:r w:rsidR="00737B66">
        <w:rPr>
          <w:rFonts w:ascii="Times New Roman" w:hAnsi="Times New Roman" w:cs="Times New Roman"/>
          <w:sz w:val="24"/>
          <w:szCs w:val="24"/>
        </w:rPr>
        <w:t xml:space="preserve"> (</w:t>
      </w:r>
      <w:r w:rsidR="00737B66" w:rsidRPr="00127DDF">
        <w:rPr>
          <w:rFonts w:ascii="Times New Roman" w:eastAsia="Times New Roman" w:hAnsi="Times New Roman" w:cs="Times New Roman"/>
          <w:color w:val="000000" w:themeColor="text1"/>
          <w:sz w:val="24"/>
          <w:szCs w:val="24"/>
          <w:shd w:val="clear" w:color="auto" w:fill="FFFFFF"/>
        </w:rPr>
        <w:t>Dave</w:t>
      </w:r>
      <w:r w:rsidR="00737B66">
        <w:rPr>
          <w:rFonts w:ascii="Times New Roman" w:eastAsia="Times New Roman" w:hAnsi="Times New Roman" w:cs="Times New Roman"/>
          <w:color w:val="000000" w:themeColor="text1"/>
          <w:sz w:val="24"/>
          <w:szCs w:val="24"/>
          <w:shd w:val="clear" w:color="auto" w:fill="FFFFFF"/>
        </w:rPr>
        <w:t xml:space="preserve"> &amp; Singh, 2023).</w:t>
      </w:r>
    </w:p>
    <w:p w:rsidR="00C219C8" w:rsidRDefault="00A76394" w:rsidP="0015312D">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lastRenderedPageBreak/>
        <w:t xml:space="preserve">The question of whether consent can be freely given in cases involving potentially hazardous or dangerous behaviours is another crucial consideration. </w:t>
      </w:r>
      <w:r w:rsidR="00813B9A">
        <w:rPr>
          <w:rFonts w:ascii="Times New Roman" w:hAnsi="Times New Roman" w:cs="Times New Roman"/>
          <w:sz w:val="24"/>
          <w:szCs w:val="24"/>
        </w:rPr>
        <w:t xml:space="preserve">Well this concept in UK criminal law have great importance and many examples states that consent have crucial impacts in the last results </w:t>
      </w:r>
      <w:r w:rsidR="008A0ED0">
        <w:rPr>
          <w:rFonts w:ascii="Times New Roman" w:hAnsi="Times New Roman" w:cs="Times New Roman"/>
          <w:sz w:val="24"/>
          <w:szCs w:val="24"/>
        </w:rPr>
        <w:t>o</w:t>
      </w:r>
      <w:r w:rsidR="00813B9A">
        <w:rPr>
          <w:rFonts w:ascii="Times New Roman" w:hAnsi="Times New Roman" w:cs="Times New Roman"/>
          <w:sz w:val="24"/>
          <w:szCs w:val="24"/>
        </w:rPr>
        <w:t>f the case fi</w:t>
      </w:r>
      <w:r w:rsidR="008A0ED0">
        <w:rPr>
          <w:rFonts w:ascii="Times New Roman" w:hAnsi="Times New Roman" w:cs="Times New Roman"/>
          <w:sz w:val="24"/>
          <w:szCs w:val="24"/>
        </w:rPr>
        <w:t xml:space="preserve">les. If </w:t>
      </w:r>
      <w:r w:rsidRPr="008D61A6">
        <w:rPr>
          <w:rFonts w:ascii="Times New Roman" w:hAnsi="Times New Roman" w:cs="Times New Roman"/>
          <w:sz w:val="24"/>
          <w:szCs w:val="24"/>
        </w:rPr>
        <w:t>a person agrees to be physically harmed and does nothing to stop it. You could wonder if this qualifies as battery, which is defined as the unlawful and intentional infliction of bodily damage or offensive physical contact on another person without their agreement</w:t>
      </w:r>
      <w:r w:rsidR="0015312D">
        <w:rPr>
          <w:rFonts w:ascii="Times New Roman" w:hAnsi="Times New Roman" w:cs="Times New Roman"/>
          <w:sz w:val="24"/>
          <w:szCs w:val="24"/>
        </w:rPr>
        <w:t xml:space="preserve"> (</w:t>
      </w:r>
      <w:r w:rsidR="0015312D" w:rsidRPr="00127DDF">
        <w:rPr>
          <w:rFonts w:ascii="Times New Roman" w:eastAsia="Times New Roman" w:hAnsi="Times New Roman" w:cs="Times New Roman"/>
          <w:color w:val="000000" w:themeColor="text1"/>
          <w:sz w:val="24"/>
          <w:szCs w:val="24"/>
          <w:shd w:val="clear" w:color="auto" w:fill="FFFFFF"/>
        </w:rPr>
        <w:t>Kaddoura</w:t>
      </w:r>
      <w:r w:rsidR="0015312D">
        <w:rPr>
          <w:rFonts w:ascii="Times New Roman" w:eastAsia="Times New Roman" w:hAnsi="Times New Roman" w:cs="Times New Roman"/>
          <w:color w:val="000000" w:themeColor="text1"/>
          <w:sz w:val="24"/>
          <w:szCs w:val="24"/>
          <w:shd w:val="clear" w:color="auto" w:fill="FFFFFF"/>
        </w:rPr>
        <w:t xml:space="preserve"> </w:t>
      </w:r>
      <w:r w:rsidR="0015312D" w:rsidRPr="00127DDF">
        <w:rPr>
          <w:rFonts w:ascii="Times New Roman" w:eastAsia="Times New Roman" w:hAnsi="Times New Roman" w:cs="Times New Roman"/>
          <w:color w:val="000000" w:themeColor="text1"/>
          <w:sz w:val="24"/>
          <w:szCs w:val="24"/>
          <w:shd w:val="clear" w:color="auto" w:fill="FFFFFF"/>
        </w:rPr>
        <w:t>and Al Husseiny,</w:t>
      </w:r>
      <w:r w:rsidR="0015312D">
        <w:rPr>
          <w:rFonts w:ascii="Times New Roman" w:eastAsia="Times New Roman" w:hAnsi="Times New Roman" w:cs="Times New Roman"/>
          <w:color w:val="000000" w:themeColor="text1"/>
          <w:sz w:val="24"/>
          <w:szCs w:val="24"/>
          <w:shd w:val="clear" w:color="auto" w:fill="FFFFFF"/>
        </w:rPr>
        <w:t xml:space="preserve"> </w:t>
      </w:r>
      <w:r w:rsidR="0015312D" w:rsidRPr="00127DDF">
        <w:rPr>
          <w:rFonts w:ascii="Times New Roman" w:eastAsia="Times New Roman" w:hAnsi="Times New Roman" w:cs="Times New Roman"/>
          <w:color w:val="000000" w:themeColor="text1"/>
          <w:sz w:val="24"/>
          <w:szCs w:val="24"/>
          <w:shd w:val="clear" w:color="auto" w:fill="FFFFFF"/>
        </w:rPr>
        <w:t>2023</w:t>
      </w:r>
      <w:r w:rsidR="0015312D">
        <w:rPr>
          <w:rFonts w:ascii="Times New Roman" w:eastAsia="Times New Roman" w:hAnsi="Times New Roman" w:cs="Times New Roman"/>
          <w:color w:val="000000" w:themeColor="text1"/>
          <w:sz w:val="24"/>
          <w:szCs w:val="24"/>
          <w:shd w:val="clear" w:color="auto" w:fill="FFFFFF"/>
        </w:rPr>
        <w:t>)</w:t>
      </w:r>
      <w:r w:rsidRPr="008D61A6">
        <w:rPr>
          <w:rFonts w:ascii="Times New Roman" w:hAnsi="Times New Roman" w:cs="Times New Roman"/>
          <w:sz w:val="24"/>
          <w:szCs w:val="24"/>
        </w:rPr>
        <w:t xml:space="preserve">. The issue arises because in this case, the victim has knowingly given their permission to be harmed. </w:t>
      </w:r>
    </w:p>
    <w:p w:rsidR="00A76394" w:rsidRPr="008D61A6" w:rsidRDefault="00A76394" w:rsidP="0015312D">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t>More research into the nuances of the law is necessary for a complete picture of the situation, though. This is not a simple issue to answer; there is a lot of nuance involved. No definitive answer can be given without first conducting a comprehensive investigation and taking into account all relevant circumstances</w:t>
      </w:r>
      <w:r w:rsidR="00D8532C">
        <w:rPr>
          <w:rFonts w:ascii="Times New Roman" w:hAnsi="Times New Roman" w:cs="Times New Roman"/>
          <w:sz w:val="24"/>
          <w:szCs w:val="24"/>
        </w:rPr>
        <w:t xml:space="preserve"> </w:t>
      </w:r>
      <w:r w:rsidR="00737B66">
        <w:rPr>
          <w:rFonts w:ascii="Times New Roman" w:hAnsi="Times New Roman" w:cs="Times New Roman"/>
          <w:sz w:val="24"/>
          <w:szCs w:val="24"/>
        </w:rPr>
        <w:t>(</w:t>
      </w:r>
      <w:r w:rsidR="00D8532C" w:rsidRPr="00127DDF">
        <w:rPr>
          <w:rFonts w:ascii="Times New Roman" w:eastAsia="Times New Roman" w:hAnsi="Times New Roman" w:cs="Times New Roman"/>
          <w:color w:val="000000" w:themeColor="text1"/>
          <w:sz w:val="24"/>
          <w:szCs w:val="24"/>
          <w:shd w:val="clear" w:color="auto" w:fill="FFFFFF"/>
        </w:rPr>
        <w:t>de Jongh</w:t>
      </w:r>
      <w:r w:rsidR="00D8532C">
        <w:rPr>
          <w:rFonts w:ascii="Times New Roman" w:eastAsia="Times New Roman" w:hAnsi="Times New Roman" w:cs="Times New Roman"/>
          <w:color w:val="000000" w:themeColor="text1"/>
          <w:sz w:val="24"/>
          <w:szCs w:val="24"/>
          <w:shd w:val="clear" w:color="auto" w:fill="FFFFFF"/>
        </w:rPr>
        <w:t xml:space="preserve"> et al, 2023).</w:t>
      </w:r>
      <w:r w:rsidR="00614BF9">
        <w:rPr>
          <w:rFonts w:ascii="Times New Roman" w:eastAsia="Times New Roman" w:hAnsi="Times New Roman" w:cs="Times New Roman"/>
          <w:color w:val="000000" w:themeColor="text1"/>
          <w:sz w:val="24"/>
          <w:szCs w:val="24"/>
          <w:shd w:val="clear" w:color="auto" w:fill="FFFFFF"/>
        </w:rPr>
        <w:t xml:space="preserve"> Consent in legal terms create huge impact not only in one case but in every other case specially relevant to the UK criminal law. Both parties in either situation just follow the obligation if consent set by the legal agencies and follow the terms of ethics for the smooth execution if the case. Nonetheless the parties are free to execute their cases for the exceptions law may grant.</w:t>
      </w:r>
      <w:r w:rsidR="001C653E">
        <w:rPr>
          <w:rFonts w:ascii="Times New Roman" w:eastAsia="Times New Roman" w:hAnsi="Times New Roman" w:cs="Times New Roman"/>
          <w:color w:val="000000" w:themeColor="text1"/>
          <w:sz w:val="24"/>
          <w:szCs w:val="24"/>
          <w:shd w:val="clear" w:color="auto" w:fill="FFFFFF"/>
        </w:rPr>
        <w:t xml:space="preserve"> Different people have different mindsets regarding their trisections in terms of laws in UK. In most of the cases it has been observed that consent firms are signed duly to not interrupt in the legal consideration .</w:t>
      </w:r>
    </w:p>
    <w:p w:rsidR="00A76394" w:rsidRPr="008D61A6" w:rsidRDefault="00A76394" w:rsidP="00626734">
      <w:pPr>
        <w:spacing w:line="480" w:lineRule="auto"/>
        <w:jc w:val="both"/>
        <w:rPr>
          <w:rFonts w:ascii="Times New Roman" w:hAnsi="Times New Roman" w:cs="Times New Roman"/>
          <w:b/>
          <w:bCs/>
          <w:sz w:val="24"/>
          <w:szCs w:val="24"/>
        </w:rPr>
      </w:pPr>
      <w:r w:rsidRPr="008D61A6">
        <w:rPr>
          <w:rFonts w:ascii="Times New Roman" w:hAnsi="Times New Roman" w:cs="Times New Roman"/>
          <w:b/>
          <w:bCs/>
          <w:sz w:val="24"/>
          <w:szCs w:val="24"/>
        </w:rPr>
        <w:t>Principles of Law</w:t>
      </w:r>
    </w:p>
    <w:p w:rsidR="00C219C8" w:rsidRDefault="00A76394" w:rsidP="00AB6D84">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t>In the context of UK criminal law, the meaning of consent is quite straightforward. The term "consent" often refers to an individual's free and informed assent to anything. This means that consent needs to be won without resorting to deception or other forms of force</w:t>
      </w:r>
      <w:r w:rsidR="002E462C">
        <w:rPr>
          <w:rFonts w:ascii="Times New Roman" w:hAnsi="Times New Roman" w:cs="Times New Roman"/>
          <w:sz w:val="24"/>
          <w:szCs w:val="24"/>
        </w:rPr>
        <w:t xml:space="preserve">. </w:t>
      </w:r>
      <w:r w:rsidRPr="008D61A6">
        <w:rPr>
          <w:rFonts w:ascii="Times New Roman" w:hAnsi="Times New Roman" w:cs="Times New Roman"/>
          <w:sz w:val="24"/>
          <w:szCs w:val="24"/>
        </w:rPr>
        <w:t xml:space="preserve">The prosecution must prove that the defendant used physical force to force the victim to agree to something without their knowledge or consent. proof of physical coercion against the </w:t>
      </w:r>
      <w:r w:rsidRPr="008D61A6">
        <w:rPr>
          <w:rFonts w:ascii="Times New Roman" w:hAnsi="Times New Roman" w:cs="Times New Roman"/>
          <w:sz w:val="24"/>
          <w:szCs w:val="24"/>
        </w:rPr>
        <w:lastRenderedPageBreak/>
        <w:t xml:space="preserve">victim's will, or proof that the victim was subjected to coercion or undue influence leading to their acquiescence, may be used by the prosecution to establish this. </w:t>
      </w:r>
    </w:p>
    <w:p w:rsidR="00A76394" w:rsidRPr="008D61A6" w:rsidRDefault="00A76394" w:rsidP="00AB6D84">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t>On the other hand, the prosecution could present proof that the victim gave their consent after being subjected to coercion or improper influence.</w:t>
      </w:r>
      <w:r w:rsidR="002E462C">
        <w:rPr>
          <w:rFonts w:ascii="Times New Roman" w:hAnsi="Times New Roman" w:cs="Times New Roman"/>
          <w:sz w:val="24"/>
          <w:szCs w:val="24"/>
        </w:rPr>
        <w:t xml:space="preserve"> </w:t>
      </w:r>
      <w:r w:rsidRPr="008D61A6">
        <w:rPr>
          <w:rFonts w:ascii="Times New Roman" w:hAnsi="Times New Roman" w:cs="Times New Roman"/>
          <w:sz w:val="24"/>
          <w:szCs w:val="24"/>
        </w:rPr>
        <w:t>Understanding that a decision to accept can be reversed at any time is crucial, and should be kept in mind at all times. This indicates that people can change their minds about taking part in an activity at any time, even though they have given their prior agreement. This holds true regardless of whether or not they knowingly participated in the behaviour. When the victim clearly withdraws permission for the accused party to exert physical force upon the victim, the accused party commits the act of battery</w:t>
      </w:r>
      <w:r w:rsidR="00D8532C">
        <w:rPr>
          <w:rFonts w:ascii="Times New Roman" w:hAnsi="Times New Roman" w:cs="Times New Roman"/>
          <w:sz w:val="24"/>
          <w:szCs w:val="24"/>
        </w:rPr>
        <w:t xml:space="preserve"> (</w:t>
      </w:r>
      <w:r w:rsidR="00D8532C" w:rsidRPr="00127DDF">
        <w:rPr>
          <w:rFonts w:ascii="Times New Roman" w:eastAsia="Times New Roman" w:hAnsi="Times New Roman" w:cs="Times New Roman"/>
          <w:color w:val="000000" w:themeColor="text1"/>
          <w:sz w:val="24"/>
          <w:szCs w:val="24"/>
          <w:shd w:val="clear" w:color="auto" w:fill="FFFFFF"/>
        </w:rPr>
        <w:t>Das</w:t>
      </w:r>
      <w:r w:rsidR="00D8532C">
        <w:rPr>
          <w:rFonts w:ascii="Times New Roman" w:eastAsia="Times New Roman" w:hAnsi="Times New Roman" w:cs="Times New Roman"/>
          <w:color w:val="000000" w:themeColor="text1"/>
          <w:sz w:val="24"/>
          <w:szCs w:val="24"/>
          <w:shd w:val="clear" w:color="auto" w:fill="FFFFFF"/>
        </w:rPr>
        <w:t xml:space="preserve"> &amp; klitzman, 2023).</w:t>
      </w:r>
    </w:p>
    <w:p w:rsidR="00A76394" w:rsidRPr="008D61A6" w:rsidRDefault="00A76394" w:rsidP="00626734">
      <w:pPr>
        <w:spacing w:line="480" w:lineRule="auto"/>
        <w:jc w:val="both"/>
        <w:rPr>
          <w:rFonts w:ascii="Times New Roman" w:hAnsi="Times New Roman" w:cs="Times New Roman"/>
          <w:b/>
          <w:bCs/>
          <w:sz w:val="24"/>
          <w:szCs w:val="24"/>
        </w:rPr>
      </w:pPr>
      <w:r w:rsidRPr="008D61A6">
        <w:rPr>
          <w:rFonts w:ascii="Times New Roman" w:hAnsi="Times New Roman" w:cs="Times New Roman"/>
          <w:b/>
          <w:bCs/>
          <w:sz w:val="24"/>
          <w:szCs w:val="24"/>
        </w:rPr>
        <w:t>Precedents That Matter</w:t>
      </w:r>
    </w:p>
    <w:p w:rsidR="009E2999" w:rsidRDefault="00A76394" w:rsidP="00AB6D84">
      <w:pPr>
        <w:spacing w:line="480" w:lineRule="auto"/>
        <w:ind w:firstLine="720"/>
        <w:jc w:val="both"/>
        <w:rPr>
          <w:rFonts w:ascii="Times New Roman" w:hAnsi="Times New Roman" w:cs="Times New Roman"/>
          <w:b/>
          <w:bCs/>
          <w:sz w:val="24"/>
          <w:szCs w:val="24"/>
        </w:rPr>
      </w:pPr>
      <w:r w:rsidRPr="008D61A6">
        <w:rPr>
          <w:rFonts w:ascii="Times New Roman" w:hAnsi="Times New Roman" w:cs="Times New Roman"/>
          <w:sz w:val="24"/>
          <w:szCs w:val="24"/>
        </w:rPr>
        <w:t>Several instances involving allegations of battery have examined various aspects of the concept of consent. It's generally agreed that R v. Brown is a seminal legal case. Assault charges were brought against the defendant in this case because he had allegedly bit a woman without her permission. The incident occurred because of this conduct. A guilty verdict was rendered against the defendant even though he had claimed that the victim had given her permission for him to bite her</w:t>
      </w:r>
      <w:r w:rsidR="00614BF9">
        <w:rPr>
          <w:rFonts w:ascii="Times New Roman" w:hAnsi="Times New Roman" w:cs="Times New Roman"/>
          <w:sz w:val="24"/>
          <w:szCs w:val="24"/>
        </w:rPr>
        <w:t xml:space="preserve"> (Naik et al, 2022).</w:t>
      </w:r>
      <w:r w:rsidR="009E2999">
        <w:rPr>
          <w:rFonts w:ascii="Times New Roman" w:hAnsi="Times New Roman" w:cs="Times New Roman"/>
          <w:sz w:val="24"/>
          <w:szCs w:val="24"/>
        </w:rPr>
        <w:t xml:space="preserve"> </w:t>
      </w:r>
      <w:r w:rsidRPr="008D61A6">
        <w:rPr>
          <w:rFonts w:ascii="Times New Roman" w:hAnsi="Times New Roman" w:cs="Times New Roman"/>
          <w:sz w:val="24"/>
          <w:szCs w:val="24"/>
        </w:rPr>
        <w:t>The defendant's conviction has been affirmed by the Court of Appeals.</w:t>
      </w:r>
      <w:r w:rsidR="00A905C1" w:rsidRPr="008D61A6">
        <w:rPr>
          <w:rFonts w:ascii="Times New Roman" w:hAnsi="Times New Roman" w:cs="Times New Roman"/>
          <w:sz w:val="24"/>
          <w:szCs w:val="24"/>
        </w:rPr>
        <w:t xml:space="preserve"> </w:t>
      </w:r>
      <w:r w:rsidRPr="008D61A6">
        <w:rPr>
          <w:rFonts w:ascii="Times New Roman" w:hAnsi="Times New Roman" w:cs="Times New Roman"/>
          <w:sz w:val="24"/>
          <w:szCs w:val="24"/>
        </w:rPr>
        <w:t xml:space="preserve">The court ruled that an admission of guilt in a battery case cannot be based on the victim's consent to the victim's violent behaviour. The court also made it quite clear that a person's consent might be rescinded at any time and for any </w:t>
      </w:r>
      <w:bookmarkEnd w:id="1"/>
      <w:r w:rsidR="009E2999" w:rsidRPr="008D61A6">
        <w:rPr>
          <w:rFonts w:ascii="Times New Roman" w:hAnsi="Times New Roman" w:cs="Times New Roman"/>
          <w:sz w:val="24"/>
          <w:szCs w:val="24"/>
        </w:rPr>
        <w:t>cause</w:t>
      </w:r>
      <w:r w:rsidR="00A8528D">
        <w:rPr>
          <w:rFonts w:ascii="Times New Roman" w:hAnsi="Times New Roman" w:cs="Times New Roman"/>
          <w:sz w:val="24"/>
          <w:szCs w:val="24"/>
        </w:rPr>
        <w:t xml:space="preserve"> (</w:t>
      </w:r>
      <w:r w:rsidR="00A8528D" w:rsidRPr="00127DDF">
        <w:rPr>
          <w:rFonts w:ascii="Times New Roman" w:eastAsia="Times New Roman" w:hAnsi="Times New Roman" w:cs="Times New Roman"/>
          <w:color w:val="000000" w:themeColor="text1"/>
          <w:sz w:val="24"/>
          <w:szCs w:val="24"/>
          <w:shd w:val="clear" w:color="auto" w:fill="FFFFFF"/>
        </w:rPr>
        <w:t>Chandler</w:t>
      </w:r>
      <w:r w:rsidR="00A8528D">
        <w:rPr>
          <w:rFonts w:ascii="Times New Roman" w:eastAsia="Times New Roman" w:hAnsi="Times New Roman" w:cs="Times New Roman"/>
          <w:color w:val="000000" w:themeColor="text1"/>
          <w:sz w:val="24"/>
          <w:szCs w:val="24"/>
          <w:shd w:val="clear" w:color="auto" w:fill="FFFFFF"/>
        </w:rPr>
        <w:t>, 2023).</w:t>
      </w:r>
    </w:p>
    <w:p w:rsidR="00CA3216" w:rsidRPr="008D61A6" w:rsidRDefault="009E2999" w:rsidP="00626734">
      <w:pPr>
        <w:spacing w:line="480" w:lineRule="auto"/>
        <w:jc w:val="both"/>
        <w:rPr>
          <w:rFonts w:ascii="Times New Roman" w:hAnsi="Times New Roman" w:cs="Times New Roman"/>
          <w:sz w:val="24"/>
          <w:szCs w:val="24"/>
        </w:rPr>
      </w:pPr>
      <w:r w:rsidRPr="008D61A6">
        <w:rPr>
          <w:rFonts w:ascii="Times New Roman" w:hAnsi="Times New Roman" w:cs="Times New Roman"/>
          <w:b/>
          <w:bCs/>
          <w:sz w:val="24"/>
          <w:szCs w:val="24"/>
        </w:rPr>
        <w:t>Conclusion</w:t>
      </w:r>
    </w:p>
    <w:p w:rsidR="009E2999" w:rsidRDefault="00600EE0" w:rsidP="00AB6D84">
      <w:pPr>
        <w:spacing w:line="480" w:lineRule="auto"/>
        <w:ind w:firstLine="720"/>
        <w:jc w:val="both"/>
        <w:rPr>
          <w:rFonts w:ascii="Times New Roman" w:hAnsi="Times New Roman" w:cs="Times New Roman"/>
          <w:sz w:val="24"/>
          <w:szCs w:val="24"/>
        </w:rPr>
      </w:pPr>
      <w:r w:rsidRPr="008D61A6">
        <w:rPr>
          <w:rFonts w:ascii="Times New Roman" w:hAnsi="Times New Roman" w:cs="Times New Roman"/>
          <w:sz w:val="24"/>
          <w:szCs w:val="24"/>
        </w:rPr>
        <w:t>Consent is central to UK criminal law. It defends various crimes, including battery. Batteries are purposeful or irresponsible acts of criminal force. The prosecution must show that the defendant forced the victim without consent to prove battery.</w:t>
      </w:r>
      <w:r w:rsidR="009E2999">
        <w:rPr>
          <w:rFonts w:ascii="Times New Roman" w:hAnsi="Times New Roman" w:cs="Times New Roman"/>
          <w:sz w:val="24"/>
          <w:szCs w:val="24"/>
        </w:rPr>
        <w:t xml:space="preserve"> </w:t>
      </w:r>
      <w:r w:rsidRPr="008D61A6">
        <w:rPr>
          <w:rFonts w:ascii="Times New Roman" w:hAnsi="Times New Roman" w:cs="Times New Roman"/>
          <w:sz w:val="24"/>
          <w:szCs w:val="24"/>
        </w:rPr>
        <w:t xml:space="preserve">Consent is complicated </w:t>
      </w:r>
      <w:r w:rsidRPr="008D61A6">
        <w:rPr>
          <w:rFonts w:ascii="Times New Roman" w:hAnsi="Times New Roman" w:cs="Times New Roman"/>
          <w:sz w:val="24"/>
          <w:szCs w:val="24"/>
        </w:rPr>
        <w:lastRenderedPageBreak/>
        <w:t>and debated. Consent raises ethical and philosophical issues. Consider if consent may be given freely and voluntarily to harmful or dangerous acts.</w:t>
      </w:r>
      <w:r w:rsidR="009E2999">
        <w:rPr>
          <w:rFonts w:ascii="Times New Roman" w:hAnsi="Times New Roman" w:cs="Times New Roman"/>
          <w:sz w:val="24"/>
          <w:szCs w:val="24"/>
        </w:rPr>
        <w:t xml:space="preserve"> </w:t>
      </w:r>
      <w:r w:rsidRPr="008D61A6">
        <w:rPr>
          <w:rFonts w:ascii="Times New Roman" w:hAnsi="Times New Roman" w:cs="Times New Roman"/>
          <w:sz w:val="24"/>
          <w:szCs w:val="24"/>
        </w:rPr>
        <w:t>The UK criminal law definition of consent is simple. Assent is voluntary consent. Consent must be voluntary and unforced.</w:t>
      </w:r>
      <w:r w:rsidR="009E2999">
        <w:rPr>
          <w:rFonts w:ascii="Times New Roman" w:hAnsi="Times New Roman" w:cs="Times New Roman"/>
          <w:sz w:val="24"/>
          <w:szCs w:val="24"/>
        </w:rPr>
        <w:t xml:space="preserve"> </w:t>
      </w:r>
      <w:r w:rsidRPr="008D61A6">
        <w:rPr>
          <w:rFonts w:ascii="Times New Roman" w:hAnsi="Times New Roman" w:cs="Times New Roman"/>
          <w:sz w:val="24"/>
          <w:szCs w:val="24"/>
        </w:rPr>
        <w:t>Consent can be revoked at any moment. This means that someone can withdraw their consent at any point after consenting to an action. Battery occurs when the offender uses force after the victim withdraws permission.</w:t>
      </w:r>
      <w:r w:rsidR="00A36CFB">
        <w:rPr>
          <w:rFonts w:ascii="Times New Roman" w:hAnsi="Times New Roman" w:cs="Times New Roman"/>
          <w:sz w:val="24"/>
          <w:szCs w:val="24"/>
        </w:rPr>
        <w:t xml:space="preserve"> </w:t>
      </w:r>
      <w:r w:rsidRPr="008D61A6">
        <w:rPr>
          <w:rFonts w:ascii="Times New Roman" w:hAnsi="Times New Roman" w:cs="Times New Roman"/>
          <w:sz w:val="24"/>
          <w:szCs w:val="24"/>
        </w:rPr>
        <w:t>Several battery cases have considered consent. The 1994 and 2004 cases R v Brown and Dica are crucial. The offenders were found guilty of battery in both trials, while claiming their victims consented.</w:t>
      </w:r>
      <w:r w:rsidR="009E2999">
        <w:rPr>
          <w:rFonts w:ascii="Times New Roman" w:hAnsi="Times New Roman" w:cs="Times New Roman"/>
          <w:sz w:val="24"/>
          <w:szCs w:val="24"/>
        </w:rPr>
        <w:br w:type="page"/>
      </w:r>
    </w:p>
    <w:p w:rsidR="00CA3216" w:rsidRPr="009E2999" w:rsidRDefault="009E2999" w:rsidP="009E2999">
      <w:pPr>
        <w:spacing w:line="480" w:lineRule="auto"/>
        <w:jc w:val="center"/>
        <w:rPr>
          <w:rFonts w:ascii="Times New Roman" w:hAnsi="Times New Roman" w:cs="Times New Roman"/>
          <w:sz w:val="24"/>
          <w:szCs w:val="24"/>
        </w:rPr>
      </w:pPr>
      <w:r w:rsidRPr="008D61A6">
        <w:rPr>
          <w:rFonts w:ascii="Times New Roman" w:hAnsi="Times New Roman" w:cs="Times New Roman"/>
          <w:b/>
          <w:bCs/>
          <w:sz w:val="24"/>
          <w:szCs w:val="24"/>
        </w:rPr>
        <w:lastRenderedPageBreak/>
        <w:t>References</w:t>
      </w:r>
    </w:p>
    <w:p w:rsidR="00F20AF0" w:rsidRPr="00127DDF" w:rsidRDefault="00F20AF0"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Chandler, J.A. and Pope, T.M., 2023. Legal considerations for the definition of death in the 2023 Canadian Brain-Based Definition of Death Clinical Practice Guideline. </w:t>
      </w:r>
      <w:r w:rsidRPr="00127DDF">
        <w:rPr>
          <w:rFonts w:ascii="Times New Roman" w:eastAsia="Times New Roman" w:hAnsi="Times New Roman" w:cs="Times New Roman"/>
          <w:i/>
          <w:iCs/>
          <w:color w:val="000000" w:themeColor="text1"/>
          <w:sz w:val="24"/>
          <w:szCs w:val="24"/>
          <w:shd w:val="clear" w:color="auto" w:fill="FFFFFF"/>
        </w:rPr>
        <w:t>Canadian Journal of Anesthesia/Journal canadien d'anesthésie</w:t>
      </w:r>
      <w:r w:rsidRPr="00127DDF">
        <w:rPr>
          <w:rFonts w:ascii="Times New Roman" w:eastAsia="Times New Roman" w:hAnsi="Times New Roman" w:cs="Times New Roman"/>
          <w:color w:val="000000" w:themeColor="text1"/>
          <w:sz w:val="24"/>
          <w:szCs w:val="24"/>
          <w:shd w:val="clear" w:color="auto" w:fill="FFFFFF"/>
        </w:rPr>
        <w:t>, pp.1-12.</w:t>
      </w:r>
    </w:p>
    <w:p w:rsidR="001926E3" w:rsidRPr="00127DDF" w:rsidRDefault="001926E3"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Das, S., Ladha, S. and Klitzman, R., 2023. Risk Reduction Policies to Reduce HIV in Prisons: Ethical and Legal Considerations and Needs for Integrated Approaches. </w:t>
      </w:r>
      <w:r w:rsidRPr="00127DDF">
        <w:rPr>
          <w:rFonts w:ascii="Times New Roman" w:eastAsia="Times New Roman" w:hAnsi="Times New Roman" w:cs="Times New Roman"/>
          <w:i/>
          <w:iCs/>
          <w:color w:val="000000" w:themeColor="text1"/>
          <w:sz w:val="24"/>
          <w:szCs w:val="24"/>
          <w:shd w:val="clear" w:color="auto" w:fill="FFFFFF"/>
        </w:rPr>
        <w:t>Journal of Law, Medicine &amp; Ethics</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51</w:t>
      </w:r>
      <w:r w:rsidRPr="00127DDF">
        <w:rPr>
          <w:rFonts w:ascii="Times New Roman" w:eastAsia="Times New Roman" w:hAnsi="Times New Roman" w:cs="Times New Roman"/>
          <w:color w:val="000000" w:themeColor="text1"/>
          <w:sz w:val="24"/>
          <w:szCs w:val="24"/>
          <w:shd w:val="clear" w:color="auto" w:fill="FFFFFF"/>
        </w:rPr>
        <w:t>(2), pp.366-381.</w:t>
      </w:r>
    </w:p>
    <w:p w:rsidR="007B0FF9" w:rsidRPr="00127DDF" w:rsidRDefault="008915DE"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de Jongh, D., Thom, R.L., Cronin, A.J., Bunnik, E.M. and Massey, E.K., 2023. Clinical Translation of Bio-Artificial Pancreas Therapies: Ethical, Legal and Psychosocial Interdisciplinary Considerations and Key Recommendations. </w:t>
      </w:r>
      <w:r w:rsidRPr="00127DDF">
        <w:rPr>
          <w:rFonts w:ascii="Times New Roman" w:eastAsia="Times New Roman" w:hAnsi="Times New Roman" w:cs="Times New Roman"/>
          <w:i/>
          <w:iCs/>
          <w:color w:val="000000" w:themeColor="text1"/>
          <w:sz w:val="24"/>
          <w:szCs w:val="24"/>
          <w:shd w:val="clear" w:color="auto" w:fill="FFFFFF"/>
        </w:rPr>
        <w:t>Transplant International</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36</w:t>
      </w:r>
      <w:r w:rsidRPr="00127DDF">
        <w:rPr>
          <w:rFonts w:ascii="Times New Roman" w:eastAsia="Times New Roman" w:hAnsi="Times New Roman" w:cs="Times New Roman"/>
          <w:color w:val="000000" w:themeColor="text1"/>
          <w:sz w:val="24"/>
          <w:szCs w:val="24"/>
          <w:shd w:val="clear" w:color="auto" w:fill="FFFFFF"/>
        </w:rPr>
        <w:t>, p.11705.</w:t>
      </w:r>
      <w:r w:rsidR="00071C4D" w:rsidRPr="00127DDF">
        <w:rPr>
          <w:rFonts w:ascii="Times New Roman" w:eastAsia="Times New Roman" w:hAnsi="Times New Roman" w:cs="Times New Roman"/>
          <w:color w:val="000000" w:themeColor="text1"/>
          <w:sz w:val="24"/>
          <w:szCs w:val="24"/>
          <w:shd w:val="clear" w:color="auto" w:fill="FFFFFF"/>
        </w:rPr>
        <w:t xml:space="preserve"> https://doi.org/10.3389/ti.2023.11705</w:t>
      </w:r>
    </w:p>
    <w:p w:rsidR="00CA3216" w:rsidRPr="00127DDF" w:rsidRDefault="00BC51AE"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Dave, T., Athaluri, S.A. and Singh, S., 2023. ChatGPT in medicine: an overview of its applications, advantages, limitations, future prospects, and ethical considerations. </w:t>
      </w:r>
      <w:r w:rsidRPr="00127DDF">
        <w:rPr>
          <w:rFonts w:ascii="Times New Roman" w:eastAsia="Times New Roman" w:hAnsi="Times New Roman" w:cs="Times New Roman"/>
          <w:i/>
          <w:iCs/>
          <w:color w:val="000000" w:themeColor="text1"/>
          <w:sz w:val="24"/>
          <w:szCs w:val="24"/>
          <w:shd w:val="clear" w:color="auto" w:fill="FFFFFF"/>
        </w:rPr>
        <w:t>Frontiers in Artificial Intelligence</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6</w:t>
      </w:r>
      <w:r w:rsidRPr="00127DDF">
        <w:rPr>
          <w:rFonts w:ascii="Times New Roman" w:eastAsia="Times New Roman" w:hAnsi="Times New Roman" w:cs="Times New Roman"/>
          <w:color w:val="000000" w:themeColor="text1"/>
          <w:sz w:val="24"/>
          <w:szCs w:val="24"/>
          <w:shd w:val="clear" w:color="auto" w:fill="FFFFFF"/>
        </w:rPr>
        <w:t>, p.1169595.</w:t>
      </w:r>
      <w:r w:rsidR="00543C73" w:rsidRPr="00127DDF">
        <w:rPr>
          <w:rFonts w:ascii="Times New Roman" w:eastAsia="Times New Roman" w:hAnsi="Times New Roman" w:cs="Times New Roman"/>
          <w:color w:val="000000" w:themeColor="text1"/>
          <w:sz w:val="24"/>
          <w:szCs w:val="24"/>
          <w:shd w:val="clear" w:color="auto" w:fill="FFFFFF"/>
        </w:rPr>
        <w:t xml:space="preserve"> </w:t>
      </w:r>
      <w:hyperlink r:id="rId6" w:history="1">
        <w:r w:rsidR="00543C73" w:rsidRPr="00127DDF">
          <w:rPr>
            <w:rStyle w:val="Hyperlink"/>
            <w:rFonts w:ascii="Times New Roman" w:eastAsia="Times New Roman" w:hAnsi="Times New Roman" w:cs="Times New Roman"/>
            <w:color w:val="000000" w:themeColor="text1"/>
            <w:sz w:val="24"/>
            <w:szCs w:val="24"/>
            <w:shd w:val="clear" w:color="auto" w:fill="FFFFFF"/>
          </w:rPr>
          <w:t>https://doi.org/10.3389/frai.2023.1169595</w:t>
        </w:r>
      </w:hyperlink>
    </w:p>
    <w:p w:rsidR="00B026E3" w:rsidRPr="00127DDF" w:rsidRDefault="00FB5BEC"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Fuller, S.J., Chapman, S., Cave, E., Druce-Perkins, J., Daniels, P. and Tan, J., 2023. Nasogastric tube feeding under physical restraint on paediatric wards: ethical, legal and practical considerations regarding this lifesaving intervention. </w:t>
      </w:r>
      <w:r w:rsidRPr="00127DDF">
        <w:rPr>
          <w:rFonts w:ascii="Times New Roman" w:eastAsia="Times New Roman" w:hAnsi="Times New Roman" w:cs="Times New Roman"/>
          <w:i/>
          <w:iCs/>
          <w:color w:val="000000" w:themeColor="text1"/>
          <w:sz w:val="24"/>
          <w:szCs w:val="24"/>
          <w:shd w:val="clear" w:color="auto" w:fill="FFFFFF"/>
        </w:rPr>
        <w:t>BJPsych Bulletin</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47</w:t>
      </w:r>
      <w:r w:rsidRPr="00127DDF">
        <w:rPr>
          <w:rFonts w:ascii="Times New Roman" w:eastAsia="Times New Roman" w:hAnsi="Times New Roman" w:cs="Times New Roman"/>
          <w:color w:val="000000" w:themeColor="text1"/>
          <w:sz w:val="24"/>
          <w:szCs w:val="24"/>
          <w:shd w:val="clear" w:color="auto" w:fill="FFFFFF"/>
        </w:rPr>
        <w:t>(2), pp.105-110.</w:t>
      </w:r>
      <w:r w:rsidR="00111E3E" w:rsidRPr="00127DDF">
        <w:rPr>
          <w:rFonts w:ascii="Times New Roman" w:eastAsia="Times New Roman" w:hAnsi="Times New Roman" w:cs="Times New Roman"/>
          <w:color w:val="000000" w:themeColor="text1"/>
          <w:sz w:val="24"/>
          <w:szCs w:val="24"/>
          <w:shd w:val="clear" w:color="auto" w:fill="FFFFFF"/>
        </w:rPr>
        <w:t xml:space="preserve"> https://doi.org/10.1192/bjb.2022.11</w:t>
      </w:r>
    </w:p>
    <w:p w:rsidR="00B026E3" w:rsidRPr="00127DDF" w:rsidRDefault="00B026E3"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Kaddoura, S. and Al Husseiny, F., 2023. The rising trend of Metaverse in education: challenges, opportunities, and ethical considerations. </w:t>
      </w:r>
      <w:r w:rsidRPr="00127DDF">
        <w:rPr>
          <w:rFonts w:ascii="Times New Roman" w:eastAsia="Times New Roman" w:hAnsi="Times New Roman" w:cs="Times New Roman"/>
          <w:i/>
          <w:iCs/>
          <w:color w:val="000000" w:themeColor="text1"/>
          <w:sz w:val="24"/>
          <w:szCs w:val="24"/>
          <w:shd w:val="clear" w:color="auto" w:fill="FFFFFF"/>
        </w:rPr>
        <w:t>PeerJ Computer Science</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9</w:t>
      </w:r>
      <w:r w:rsidRPr="00127DDF">
        <w:rPr>
          <w:rFonts w:ascii="Times New Roman" w:eastAsia="Times New Roman" w:hAnsi="Times New Roman" w:cs="Times New Roman"/>
          <w:color w:val="000000" w:themeColor="text1"/>
          <w:sz w:val="24"/>
          <w:szCs w:val="24"/>
          <w:shd w:val="clear" w:color="auto" w:fill="FFFFFF"/>
        </w:rPr>
        <w:t>, p.e1252.</w:t>
      </w:r>
      <w:r w:rsidR="00537BFC" w:rsidRPr="00127DDF">
        <w:rPr>
          <w:rFonts w:ascii="Times New Roman" w:eastAsia="Times New Roman" w:hAnsi="Times New Roman" w:cs="Times New Roman"/>
          <w:color w:val="000000" w:themeColor="text1"/>
          <w:sz w:val="24"/>
          <w:szCs w:val="24"/>
          <w:shd w:val="clear" w:color="auto" w:fill="FFFFFF"/>
        </w:rPr>
        <w:t xml:space="preserve"> </w:t>
      </w:r>
      <w:r w:rsidR="004275CC" w:rsidRPr="00127DDF">
        <w:rPr>
          <w:rFonts w:ascii="Times New Roman" w:eastAsia="Times New Roman" w:hAnsi="Times New Roman" w:cs="Times New Roman"/>
          <w:color w:val="000000" w:themeColor="text1"/>
          <w:sz w:val="24"/>
          <w:szCs w:val="24"/>
          <w:shd w:val="clear" w:color="auto" w:fill="FFFFFF"/>
        </w:rPr>
        <w:t>Doi</w:t>
      </w:r>
      <w:r w:rsidR="00537BFC" w:rsidRPr="00127DDF">
        <w:rPr>
          <w:rFonts w:ascii="Times New Roman" w:eastAsia="Times New Roman" w:hAnsi="Times New Roman" w:cs="Times New Roman"/>
          <w:color w:val="000000" w:themeColor="text1"/>
          <w:sz w:val="24"/>
          <w:szCs w:val="24"/>
          <w:shd w:val="clear" w:color="auto" w:fill="FFFFFF"/>
        </w:rPr>
        <w:t>10.7717/peerj-cs.1252</w:t>
      </w:r>
    </w:p>
    <w:p w:rsidR="00543C73" w:rsidRPr="00127DDF" w:rsidRDefault="00AD34AE"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t>Morris, M.X., Song, E.Y., Rajesh, A., Asaad, M. and Phillips, B.T., 2023. Ethical, legal, and financial considerations of artificial intelligence in surgery. </w:t>
      </w:r>
      <w:r w:rsidRPr="00127DDF">
        <w:rPr>
          <w:rFonts w:ascii="Times New Roman" w:eastAsia="Times New Roman" w:hAnsi="Times New Roman" w:cs="Times New Roman"/>
          <w:i/>
          <w:iCs/>
          <w:color w:val="000000" w:themeColor="text1"/>
          <w:sz w:val="24"/>
          <w:szCs w:val="24"/>
          <w:shd w:val="clear" w:color="auto" w:fill="FFFFFF"/>
        </w:rPr>
        <w:t>The American Surgeon</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89</w:t>
      </w:r>
      <w:r w:rsidRPr="00127DDF">
        <w:rPr>
          <w:rFonts w:ascii="Times New Roman" w:eastAsia="Times New Roman" w:hAnsi="Times New Roman" w:cs="Times New Roman"/>
          <w:color w:val="000000" w:themeColor="text1"/>
          <w:sz w:val="24"/>
          <w:szCs w:val="24"/>
          <w:shd w:val="clear" w:color="auto" w:fill="FFFFFF"/>
        </w:rPr>
        <w:t>(1), pp.55-60.</w:t>
      </w:r>
      <w:r w:rsidR="00D20779" w:rsidRPr="00127DDF">
        <w:rPr>
          <w:rFonts w:ascii="Times New Roman" w:eastAsia="Times New Roman" w:hAnsi="Times New Roman" w:cs="Times New Roman"/>
          <w:color w:val="000000" w:themeColor="text1"/>
          <w:sz w:val="24"/>
          <w:szCs w:val="24"/>
          <w:shd w:val="clear" w:color="auto" w:fill="FFFFFF"/>
        </w:rPr>
        <w:t xml:space="preserve"> </w:t>
      </w:r>
      <w:hyperlink r:id="rId7" w:history="1">
        <w:r w:rsidR="00E741B9" w:rsidRPr="00127DDF">
          <w:rPr>
            <w:rStyle w:val="Hyperlink"/>
            <w:rFonts w:ascii="Times New Roman" w:eastAsia="Times New Roman" w:hAnsi="Times New Roman" w:cs="Times New Roman"/>
            <w:color w:val="000000" w:themeColor="text1"/>
            <w:sz w:val="24"/>
            <w:szCs w:val="24"/>
            <w:shd w:val="clear" w:color="auto" w:fill="FFFFFF"/>
          </w:rPr>
          <w:t>https://doi.org/10.1177/00031348221117042</w:t>
        </w:r>
      </w:hyperlink>
    </w:p>
    <w:p w:rsidR="00E741B9" w:rsidRPr="00127DDF" w:rsidRDefault="00E741B9" w:rsidP="00C219C8">
      <w:pPr>
        <w:spacing w:line="480" w:lineRule="auto"/>
        <w:ind w:left="720" w:hanging="720"/>
        <w:rPr>
          <w:rFonts w:ascii="Times New Roman" w:eastAsia="Times New Roman" w:hAnsi="Times New Roman" w:cs="Times New Roman"/>
          <w:color w:val="000000" w:themeColor="text1"/>
          <w:sz w:val="24"/>
          <w:szCs w:val="24"/>
          <w:shd w:val="clear" w:color="auto" w:fill="FFFFFF"/>
        </w:rPr>
      </w:pPr>
      <w:r w:rsidRPr="00127DDF">
        <w:rPr>
          <w:rFonts w:ascii="Times New Roman" w:eastAsia="Times New Roman" w:hAnsi="Times New Roman" w:cs="Times New Roman"/>
          <w:color w:val="000000" w:themeColor="text1"/>
          <w:sz w:val="24"/>
          <w:szCs w:val="24"/>
          <w:shd w:val="clear" w:color="auto" w:fill="FFFFFF"/>
        </w:rPr>
        <w:lastRenderedPageBreak/>
        <w:t>Naik, N., Hameed, B.M., Shetty, D.K., Swain, D., Shah, M., Paul, R., Aggarwal, K., Ibrahim, S., Patil, V., Smriti, K. and Shetty, S., 2022. Legal and ethical consideration in artificial intelligence in healthcare: who takes responsibility?. </w:t>
      </w:r>
      <w:r w:rsidRPr="00127DDF">
        <w:rPr>
          <w:rFonts w:ascii="Times New Roman" w:eastAsia="Times New Roman" w:hAnsi="Times New Roman" w:cs="Times New Roman"/>
          <w:i/>
          <w:iCs/>
          <w:color w:val="000000" w:themeColor="text1"/>
          <w:sz w:val="24"/>
          <w:szCs w:val="24"/>
          <w:shd w:val="clear" w:color="auto" w:fill="FFFFFF"/>
        </w:rPr>
        <w:t>Frontiers in surgery</w:t>
      </w:r>
      <w:r w:rsidRPr="00127DDF">
        <w:rPr>
          <w:rFonts w:ascii="Times New Roman" w:eastAsia="Times New Roman" w:hAnsi="Times New Roman" w:cs="Times New Roman"/>
          <w:color w:val="000000" w:themeColor="text1"/>
          <w:sz w:val="24"/>
          <w:szCs w:val="24"/>
          <w:shd w:val="clear" w:color="auto" w:fill="FFFFFF"/>
        </w:rPr>
        <w:t>, </w:t>
      </w:r>
      <w:r w:rsidRPr="00127DDF">
        <w:rPr>
          <w:rFonts w:ascii="Times New Roman" w:eastAsia="Times New Roman" w:hAnsi="Times New Roman" w:cs="Times New Roman"/>
          <w:i/>
          <w:iCs/>
          <w:color w:val="000000" w:themeColor="text1"/>
          <w:sz w:val="24"/>
          <w:szCs w:val="24"/>
          <w:shd w:val="clear" w:color="auto" w:fill="FFFFFF"/>
        </w:rPr>
        <w:t>9</w:t>
      </w:r>
      <w:r w:rsidRPr="00127DDF">
        <w:rPr>
          <w:rFonts w:ascii="Times New Roman" w:eastAsia="Times New Roman" w:hAnsi="Times New Roman" w:cs="Times New Roman"/>
          <w:color w:val="000000" w:themeColor="text1"/>
          <w:sz w:val="24"/>
          <w:szCs w:val="24"/>
          <w:shd w:val="clear" w:color="auto" w:fill="FFFFFF"/>
        </w:rPr>
        <w:t>, p.266.</w:t>
      </w:r>
      <w:r w:rsidR="00DB4FFC" w:rsidRPr="00127DDF">
        <w:rPr>
          <w:rFonts w:ascii="Times New Roman" w:eastAsia="Times New Roman" w:hAnsi="Times New Roman" w:cs="Times New Roman"/>
          <w:color w:val="000000" w:themeColor="text1"/>
          <w:sz w:val="24"/>
          <w:szCs w:val="24"/>
          <w:shd w:val="clear" w:color="auto" w:fill="FFFFFF"/>
        </w:rPr>
        <w:t xml:space="preserve"> https://doi.org/10.3389/fsurg.2022.862322</w:t>
      </w:r>
    </w:p>
    <w:sectPr w:rsidR="00E741B9" w:rsidRPr="00127DDF" w:rsidSect="00A36CFB">
      <w:headerReference w:type="even" r:id="rId8"/>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5E02" w:rsidRDefault="00365E02" w:rsidP="00EB5CD2">
      <w:r>
        <w:separator/>
      </w:r>
    </w:p>
  </w:endnote>
  <w:endnote w:type="continuationSeparator" w:id="0">
    <w:p w:rsidR="00365E02" w:rsidRDefault="00365E02" w:rsidP="00EB5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5E02" w:rsidRDefault="00365E02" w:rsidP="00EB5CD2">
      <w:r>
        <w:separator/>
      </w:r>
    </w:p>
  </w:footnote>
  <w:footnote w:type="continuationSeparator" w:id="0">
    <w:p w:rsidR="00365E02" w:rsidRDefault="00365E02" w:rsidP="00EB5C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39427218"/>
      <w:docPartObj>
        <w:docPartGallery w:val="Page Numbers (Top of Page)"/>
        <w:docPartUnique/>
      </w:docPartObj>
    </w:sdtPr>
    <w:sdtEndPr>
      <w:rPr>
        <w:rStyle w:val="PageNumber"/>
      </w:rPr>
    </w:sdtEndPr>
    <w:sdtContent>
      <w:p w:rsidR="00EB5CD2" w:rsidRDefault="00EB5CD2" w:rsidP="00F7178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B5CD2" w:rsidRDefault="00EB5CD2" w:rsidP="00EB5CD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Fonts w:ascii="Times New Roman" w:hAnsi="Times New Roman" w:cs="Times New Roman"/>
        <w:sz w:val="24"/>
        <w:szCs w:val="24"/>
      </w:rPr>
      <w:id w:val="-683903355"/>
      <w:docPartObj>
        <w:docPartGallery w:val="Page Numbers (Top of Page)"/>
        <w:docPartUnique/>
      </w:docPartObj>
    </w:sdtPr>
    <w:sdtEndPr>
      <w:rPr>
        <w:rStyle w:val="PageNumber"/>
      </w:rPr>
    </w:sdtEndPr>
    <w:sdtContent>
      <w:p w:rsidR="00EB5CD2" w:rsidRPr="00EB5CD2" w:rsidRDefault="00EB5CD2" w:rsidP="00F7178B">
        <w:pPr>
          <w:pStyle w:val="Header"/>
          <w:framePr w:wrap="none" w:vAnchor="text" w:hAnchor="margin" w:xAlign="right" w:y="1"/>
          <w:rPr>
            <w:rStyle w:val="PageNumber"/>
            <w:rFonts w:ascii="Times New Roman" w:hAnsi="Times New Roman" w:cs="Times New Roman"/>
            <w:sz w:val="24"/>
            <w:szCs w:val="24"/>
          </w:rPr>
        </w:pPr>
        <w:r w:rsidRPr="00EB5CD2">
          <w:rPr>
            <w:rStyle w:val="PageNumber"/>
            <w:rFonts w:ascii="Times New Roman" w:hAnsi="Times New Roman" w:cs="Times New Roman"/>
            <w:sz w:val="24"/>
            <w:szCs w:val="24"/>
          </w:rPr>
          <w:fldChar w:fldCharType="begin"/>
        </w:r>
        <w:r w:rsidRPr="00EB5CD2">
          <w:rPr>
            <w:rStyle w:val="PageNumber"/>
            <w:rFonts w:ascii="Times New Roman" w:hAnsi="Times New Roman" w:cs="Times New Roman"/>
            <w:sz w:val="24"/>
            <w:szCs w:val="24"/>
          </w:rPr>
          <w:instrText xml:space="preserve"> PAGE </w:instrText>
        </w:r>
        <w:r w:rsidRPr="00EB5CD2">
          <w:rPr>
            <w:rStyle w:val="PageNumber"/>
            <w:rFonts w:ascii="Times New Roman" w:hAnsi="Times New Roman" w:cs="Times New Roman"/>
            <w:sz w:val="24"/>
            <w:szCs w:val="24"/>
          </w:rPr>
          <w:fldChar w:fldCharType="separate"/>
        </w:r>
        <w:r w:rsidR="00A02679">
          <w:rPr>
            <w:rStyle w:val="PageNumber"/>
            <w:rFonts w:ascii="Times New Roman" w:hAnsi="Times New Roman" w:cs="Times New Roman"/>
            <w:noProof/>
            <w:sz w:val="24"/>
            <w:szCs w:val="24"/>
          </w:rPr>
          <w:t>2</w:t>
        </w:r>
        <w:r w:rsidRPr="00EB5CD2">
          <w:rPr>
            <w:rStyle w:val="PageNumber"/>
            <w:rFonts w:ascii="Times New Roman" w:hAnsi="Times New Roman" w:cs="Times New Roman"/>
            <w:sz w:val="24"/>
            <w:szCs w:val="24"/>
          </w:rPr>
          <w:fldChar w:fldCharType="end"/>
        </w:r>
      </w:p>
    </w:sdtContent>
  </w:sdt>
  <w:p w:rsidR="00EB5CD2" w:rsidRDefault="00EB5CD2" w:rsidP="00EB5CD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7B5CA5"/>
    <w:rsid w:val="00071C4D"/>
    <w:rsid w:val="00111E3E"/>
    <w:rsid w:val="001278DE"/>
    <w:rsid w:val="00127DDF"/>
    <w:rsid w:val="0015312D"/>
    <w:rsid w:val="001926E3"/>
    <w:rsid w:val="001C653E"/>
    <w:rsid w:val="00222194"/>
    <w:rsid w:val="0028408F"/>
    <w:rsid w:val="002E462C"/>
    <w:rsid w:val="00365E02"/>
    <w:rsid w:val="00403A65"/>
    <w:rsid w:val="00414CD0"/>
    <w:rsid w:val="004275CC"/>
    <w:rsid w:val="005057EA"/>
    <w:rsid w:val="00537BFC"/>
    <w:rsid w:val="00543C73"/>
    <w:rsid w:val="00600EE0"/>
    <w:rsid w:val="00614BF9"/>
    <w:rsid w:val="00626734"/>
    <w:rsid w:val="00737B66"/>
    <w:rsid w:val="007B0FF9"/>
    <w:rsid w:val="00813B9A"/>
    <w:rsid w:val="00872EED"/>
    <w:rsid w:val="008915DE"/>
    <w:rsid w:val="008A0ED0"/>
    <w:rsid w:val="008D61A6"/>
    <w:rsid w:val="008E5C36"/>
    <w:rsid w:val="009E2999"/>
    <w:rsid w:val="009E7104"/>
    <w:rsid w:val="00A02679"/>
    <w:rsid w:val="00A21FD2"/>
    <w:rsid w:val="00A2532A"/>
    <w:rsid w:val="00A36CFB"/>
    <w:rsid w:val="00A76394"/>
    <w:rsid w:val="00A8528D"/>
    <w:rsid w:val="00A905C1"/>
    <w:rsid w:val="00AB6D84"/>
    <w:rsid w:val="00AD34AE"/>
    <w:rsid w:val="00B026E3"/>
    <w:rsid w:val="00B03B0E"/>
    <w:rsid w:val="00B5599B"/>
    <w:rsid w:val="00BC51AE"/>
    <w:rsid w:val="00C219C8"/>
    <w:rsid w:val="00CA3216"/>
    <w:rsid w:val="00D20779"/>
    <w:rsid w:val="00D612D0"/>
    <w:rsid w:val="00D8532C"/>
    <w:rsid w:val="00DB4FFC"/>
    <w:rsid w:val="00E02CF4"/>
    <w:rsid w:val="00E741B9"/>
    <w:rsid w:val="00E95343"/>
    <w:rsid w:val="00EA7150"/>
    <w:rsid w:val="00EB5CD2"/>
    <w:rsid w:val="00F20AF0"/>
    <w:rsid w:val="00FB5BEC"/>
    <w:rsid w:val="787B5CA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2DE51"/>
  <w15:docId w15:val="{C83C8D8C-2D47-4C49-AF35-3CD12E77F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sz w:val="24"/>
      <w:szCs w:val="24"/>
      <w:lang w:eastAsia="zh-CN"/>
    </w:rPr>
  </w:style>
  <w:style w:type="character" w:styleId="Strong">
    <w:name w:val="Strong"/>
    <w:basedOn w:val="DefaultParagraphFont"/>
    <w:qFormat/>
    <w:rPr>
      <w:b/>
      <w:bCs/>
    </w:rPr>
  </w:style>
  <w:style w:type="paragraph" w:customStyle="1" w:styleId="WPSOffice1">
    <w:name w:val="WPSOffice手动目录 1"/>
  </w:style>
  <w:style w:type="paragraph" w:customStyle="1" w:styleId="WPSOffice2">
    <w:name w:val="WPSOffice手动目录 2"/>
    <w:pPr>
      <w:ind w:leftChars="200" w:left="200"/>
    </w:pPr>
  </w:style>
  <w:style w:type="paragraph" w:styleId="Header">
    <w:name w:val="header"/>
    <w:basedOn w:val="Normal"/>
    <w:link w:val="HeaderChar"/>
    <w:rsid w:val="00EB5CD2"/>
    <w:pPr>
      <w:tabs>
        <w:tab w:val="center" w:pos="4680"/>
        <w:tab w:val="right" w:pos="9360"/>
      </w:tabs>
    </w:pPr>
  </w:style>
  <w:style w:type="character" w:customStyle="1" w:styleId="HeaderChar">
    <w:name w:val="Header Char"/>
    <w:basedOn w:val="DefaultParagraphFont"/>
    <w:link w:val="Header"/>
    <w:rsid w:val="00EB5CD2"/>
    <w:rPr>
      <w:rFonts w:asciiTheme="minorHAnsi" w:eastAsiaTheme="minorEastAsia" w:hAnsiTheme="minorHAnsi" w:cstheme="minorBidi"/>
      <w:lang w:eastAsia="zh-CN"/>
    </w:rPr>
  </w:style>
  <w:style w:type="paragraph" w:styleId="Footer">
    <w:name w:val="footer"/>
    <w:basedOn w:val="Normal"/>
    <w:link w:val="FooterChar"/>
    <w:rsid w:val="00EB5CD2"/>
    <w:pPr>
      <w:tabs>
        <w:tab w:val="center" w:pos="4680"/>
        <w:tab w:val="right" w:pos="9360"/>
      </w:tabs>
    </w:pPr>
  </w:style>
  <w:style w:type="character" w:customStyle="1" w:styleId="FooterChar">
    <w:name w:val="Footer Char"/>
    <w:basedOn w:val="DefaultParagraphFont"/>
    <w:link w:val="Footer"/>
    <w:rsid w:val="00EB5CD2"/>
    <w:rPr>
      <w:rFonts w:asciiTheme="minorHAnsi" w:eastAsiaTheme="minorEastAsia" w:hAnsiTheme="minorHAnsi" w:cstheme="minorBidi"/>
      <w:lang w:eastAsia="zh-CN"/>
    </w:rPr>
  </w:style>
  <w:style w:type="character" w:styleId="PageNumber">
    <w:name w:val="page number"/>
    <w:basedOn w:val="DefaultParagraphFont"/>
    <w:rsid w:val="00EB5CD2"/>
  </w:style>
  <w:style w:type="character" w:styleId="Hyperlink">
    <w:name w:val="Hyperlink"/>
    <w:basedOn w:val="DefaultParagraphFont"/>
    <w:rsid w:val="00543C73"/>
    <w:rPr>
      <w:color w:val="0563C1" w:themeColor="hyperlink"/>
      <w:u w:val="single"/>
    </w:rPr>
  </w:style>
  <w:style w:type="character" w:customStyle="1" w:styleId="UnresolvedMention">
    <w:name w:val="Unresolved Mention"/>
    <w:basedOn w:val="DefaultParagraphFont"/>
    <w:uiPriority w:val="99"/>
    <w:semiHidden/>
    <w:unhideWhenUsed/>
    <w:rsid w:val="00543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177/0003134822111704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89/frai.2023.1169595"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1682</Words>
  <Characters>9588</Characters>
  <Application>Microsoft Office Word</Application>
  <DocSecurity>0</DocSecurity>
  <Lines>79</Lines>
  <Paragraphs>22</Paragraphs>
  <ScaleCrop>false</ScaleCrop>
  <Company/>
  <LinksUpToDate>false</LinksUpToDate>
  <CharactersWithSpaces>11248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Windows User</cp:lastModifiedBy>
  <cp:revision>4</cp:revision>
  <dcterms:created xsi:type="dcterms:W3CDTF">2023-10-16T10:51:00Z</dcterms:created>
  <dcterms:modified xsi:type="dcterms:W3CDTF">2023-10-19T18:46:00Z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238A444232564F3F8DAC01A17069AF57_11</vt:lpwstr>
  </property>
</Properties>
</file>