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6C7D38" w:rsidRDefault="006C7D38">
      <w:pPr>
        <w:jc w:val="center"/>
        <w:rPr>
          <w:sz w:val="24"/>
          <w:szCs w:val="24"/>
        </w:rPr>
      </w:pPr>
    </w:p>
    <w:p w14:paraId="00000002" w14:textId="77777777" w:rsidR="006C7D38" w:rsidRDefault="006C7D38">
      <w:pPr>
        <w:jc w:val="center"/>
        <w:rPr>
          <w:sz w:val="24"/>
          <w:szCs w:val="24"/>
        </w:rPr>
      </w:pPr>
    </w:p>
    <w:p w14:paraId="00000003" w14:textId="77777777" w:rsidR="006C7D38" w:rsidRDefault="006C7D38">
      <w:pPr>
        <w:jc w:val="center"/>
        <w:rPr>
          <w:sz w:val="24"/>
          <w:szCs w:val="24"/>
        </w:rPr>
      </w:pPr>
    </w:p>
    <w:p w14:paraId="00000004" w14:textId="69A8381F" w:rsidR="006C7D38" w:rsidRDefault="007833CA">
      <w:pPr>
        <w:jc w:val="center"/>
        <w:rPr>
          <w:sz w:val="24"/>
          <w:szCs w:val="24"/>
        </w:rPr>
      </w:pPr>
      <w:r>
        <w:rPr>
          <w:noProof/>
          <w:sz w:val="24"/>
          <w:szCs w:val="24"/>
        </w:rPr>
        <w:drawing>
          <wp:inline distT="0" distB="0" distL="0" distR="0" wp14:anchorId="757DEA48" wp14:editId="2E406586">
            <wp:extent cx="4591050" cy="2190750"/>
            <wp:effectExtent l="0" t="0" r="0" b="0"/>
            <wp:docPr id="929679211" name="Picture 1" descr="A yellow and blue flower and leaves on a black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679211" name="Picture 1" descr="A yellow and blue flower and leaves on a black background"/>
                    <pic:cNvPicPr/>
                  </pic:nvPicPr>
                  <pic:blipFill>
                    <a:blip r:embed="rId6">
                      <a:extLst>
                        <a:ext uri="{28A0092B-C50C-407E-A947-70E740481C1C}">
                          <a14:useLocalDpi xmlns:a14="http://schemas.microsoft.com/office/drawing/2010/main" val="0"/>
                        </a:ext>
                      </a:extLst>
                    </a:blip>
                    <a:stretch>
                      <a:fillRect/>
                    </a:stretch>
                  </pic:blipFill>
                  <pic:spPr>
                    <a:xfrm>
                      <a:off x="0" y="0"/>
                      <a:ext cx="4591050" cy="2190750"/>
                    </a:xfrm>
                    <a:prstGeom prst="rect">
                      <a:avLst/>
                    </a:prstGeom>
                  </pic:spPr>
                </pic:pic>
              </a:graphicData>
            </a:graphic>
          </wp:inline>
        </w:drawing>
      </w:r>
    </w:p>
    <w:p w14:paraId="00000005" w14:textId="77777777" w:rsidR="006C7D38" w:rsidRDefault="006C7D38">
      <w:pPr>
        <w:jc w:val="center"/>
        <w:rPr>
          <w:sz w:val="24"/>
          <w:szCs w:val="24"/>
        </w:rPr>
      </w:pPr>
    </w:p>
    <w:p w14:paraId="00000006" w14:textId="77777777" w:rsidR="006C7D38" w:rsidRDefault="006C7D38">
      <w:pPr>
        <w:jc w:val="center"/>
        <w:rPr>
          <w:sz w:val="24"/>
          <w:szCs w:val="24"/>
        </w:rPr>
      </w:pPr>
    </w:p>
    <w:p w14:paraId="00000007" w14:textId="77777777" w:rsidR="006C7D38" w:rsidRDefault="006C7D38">
      <w:pPr>
        <w:jc w:val="center"/>
        <w:rPr>
          <w:sz w:val="24"/>
          <w:szCs w:val="24"/>
        </w:rPr>
      </w:pPr>
    </w:p>
    <w:p w14:paraId="00000008" w14:textId="77777777" w:rsidR="006C7D38" w:rsidRDefault="006C7D38">
      <w:pPr>
        <w:jc w:val="center"/>
        <w:rPr>
          <w:sz w:val="24"/>
          <w:szCs w:val="24"/>
        </w:rPr>
      </w:pPr>
    </w:p>
    <w:p w14:paraId="00000009" w14:textId="77777777" w:rsidR="006C7D38" w:rsidRDefault="006C7D38">
      <w:pPr>
        <w:jc w:val="center"/>
        <w:rPr>
          <w:sz w:val="24"/>
          <w:szCs w:val="24"/>
        </w:rPr>
      </w:pPr>
    </w:p>
    <w:p w14:paraId="0000000A" w14:textId="77777777" w:rsidR="006C7D38" w:rsidRDefault="006C7D38">
      <w:pPr>
        <w:jc w:val="center"/>
        <w:rPr>
          <w:sz w:val="24"/>
          <w:szCs w:val="24"/>
        </w:rPr>
      </w:pPr>
    </w:p>
    <w:p w14:paraId="0000000B" w14:textId="77777777" w:rsidR="006C7D38" w:rsidRDefault="006C7D38">
      <w:pPr>
        <w:jc w:val="center"/>
        <w:rPr>
          <w:sz w:val="24"/>
          <w:szCs w:val="24"/>
        </w:rPr>
      </w:pPr>
    </w:p>
    <w:p w14:paraId="0000000C" w14:textId="77777777" w:rsidR="006C7D38" w:rsidRDefault="006C7D38">
      <w:pPr>
        <w:jc w:val="center"/>
        <w:rPr>
          <w:sz w:val="24"/>
          <w:szCs w:val="24"/>
        </w:rPr>
      </w:pPr>
    </w:p>
    <w:p w14:paraId="0000000D" w14:textId="77777777" w:rsidR="006C7D38" w:rsidRDefault="006C7D38">
      <w:pPr>
        <w:jc w:val="center"/>
        <w:rPr>
          <w:sz w:val="24"/>
          <w:szCs w:val="24"/>
        </w:rPr>
      </w:pPr>
    </w:p>
    <w:p w14:paraId="0000000E" w14:textId="77777777" w:rsidR="006C7D38" w:rsidRDefault="006C7D38">
      <w:pPr>
        <w:jc w:val="center"/>
        <w:rPr>
          <w:sz w:val="24"/>
          <w:szCs w:val="24"/>
        </w:rPr>
      </w:pPr>
    </w:p>
    <w:p w14:paraId="0000000F" w14:textId="77777777" w:rsidR="006C7D38" w:rsidRDefault="00000000">
      <w:pPr>
        <w:jc w:val="center"/>
        <w:rPr>
          <w:sz w:val="24"/>
          <w:szCs w:val="24"/>
        </w:rPr>
      </w:pPr>
      <w:r>
        <w:rPr>
          <w:sz w:val="24"/>
          <w:szCs w:val="24"/>
        </w:rPr>
        <w:t>Addressing Grievances Using HR Practices in Tesco PLC</w:t>
      </w:r>
    </w:p>
    <w:p w14:paraId="00000010" w14:textId="77777777" w:rsidR="006C7D38" w:rsidRDefault="006C7D38">
      <w:pPr>
        <w:jc w:val="center"/>
        <w:rPr>
          <w:sz w:val="24"/>
          <w:szCs w:val="24"/>
        </w:rPr>
      </w:pPr>
    </w:p>
    <w:p w14:paraId="00000011" w14:textId="77777777" w:rsidR="006C7D38" w:rsidRDefault="00000000">
      <w:pPr>
        <w:jc w:val="center"/>
        <w:rPr>
          <w:sz w:val="24"/>
          <w:szCs w:val="24"/>
        </w:rPr>
      </w:pPr>
      <w:r>
        <w:rPr>
          <w:sz w:val="24"/>
          <w:szCs w:val="24"/>
        </w:rPr>
        <w:t xml:space="preserve">Student Name: Herminia Dabo  </w:t>
      </w:r>
    </w:p>
    <w:p w14:paraId="00000012" w14:textId="77777777" w:rsidR="006C7D38" w:rsidRDefault="00000000">
      <w:pPr>
        <w:jc w:val="center"/>
        <w:rPr>
          <w:sz w:val="24"/>
          <w:szCs w:val="24"/>
        </w:rPr>
      </w:pPr>
      <w:r>
        <w:rPr>
          <w:sz w:val="24"/>
          <w:szCs w:val="24"/>
        </w:rPr>
        <w:t xml:space="preserve">Student Number: 2332184  </w:t>
      </w:r>
    </w:p>
    <w:p w14:paraId="00000013" w14:textId="77777777" w:rsidR="006C7D38" w:rsidRDefault="00000000">
      <w:pPr>
        <w:jc w:val="center"/>
        <w:rPr>
          <w:sz w:val="24"/>
          <w:szCs w:val="24"/>
        </w:rPr>
      </w:pPr>
      <w:r>
        <w:rPr>
          <w:sz w:val="24"/>
          <w:szCs w:val="24"/>
        </w:rPr>
        <w:t xml:space="preserve">Module Code: LCLM5002  </w:t>
      </w:r>
    </w:p>
    <w:p w14:paraId="00000014" w14:textId="77777777" w:rsidR="006C7D38" w:rsidRDefault="00000000">
      <w:pPr>
        <w:jc w:val="center"/>
        <w:rPr>
          <w:sz w:val="24"/>
          <w:szCs w:val="24"/>
        </w:rPr>
      </w:pPr>
      <w:r>
        <w:rPr>
          <w:sz w:val="24"/>
          <w:szCs w:val="24"/>
        </w:rPr>
        <w:t xml:space="preserve">Module Title: Developing and Managing Individuals and Teams  </w:t>
      </w:r>
    </w:p>
    <w:p w14:paraId="00000015" w14:textId="77777777" w:rsidR="006C7D38" w:rsidRDefault="00000000">
      <w:pPr>
        <w:jc w:val="center"/>
        <w:rPr>
          <w:sz w:val="24"/>
          <w:szCs w:val="24"/>
        </w:rPr>
      </w:pPr>
      <w:r>
        <w:rPr>
          <w:sz w:val="24"/>
          <w:szCs w:val="24"/>
        </w:rPr>
        <w:t xml:space="preserve">Lecturer Name: Gregory Cowan  </w:t>
      </w:r>
    </w:p>
    <w:p w14:paraId="00000016" w14:textId="77777777" w:rsidR="006C7D38" w:rsidRDefault="006C7D38">
      <w:pPr>
        <w:rPr>
          <w:sz w:val="24"/>
          <w:szCs w:val="24"/>
        </w:rPr>
      </w:pPr>
    </w:p>
    <w:p w14:paraId="00000017" w14:textId="77777777" w:rsidR="006C7D38" w:rsidRDefault="006C7D38">
      <w:pPr>
        <w:rPr>
          <w:sz w:val="24"/>
          <w:szCs w:val="24"/>
        </w:rPr>
      </w:pPr>
    </w:p>
    <w:p w14:paraId="00000018" w14:textId="77777777" w:rsidR="006C7D38" w:rsidRDefault="006C7D38">
      <w:pPr>
        <w:rPr>
          <w:sz w:val="24"/>
          <w:szCs w:val="24"/>
        </w:rPr>
      </w:pPr>
    </w:p>
    <w:p w14:paraId="00000019" w14:textId="77777777" w:rsidR="006C7D38" w:rsidRDefault="006C7D38">
      <w:pPr>
        <w:rPr>
          <w:sz w:val="24"/>
          <w:szCs w:val="24"/>
        </w:rPr>
      </w:pPr>
    </w:p>
    <w:p w14:paraId="0000001A" w14:textId="77777777" w:rsidR="006C7D38" w:rsidRDefault="006C7D38">
      <w:pPr>
        <w:rPr>
          <w:sz w:val="24"/>
          <w:szCs w:val="24"/>
        </w:rPr>
      </w:pPr>
    </w:p>
    <w:p w14:paraId="0000001B" w14:textId="77777777" w:rsidR="006C7D38" w:rsidRDefault="006C7D38">
      <w:pPr>
        <w:rPr>
          <w:sz w:val="24"/>
          <w:szCs w:val="24"/>
        </w:rPr>
      </w:pPr>
    </w:p>
    <w:p w14:paraId="0000001C" w14:textId="77777777" w:rsidR="006C7D38" w:rsidRDefault="006C7D38">
      <w:pPr>
        <w:rPr>
          <w:sz w:val="24"/>
          <w:szCs w:val="24"/>
        </w:rPr>
      </w:pPr>
    </w:p>
    <w:p w14:paraId="0000001D" w14:textId="77777777" w:rsidR="006C7D38" w:rsidRDefault="006C7D38">
      <w:pPr>
        <w:rPr>
          <w:sz w:val="24"/>
          <w:szCs w:val="24"/>
        </w:rPr>
      </w:pPr>
    </w:p>
    <w:p w14:paraId="0000001E" w14:textId="77777777" w:rsidR="006C7D38" w:rsidRDefault="006C7D38">
      <w:pPr>
        <w:rPr>
          <w:sz w:val="24"/>
          <w:szCs w:val="24"/>
        </w:rPr>
      </w:pPr>
    </w:p>
    <w:p w14:paraId="0000001F" w14:textId="77777777" w:rsidR="006C7D38" w:rsidRDefault="006C7D38">
      <w:pPr>
        <w:rPr>
          <w:sz w:val="24"/>
          <w:szCs w:val="24"/>
        </w:rPr>
      </w:pPr>
    </w:p>
    <w:p w14:paraId="00000020" w14:textId="77777777" w:rsidR="006C7D38" w:rsidRDefault="006C7D38">
      <w:pPr>
        <w:rPr>
          <w:sz w:val="24"/>
          <w:szCs w:val="24"/>
        </w:rPr>
      </w:pPr>
    </w:p>
    <w:p w14:paraId="00000021" w14:textId="77777777" w:rsidR="006C7D38" w:rsidRDefault="006C7D38">
      <w:pPr>
        <w:rPr>
          <w:sz w:val="24"/>
          <w:szCs w:val="24"/>
        </w:rPr>
      </w:pPr>
    </w:p>
    <w:p w14:paraId="00000022" w14:textId="77777777" w:rsidR="006C7D38" w:rsidRDefault="006C7D38">
      <w:pPr>
        <w:rPr>
          <w:sz w:val="24"/>
          <w:szCs w:val="24"/>
        </w:rPr>
      </w:pPr>
    </w:p>
    <w:p w14:paraId="00000023" w14:textId="77777777" w:rsidR="006C7D38" w:rsidRDefault="006C7D38">
      <w:pPr>
        <w:rPr>
          <w:sz w:val="24"/>
          <w:szCs w:val="24"/>
        </w:rPr>
      </w:pPr>
    </w:p>
    <w:p w14:paraId="00000024" w14:textId="77777777" w:rsidR="006C7D38" w:rsidRDefault="006C7D38">
      <w:pPr>
        <w:rPr>
          <w:sz w:val="24"/>
          <w:szCs w:val="24"/>
        </w:rPr>
      </w:pPr>
    </w:p>
    <w:p w14:paraId="00000025" w14:textId="77777777" w:rsidR="006C7D38" w:rsidRDefault="006C7D38">
      <w:pPr>
        <w:rPr>
          <w:sz w:val="24"/>
          <w:szCs w:val="24"/>
        </w:rPr>
      </w:pPr>
    </w:p>
    <w:p w14:paraId="00000026" w14:textId="77777777" w:rsidR="006C7D38" w:rsidRDefault="006C7D38">
      <w:pPr>
        <w:rPr>
          <w:sz w:val="24"/>
          <w:szCs w:val="24"/>
        </w:rPr>
      </w:pPr>
    </w:p>
    <w:p w14:paraId="00000027" w14:textId="77777777" w:rsidR="006C7D38" w:rsidRDefault="006C7D38">
      <w:pPr>
        <w:rPr>
          <w:sz w:val="24"/>
          <w:szCs w:val="24"/>
        </w:rPr>
      </w:pPr>
    </w:p>
    <w:p w14:paraId="00000028" w14:textId="77777777" w:rsidR="006C7D38" w:rsidRDefault="006C7D38">
      <w:pPr>
        <w:rPr>
          <w:sz w:val="24"/>
          <w:szCs w:val="24"/>
        </w:rPr>
      </w:pPr>
    </w:p>
    <w:p w14:paraId="00000029" w14:textId="77777777" w:rsidR="006C7D38" w:rsidRDefault="00000000">
      <w:pPr>
        <w:spacing w:before="240" w:after="240" w:line="240" w:lineRule="auto"/>
        <w:jc w:val="center"/>
      </w:pPr>
      <w:r>
        <w:t>Table of Contents</w:t>
      </w:r>
    </w:p>
    <w:p w14:paraId="0000002A" w14:textId="77777777" w:rsidR="006C7D38" w:rsidRDefault="00000000">
      <w:pPr>
        <w:numPr>
          <w:ilvl w:val="0"/>
          <w:numId w:val="1"/>
        </w:numPr>
        <w:spacing w:before="240" w:line="240" w:lineRule="auto"/>
      </w:pPr>
      <w:r>
        <w:t>Introduction</w:t>
      </w:r>
    </w:p>
    <w:p w14:paraId="0000002B" w14:textId="77777777" w:rsidR="006C7D38" w:rsidRDefault="00000000">
      <w:pPr>
        <w:numPr>
          <w:ilvl w:val="1"/>
          <w:numId w:val="1"/>
        </w:numPr>
        <w:spacing w:line="240" w:lineRule="auto"/>
      </w:pPr>
      <w:r>
        <w:t>Overview of Tesco's HR challenges and focus areas</w:t>
      </w:r>
    </w:p>
    <w:p w14:paraId="0000002C" w14:textId="77777777" w:rsidR="006C7D38" w:rsidRDefault="00000000">
      <w:pPr>
        <w:numPr>
          <w:ilvl w:val="0"/>
          <w:numId w:val="1"/>
        </w:numPr>
        <w:spacing w:line="240" w:lineRule="auto"/>
      </w:pPr>
      <w:r>
        <w:t>Understanding Employee Concerns</w:t>
      </w:r>
    </w:p>
    <w:p w14:paraId="0000002D" w14:textId="77777777" w:rsidR="006C7D38" w:rsidRDefault="00000000">
      <w:pPr>
        <w:numPr>
          <w:ilvl w:val="1"/>
          <w:numId w:val="1"/>
        </w:numPr>
        <w:spacing w:line="240" w:lineRule="auto"/>
      </w:pPr>
      <w:r>
        <w:t>Impact of rapid changes and digital transitions</w:t>
      </w:r>
    </w:p>
    <w:p w14:paraId="0000002E" w14:textId="77777777" w:rsidR="006C7D38" w:rsidRDefault="00000000">
      <w:pPr>
        <w:numPr>
          <w:ilvl w:val="1"/>
          <w:numId w:val="1"/>
        </w:numPr>
        <w:spacing w:line="240" w:lineRule="auto"/>
      </w:pPr>
      <w:r>
        <w:t>The need for robust training and support networks</w:t>
      </w:r>
    </w:p>
    <w:p w14:paraId="0000002F" w14:textId="77777777" w:rsidR="006C7D38" w:rsidRDefault="00000000">
      <w:pPr>
        <w:numPr>
          <w:ilvl w:val="0"/>
          <w:numId w:val="1"/>
        </w:numPr>
        <w:spacing w:line="240" w:lineRule="auto"/>
      </w:pPr>
      <w:r>
        <w:t>The Role of Communication</w:t>
      </w:r>
    </w:p>
    <w:p w14:paraId="00000030" w14:textId="77777777" w:rsidR="006C7D38" w:rsidRDefault="00000000">
      <w:pPr>
        <w:numPr>
          <w:ilvl w:val="1"/>
          <w:numId w:val="1"/>
        </w:numPr>
        <w:spacing w:line="240" w:lineRule="auto"/>
      </w:pPr>
      <w:r>
        <w:t>Importance of clear and consistent updates</w:t>
      </w:r>
    </w:p>
    <w:p w14:paraId="00000031" w14:textId="77777777" w:rsidR="006C7D38" w:rsidRDefault="00000000">
      <w:pPr>
        <w:numPr>
          <w:ilvl w:val="1"/>
          <w:numId w:val="1"/>
        </w:numPr>
        <w:spacing w:line="240" w:lineRule="auto"/>
      </w:pPr>
      <w:r>
        <w:t>Feedback channels for employee sentiment</w:t>
      </w:r>
    </w:p>
    <w:p w14:paraId="00000032" w14:textId="77777777" w:rsidR="006C7D38" w:rsidRDefault="00000000">
      <w:pPr>
        <w:numPr>
          <w:ilvl w:val="0"/>
          <w:numId w:val="1"/>
        </w:numPr>
        <w:spacing w:line="240" w:lineRule="auto"/>
      </w:pPr>
      <w:r>
        <w:t>Building a Supportive Environment</w:t>
      </w:r>
    </w:p>
    <w:p w14:paraId="00000033" w14:textId="77777777" w:rsidR="006C7D38" w:rsidRDefault="00000000">
      <w:pPr>
        <w:numPr>
          <w:ilvl w:val="1"/>
          <w:numId w:val="1"/>
        </w:numPr>
        <w:spacing w:line="240" w:lineRule="auto"/>
      </w:pPr>
      <w:r>
        <w:t>Encouraging continuous learning and skill development</w:t>
      </w:r>
    </w:p>
    <w:p w14:paraId="00000034" w14:textId="77777777" w:rsidR="006C7D38" w:rsidRDefault="00000000">
      <w:pPr>
        <w:numPr>
          <w:ilvl w:val="1"/>
          <w:numId w:val="1"/>
        </w:numPr>
        <w:spacing w:line="240" w:lineRule="auto"/>
      </w:pPr>
      <w:r>
        <w:t>Workshops, mentorship programs, and online courses</w:t>
      </w:r>
    </w:p>
    <w:p w14:paraId="00000035" w14:textId="77777777" w:rsidR="006C7D38" w:rsidRDefault="00000000">
      <w:pPr>
        <w:numPr>
          <w:ilvl w:val="0"/>
          <w:numId w:val="1"/>
        </w:numPr>
        <w:spacing w:line="240" w:lineRule="auto"/>
      </w:pPr>
      <w:r>
        <w:t>Enhancing Flexible Working Practices</w:t>
      </w:r>
    </w:p>
    <w:p w14:paraId="00000036" w14:textId="77777777" w:rsidR="006C7D38" w:rsidRDefault="00000000">
      <w:pPr>
        <w:numPr>
          <w:ilvl w:val="1"/>
          <w:numId w:val="1"/>
        </w:numPr>
        <w:spacing w:line="240" w:lineRule="auto"/>
      </w:pPr>
      <w:r>
        <w:t>Guidelines and expectations for remote work</w:t>
      </w:r>
    </w:p>
    <w:p w14:paraId="00000037" w14:textId="77777777" w:rsidR="006C7D38" w:rsidRDefault="00000000">
      <w:pPr>
        <w:numPr>
          <w:ilvl w:val="1"/>
          <w:numId w:val="1"/>
        </w:numPr>
        <w:spacing w:line="240" w:lineRule="auto"/>
      </w:pPr>
      <w:r>
        <w:t>Balancing autonomy with accountability</w:t>
      </w:r>
    </w:p>
    <w:p w14:paraId="00000038" w14:textId="77777777" w:rsidR="006C7D38" w:rsidRDefault="00000000">
      <w:pPr>
        <w:numPr>
          <w:ilvl w:val="0"/>
          <w:numId w:val="1"/>
        </w:numPr>
        <w:spacing w:line="240" w:lineRule="auto"/>
      </w:pPr>
      <w:r>
        <w:t>Explanation of Specific Factors Related to Business Transformation</w:t>
      </w:r>
    </w:p>
    <w:p w14:paraId="00000039" w14:textId="77777777" w:rsidR="006C7D38" w:rsidRDefault="00000000">
      <w:pPr>
        <w:numPr>
          <w:ilvl w:val="1"/>
          <w:numId w:val="1"/>
        </w:numPr>
        <w:spacing w:line="240" w:lineRule="auto"/>
      </w:pPr>
      <w:r>
        <w:t>Digital technology trends and flexible working arrangements</w:t>
      </w:r>
    </w:p>
    <w:p w14:paraId="0000003A" w14:textId="77777777" w:rsidR="006C7D38" w:rsidRDefault="00000000">
      <w:pPr>
        <w:numPr>
          <w:ilvl w:val="1"/>
          <w:numId w:val="1"/>
        </w:numPr>
        <w:spacing w:line="240" w:lineRule="auto"/>
      </w:pPr>
      <w:r>
        <w:t>Challenges of AI implementation and employee adaptation</w:t>
      </w:r>
    </w:p>
    <w:p w14:paraId="0000003B" w14:textId="77777777" w:rsidR="006C7D38" w:rsidRDefault="00000000">
      <w:pPr>
        <w:numPr>
          <w:ilvl w:val="0"/>
          <w:numId w:val="1"/>
        </w:numPr>
        <w:spacing w:line="240" w:lineRule="auto"/>
      </w:pPr>
      <w:r>
        <w:t>An Evaluation of Contemporary HR Practices</w:t>
      </w:r>
    </w:p>
    <w:p w14:paraId="0000003C" w14:textId="77777777" w:rsidR="006C7D38" w:rsidRDefault="00000000">
      <w:pPr>
        <w:numPr>
          <w:ilvl w:val="1"/>
          <w:numId w:val="1"/>
        </w:numPr>
        <w:spacing w:line="240" w:lineRule="auto"/>
      </w:pPr>
      <w:r>
        <w:t>Skill-based hiring and support strategies</w:t>
      </w:r>
    </w:p>
    <w:p w14:paraId="0000003D" w14:textId="77777777" w:rsidR="006C7D38" w:rsidRDefault="00000000">
      <w:pPr>
        <w:numPr>
          <w:ilvl w:val="1"/>
          <w:numId w:val="1"/>
        </w:numPr>
        <w:spacing w:line="240" w:lineRule="auto"/>
      </w:pPr>
      <w:r>
        <w:t>Training, mentorship, and mental health resources</w:t>
      </w:r>
    </w:p>
    <w:p w14:paraId="0000003E" w14:textId="77777777" w:rsidR="006C7D38" w:rsidRDefault="00000000">
      <w:pPr>
        <w:numPr>
          <w:ilvl w:val="0"/>
          <w:numId w:val="1"/>
        </w:numPr>
        <w:spacing w:line="240" w:lineRule="auto"/>
      </w:pPr>
      <w:r>
        <w:t>Critical Evaluation of Managerial Implementation</w:t>
      </w:r>
    </w:p>
    <w:p w14:paraId="0000003F" w14:textId="77777777" w:rsidR="006C7D38" w:rsidRDefault="00000000">
      <w:pPr>
        <w:numPr>
          <w:ilvl w:val="1"/>
          <w:numId w:val="1"/>
        </w:numPr>
        <w:spacing w:line="240" w:lineRule="auto"/>
      </w:pPr>
      <w:r>
        <w:t>Role of managers in applying HR practices urgently</w:t>
      </w:r>
    </w:p>
    <w:p w14:paraId="00000040" w14:textId="77777777" w:rsidR="006C7D38" w:rsidRDefault="00000000">
      <w:pPr>
        <w:numPr>
          <w:ilvl w:val="1"/>
          <w:numId w:val="1"/>
        </w:numPr>
        <w:spacing w:line="240" w:lineRule="auto"/>
      </w:pPr>
      <w:r>
        <w:t>Importance of communication and feedback channels</w:t>
      </w:r>
    </w:p>
    <w:p w14:paraId="00000041" w14:textId="77777777" w:rsidR="006C7D38" w:rsidRDefault="00000000">
      <w:pPr>
        <w:numPr>
          <w:ilvl w:val="0"/>
          <w:numId w:val="1"/>
        </w:numPr>
        <w:spacing w:line="240" w:lineRule="auto"/>
      </w:pPr>
      <w:r>
        <w:t>Conclusion</w:t>
      </w:r>
    </w:p>
    <w:p w14:paraId="00000042" w14:textId="77777777" w:rsidR="006C7D38" w:rsidRDefault="00000000">
      <w:pPr>
        <w:numPr>
          <w:ilvl w:val="1"/>
          <w:numId w:val="1"/>
        </w:numPr>
        <w:spacing w:line="240" w:lineRule="auto"/>
      </w:pPr>
      <w:r>
        <w:t>Summary of challenges and solutions</w:t>
      </w:r>
    </w:p>
    <w:p w14:paraId="00000043" w14:textId="77777777" w:rsidR="006C7D38" w:rsidRDefault="00000000">
      <w:pPr>
        <w:numPr>
          <w:ilvl w:val="1"/>
          <w:numId w:val="1"/>
        </w:numPr>
        <w:spacing w:after="240" w:line="240" w:lineRule="auto"/>
      </w:pPr>
      <w:r>
        <w:t>Future strategies for innovation and employee engagement</w:t>
      </w:r>
    </w:p>
    <w:p w14:paraId="00000044" w14:textId="77777777" w:rsidR="006C7D38" w:rsidRDefault="006C7D38">
      <w:pPr>
        <w:spacing w:before="240" w:after="240" w:line="240" w:lineRule="auto"/>
      </w:pPr>
    </w:p>
    <w:p w14:paraId="00000045" w14:textId="77777777" w:rsidR="006C7D38" w:rsidRDefault="006C7D38">
      <w:pPr>
        <w:spacing w:before="240" w:after="240" w:line="240" w:lineRule="auto"/>
      </w:pPr>
    </w:p>
    <w:p w14:paraId="00000046" w14:textId="77777777" w:rsidR="006C7D38" w:rsidRDefault="006C7D38">
      <w:pPr>
        <w:spacing w:before="240" w:after="240" w:line="240" w:lineRule="auto"/>
      </w:pPr>
    </w:p>
    <w:p w14:paraId="00000047" w14:textId="77777777" w:rsidR="006C7D38" w:rsidRDefault="006C7D38">
      <w:pPr>
        <w:spacing w:before="240" w:after="240" w:line="240" w:lineRule="auto"/>
      </w:pPr>
    </w:p>
    <w:p w14:paraId="00000048" w14:textId="77777777" w:rsidR="006C7D38" w:rsidRDefault="006C7D38">
      <w:pPr>
        <w:spacing w:before="240" w:after="240" w:line="240" w:lineRule="auto"/>
      </w:pPr>
    </w:p>
    <w:p w14:paraId="00000049" w14:textId="77777777" w:rsidR="006C7D38" w:rsidRDefault="006C7D38">
      <w:pPr>
        <w:spacing w:before="240" w:after="240" w:line="240" w:lineRule="auto"/>
      </w:pPr>
    </w:p>
    <w:p w14:paraId="0000004A" w14:textId="77777777" w:rsidR="006C7D38" w:rsidRDefault="006C7D38">
      <w:pPr>
        <w:spacing w:before="240" w:after="240" w:line="240" w:lineRule="auto"/>
      </w:pPr>
    </w:p>
    <w:p w14:paraId="0000004B" w14:textId="77777777" w:rsidR="006C7D38" w:rsidRDefault="006C7D38">
      <w:pPr>
        <w:spacing w:before="240" w:after="240" w:line="240" w:lineRule="auto"/>
      </w:pPr>
    </w:p>
    <w:p w14:paraId="0000004C" w14:textId="77777777" w:rsidR="006C7D38" w:rsidRDefault="006C7D38">
      <w:pPr>
        <w:spacing w:before="240" w:after="240" w:line="240" w:lineRule="auto"/>
      </w:pPr>
    </w:p>
    <w:p w14:paraId="0000004D" w14:textId="77777777" w:rsidR="006C7D38" w:rsidRDefault="006C7D38">
      <w:pPr>
        <w:spacing w:before="240" w:after="240" w:line="240" w:lineRule="auto"/>
      </w:pPr>
    </w:p>
    <w:p w14:paraId="0000004E" w14:textId="77777777" w:rsidR="006C7D38" w:rsidRDefault="006C7D38">
      <w:pPr>
        <w:spacing w:before="240" w:after="240" w:line="240" w:lineRule="auto"/>
      </w:pPr>
    </w:p>
    <w:p w14:paraId="0000004F" w14:textId="77777777" w:rsidR="006C7D38" w:rsidRDefault="00000000">
      <w:pPr>
        <w:spacing w:before="240" w:after="240" w:line="397" w:lineRule="auto"/>
      </w:pPr>
      <w:r>
        <w:t>Introduction</w:t>
      </w:r>
    </w:p>
    <w:p w14:paraId="00000050" w14:textId="77777777" w:rsidR="006C7D38" w:rsidRDefault="00000000">
      <w:pPr>
        <w:spacing w:before="240" w:after="240" w:line="397" w:lineRule="auto"/>
      </w:pPr>
      <w:r>
        <w:t xml:space="preserve">I recently started working in the HR department at Tesco, a big retailer based in London. Tesco has over 4,000 stores around the world and employs nearly 300,000 people. They focus on using new technology to improve customer experience and efficiency. But in my first month, I've noticed a lot of employee complaints, mainly because of rapid changes in the company. These include difficulties with new digital projects and flexible working arrangements like hybrid models. This report </w:t>
      </w:r>
      <w:proofErr w:type="gramStart"/>
      <w:r>
        <w:t>looks into</w:t>
      </w:r>
      <w:proofErr w:type="gramEnd"/>
      <w:r>
        <w:t xml:space="preserve"> these issues at Tesco, how HR practices can help, and what managers can do to quickly apply these </w:t>
      </w:r>
      <w:proofErr w:type="spellStart"/>
      <w:proofErr w:type="gramStart"/>
      <w:r>
        <w:t>solutions.Understanding</w:t>
      </w:r>
      <w:proofErr w:type="spellEnd"/>
      <w:proofErr w:type="gramEnd"/>
      <w:r>
        <w:t xml:space="preserve"> Employee Concerns</w:t>
      </w:r>
    </w:p>
    <w:p w14:paraId="00000051" w14:textId="77777777" w:rsidR="006C7D38" w:rsidRDefault="00000000">
      <w:pPr>
        <w:spacing w:before="240" w:after="240" w:line="403" w:lineRule="auto"/>
      </w:pPr>
      <w:r>
        <w:t>In my initial weeks, it became clear that while Tesco is making strides toward innovation, the pace of change can be overwhelming for employees. Many team members have expressed concerns about feeling unprepared for the digital transition. The introduction of AI-driven systems and automated processes, although promising, has resulted in a steep learning curve for some. This highlights the need for robust training programs and support networks to help employees navigate these changes successfully.</w:t>
      </w:r>
    </w:p>
    <w:p w14:paraId="00000052" w14:textId="77777777" w:rsidR="006C7D38" w:rsidRDefault="00000000">
      <w:pPr>
        <w:spacing w:before="240" w:after="240" w:line="403" w:lineRule="auto"/>
      </w:pPr>
      <w:r>
        <w:t>The Role of Communication</w:t>
      </w:r>
    </w:p>
    <w:p w14:paraId="00000053" w14:textId="77777777" w:rsidR="006C7D38" w:rsidRDefault="00000000">
      <w:pPr>
        <w:spacing w:before="240" w:after="240" w:line="403" w:lineRule="auto"/>
      </w:pPr>
      <w:r>
        <w:t xml:space="preserve">Effective communication is a cornerstone in addressing these challenges. Employees need clear and consistent updates on what changes are occurring and how they will benefit both the company and their roles. Regular feedback channels, such as surveys or open forums, can provide valuable insights into employee sentiment and areas that require attention. This will ensure that employees feel </w:t>
      </w:r>
      <w:proofErr w:type="gramStart"/>
      <w:r>
        <w:t>heard</w:t>
      </w:r>
      <w:proofErr w:type="gramEnd"/>
      <w:r>
        <w:t xml:space="preserve"> and valued during this transitional phase.</w:t>
      </w:r>
    </w:p>
    <w:p w14:paraId="00000054" w14:textId="77777777" w:rsidR="006C7D38" w:rsidRDefault="00000000">
      <w:pPr>
        <w:spacing w:before="240" w:after="240" w:line="403" w:lineRule="auto"/>
      </w:pPr>
      <w:r>
        <w:t>Building a Supportive Environment</w:t>
      </w:r>
    </w:p>
    <w:p w14:paraId="00000055" w14:textId="77777777" w:rsidR="006C7D38" w:rsidRDefault="00000000">
      <w:pPr>
        <w:spacing w:before="240" w:after="240" w:line="403" w:lineRule="auto"/>
      </w:pPr>
      <w:r>
        <w:lastRenderedPageBreak/>
        <w:t>Creating a supportive environment is crucial for fostering adaptability and resilience among employees. This involves not only providing the necessary tools and resources but also encouraging a culture of continuous learning. By offering workshops, mentorship programs, and online courses, Tesco can equip its workforce with the skills needed to thrive in a digital-first landscape.</w:t>
      </w:r>
    </w:p>
    <w:p w14:paraId="00000056" w14:textId="77777777" w:rsidR="006C7D38" w:rsidRDefault="00000000">
      <w:pPr>
        <w:spacing w:before="240" w:after="240" w:line="403" w:lineRule="auto"/>
      </w:pPr>
      <w:r>
        <w:t>Enhancing Flexible Working Practices</w:t>
      </w:r>
    </w:p>
    <w:p w14:paraId="00000057" w14:textId="77777777" w:rsidR="006C7D38" w:rsidRDefault="00000000">
      <w:pPr>
        <w:spacing w:before="240" w:after="240" w:line="403" w:lineRule="auto"/>
      </w:pPr>
      <w:r>
        <w:t>As Tesco embraces flexible working arrangements, it’s important to establish clear guidelines and expectations. This includes defining roles suitable for remote work, setting achievable goals, and maintaining a balance between autonomy and accountability. By promoting a healthy work-life balance and ensuring equitable performance assessments, Tesco can enhance job satisfaction and productivity.</w:t>
      </w:r>
    </w:p>
    <w:p w14:paraId="00000058" w14:textId="77777777" w:rsidR="006C7D38" w:rsidRDefault="00000000">
      <w:pPr>
        <w:spacing w:before="240" w:after="240" w:line="403" w:lineRule="auto"/>
      </w:pPr>
      <w:r>
        <w:t>The journey toward transformation is filled with opportunities and challenges. By focusing on strategic HR practices and proactive management, Tesco can address employee concerns and harness the full potential of its digital and flexible work initiatives. As we continue to evolve, the key will be to maintain an open dialogue and foster an inclusive atmosphere where every employee feels empowered and supported.</w:t>
      </w:r>
    </w:p>
    <w:p w14:paraId="00000059" w14:textId="77777777" w:rsidR="006C7D38" w:rsidRDefault="00000000">
      <w:pPr>
        <w:spacing w:before="240" w:after="240" w:line="397" w:lineRule="auto"/>
      </w:pPr>
      <w:r>
        <w:t>1. Explanation of Specific Factors Related to Business Transformation</w:t>
      </w:r>
    </w:p>
    <w:p w14:paraId="0000005A" w14:textId="77777777" w:rsidR="006C7D38" w:rsidRDefault="00000000">
      <w:pPr>
        <w:spacing w:before="240" w:after="240" w:line="397" w:lineRule="auto"/>
      </w:pPr>
      <w:r>
        <w:t xml:space="preserve">Tesco is changing the way it operates to stay the biggest retailer in the UK. This means moving from old ways of doing things to using more technology and being more flexible. They are introducing new systems for managing stock and customer </w:t>
      </w:r>
      <w:proofErr w:type="gramStart"/>
      <w:r>
        <w:t>data, and</w:t>
      </w:r>
      <w:proofErr w:type="gramEnd"/>
      <w:r>
        <w:t xml:space="preserve"> blending online and in-store shopping. But these changes can cause complaints as employees might feel their jobs are changing too quickly or they have too much pressure.</w:t>
      </w:r>
    </w:p>
    <w:p w14:paraId="0000005B" w14:textId="77777777" w:rsidR="006C7D38" w:rsidRDefault="00000000">
      <w:pPr>
        <w:spacing w:before="240" w:after="240" w:line="397" w:lineRule="auto"/>
      </w:pPr>
      <w:r>
        <w:t>The digital technology changes at Tesco include using AI for customer recommendations and checkout automation. This requires learning new skills, which can be tough if people aren't given enough training. Some employees might find it hard to keep up with new digital tools, leading to frustration.</w:t>
      </w:r>
    </w:p>
    <w:p w14:paraId="0000005C" w14:textId="77777777" w:rsidR="006C7D38" w:rsidRDefault="00000000">
      <w:pPr>
        <w:spacing w:before="240" w:after="240" w:line="397" w:lineRule="auto"/>
      </w:pPr>
      <w:r>
        <w:lastRenderedPageBreak/>
        <w:t xml:space="preserve">Tesco is also offering more flexible work options, like working from home in certain roles. While this aims to improve productivity and well-being, it can cause problems like unclear work-life boundaries and feelings of unfairness in performance reviews. These changes can lead to dissatisfaction if not handled </w:t>
      </w:r>
      <w:proofErr w:type="spellStart"/>
      <w:proofErr w:type="gramStart"/>
      <w:r>
        <w:t>well.Clear</w:t>
      </w:r>
      <w:proofErr w:type="spellEnd"/>
      <w:proofErr w:type="gramEnd"/>
      <w:r>
        <w:t xml:space="preserve"> communication and supportive measures are essential to address these challenges effectively. Providing comprehensive training programs for new technologies can ease the transition for employees, ensuring they feel competent and confident in their roles. By offering ongoing support and resources, Tesco can foster an environment where employees are encouraged to embrace change rather than fear it.</w:t>
      </w:r>
    </w:p>
    <w:p w14:paraId="0000005D" w14:textId="77777777" w:rsidR="006C7D38" w:rsidRDefault="00000000">
      <w:pPr>
        <w:spacing w:before="240" w:after="240" w:line="403" w:lineRule="auto"/>
      </w:pPr>
      <w:r>
        <w:t>Moreover, to manage the flexible working arrangements, Tesco must clearly communicate expectations and establish guidelines that promote fairness and transparency. Regular check-ins and feedback sessions can help address any issues employees may face, while also reinforcing a culture of trust and accountability.</w:t>
      </w:r>
    </w:p>
    <w:p w14:paraId="0000005E" w14:textId="77777777" w:rsidR="006C7D38" w:rsidRDefault="00000000">
      <w:pPr>
        <w:spacing w:before="240" w:after="240" w:line="403" w:lineRule="auto"/>
      </w:pPr>
      <w:r>
        <w:t>In addition, Tesco can enhance employee engagement by celebrating milestones and achievements related to the adoption of new technologies and flexible practices. Recognizing and rewarding adaptability and innovation can motivate employees to remain committed and enthusiastic about the company's evolving direction.</w:t>
      </w:r>
    </w:p>
    <w:p w14:paraId="0000005F" w14:textId="77777777" w:rsidR="006C7D38" w:rsidRDefault="00000000">
      <w:pPr>
        <w:spacing w:before="240" w:after="240" w:line="403" w:lineRule="auto"/>
      </w:pPr>
      <w:r>
        <w:t>Ultimately, by prioritizing a people-centric approach and maintaining open lines of communication, Tesco can navigate these transformations smoothly, ensuring that both the company and its employees thrive in a rapidly changing retail landscape.</w:t>
      </w:r>
    </w:p>
    <w:p w14:paraId="00000060" w14:textId="77777777" w:rsidR="006C7D38" w:rsidRDefault="00000000">
      <w:pPr>
        <w:spacing w:before="240" w:after="240" w:line="397" w:lineRule="auto"/>
      </w:pPr>
      <w:r>
        <w:t>2. Evaluation of Different Contemporary HR Practices</w:t>
      </w:r>
    </w:p>
    <w:p w14:paraId="00000061" w14:textId="77777777" w:rsidR="006C7D38" w:rsidRDefault="00000000">
      <w:pPr>
        <w:spacing w:before="240" w:after="240" w:line="397" w:lineRule="auto"/>
      </w:pPr>
      <w:r>
        <w:t>To manage business changes at Tesco, HR practices could include hiring based on skills rather than just qualifications. This means looking for people who can handle change well. HR can also create strategies that balance business needs with employee support during transformations.</w:t>
      </w:r>
    </w:p>
    <w:p w14:paraId="00000062" w14:textId="77777777" w:rsidR="006C7D38" w:rsidRDefault="00000000">
      <w:pPr>
        <w:spacing w:before="240" w:after="240" w:line="397" w:lineRule="auto"/>
      </w:pPr>
      <w:r>
        <w:t>For digital technology, HR can focus on training employees on new tools and encourage the use of AI. Continuous learning is important to help everyone adapt to new technology. Mentorship programs could help employees learn from each other and feel more confident with digital tools.</w:t>
      </w:r>
    </w:p>
    <w:p w14:paraId="00000063" w14:textId="77777777" w:rsidR="006C7D38" w:rsidRDefault="00000000">
      <w:pPr>
        <w:spacing w:before="240" w:after="240" w:line="397" w:lineRule="auto"/>
      </w:pPr>
      <w:r>
        <w:lastRenderedPageBreak/>
        <w:t xml:space="preserve">For flexible working, HR can create clear policies and support employee well-being. This might include providing toolkits for flexible work and promoting fair practices in hybrid models. Offering wellness programs and time-management workshops can also help employees balance work and personal </w:t>
      </w:r>
      <w:proofErr w:type="spellStart"/>
      <w:proofErr w:type="gramStart"/>
      <w:r>
        <w:t>life.Additionally</w:t>
      </w:r>
      <w:proofErr w:type="spellEnd"/>
      <w:proofErr w:type="gramEnd"/>
      <w:r>
        <w:t>, HR can foster an inclusive environment where employees feel empowered to voice their concerns and suggestions about flexible working arrangements. This can be achieved by establishing employee resource groups and forums for open dialogue. By actively listening and responding to employee feedback, Tesco can refine its flexible work policies to better meet the needs of its diverse workforce.</w:t>
      </w:r>
    </w:p>
    <w:p w14:paraId="00000064" w14:textId="77777777" w:rsidR="006C7D38" w:rsidRDefault="00000000">
      <w:pPr>
        <w:spacing w:before="240" w:after="240" w:line="403" w:lineRule="auto"/>
      </w:pPr>
      <w:r>
        <w:t>HR practices should also prioritize mental health support, recognizing the challenges that come with remote and hybrid work models. Access to mental health resources, such as counseling services and stress management workshops, can be invaluable in maintaining employee well-being and productivity.</w:t>
      </w:r>
    </w:p>
    <w:p w14:paraId="00000065" w14:textId="77777777" w:rsidR="006C7D38" w:rsidRDefault="00000000">
      <w:pPr>
        <w:spacing w:before="240" w:after="240" w:line="403" w:lineRule="auto"/>
      </w:pPr>
      <w:r>
        <w:t>Furthermore, HR should ensure that performance evaluations are adapted to reflect the realities of flexible working, emphasizing outcomes and contributions rather than physical presence. By aligning performance metrics with the goals of flexible work, Tesco can foster a culture of trust and accountability.</w:t>
      </w:r>
    </w:p>
    <w:p w14:paraId="00000066" w14:textId="77777777" w:rsidR="006C7D38" w:rsidRDefault="00000000">
      <w:pPr>
        <w:spacing w:before="240" w:after="240" w:line="403" w:lineRule="auto"/>
      </w:pPr>
      <w:r>
        <w:t>By integrating these HR strategies, Tesco can effectively support its employees through the complexities of digital transformation and flexible work. This holistic approach will not only enhance employee satisfaction but also drive the company's success in a competitive retail landscape.</w:t>
      </w:r>
    </w:p>
    <w:p w14:paraId="00000067" w14:textId="77777777" w:rsidR="006C7D38" w:rsidRDefault="00000000">
      <w:pPr>
        <w:spacing w:before="240" w:after="240" w:line="397" w:lineRule="auto"/>
      </w:pPr>
      <w:r>
        <w:t>3. How Departmental Managers Can Ensure These Contemporary Practices Are Being Implemented as a Matter of Urgency</w:t>
      </w:r>
    </w:p>
    <w:p w14:paraId="00000068" w14:textId="77777777" w:rsidR="006C7D38" w:rsidRDefault="00000000">
      <w:pPr>
        <w:spacing w:before="240" w:after="240" w:line="397" w:lineRule="auto"/>
      </w:pPr>
      <w:r>
        <w:t>Managers at Tesco play a key role in quickly applying these HR practices. They can speed up the hiring of skilled people for new roles and make sure employees get the training they need for digital tools. It's important for managers to communicate openly about changes so employees understand their benefits.</w:t>
      </w:r>
    </w:p>
    <w:p w14:paraId="00000069" w14:textId="77777777" w:rsidR="006C7D38" w:rsidRDefault="00000000">
      <w:pPr>
        <w:spacing w:before="240" w:after="240" w:line="397" w:lineRule="auto"/>
      </w:pPr>
      <w:r>
        <w:lastRenderedPageBreak/>
        <w:t xml:space="preserve">For flexible </w:t>
      </w:r>
      <w:proofErr w:type="gramStart"/>
      <w:r>
        <w:t>working</w:t>
      </w:r>
      <w:proofErr w:type="gramEnd"/>
      <w:r>
        <w:t xml:space="preserve">, managers can check regularly to ensure policies are fair and effective. They should </w:t>
      </w:r>
      <w:proofErr w:type="gramStart"/>
      <w:r>
        <w:t>lead</w:t>
      </w:r>
      <w:proofErr w:type="gramEnd"/>
      <w:r>
        <w:t xml:space="preserve"> by example, showing commitment to flexible work and encouraging learning. Recognizing and rewarding employees who adapt well can motivate </w:t>
      </w:r>
      <w:proofErr w:type="spellStart"/>
      <w:proofErr w:type="gramStart"/>
      <w:r>
        <w:t>others.Managers</w:t>
      </w:r>
      <w:proofErr w:type="spellEnd"/>
      <w:proofErr w:type="gramEnd"/>
      <w:r>
        <w:t xml:space="preserve"> should also establish clear channels for feedback, allowing employees to express their concerns and suggestions regarding new HR practices. By fostering an open and inclusive dialogue, managers can identify potential issues early and make necessary adjustments to policies and practices.</w:t>
      </w:r>
    </w:p>
    <w:p w14:paraId="0000006A" w14:textId="77777777" w:rsidR="006C7D38" w:rsidRDefault="00000000">
      <w:pPr>
        <w:spacing w:before="240" w:after="240" w:line="403" w:lineRule="auto"/>
      </w:pPr>
      <w:r>
        <w:t>Moreover, managers can collaborate with HR to tailor training programs that address specific departmental needs, ensuring that all team members are equipped with the skills required for their roles. This collaboration can also extend to creating a supportive network, where employees can share experiences and best practices, fostering a community of learning and growth.</w:t>
      </w:r>
    </w:p>
    <w:p w14:paraId="0000006B" w14:textId="77777777" w:rsidR="006C7D38" w:rsidRDefault="00000000">
      <w:pPr>
        <w:spacing w:before="240" w:after="240" w:line="403" w:lineRule="auto"/>
      </w:pPr>
      <w:r>
        <w:t>To ensure the success of flexible work arrangements, managers might consider implementing regular team check-ins and virtual meetings to maintain a sense of team cohesion and connection. Encouraging informal virtual gatherings or team-building activities can also help preserve team spirit and morale in a remote or hybrid setting.</w:t>
      </w:r>
    </w:p>
    <w:p w14:paraId="0000006C" w14:textId="77777777" w:rsidR="006C7D38" w:rsidRDefault="00000000">
      <w:pPr>
        <w:spacing w:before="240" w:after="240" w:line="403" w:lineRule="auto"/>
      </w:pPr>
      <w:r>
        <w:t>By actively engaging with their teams and demonstrating a commitment to ongoing improvement, managers can create an environment where employees feel supported and valued. This proactive approach not only facilitates the swift implementation of contemporary HR practices but also contributes to a positive organizational culture, enhancing overall employee satisfaction and productivity.</w:t>
      </w:r>
    </w:p>
    <w:p w14:paraId="0000006D" w14:textId="77777777" w:rsidR="006C7D38" w:rsidRDefault="00000000">
      <w:pPr>
        <w:spacing w:before="240" w:after="240" w:line="397" w:lineRule="auto"/>
      </w:pPr>
      <w:r>
        <w:t>Conclusion</w:t>
      </w:r>
    </w:p>
    <w:p w14:paraId="0000006E" w14:textId="77777777" w:rsidR="006C7D38" w:rsidRDefault="00000000">
      <w:pPr>
        <w:spacing w:before="240" w:after="240" w:line="397" w:lineRule="auto"/>
      </w:pPr>
      <w:r>
        <w:t xml:space="preserve">In summary, the complaints at Tesco come from business changes, digital trends, and flexible work. However, HR practices can help if applied quickly by managers. To keep improving, Tesco should facilitate regular communication and training to keep all employees engaged and aligned with the company's </w:t>
      </w:r>
      <w:proofErr w:type="spellStart"/>
      <w:proofErr w:type="gramStart"/>
      <w:r>
        <w:t>goals.By</w:t>
      </w:r>
      <w:proofErr w:type="spellEnd"/>
      <w:proofErr w:type="gramEnd"/>
      <w:r>
        <w:t xml:space="preserve"> fostering a collaborative environment and prioritizing employee well-being, Tesco can navigate these changes successfully. It’s crucial for managers </w:t>
      </w:r>
      <w:r>
        <w:lastRenderedPageBreak/>
        <w:t>to model transparency and adaptability, reinforcing the message that change is a shared journey rather than an individual burden.</w:t>
      </w:r>
    </w:p>
    <w:p w14:paraId="0000006F" w14:textId="77777777" w:rsidR="006C7D38" w:rsidRDefault="00000000">
      <w:pPr>
        <w:spacing w:before="240" w:after="240" w:line="403" w:lineRule="auto"/>
      </w:pPr>
      <w:r>
        <w:t>Looking forward, Tesco can continue to innovate by leveraging employee feedback to refine its strategies. Regularly revisiting and updating HR policies to reflect the evolving needs of the workforce will be key. This approach ensures that the organization remains agile and responsive, capable of turning challenges into opportunities for growth.</w:t>
      </w:r>
    </w:p>
    <w:p w14:paraId="00000070" w14:textId="77777777" w:rsidR="006C7D38" w:rsidRDefault="00000000">
      <w:pPr>
        <w:spacing w:before="240" w:after="240" w:line="403" w:lineRule="auto"/>
      </w:pPr>
      <w:r>
        <w:t>Ultimately, by embedding a culture of resilience and openness, Tesco can not only address current concerns but also lay a solid foundation for future success. In this dynamic retail landscape, the ability to adapt and thrive amidst change will be Tesco’s greatest asset, ensuring its position as a leader in the industry.</w:t>
      </w:r>
    </w:p>
    <w:p w14:paraId="00000071" w14:textId="77777777" w:rsidR="006C7D38" w:rsidRDefault="006C7D38">
      <w:pPr>
        <w:spacing w:before="240" w:after="240" w:line="335" w:lineRule="auto"/>
      </w:pPr>
    </w:p>
    <w:p w14:paraId="00000072" w14:textId="77777777" w:rsidR="006C7D38" w:rsidRDefault="00000000">
      <w:pPr>
        <w:spacing w:before="240" w:after="240" w:line="331" w:lineRule="auto"/>
      </w:pPr>
      <w:r>
        <w:t>References</w:t>
      </w:r>
    </w:p>
    <w:p w14:paraId="00000073" w14:textId="77777777" w:rsidR="006C7D38" w:rsidRDefault="00000000">
      <w:pPr>
        <w:spacing w:before="240" w:after="240" w:line="480" w:lineRule="auto"/>
      </w:pPr>
      <w:r>
        <w:t>AIHR. (2026). 11 HR Trends for 2026: Shaping What's Next. Available at: https://www.aihr.com/blog/hr-trends/ [Accessed 16 December 2025].</w:t>
      </w:r>
    </w:p>
    <w:p w14:paraId="00000074" w14:textId="77777777" w:rsidR="006C7D38" w:rsidRDefault="00000000">
      <w:pPr>
        <w:spacing w:before="240" w:after="240" w:line="480" w:lineRule="auto"/>
      </w:pPr>
      <w:r>
        <w:br/>
        <w:t>AIHR. (n.d.). Digital HR: The Ultimate Guide [2025 Edition]. Available at: https://www.aihr.com/blog/digital-hr/ [Accessed 16 December 2025].</w:t>
      </w:r>
    </w:p>
    <w:p w14:paraId="00000075" w14:textId="77777777" w:rsidR="006C7D38" w:rsidRDefault="00000000">
      <w:pPr>
        <w:spacing w:before="240" w:after="240" w:line="480" w:lineRule="auto"/>
      </w:pPr>
      <w:r>
        <w:br/>
        <w:t>CIPD. (2025). Flexible and hybrid working practices in 2025. Available at: https://www.cipd.org/uk/knowledge/reports/flexible-hybrid-working/ [Accessed 16 December 2025].</w:t>
      </w:r>
    </w:p>
    <w:p w14:paraId="00000076" w14:textId="77777777" w:rsidR="006C7D38" w:rsidRDefault="00000000">
      <w:pPr>
        <w:spacing w:before="240" w:after="240" w:line="480" w:lineRule="auto"/>
      </w:pPr>
      <w:r>
        <w:br/>
        <w:t xml:space="preserve">Deloitte. (2025). 2025 Global Human Capital Trends. Available at: </w:t>
      </w:r>
      <w:r>
        <w:lastRenderedPageBreak/>
        <w:t>https://www.deloitte.com/us/en/insights/topics/talent/human-capital-trends.html [Accessed 16 December 2025].</w:t>
      </w:r>
    </w:p>
    <w:p w14:paraId="00000077" w14:textId="77777777" w:rsidR="006C7D38" w:rsidRDefault="00000000">
      <w:pPr>
        <w:spacing w:before="240" w:after="240" w:line="480" w:lineRule="auto"/>
      </w:pPr>
      <w:r>
        <w:br/>
        <w:t>Elliott, B. (2024). Five Hybrid Work Trends to Watch in 2025. Available at: https://sloanreview.mit.edu/article/five-hybrid-work-trends-to-watch-in-2025/ [Accessed 16 December 2025].</w:t>
      </w:r>
    </w:p>
    <w:p w14:paraId="00000078" w14:textId="77777777" w:rsidR="006C7D38" w:rsidRDefault="00000000">
      <w:pPr>
        <w:spacing w:before="240" w:after="240" w:line="480" w:lineRule="auto"/>
      </w:pPr>
      <w:r>
        <w:br/>
        <w:t>Focus People. (2025). Flexible Work Culture 2025. Available at: https://www.focuspeople.com/flexible-work-culture-2025/ [Accessed 16 December 2025].</w:t>
      </w:r>
    </w:p>
    <w:p w14:paraId="00000079" w14:textId="77777777" w:rsidR="006C7D38" w:rsidRDefault="00000000">
      <w:pPr>
        <w:spacing w:before="240" w:after="240" w:line="480" w:lineRule="auto"/>
      </w:pPr>
      <w:r>
        <w:br/>
        <w:t>Mercer. (n.d.). Embracing transformation in 2025. Available at: https://www.mercer.com/en-us/insights/people-strategy/hr-transformation/priorities-for-2025/ [Accessed 16 December 2025].</w:t>
      </w:r>
    </w:p>
    <w:p w14:paraId="0000007A" w14:textId="77777777" w:rsidR="006C7D38" w:rsidRDefault="00000000">
      <w:pPr>
        <w:spacing w:before="240" w:after="240" w:line="480" w:lineRule="auto"/>
      </w:pPr>
      <w:r>
        <w:br/>
        <w:t>SHRM. (2025). 7 Trends That Will Shape HR in 2025. Available at: https://www.shrm.org/topics-tools/news/hr-quarterly/7-trends-that-will-shape-hr-in-2025 [Accessed 16 December 2025].</w:t>
      </w:r>
    </w:p>
    <w:p w14:paraId="0000007B" w14:textId="77777777" w:rsidR="006C7D38" w:rsidRDefault="00000000">
      <w:pPr>
        <w:spacing w:before="240" w:after="240" w:line="480" w:lineRule="auto"/>
      </w:pPr>
      <w:r>
        <w:br/>
        <w:t>SHRM. (n.d.). From Adoption to Empowerment: Shaping the AI-Driven Workforce of Tomorrow. Available at: https://www.shrm.org/content/dam/en/shrm/topics-tools/research/from-adoption-to-empowerment-shaping-the-ai-driven-workforce-of-tomorrow.pdf [Accessed 16 December 2025].</w:t>
      </w:r>
    </w:p>
    <w:p w14:paraId="0000007C" w14:textId="77777777" w:rsidR="006C7D38" w:rsidRDefault="00000000">
      <w:pPr>
        <w:spacing w:before="240" w:after="240" w:line="480" w:lineRule="auto"/>
      </w:pPr>
      <w:r>
        <w:br/>
        <w:t xml:space="preserve">The Employer Report. (2024). HR Trend Watch: Maintaining compliance while unlocking the talent rewards of flexible work arrangements. Available at: </w:t>
      </w:r>
      <w:r>
        <w:lastRenderedPageBreak/>
        <w:t>https://www.theemployerreport.com/2024/11/hr-trend-watch-maintaining-compliance-while-unlocking-the-talent-rewards-of-flexible-work-arrangements/ [Accessed 16 December 2025].</w:t>
      </w:r>
    </w:p>
    <w:p w14:paraId="0000007D" w14:textId="77777777" w:rsidR="006C7D38" w:rsidRDefault="00000000">
      <w:pPr>
        <w:spacing w:before="240" w:after="240" w:line="480" w:lineRule="auto"/>
      </w:pPr>
      <w:r>
        <w:br/>
        <w:t>The HR Source. (2025). Return to Office vs Flexible Work 2025: HR Insights. Available at: https://thehrsource.com/return-to-office-vs-flexible-work-2025/ [Accessed 16 December 2025].</w:t>
      </w:r>
    </w:p>
    <w:p w14:paraId="0000007E" w14:textId="77777777" w:rsidR="006C7D38" w:rsidRDefault="00000000">
      <w:pPr>
        <w:spacing w:before="240" w:after="240" w:line="480" w:lineRule="auto"/>
      </w:pPr>
      <w:r>
        <w:br/>
        <w:t>TMI. (2025). The 10 Most Important HR Models to Know in 2025. Available at: https://www.tmi.org/blogs/the-10-most-important-hr-models-to-know-in-2025 [Accessed 16 December 2025].</w:t>
      </w:r>
    </w:p>
    <w:p w14:paraId="0000007F" w14:textId="77777777" w:rsidR="006C7D38" w:rsidRDefault="00000000">
      <w:pPr>
        <w:spacing w:before="240" w:after="240" w:line="480" w:lineRule="auto"/>
      </w:pPr>
      <w:r>
        <w:br/>
        <w:t>UNLEASH. (2025). HR technology trends in 2025: AI adoption, ROI focus, and market consolidation. Available at: https://www.unleash.ai/hr-technology/hr-technology-trends-in-2025-ai-adoption-roi-focus-and-market-consolidation/ [Accessed 16 December 2025].</w:t>
      </w:r>
    </w:p>
    <w:p w14:paraId="00000080" w14:textId="77777777" w:rsidR="006C7D38" w:rsidRDefault="00000000">
      <w:pPr>
        <w:spacing w:before="240" w:after="240" w:line="480" w:lineRule="auto"/>
      </w:pPr>
      <w:r>
        <w:br/>
        <w:t>Wellable. (2025). 6 Flexible Work Arrangement Trends and Examples for 2026. Available at: https://www.wellable.co/blog/flexible-work-arrangement-trends/ [Accessed 16 December 2025].</w:t>
      </w:r>
    </w:p>
    <w:p w14:paraId="00000081" w14:textId="77777777" w:rsidR="006C7D38" w:rsidRDefault="00000000">
      <w:pPr>
        <w:spacing w:before="240" w:after="240" w:line="480" w:lineRule="auto"/>
      </w:pPr>
      <w:r>
        <w:br/>
      </w:r>
      <w:proofErr w:type="spellStart"/>
      <w:r>
        <w:t>Zalaris</w:t>
      </w:r>
      <w:proofErr w:type="spellEnd"/>
      <w:r>
        <w:t>. (n.d.). HR Digital Transformation: 7 key stages to achieve success in 2025. Available at: https://zalaris.com/consulting/resources/resource-library/hr-digital-transformation-7-key-stages-to-achieve-success-in-2025 [Accessed 16 December 2025].</w:t>
      </w:r>
    </w:p>
    <w:p w14:paraId="00000082" w14:textId="77777777" w:rsidR="006C7D38" w:rsidRDefault="00000000">
      <w:pPr>
        <w:spacing w:before="240" w:after="240" w:line="480" w:lineRule="auto"/>
      </w:pPr>
      <w:r>
        <w:br/>
        <w:t xml:space="preserve">Zimmerman, J. (2025). Digital HR Management: HR Technology Trends 2025. Available at: </w:t>
      </w:r>
      <w:r>
        <w:lastRenderedPageBreak/>
        <w:t>https://deliberatedirections.com/digital-hr-management-technology-trends/ [Accessed 16 December 2025].</w:t>
      </w:r>
    </w:p>
    <w:p w14:paraId="00000083" w14:textId="77777777" w:rsidR="006C7D38" w:rsidRDefault="006C7D38">
      <w:pPr>
        <w:spacing w:before="240" w:after="240" w:line="480" w:lineRule="auto"/>
      </w:pPr>
    </w:p>
    <w:p w14:paraId="00000084" w14:textId="77777777" w:rsidR="006C7D38" w:rsidRDefault="006C7D38">
      <w:pPr>
        <w:spacing w:line="480" w:lineRule="auto"/>
      </w:pPr>
    </w:p>
    <w:sectPr w:rsidR="006C7D3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8BD59DE-CB20-400A-9C35-BDEFC17DF900}"/>
  </w:font>
  <w:font w:name="Cambria">
    <w:panose1 w:val="02040503050406030204"/>
    <w:charset w:val="00"/>
    <w:family w:val="roman"/>
    <w:pitch w:val="variable"/>
    <w:sig w:usb0="E00006FF" w:usb1="420024FF" w:usb2="02000000" w:usb3="00000000" w:csb0="0000019F" w:csb1="00000000"/>
    <w:embedRegular r:id="rId2" w:fontKey="{5B89E035-7A19-4FBB-B985-9E246FB4436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CD3496"/>
    <w:multiLevelType w:val="multilevel"/>
    <w:tmpl w:val="3A1A68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04297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7D38"/>
    <w:rsid w:val="006055FB"/>
    <w:rsid w:val="006C7D38"/>
    <w:rsid w:val="00783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ED52CB2-A233-493F-A503-A8C3F7E77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051E2B-4729-4418-8F10-0CE7BD092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2304</Words>
  <Characters>13136</Characters>
  <Application>Microsoft Office Word</Application>
  <DocSecurity>0</DocSecurity>
  <Lines>109</Lines>
  <Paragraphs>30</Paragraphs>
  <ScaleCrop>false</ScaleCrop>
  <Company/>
  <LinksUpToDate>false</LinksUpToDate>
  <CharactersWithSpaces>15410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Herminia Suraia Sa Dabo (2332184)</cp:lastModifiedBy>
  <cp:revision>2</cp:revision>
  <dcterms:created xsi:type="dcterms:W3CDTF">2025-12-22T04:45:00Z</dcterms:created>
  <dcterms:modified xsi:type="dcterms:W3CDTF">2025-12-22T04:45:00Z</dcterms:modified>
</cp:coreProperties>
</file>