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r>
              <w:rPr>
                <w:rFonts w:ascii="Arial" w:hAnsi="Arial" w:cs="Arial"/>
                <w:sz w:val="22"/>
                <w:szCs w:val="22"/>
              </w:rPr>
              <w:t>MD Imran Biswas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r>
              <w:rPr>
                <w:rFonts w:ascii="Arial" w:hAnsi="Arial" w:cs="Arial"/>
                <w:sz w:val="22"/>
                <w:szCs w:val="22"/>
              </w:rPr>
              <w:t>2436882</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p>
        </w:tc>
        <w:tc>
          <w:tcPr>
            <w:tcW w:w="6636" w:type="dxa"/>
            <w:vAlign w:val="center"/>
          </w:tcPr>
          <w:p w14:paraId="60B34DE8" w14:textId="77777777" w:rsidR="005E6C44" w:rsidRPr="004C3A0B" w:rsidRDefault="005E6C44" w:rsidP="003F6F7B">
            <w:pPr>
              <w:rPr>
                <w:rFonts w:ascii="Arial" w:hAnsi="Arial" w:cs="Arial"/>
                <w:sz w:val="22"/>
                <w:szCs w:val="22"/>
              </w:rPr>
            </w:pPr>
            <w:r>
              <w:rPr>
                <w:rFonts w:ascii="Arial" w:hAnsi="Arial" w:cs="Arial"/>
                <w:sz w:val="22"/>
                <w:szCs w:val="22"/>
              </w:rPr>
              <w:t>2436882@student.uwtsd.ac.uk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Pr>
                <w:rFonts w:ascii="Arial" w:hAnsi="Arial" w:cs="Arial"/>
                <w:sz w:val="22"/>
                <w:szCs w:val="22"/>
              </w:rPr>
              <w:t>Programme of Study:</w:t>
            </w:r>
          </w:p>
        </w:tc>
        <w:tc>
          <w:tcPr>
            <w:tcW w:w="6636" w:type="dxa"/>
            <w:vAlign w:val="center"/>
          </w:tcPr>
          <w:p w14:paraId="660E53A9" w14:textId="15265DDC" w:rsidR="005E6C44" w:rsidRPr="004C3A0B" w:rsidRDefault="000522B7" w:rsidP="003F6F7B">
            <w:pPr>
              <w:rPr>
                <w:rFonts w:ascii="Arial" w:hAnsi="Arial" w:cs="Arial"/>
                <w:sz w:val="22"/>
                <w:szCs w:val="22"/>
              </w:rPr>
            </w:pPr>
            <w:r w:rsidRPr="000522B7">
              <w:rPr>
                <w:rFonts w:ascii="Arial" w:hAnsi="Arial" w:cs="Arial"/>
                <w:sz w:val="22"/>
                <w:szCs w:val="22"/>
              </w:rPr>
              <w:t>MSc in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Pr>
                <w:rFonts w:ascii="Arial" w:hAnsi="Arial" w:cs="Arial"/>
                <w:sz w:val="22"/>
                <w:szCs w:val="22"/>
              </w:rPr>
              <w:t>Supervisor:</w:t>
            </w:r>
          </w:p>
        </w:tc>
        <w:tc>
          <w:tcPr>
            <w:tcW w:w="6636" w:type="dxa"/>
            <w:vAlign w:val="center"/>
          </w:tcPr>
          <w:p w14:paraId="3E5E7D21" w14:textId="66058554"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dodes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r>
              <w:rPr>
                <w:rFonts w:ascii="Arial" w:hAnsi="Arial" w:cs="Arial"/>
                <w:sz w:val="22"/>
                <w:szCs w:val="22"/>
              </w:rPr>
              <w:t>ExPhish-Net: An Explainable Attention-Based CNN-BiGRU Framework for Real-Time Phishing URL Detection</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r>
              <w:rPr>
                <w:rFonts w:ascii="Arial" w:hAnsi="Arial" w:cs="Arial"/>
                <w:sz w:val="22"/>
                <w:szCs w:val="22"/>
              </w:rPr>
              <w:t>March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r>
              <w:rPr>
                <w:rFonts w:ascii="Arial" w:hAnsi="Arial" w:cs="Arial"/>
                <w:sz w:val="22"/>
                <w:szCs w:val="22"/>
              </w:rPr>
              <w:t>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14:textId="77777777" w:rsidR="00F96C3F" w:rsidRDefault="00F96C3F" w:rsidP="00F96C3F">
            <w:pPr>
              <w:rPr>
                <w:rFonts w:ascii="Arial" w:hAnsi="Arial" w:cs="Arial"/>
              </w:rPr>
            </w:pPr>
            <w:r>
              <w:rPr>
                <w:rFonts w:ascii="Arial" w:hAnsi="Arial" w:cs="Arial"/>
                <w:sz w:val="22"/>
                <w:szCs w:val="22"/>
              </w:rPr>
              <w:t>Phishing attacks remain one of the most prevalent cybersecurity threats globally, with hundreds of thousands of malicious URLs identified each month. Existing detection systems either lack real-time capability or operate as black-box models that provide no explanation for their decisions, making them difficult to trust and deploy in operational Security Operations Centres (SOCs). This research aims to design, build, and evaluate ExPhish-Net, a lightweight, explainable, attention-based CNN-BiGRU deep learning framework that detects phishing URLs in real-time using only raw lexical analysis of URL strings. The system integrates an internal attention mechanism with post-hoc XAI tools (SHAP and LIME) to provide transparent, actionable explanations. All data used consists of publicly available, anonymised URL datasets (PhishTank and Majestic Million). No human participants are involved, and no personal data is collected or processed. The research raises no significant ethical concerns beyond standard data management practice.</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r>
              <w:rPr>
                <w:rFonts w:ascii="Arial" w:hAnsi="Arial" w:cs="Arial"/>
                <w:sz w:val="22"/>
                <w:szCs w:val="22"/>
              </w:rPr>
              <w:t>Can a lightweight, attention-based CNN-BiGRU deep learning model, trained solely on raw lexical URL features, achieve accurate and real-time phishing URL detection while providing transparent and operationally meaningful explanations through integrated XAI techniques (SHAP and LIME)?</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r>
              <w:rPr>
                <w:rFonts w:ascii="Arial" w:hAnsi="Arial" w:cs="Arial"/>
                <w:sz w:val="22"/>
                <w:szCs w:val="22"/>
              </w:rPr>
              <w:t>Aim 1 (linked to Objectives 1-5): To design, develop, and evaluate ExPhish-Net — a lightweight, interpretable, attention-based CNN-BiGRU deep learning framework that detects phishing URLs accurately and in real-time using only raw lexical URL input, while providing transparent and operationally meaningful explanations to security analysts via SHAP and LIME.</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37171CA" w14:textId="77777777" w:rsidR="00F96C3F" w:rsidRDefault="00F96C3F" w:rsidP="00F96C3F">
            <w:pPr>
              <w:rPr>
                <w:rFonts w:ascii="Arial" w:hAnsi="Arial" w:cs="Arial"/>
              </w:rPr>
            </w:pPr>
            <w:r>
              <w:rPr>
                <w:rFonts w:ascii="Arial" w:hAnsi="Arial" w:cs="Arial"/>
                <w:sz w:val="22"/>
                <w:szCs w:val="22"/>
              </w:rPr>
              <w:t>Objective 1 (Dataset Construction): Within the first month, construct a balanced binary classification dataset of approximately 112,000 URLs by combining verified phishing URLs from the PhishTank database (~56,000) and legitimate URLs from the Majestic Million dataset (~56,000), with a 50/50 class split and stratified 70/15/15 train/validation/test partitioning.</w:t>
            </w:r>
          </w:p>
          <w:p w14:paraId="72272B05" w14:textId="77777777" w:rsidR="00F96C3F" w:rsidRDefault="00F96C3F" w:rsidP="00F96C3F">
            <w:pPr>
              <w:rPr>
                <w:rFonts w:ascii="Arial" w:hAnsi="Arial" w:cs="Arial"/>
                <w:sz w:val="22"/>
                <w:szCs w:val="22"/>
              </w:rPr>
            </w:pPr>
            <w:r>
              <w:rPr>
                <w:rFonts w:ascii="Arial" w:hAnsi="Arial" w:cs="Arial"/>
                <w:sz w:val="22"/>
                <w:szCs w:val="22"/>
              </w:rPr>
              <w:t>Objective 2 (Architecture Design): Design and train the ExPhish-Net hybrid CNN-BiGRU neural network with a self-attention mechanism on character-level tokenised URL input (padded/truncated to 200 characters) to jointly capture local spatial features (e.g. typosquatting patterns) and global sequential context.</w:t>
            </w:r>
          </w:p>
          <w:p w14:paraId="63AA5A72" w14:textId="77777777" w:rsidR="00F96C3F" w:rsidRPr="004C3A0B" w:rsidRDefault="00F96C3F" w:rsidP="00F96C3F">
            <w:pPr>
              <w:rPr>
                <w:rFonts w:ascii="Arial" w:hAnsi="Arial" w:cs="Arial"/>
                <w:sz w:val="22"/>
                <w:szCs w:val="22"/>
              </w:rPr>
            </w:pPr>
            <w:r>
              <w:rPr>
                <w:rFonts w:ascii="Arial" w:hAnsi="Arial" w:cs="Arial"/>
                <w:sz w:val="22"/>
                <w:szCs w:val="22"/>
              </w:rPr>
              <w:t>Objective 3 (Performance Evaluation): Benchmark ExPhish-Net against four baseline models (Random Forest, CNN-only, BiGRU-only, CNN-LSTM) on Accuracy, Precision, Recall, F1-Score, and AUC-ROC, with particular emphasis on minimising false negatives (missed phishing URLs).</w:t>
            </w:r>
          </w:p>
          <w:p w14:paraId="195CBC88" w14:textId="77777777" w:rsidR="00F96C3F" w:rsidRPr="004C3A0B" w:rsidRDefault="00F96C3F" w:rsidP="00F96C3F">
            <w:pPr>
              <w:rPr>
                <w:rFonts w:ascii="Arial" w:hAnsi="Arial" w:cs="Arial"/>
                <w:sz w:val="22"/>
                <w:szCs w:val="22"/>
              </w:rPr>
            </w:pPr>
            <w:r>
              <w:rPr>
                <w:rFonts w:ascii="Arial" w:hAnsi="Arial" w:cs="Arial"/>
                <w:sz w:val="22"/>
                <w:szCs w:val="22"/>
              </w:rPr>
              <w:t xml:space="preserve">Objective 4 (Real-Time Capability): Measure mean per-URL inference latency on standardised hardware to demonstrate that ExPhish-Net is viable for real-time deployment at network security perimeters. Objective 5 (Explainability Integration): Apply SHAP DeepExplainer and LIME on 1,000 randomly selected test URLs to generate character-token importance </w:t>
            </w:r>
            <w:proofErr w:type="gramStart"/>
            <w:r>
              <w:rPr>
                <w:rFonts w:ascii="Arial" w:hAnsi="Arial" w:cs="Arial"/>
                <w:sz w:val="22"/>
                <w:szCs w:val="22"/>
              </w:rPr>
              <w:t>scores, and</w:t>
            </w:r>
            <w:proofErr w:type="gramEnd"/>
            <w:r>
              <w:rPr>
                <w:rFonts w:ascii="Arial" w:hAnsi="Arial" w:cs="Arial"/>
                <w:sz w:val="22"/>
                <w:szCs w:val="22"/>
              </w:rPr>
              <w:t xml:space="preserve"> validate explanation fidelity by comparing identified suspicious tokens against a manually labelled ground-truth set of known phishing URL components.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14:textId="58EF7EB9" w:rsidR="00F96C3F" w:rsidRPr="004C3A0B" w:rsidRDefault="00F96C3F" w:rsidP="00F96C3F">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w:t>
            </w:r>
            <w:r>
              <w:rPr>
                <w:rFonts w:ascii="Arial" w:hAnsi="Arial" w:cs="Arial"/>
                <w:sz w:val="22"/>
                <w:szCs w:val="22"/>
              </w:rPr>
              <w:lastRenderedPageBreak/>
              <w:t xml:space="preserve">You do not need to justify the methods </w:t>
            </w:r>
            <w:proofErr w:type="gramStart"/>
            <w:r>
              <w:rPr>
                <w:rFonts w:ascii="Arial" w:hAnsi="Arial" w:cs="Arial"/>
                <w:sz w:val="22"/>
                <w:szCs w:val="22"/>
              </w:rPr>
              <w:t>here, but</w:t>
            </w:r>
            <w:proofErr w:type="gramEnd"/>
            <w:r>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Pr>
                <w:rFonts w:ascii="Arial" w:hAnsi="Arial" w:cs="Arial"/>
                <w:color w:val="00B050"/>
                <w:sz w:val="22"/>
                <w:szCs w:val="22"/>
              </w:rPr>
              <w:t xml:space="preserve">This should describe how you intend to collect data. It should not include a discussion of the theoretical basis for your data collection methods. Please note, that if you intend to collect any audio/video recordings of interviews with participants then these </w:t>
            </w:r>
            <w:proofErr w:type="gramStart"/>
            <w:r>
              <w:rPr>
                <w:rFonts w:ascii="Arial" w:hAnsi="Arial" w:cs="Arial"/>
                <w:color w:val="00B050"/>
                <w:sz w:val="22"/>
                <w:szCs w:val="22"/>
              </w:rPr>
              <w:t>will be are</w:t>
            </w:r>
            <w:proofErr w:type="gramEnd"/>
            <w:r>
              <w:rPr>
                <w:rFonts w:ascii="Arial" w:hAnsi="Arial" w:cs="Arial"/>
                <w:color w:val="00B050"/>
                <w:sz w:val="22"/>
                <w:szCs w:val="22"/>
              </w:rPr>
              <w:t xml:space="preserve"> classified as Personal Data under GDPR/DPA2018. If you intend to use these then note this in section H.</w:t>
            </w:r>
          </w:p>
          <w:p w14:paraId="0687532F" w14:textId="05BD3D21" w:rsidR="00F96C3F" w:rsidRPr="004C3A0B" w:rsidRDefault="00F96C3F" w:rsidP="00F96C3F">
            <w:pPr>
              <w:rPr>
                <w:rFonts w:ascii="Arial" w:hAnsi="Arial" w:cs="Arial"/>
                <w:sz w:val="22"/>
                <w:szCs w:val="22"/>
              </w:rPr>
            </w:pPr>
            <w:r>
              <w:rPr>
                <w:rFonts w:ascii="Arial" w:hAnsi="Arial" w:cs="Arial"/>
                <w:sz w:val="22"/>
                <w:szCs w:val="22"/>
              </w:rPr>
              <w:t xml:space="preserve">This research does not involve any human participants, interviews, questionnaires, or primary data collection from individuals. All data is sourced from two publicly available, pre-labelled URL datasets: (1) </w:t>
            </w:r>
            <w:proofErr w:type="spellStart"/>
            <w:r>
              <w:rPr>
                <w:rFonts w:ascii="Arial" w:hAnsi="Arial" w:cs="Arial"/>
                <w:sz w:val="22"/>
                <w:szCs w:val="22"/>
              </w:rPr>
              <w:t>PhishTank</w:t>
            </w:r>
            <w:proofErr w:type="spellEnd"/>
            <w:r w:rsidR="009C005B">
              <w:rPr>
                <w:rFonts w:ascii="Arial" w:hAnsi="Arial" w:cs="Arial"/>
                <w:sz w:val="22"/>
                <w:szCs w:val="22"/>
              </w:rPr>
              <w:t xml:space="preserve">: </w:t>
            </w:r>
            <w:r>
              <w:rPr>
                <w:rFonts w:ascii="Arial" w:hAnsi="Arial" w:cs="Arial"/>
                <w:sz w:val="22"/>
                <w:szCs w:val="22"/>
              </w:rPr>
              <w:t xml:space="preserve"> a community-verified phishing URL repository (~56,000 phishing URLs), and (2) Majestic Million</w:t>
            </w:r>
            <w:r w:rsidR="009C005B">
              <w:rPr>
                <w:rFonts w:ascii="Arial" w:hAnsi="Arial" w:cs="Arial"/>
                <w:sz w:val="22"/>
                <w:szCs w:val="22"/>
              </w:rPr>
              <w:t xml:space="preserve">: </w:t>
            </w:r>
            <w:r>
              <w:rPr>
                <w:rFonts w:ascii="Arial" w:hAnsi="Arial" w:cs="Arial"/>
                <w:sz w:val="22"/>
                <w:szCs w:val="22"/>
              </w:rPr>
              <w:t>a publicly available list of top legitimate domains (~56,000 legitimate URLs). These datasets contain no personal or identifiable information. URLs are not considered personal data under GDPR or DPA2018. Datasets will be downloaded from their official sources, stored locally on a password-protected personal laptop, and backed up to University Office 365 cloud storage. Data will be loaded in Python 3.10 using Pandas and NumPy. Character-level tokenisation will be applied to each URL string (integer encoding, max length 200 characters) to produce input feature matrices for deep learning model training. The ExPhish-Net CNN-BiGRU architecture will be trained and evaluated using TensorFlow/Keras or PyTorch. SHAP DeepExplainer and LIME will be applied post-hoc for explainability analysis. Model training requiring GPU compute will use Google Colab Pro or AWS EC2. All experimentation is conducted in Jupyter Notebooks. No live malicious infrastructure is accessed or tested; the research operates solely on pre-extracted URL string data.</w:t>
            </w:r>
          </w:p>
          <w:p w14:paraId="108EF2F7" w14:textId="77777777" w:rsidR="00F96C3F" w:rsidRPr="004C3A0B" w:rsidRDefault="00F96C3F" w:rsidP="00F96C3F">
            <w:pPr>
              <w:rPr>
                <w:rFonts w:ascii="Arial" w:hAnsi="Arial" w:cs="Arial"/>
                <w:b/>
                <w:sz w:val="22"/>
                <w:szCs w:val="22"/>
              </w:rPr>
            </w:pPr>
            <w:r>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Pr>
          <w:rFonts w:ascii="Arial" w:hAnsi="Arial" w:cs="Arial"/>
          <w:bCs/>
          <w:iCs/>
          <w:sz w:val="22"/>
          <w:szCs w:val="22"/>
        </w:rPr>
        <w:t xml:space="preserve">If you have ticked NO to every </w:t>
      </w:r>
      <w:proofErr w:type="gramStart"/>
      <w:r>
        <w:rPr>
          <w:rFonts w:ascii="Arial" w:hAnsi="Arial" w:cs="Arial"/>
          <w:bCs/>
          <w:iCs/>
          <w:sz w:val="22"/>
          <w:szCs w:val="22"/>
        </w:rPr>
        <w:t>question</w:t>
      </w:r>
      <w:proofErr w:type="gramEnd"/>
      <w:r>
        <w:rPr>
          <w:rFonts w:ascii="Arial" w:hAnsi="Arial" w:cs="Arial"/>
          <w:bCs/>
          <w:iCs/>
          <w:sz w:val="22"/>
          <w:szCs w:val="22"/>
        </w:rPr>
        <w:t xml:space="preserve"> then the research activity is (ethically) low risk and you may skip section E and continue to section F.</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Pr>
                <w:rFonts w:ascii="Arial" w:hAnsi="Arial" w:cs="Arial"/>
                <w:color w:val="00B050"/>
                <w:sz w:val="22"/>
              </w:rPr>
              <w:t xml:space="preserve">You should be able to tick YES for </w:t>
            </w:r>
            <w:proofErr w:type="gramStart"/>
            <w:r>
              <w:rPr>
                <w:rFonts w:ascii="Arial" w:hAnsi="Arial" w:cs="Arial"/>
                <w:color w:val="00B050"/>
                <w:sz w:val="22"/>
              </w:rPr>
              <w:t>all of</w:t>
            </w:r>
            <w:proofErr w:type="gramEnd"/>
            <w:r>
              <w:rPr>
                <w:rFonts w:ascii="Arial" w:hAnsi="Arial" w:cs="Arial"/>
                <w:color w:val="00B050"/>
                <w:sz w:val="22"/>
              </w:rPr>
              <w:t xml:space="preserve"> these questions. If not, then explain why not 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Pr>
                <w:rFonts w:ascii="Arial" w:hAnsi="Arial" w:cs="Arial"/>
                <w:color w:val="00B050"/>
                <w:sz w:val="22"/>
              </w:rPr>
              <w:t xml:space="preserve">You should be able to tick NO for most of these questions. For any cases that you have ticked YES then provide details in this box. If 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 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Pr>
          <w:rFonts w:ascii="Arial" w:hAnsi="Arial" w:cs="Arial"/>
          <w:b/>
          <w:sz w:val="22"/>
          <w:szCs w:val="22"/>
        </w:rPr>
        <w:t>SECTION F: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Pr>
                <w:rFonts w:ascii="Arial" w:hAnsi="Arial" w:cs="Arial"/>
                <w:sz w:val="22"/>
                <w:szCs w:val="22"/>
              </w:rPr>
              <w:t xml:space="preserve">For example: sector-specific health &amp; safety, emotional distress, financial disclosure, physical harm, transfer of personal data, sensitive organisational information. 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77BB44A6" w14:textId="77777777" w:rsidR="00003E64" w:rsidRPr="004C3A0B" w:rsidRDefault="00003E64" w:rsidP="003257BD">
            <w:pPr>
              <w:rPr>
                <w:rFonts w:ascii="Arial" w:hAnsi="Arial" w:cs="Arial"/>
                <w:sz w:val="22"/>
                <w:szCs w:val="22"/>
              </w:rPr>
            </w:pPr>
            <w:r>
              <w:rPr>
                <w:rFonts w:ascii="Arial" w:hAnsi="Arial" w:cs="Arial"/>
                <w:sz w:val="22"/>
                <w:szCs w:val="22"/>
              </w:rPr>
              <w:t>N/A — This research does not involve any human participants. All data is sourced from publicly available, anonymised URL datasets (PhishTank and Majestic Million). No human subjects are recruited, contacted, observed, or involved in any capacity.</w:t>
            </w:r>
          </w:p>
          <w:p w14:paraId="6645975A"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w:t>
            </w:r>
            <w:r>
              <w:rPr>
                <w:rFonts w:ascii="Arial" w:hAnsi="Arial" w:cs="Arial"/>
                <w:color w:val="161616"/>
                <w:sz w:val="22"/>
                <w:szCs w:val="22"/>
                <w:lang w:val="en-US" w:eastAsia="en-GB"/>
              </w:rPr>
              <w:lastRenderedPageBreak/>
              <w:t xml:space="preserve">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Pr>
                <w:rFonts w:ascii="Arial" w:hAnsi="Arial" w:cs="Arial"/>
                <w:b/>
                <w:sz w:val="22"/>
                <w:szCs w:val="22"/>
              </w:rPr>
              <w:t>Risks to the investigator</w:t>
            </w:r>
          </w:p>
          <w:p w14:paraId="7606F765" w14:textId="17308251" w:rsidR="00003E64" w:rsidRPr="004C3A0B" w:rsidRDefault="00003E64" w:rsidP="006F307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r>
              <w:rPr>
                <w:rFonts w:ascii="Arial" w:hAnsi="Arial" w:cs="Arial"/>
                <w:sz w:val="22"/>
                <w:szCs w:val="22"/>
              </w:rPr>
              <w:t>Risk: Extended screen time and sustained computer use during model training and analysis may cause eye strain or musculoskeletal discomfort. Handling URL data associated with malicious infrastructure carries a very low risk if URLs were ever accidentally accessed rather than treated as strings.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14:textId="77777777" w:rsidR="00003E64" w:rsidRDefault="00003E64" w:rsidP="003257BD">
            <w:pPr>
              <w:rPr>
                <w:rFonts w:ascii="Arial" w:hAnsi="Arial" w:cs="Arial"/>
                <w:sz w:val="22"/>
                <w:szCs w:val="22"/>
              </w:rPr>
            </w:pPr>
            <w:r>
              <w:rPr>
                <w:rFonts w:ascii="Arial" w:hAnsi="Arial" w:cs="Arial"/>
                <w:sz w:val="22"/>
                <w:szCs w:val="22"/>
              </w:rPr>
              <w:t>Regular breaks will be taken during extended computing sessions to reduce eye strain and musculoskeletal risk. All malicious URLs are treated solely as string data within Python; they are never accessed, clicked, or resolved in a browser. No live phishing infrastructure is contacted at any point.</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r>
              <w:rPr>
                <w:rFonts w:ascii="Arial" w:hAnsi="Arial" w:cs="Arial"/>
                <w:sz w:val="22"/>
                <w:szCs w:val="22"/>
              </w:rPr>
              <w:t>Risk: Low reputational risk if phishing URL datasets are mishandled or research outputs are misrepresented as attack tools. Risk of data breach if research files are stored on insecure systems. Risk of adverse publicity if the research is perceived as facilitating phishing rather than defending against it.</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 risks</w:t>
            </w:r>
          </w:p>
          <w:p w14:paraId="3AA753E9" w14:textId="3150C185" w:rsidR="00003E64" w:rsidRPr="004C3A0B" w:rsidRDefault="00003E64" w:rsidP="0094056C">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14:textId="77777777" w:rsidR="00003E64" w:rsidRDefault="00003E64" w:rsidP="003257BD">
            <w:pPr>
              <w:rPr>
                <w:rFonts w:ascii="Arial" w:hAnsi="Arial" w:cs="Arial"/>
                <w:sz w:val="22"/>
                <w:szCs w:val="22"/>
              </w:rPr>
            </w:pPr>
            <w:r>
              <w:rPr>
                <w:rFonts w:ascii="Arial" w:hAnsi="Arial" w:cs="Arial"/>
                <w:sz w:val="22"/>
                <w:szCs w:val="22"/>
              </w:rPr>
              <w:t>Minimal environmental risk: standard laptop electricity consumption during model training. Cloud GPU compute (Google Colab Pro or AWS EC2) carries a small carbon footprint from data centre energy use. No physical materials, chemicals, or laboratory resources are involved.</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14:textId="77777777" w:rsidR="00003E64" w:rsidRDefault="00003E64" w:rsidP="003257BD">
            <w:pPr>
              <w:rPr>
                <w:rFonts w:ascii="Arial" w:hAnsi="Arial" w:cs="Arial"/>
                <w:sz w:val="22"/>
                <w:szCs w:val="22"/>
              </w:rPr>
            </w:pPr>
            <w:r>
              <w:rPr>
                <w:rFonts w:ascii="Arial" w:hAnsi="Arial" w:cs="Arial"/>
                <w:sz w:val="22"/>
                <w:szCs w:val="22"/>
              </w:rPr>
              <w:t>Computationally intensive training tasks will be batched efficiently to minimise cloud GPU usage. Local hardware will be used wherever feasible. Power-saving settings will be enabled on the laptop during non-intensive sessions. Cloud compute will only be used when local hardware is insufficient.</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Pr>
                <w:rFonts w:ascii="Arial" w:hAnsi="Arial" w:cs="Arial"/>
                <w:color w:val="00B050"/>
                <w:sz w:val="22"/>
              </w:rPr>
              <w:t xml:space="preserve">If you are using an online questionnaire, then you should have a screen before the questions start </w:t>
            </w:r>
            <w:proofErr w:type="gramStart"/>
            <w:r>
              <w:rPr>
                <w:rFonts w:ascii="Arial" w:hAnsi="Arial" w:cs="Arial"/>
                <w:color w:val="00B050"/>
                <w:sz w:val="22"/>
              </w:rPr>
              <w:t>that acts</w:t>
            </w:r>
            <w:proofErr w:type="gramEnd"/>
            <w:r>
              <w:rPr>
                <w:rFonts w:ascii="Arial" w:hAnsi="Arial" w:cs="Arial"/>
                <w:color w:val="00B050"/>
                <w:sz w:val="22"/>
              </w:rPr>
              <w:t xml:space="preserve">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Pr>
                <w:rFonts w:ascii="Arial" w:hAnsi="Arial" w:cs="Arial"/>
                <w:color w:val="00B050"/>
                <w:sz w:val="22"/>
              </w:rPr>
              <w:t xml:space="preserve">This includes audio/video data of </w:t>
            </w:r>
            <w:proofErr w:type="gramStart"/>
            <w:r>
              <w:rPr>
                <w:rFonts w:ascii="Arial" w:hAnsi="Arial" w:cs="Arial"/>
                <w:color w:val="00B050"/>
                <w:sz w:val="22"/>
              </w:rPr>
              <w:t>participants, but</w:t>
            </w:r>
            <w:proofErr w:type="gramEnd"/>
            <w:r>
              <w:rPr>
                <w:rFonts w:ascii="Arial" w:hAnsi="Arial" w:cs="Arial"/>
                <w:color w:val="00B050"/>
                <w:sz w:val="22"/>
              </w:rPr>
              <w:t xml:space="preserve"> can also include IP addresses and usernames. Names, addresses and emails also count,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w:t>
            </w:r>
            <w:proofErr w:type="gramStart"/>
            <w:r>
              <w:rPr>
                <w:rFonts w:ascii="Arial" w:hAnsi="Arial" w:cs="Arial"/>
                <w:i/>
                <w:color w:val="7030A0"/>
                <w:sz w:val="22"/>
                <w:szCs w:val="22"/>
                <w:lang w:eastAsia="en-GB"/>
              </w:rPr>
              <w:t>confidentiality</w:t>
            </w:r>
            <w:proofErr w:type="gramEnd"/>
            <w:r>
              <w:rPr>
                <w:rFonts w:ascii="Arial" w:hAnsi="Arial" w:cs="Arial"/>
                <w:i/>
                <w:color w:val="7030A0"/>
                <w:sz w:val="22"/>
                <w:szCs w:val="22"/>
                <w:lang w:eastAsia="en-GB"/>
              </w:rPr>
              <w:t xml:space="preserve"> and this list will be kept securely in the password protected folder. </w:t>
            </w:r>
          </w:p>
          <w:p w14:paraId="1F64FDAF" w14:textId="323851E7" w:rsidR="004D0161" w:rsidRDefault="004D0161" w:rsidP="003257BD">
            <w:pPr>
              <w:rPr>
                <w:rFonts w:ascii="Arial" w:hAnsi="Arial" w:cs="Arial"/>
                <w:sz w:val="22"/>
                <w:szCs w:val="22"/>
              </w:rPr>
            </w:pPr>
            <w:r>
              <w:rPr>
                <w:rFonts w:ascii="Arial" w:hAnsi="Arial" w:cs="Arial"/>
                <w:sz w:val="22"/>
                <w:szCs w:val="22"/>
              </w:rPr>
              <w:t>All research data (downloaded URL datasets, preprocessed feature matrices, trained model weights, Jupyter notebooks, and draft reports) will be stored in password-protected University Office 365 cloud storage and on a password-protected personal laptop. No personal or identifiable data is processed at any stage. Any USB drives used for data transfer will be password-protected and reformatted upon project completion. Access is restricted to the principal researcher and supervisor only. All data management complies with UWTSD data management policy and GDPR/DPA2018. Data will be retained until the final dissertation is submitted and then securely deleted.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w:t>
            </w:r>
            <w:r>
              <w:rPr>
                <w:rFonts w:ascii="Arial" w:hAnsi="Arial" w:cs="Arial"/>
                <w:i/>
                <w:color w:val="7030A0"/>
                <w:sz w:val="22"/>
                <w:szCs w:val="22"/>
                <w:lang w:eastAsia="en-GB"/>
              </w:rPr>
              <w:lastRenderedPageBreak/>
              <w:t xml:space="preserve">protected. All data transfers will be </w:t>
            </w:r>
            <w:proofErr w:type="gramStart"/>
            <w:r>
              <w:rPr>
                <w:rFonts w:ascii="Arial" w:hAnsi="Arial" w:cs="Arial"/>
                <w:i/>
                <w:color w:val="7030A0"/>
                <w:sz w:val="22"/>
                <w:szCs w:val="22"/>
                <w:lang w:eastAsia="en-GB"/>
              </w:rPr>
              <w:t>encrypted</w:t>
            </w:r>
            <w:proofErr w:type="gramEnd"/>
            <w:r>
              <w:rPr>
                <w:rFonts w:ascii="Arial" w:hAnsi="Arial" w:cs="Arial"/>
                <w:i/>
                <w:color w:val="7030A0"/>
                <w:sz w:val="22"/>
                <w:szCs w:val="22"/>
                <w:lang w:eastAsia="en-GB"/>
              </w:rPr>
              <w:t xml:space="preserve"> and password protected.  All participants will be given a unique identifier to ensure </w:t>
            </w:r>
            <w:proofErr w:type="gramStart"/>
            <w:r>
              <w:rPr>
                <w:rFonts w:ascii="Arial" w:hAnsi="Arial" w:cs="Arial"/>
                <w:i/>
                <w:color w:val="7030A0"/>
                <w:sz w:val="22"/>
                <w:szCs w:val="22"/>
                <w:lang w:eastAsia="en-GB"/>
              </w:rPr>
              <w:t>confidentiality</w:t>
            </w:r>
            <w:proofErr w:type="gramEnd"/>
            <w:r>
              <w:rPr>
                <w:rFonts w:ascii="Arial" w:hAnsi="Arial" w:cs="Arial"/>
                <w:i/>
                <w:color w:val="7030A0"/>
                <w:sz w:val="22"/>
                <w:szCs w:val="22"/>
                <w:lang w:eastAsia="en-GB"/>
              </w:rPr>
              <w:t xml:space="preserve">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6C6BD37B" w14:textId="77777777" w:rsidR="004D0161" w:rsidRPr="00354F34" w:rsidRDefault="004D0161" w:rsidP="003257BD">
            <w:pPr>
              <w:rPr>
                <w:rFonts w:ascii="Arial" w:hAnsi="Arial" w:cs="Arial"/>
                <w:sz w:val="22"/>
                <w:szCs w:val="22"/>
              </w:rPr>
            </w:pPr>
            <w:r>
              <w:rPr>
                <w:rFonts w:ascii="Arial" w:hAnsi="Arial" w:cs="Arial"/>
                <w:sz w:val="22"/>
                <w:szCs w:val="22"/>
              </w:rPr>
              <w:t>The principal researcher (student) and the supervising academic. Potentially the second marker or external examiner for assessment purposes only.</w:t>
            </w:r>
          </w:p>
          <w:p w14:paraId="7F9CFD02"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36FF8269" w14:textId="77777777" w:rsidR="004D0161" w:rsidRPr="00354F34" w:rsidRDefault="004D0161" w:rsidP="003257BD">
            <w:pPr>
              <w:rPr>
                <w:rFonts w:ascii="Arial" w:hAnsi="Arial" w:cs="Arial"/>
                <w:sz w:val="22"/>
                <w:szCs w:val="22"/>
              </w:rPr>
            </w:pPr>
            <w:r>
              <w:rPr>
                <w:rFonts w:ascii="Arial" w:hAnsi="Arial" w:cs="Arial"/>
                <w:sz w:val="22"/>
                <w:szCs w:val="22"/>
              </w:rPr>
              <w:t>The principal researcher (student) is the sole data custodian and is responsible for all data management, storage, and security throughout the duration of the project.</w:t>
            </w:r>
          </w:p>
          <w:p w14:paraId="033AC69F"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7B6961">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7B6961">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Content>
              <w:p w14:paraId="09AB06AD" w14:textId="657C7C22"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Pr>
                <w:rFonts w:ascii="Arial" w:hAnsi="Arial" w:cs="Arial"/>
                <w:color w:val="00B050"/>
                <w:sz w:val="22"/>
                <w:szCs w:val="22"/>
              </w:rPr>
              <w:t>Copilot</w:t>
            </w:r>
            <w:proofErr w:type="gramEnd"/>
            <w:r>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2586B6E4" w14:textId="77777777" w:rsidR="001B41AD" w:rsidRPr="003C7DED" w:rsidRDefault="001B41AD" w:rsidP="0000343C">
            <w:pPr>
              <w:rPr>
                <w:rFonts w:ascii="Arial" w:hAnsi="Arial" w:cs="Arial"/>
                <w:sz w:val="22"/>
                <w:szCs w:val="22"/>
              </w:rPr>
            </w:pPr>
            <w:r>
              <w:rPr>
                <w:rFonts w:ascii="Arial" w:hAnsi="Arial" w:cs="Arial"/>
                <w:sz w:val="22"/>
                <w:szCs w:val="22"/>
              </w:rPr>
              <w:t>The AI tools used in this research are deep learning libraries (TensorFlow/Keras or PyTorch, scikit-learn) and post-hoc explainability libraries (SHAP, LIME), used programmatically within Python for model training, evaluation, and interpretation. These are open-source libraries installed and run locally; they do not transmit data externally. Google Colab Pro (if used for GPU compute) is a Google product based in the USA; data stored there is subject to Google privacy policy. Only non-personal, publicly available URL string features will be uploaded if this service is used. SHAP and LIME are used to analyse and explain model output (O8 Analyse data, O10 Classify data), which is central to the research aim of building an explainable detection system. Capturing and pre-processing raw URL strings from public datasets constitutes data capture (O1). No generative AI tools (e.g. ChatGPT, GitHub Copilot) are used to generate text, graphics, code, or data in this research. All AI usage complies with current UWTSD guidance on the use of AI in academic research. Google Colab free tier may be used if Pro is unavailable (O11 Free version). The AI tools are integral to the research, as the study objective is to build, compare, and explain the outputs of these models.</w:t>
            </w:r>
          </w:p>
          <w:p w14:paraId="3C23193A" w14:textId="77777777" w:rsidR="001B41AD" w:rsidRPr="003C7DED" w:rsidRDefault="001B41AD" w:rsidP="0000343C">
            <w:pPr>
              <w:rPr>
                <w:rFonts w:ascii="Arial" w:hAnsi="Arial" w:cs="Arial"/>
                <w:sz w:val="22"/>
                <w:szCs w:val="22"/>
              </w:rPr>
            </w:pPr>
          </w:p>
          <w:p w14:paraId="298B9C17" w14:textId="77777777" w:rsidR="001B41AD" w:rsidRPr="003C7DED" w:rsidRDefault="001B41AD" w:rsidP="0000343C">
            <w:pPr>
              <w:rPr>
                <w:rFonts w:ascii="Arial" w:hAnsi="Arial" w:cs="Arial"/>
                <w:sz w:val="22"/>
                <w:szCs w:val="22"/>
              </w:rPr>
            </w:pPr>
          </w:p>
          <w:p w14:paraId="6BEFE5E9" w14:textId="77777777" w:rsidR="001B41AD" w:rsidRPr="003C7DED" w:rsidRDefault="001B41AD" w:rsidP="0000343C">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93F5040" w14:textId="77777777" w:rsidR="001B41AD" w:rsidRDefault="001B41AD" w:rsidP="00354F34">
      <w:pPr>
        <w:autoSpaceDE w:val="0"/>
        <w:autoSpaceDN w:val="0"/>
        <w:adjustRightInd w:val="0"/>
        <w:spacing w:after="240"/>
        <w:jc w:val="both"/>
        <w:rPr>
          <w:rFonts w:ascii="Arial" w:hAnsi="Arial" w:cs="Arial"/>
          <w:b/>
          <w:sz w:val="22"/>
          <w:szCs w:val="22"/>
        </w:rPr>
      </w:pPr>
    </w:p>
    <w:p w14:paraId="4A5E0306" w14:textId="77777777" w:rsidR="001B41AD" w:rsidRDefault="001B41AD" w:rsidP="00354F34">
      <w:pPr>
        <w:autoSpaceDE w:val="0"/>
        <w:autoSpaceDN w:val="0"/>
        <w:adjustRightInd w:val="0"/>
        <w:spacing w:after="240"/>
        <w:jc w:val="both"/>
        <w:rPr>
          <w:rFonts w:ascii="Arial" w:hAnsi="Arial" w:cs="Arial"/>
          <w:b/>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1"/>
        <w:gridCol w:w="4956"/>
        <w:gridCol w:w="2137"/>
      </w:tblGrid>
      <w:tr w:rsidR="000522B7"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0522B7"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17337B7" w14:textId="23648763" w:rsidR="004D0161" w:rsidRPr="000522B7" w:rsidRDefault="000522B7" w:rsidP="00694EA8">
            <w:pPr>
              <w:spacing w:before="100" w:beforeAutospacing="1" w:after="100" w:afterAutospacing="1"/>
              <w:rPr>
                <w:rFonts w:ascii="Arial" w:hAnsi="Arial" w:cs="Arial"/>
                <w:sz w:val="22"/>
                <w:szCs w:val="22"/>
                <w:lang w:val="en-US" w:bidi="bn-IN"/>
              </w:rPr>
            </w:pPr>
            <w:r>
              <w:rPr>
                <w:rFonts w:ascii="Arial" w:hAnsi="Arial" w:cs="Arial"/>
                <w:noProof/>
                <w:sz w:val="22"/>
                <w:szCs w:val="22"/>
                <w:lang w:val="en-US" w:bidi="bn-IN"/>
              </w:rPr>
              <w:drawing>
                <wp:inline distT="0" distB="0" distL="0" distR="0" wp14:anchorId="62AAA3B9" wp14:editId="2084A1B4">
                  <wp:extent cx="2084522" cy="504566"/>
                  <wp:effectExtent l="0" t="0" r="0" b="0"/>
                  <wp:docPr id="1137962435"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962435" name="Picture 1" descr="A black background with a black square&#10;&#10;Description automatically generated with medium confidence"/>
                          <pic:cNvPicPr/>
                        </pic:nvPicPr>
                        <pic:blipFill>
                          <a:blip r:embed="rId14"/>
                          <a:stretch>
                            <a:fillRect/>
                          </a:stretch>
                        </pic:blipFill>
                        <pic:spPr>
                          <a:xfrm>
                            <a:off x="0" y="0"/>
                            <a:ext cx="2132948" cy="516288"/>
                          </a:xfrm>
                          <a:prstGeom prst="rect">
                            <a:avLst/>
                          </a:prstGeom>
                        </pic:spPr>
                      </pic:pic>
                    </a:graphicData>
                  </a:graphic>
                </wp:inline>
              </w:drawing>
            </w:r>
          </w:p>
        </w:tc>
        <w:tc>
          <w:tcPr>
            <w:tcW w:w="2139" w:type="dxa"/>
            <w:vAlign w:val="center"/>
          </w:tcPr>
          <w:p w14:paraId="7C2D2CC9" w14:textId="7DB2A60E" w:rsidR="004D0161" w:rsidRDefault="004D0161" w:rsidP="00694EA8">
            <w:pPr>
              <w:spacing w:before="100" w:beforeAutospacing="1" w:after="100" w:afterAutospacing="1"/>
              <w:rPr>
                <w:rFonts w:ascii="Arial" w:hAnsi="Arial" w:cs="Arial"/>
                <w:b/>
                <w:bCs/>
                <w:sz w:val="22"/>
                <w:szCs w:val="22"/>
              </w:rPr>
            </w:pPr>
            <w:r>
              <w:rPr>
                <w:rFonts w:ascii="Arial" w:hAnsi="Arial" w:cs="Arial"/>
                <w:b/>
                <w:bCs/>
                <w:sz w:val="22"/>
                <w:szCs w:val="22"/>
              </w:rPr>
              <w:t>Date:</w:t>
            </w:r>
            <w:r w:rsidR="000522B7">
              <w:rPr>
                <w:rFonts w:ascii="Arial" w:hAnsi="Arial" w:cs="Arial"/>
                <w:b/>
                <w:bCs/>
                <w:sz w:val="22"/>
                <w:szCs w:val="22"/>
              </w:rPr>
              <w:t>0</w:t>
            </w:r>
            <w:r w:rsidR="006E4F67">
              <w:rPr>
                <w:rFonts w:ascii="Arial" w:hAnsi="Arial" w:cs="Arial"/>
                <w:b/>
                <w:bCs/>
                <w:sz w:val="22"/>
                <w:szCs w:val="22"/>
              </w:rPr>
              <w:t>8</w:t>
            </w:r>
            <w:r w:rsidR="000522B7">
              <w:rPr>
                <w:rFonts w:ascii="Arial" w:hAnsi="Arial" w:cs="Arial"/>
                <w:b/>
                <w:bCs/>
                <w:sz w:val="22"/>
                <w:szCs w:val="22"/>
              </w:rPr>
              <w:t>-05-2026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0522B7"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Pr>
                <w:rFonts w:ascii="Arial" w:hAnsi="Arial" w:cs="Arial"/>
              </w:rPr>
              <w:t>Supervisor:</w:t>
            </w:r>
          </w:p>
        </w:tc>
        <w:tc>
          <w:tcPr>
            <w:tcW w:w="4959" w:type="dxa"/>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Pr>
                <w:rFonts w:ascii="Arial" w:hAnsi="Arial" w:cs="Arial"/>
                <w:b/>
                <w:bCs/>
              </w:rPr>
              <w:t>Date:</w:t>
            </w:r>
          </w:p>
        </w:tc>
      </w:tr>
      <w:tr w:rsidR="000522B7"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D01D1C" w14:textId="77777777" w:rsidR="00C613A5" w:rsidRDefault="00C613A5" w:rsidP="00390251">
      <w:r>
        <w:separator/>
      </w:r>
    </w:p>
    <w:p w14:paraId="44F989EC" w14:textId="77777777" w:rsidR="00C613A5" w:rsidRDefault="00C613A5"/>
  </w:endnote>
  <w:endnote w:type="continuationSeparator" w:id="0">
    <w:p w14:paraId="3C558B69" w14:textId="77777777" w:rsidR="00C613A5" w:rsidRDefault="00C613A5" w:rsidP="00390251">
      <w:r>
        <w:continuationSeparator/>
      </w:r>
    </w:p>
    <w:p w14:paraId="38D21EA6" w14:textId="77777777" w:rsidR="00C613A5" w:rsidRDefault="00C613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2C9450" w14:textId="77777777" w:rsidR="00C613A5" w:rsidRDefault="00C613A5" w:rsidP="00390251">
      <w:r>
        <w:separator/>
      </w:r>
    </w:p>
    <w:p w14:paraId="7B42B2BA" w14:textId="77777777" w:rsidR="00C613A5" w:rsidRDefault="00C613A5"/>
  </w:footnote>
  <w:footnote w:type="continuationSeparator" w:id="0">
    <w:p w14:paraId="5A4D4079" w14:textId="77777777" w:rsidR="00C613A5" w:rsidRDefault="00C613A5" w:rsidP="00390251">
      <w:r>
        <w:continuationSeparator/>
      </w:r>
    </w:p>
    <w:p w14:paraId="60AF5A97" w14:textId="77777777" w:rsidR="00C613A5" w:rsidRDefault="00C613A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39E7FAB3" w:rsidR="003D0884" w:rsidRPr="00965F27" w:rsidRDefault="003D0884" w:rsidP="007B696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7B6961">
      <w:rPr>
        <w:rFonts w:ascii="Arial" w:hAnsi="Arial" w:cs="Arial"/>
        <w:b/>
        <w:bCs/>
        <w:sz w:val="22"/>
        <w:szCs w:val="22"/>
      </w:rPr>
      <w:t>MSC STEM</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22B7"/>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B9C"/>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3530D"/>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6E1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3DC0"/>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4F67"/>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961"/>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005B"/>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3A5"/>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4480</Words>
  <Characters>25539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29960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Md Imran Biswas (2436882)</cp:lastModifiedBy>
  <cp:revision>2</cp:revision>
  <cp:lastPrinted>2016-10-24T12:21:00Z</cp:lastPrinted>
  <dcterms:created xsi:type="dcterms:W3CDTF">2026-05-08T02:36:00Z</dcterms:created>
  <dcterms:modified xsi:type="dcterms:W3CDTF">2026-05-08T02:36:00Z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