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636D9A" w14:paraId="0A575E08" w14:textId="77777777">
      <w:pPr>
        <w:pStyle w:val="Normal1"/>
        <w:jc w:val="center"/>
        <w:rPr>
          <w:rFonts w:eastAsia="Times New Roman" w:cs="Times New Roman"/>
          <w:b/>
          <w:sz w:val="32"/>
          <w:szCs w:val="32"/>
        </w:rPr>
      </w:pPr>
      <w:r>
        <w:rPr>
          <w:rFonts w:eastAsia="Times New Roman" w:cs="Times New Roman"/>
          <w:b/>
          <w:sz w:val="32"/>
          <w:szCs w:val="32"/>
        </w:rPr>
        <w:t xml:space="preserve">Marketing Fundamentals </w:t>
      </w:r>
    </w:p>
    <w:p w:rsidR="00636D9A" w:rsidRPr="00D86ACE" w14:paraId="54BF0197" w14:textId="77777777">
      <w:pPr>
        <w:pStyle w:val="Normal1"/>
        <w:jc w:val="center"/>
        <w:rPr>
          <w:rFonts w:eastAsia="Times New Roman" w:cs="Times New Roman"/>
          <w:bCs/>
          <w:szCs w:val="24"/>
        </w:rPr>
      </w:pPr>
      <w:r w:rsidRPr="00D86ACE">
        <w:rPr>
          <w:rFonts w:eastAsia="Times New Roman" w:cs="Times New Roman"/>
          <w:bCs/>
          <w:szCs w:val="24"/>
        </w:rPr>
        <w:t>Student Name:</w:t>
      </w:r>
    </w:p>
    <w:p w:rsidR="00636D9A" w:rsidRPr="00D86ACE" w14:paraId="3EACEFE6" w14:textId="77777777">
      <w:pPr>
        <w:pStyle w:val="Normal1"/>
        <w:jc w:val="center"/>
        <w:rPr>
          <w:rFonts w:eastAsia="Times New Roman" w:cs="Times New Roman"/>
          <w:bCs/>
          <w:szCs w:val="24"/>
        </w:rPr>
      </w:pPr>
      <w:r w:rsidRPr="00D86ACE">
        <w:rPr>
          <w:rFonts w:eastAsia="Times New Roman" w:cs="Times New Roman"/>
          <w:bCs/>
          <w:szCs w:val="24"/>
        </w:rPr>
        <w:t>Student ID:</w:t>
      </w:r>
    </w:p>
    <w:p w:rsidR="00636D9A" w:rsidRPr="00D86ACE" w14:paraId="0B7C0F91" w14:textId="7FDDFCCB">
      <w:pPr>
        <w:pStyle w:val="Normal1"/>
        <w:jc w:val="center"/>
        <w:rPr>
          <w:rFonts w:eastAsia="Times New Roman" w:cs="Times New Roman"/>
          <w:bCs/>
          <w:szCs w:val="24"/>
        </w:rPr>
      </w:pPr>
      <w:r w:rsidRPr="00D86ACE">
        <w:rPr>
          <w:rFonts w:eastAsia="Times New Roman" w:cs="Times New Roman"/>
          <w:bCs/>
          <w:szCs w:val="24"/>
        </w:rPr>
        <w:t xml:space="preserve">Module Title: </w:t>
      </w:r>
    </w:p>
    <w:p w:rsidR="00D86ACE" w:rsidRPr="00D86ACE" w14:paraId="0237E599" w14:textId="384EA821">
      <w:pPr>
        <w:pStyle w:val="Normal1"/>
        <w:jc w:val="center"/>
        <w:rPr>
          <w:rFonts w:eastAsia="Times New Roman" w:cs="Times New Roman"/>
          <w:bCs/>
          <w:szCs w:val="24"/>
        </w:rPr>
      </w:pPr>
      <w:r w:rsidRPr="00D86ACE">
        <w:rPr>
          <w:rFonts w:eastAsia="Times New Roman" w:cs="Times New Roman"/>
          <w:bCs/>
          <w:szCs w:val="24"/>
        </w:rPr>
        <w:t xml:space="preserve">Submission Date: </w:t>
      </w:r>
    </w:p>
    <w:p w:rsidR="00636D9A" w14:paraId="316DEC51" w14:textId="77777777">
      <w:pPr>
        <w:pStyle w:val="Normal1"/>
        <w:jc w:val="center"/>
        <w:rPr>
          <w:rFonts w:eastAsia="Times New Roman" w:cs="Times New Roman"/>
          <w:b/>
          <w:szCs w:val="24"/>
        </w:rPr>
      </w:pPr>
    </w:p>
    <w:p w:rsidR="00207920" w14:paraId="610FB392" w14:textId="77777777">
      <w:pPr>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highlight w:val="yellow"/>
        </w:rPr>
        <w:br w:type="page"/>
      </w:r>
    </w:p>
    <w:sdt>
      <w:sdtPr>
        <w:rPr>
          <w:rFonts w:ascii="Arial" w:eastAsia="Arial" w:hAnsi="Arial" w:cs="Arial"/>
          <w:b w:val="0"/>
          <w:bCs w:val="0"/>
          <w:color w:val="auto"/>
          <w:sz w:val="22"/>
          <w:szCs w:val="22"/>
        </w:rPr>
        <w:id w:val="885447627"/>
        <w:docPartObj>
          <w:docPartGallery w:val="Table of Contents"/>
          <w:docPartUnique/>
        </w:docPartObj>
      </w:sdtPr>
      <w:sdtEndPr>
        <w:rPr>
          <w:rFonts w:ascii="Times New Roman" w:hAnsi="Times New Roman" w:cs="Times New Roman"/>
          <w:sz w:val="24"/>
          <w:szCs w:val="24"/>
        </w:rPr>
      </w:sdtEndPr>
      <w:sdtContent>
        <w:p w:rsidR="00207920" w:rsidP="00207920" w14:paraId="3268C134" w14:textId="77777777">
          <w:pPr>
            <w:pStyle w:val="TOCHeading"/>
            <w:jc w:val="center"/>
          </w:pPr>
          <w:r w:rsidRPr="00207920">
            <w:rPr>
              <w:rFonts w:ascii="Times New Roman" w:hAnsi="Times New Roman" w:cs="Times New Roman"/>
              <w:color w:val="auto"/>
            </w:rPr>
            <w:t>Table of Contents</w:t>
          </w:r>
        </w:p>
        <w:p w:rsidR="00207920" w:rsidRPr="00DC3434" w:rsidP="00207920" w14:paraId="77C8C792" w14:textId="77777777">
          <w:pPr>
            <w:pStyle w:val="TOC1"/>
            <w:tabs>
              <w:tab w:val="right" w:leader="dot" w:pos="9350"/>
            </w:tabs>
            <w:spacing w:line="360" w:lineRule="auto"/>
            <w:jc w:val="both"/>
            <w:rPr>
              <w:rFonts w:ascii="Times New Roman" w:hAnsi="Times New Roman" w:cs="Times New Roman"/>
              <w:noProof/>
              <w:sz w:val="24"/>
              <w:szCs w:val="24"/>
            </w:rPr>
          </w:pPr>
          <w:r w:rsidRPr="00DC3434">
            <w:rPr>
              <w:rFonts w:ascii="Times New Roman" w:hAnsi="Times New Roman" w:cs="Times New Roman"/>
              <w:sz w:val="24"/>
              <w:szCs w:val="24"/>
            </w:rPr>
            <w:fldChar w:fldCharType="begin"/>
          </w:r>
          <w:r w:rsidRPr="00DC3434">
            <w:rPr>
              <w:rFonts w:ascii="Times New Roman" w:hAnsi="Times New Roman" w:cs="Times New Roman"/>
              <w:sz w:val="24"/>
              <w:szCs w:val="24"/>
            </w:rPr>
            <w:instrText xml:space="preserve"> TOC \o "1-3" \h \z \u </w:instrText>
          </w:r>
          <w:r w:rsidRPr="00DC3434">
            <w:rPr>
              <w:rFonts w:ascii="Times New Roman" w:hAnsi="Times New Roman" w:cs="Times New Roman"/>
              <w:sz w:val="24"/>
              <w:szCs w:val="24"/>
            </w:rPr>
            <w:fldChar w:fldCharType="separate"/>
          </w:r>
          <w:hyperlink w:anchor="_Toc100863404" w:history="1">
            <w:r w:rsidRPr="00DC3434">
              <w:rPr>
                <w:rStyle w:val="Hyperlink"/>
                <w:rFonts w:ascii="Times New Roman" w:hAnsi="Times New Roman" w:cs="Times New Roman"/>
                <w:noProof/>
                <w:sz w:val="24"/>
                <w:szCs w:val="24"/>
              </w:rPr>
              <w:t>Introduction</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_Toc100863404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3</w:t>
            </w:r>
            <w:r w:rsidRPr="00DC3434">
              <w:rPr>
                <w:rFonts w:ascii="Times New Roman" w:hAnsi="Times New Roman" w:cs="Times New Roman"/>
                <w:noProof/>
                <w:webHidden/>
                <w:sz w:val="24"/>
                <w:szCs w:val="24"/>
              </w:rPr>
              <w:fldChar w:fldCharType="end"/>
            </w:r>
          </w:hyperlink>
        </w:p>
        <w:p w:rsidR="00207920" w:rsidRPr="00DC3434" w:rsidP="00207920" w14:paraId="6C9D2A84" w14:textId="77777777">
          <w:pPr>
            <w:pStyle w:val="TOC1"/>
            <w:tabs>
              <w:tab w:val="right" w:leader="dot" w:pos="9350"/>
            </w:tabs>
            <w:spacing w:line="360" w:lineRule="auto"/>
            <w:jc w:val="both"/>
            <w:rPr>
              <w:rFonts w:ascii="Times New Roman" w:hAnsi="Times New Roman" w:cs="Times New Roman"/>
              <w:noProof/>
              <w:sz w:val="24"/>
              <w:szCs w:val="24"/>
            </w:rPr>
          </w:pPr>
          <w:hyperlink w:anchor="_Toc100863405" w:history="1">
            <w:r w:rsidRPr="00DC3434">
              <w:rPr>
                <w:rStyle w:val="Hyperlink"/>
                <w:rFonts w:ascii="Times New Roman" w:hAnsi="Times New Roman" w:cs="Times New Roman"/>
                <w:noProof/>
                <w:sz w:val="24"/>
                <w:szCs w:val="24"/>
              </w:rPr>
              <w:t>Background of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_Toc100863405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3</w:t>
            </w:r>
            <w:r w:rsidRPr="00DC3434">
              <w:rPr>
                <w:rFonts w:ascii="Times New Roman" w:hAnsi="Times New Roman" w:cs="Times New Roman"/>
                <w:noProof/>
                <w:webHidden/>
                <w:sz w:val="24"/>
                <w:szCs w:val="24"/>
              </w:rPr>
              <w:fldChar w:fldCharType="end"/>
            </w:r>
          </w:hyperlink>
        </w:p>
        <w:p w:rsidR="00207920" w:rsidRPr="00DC3434" w:rsidP="00207920" w14:paraId="6474FB2B" w14:textId="77777777">
          <w:pPr>
            <w:pStyle w:val="TOC1"/>
            <w:tabs>
              <w:tab w:val="right" w:leader="dot" w:pos="9350"/>
            </w:tabs>
            <w:spacing w:line="360" w:lineRule="auto"/>
            <w:jc w:val="both"/>
            <w:rPr>
              <w:rFonts w:ascii="Times New Roman" w:hAnsi="Times New Roman" w:cs="Times New Roman"/>
              <w:noProof/>
              <w:sz w:val="24"/>
              <w:szCs w:val="24"/>
            </w:rPr>
          </w:pPr>
          <w:hyperlink w:anchor="_Toc100863406" w:history="1">
            <w:r w:rsidRPr="00DC3434">
              <w:rPr>
                <w:rStyle w:val="Hyperlink"/>
                <w:rFonts w:ascii="Times New Roman" w:hAnsi="Times New Roman" w:cs="Times New Roman"/>
                <w:noProof/>
                <w:sz w:val="24"/>
                <w:szCs w:val="24"/>
              </w:rPr>
              <w:t>Internal and External Analysis of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_Toc100863406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4</w:t>
            </w:r>
            <w:r w:rsidRPr="00DC3434">
              <w:rPr>
                <w:rFonts w:ascii="Times New Roman" w:hAnsi="Times New Roman" w:cs="Times New Roman"/>
                <w:noProof/>
                <w:webHidden/>
                <w:sz w:val="24"/>
                <w:szCs w:val="24"/>
              </w:rPr>
              <w:fldChar w:fldCharType="end"/>
            </w:r>
          </w:hyperlink>
        </w:p>
        <w:p w:rsidR="00207920" w:rsidRPr="00DC3434" w:rsidP="00207920" w14:paraId="76D48C24"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07" w:history="1">
            <w:r w:rsidRPr="00DC3434">
              <w:rPr>
                <w:rStyle w:val="Hyperlink"/>
                <w:rFonts w:ascii="Times New Roman" w:hAnsi="Times New Roman" w:cs="Times New Roman"/>
                <w:noProof/>
                <w:sz w:val="24"/>
                <w:szCs w:val="24"/>
              </w:rPr>
              <w:t>SWOT Analysis</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_Toc100863407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4</w:t>
            </w:r>
            <w:r w:rsidRPr="00DC3434">
              <w:rPr>
                <w:rFonts w:ascii="Times New Roman" w:hAnsi="Times New Roman" w:cs="Times New Roman"/>
                <w:noProof/>
                <w:webHidden/>
                <w:sz w:val="24"/>
                <w:szCs w:val="24"/>
              </w:rPr>
              <w:fldChar w:fldCharType="end"/>
            </w:r>
          </w:hyperlink>
        </w:p>
        <w:p w:rsidR="00207920" w:rsidRPr="00DC3434" w:rsidP="00207920" w14:paraId="53113404"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08" w:history="1">
            <w:r w:rsidRPr="00DC3434">
              <w:rPr>
                <w:rStyle w:val="Hyperlink"/>
                <w:rFonts w:ascii="Times New Roman" w:hAnsi="Times New Roman" w:cs="Times New Roman"/>
                <w:noProof/>
                <w:sz w:val="24"/>
                <w:szCs w:val="24"/>
              </w:rPr>
              <w:t>PESTLE Analysis</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_Toc100863408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5</w:t>
            </w:r>
            <w:r w:rsidRPr="00DC3434">
              <w:rPr>
                <w:rFonts w:ascii="Times New Roman" w:hAnsi="Times New Roman" w:cs="Times New Roman"/>
                <w:noProof/>
                <w:webHidden/>
                <w:sz w:val="24"/>
                <w:szCs w:val="24"/>
              </w:rPr>
              <w:fldChar w:fldCharType="end"/>
            </w:r>
          </w:hyperlink>
        </w:p>
        <w:p w:rsidR="00207920" w:rsidRPr="00DC3434" w:rsidP="00207920" w14:paraId="56056FDE" w14:textId="77777777">
          <w:pPr>
            <w:pStyle w:val="TOC1"/>
            <w:tabs>
              <w:tab w:val="right" w:leader="dot" w:pos="9350"/>
            </w:tabs>
            <w:spacing w:line="360" w:lineRule="auto"/>
            <w:jc w:val="both"/>
            <w:rPr>
              <w:rFonts w:ascii="Times New Roman" w:hAnsi="Times New Roman" w:cs="Times New Roman"/>
              <w:noProof/>
              <w:sz w:val="24"/>
              <w:szCs w:val="24"/>
            </w:rPr>
          </w:pPr>
          <w:hyperlink w:anchor="_Toc100863409" w:history="1">
            <w:r w:rsidRPr="00DC3434">
              <w:rPr>
                <w:rStyle w:val="Hyperlink"/>
                <w:rFonts w:ascii="Times New Roman" w:hAnsi="Times New Roman" w:cs="Times New Roman"/>
                <w:noProof/>
                <w:sz w:val="24"/>
                <w:szCs w:val="24"/>
              </w:rPr>
              <w:t>Discussion and Analysis</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_Toc100863409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7</w:t>
            </w:r>
            <w:r w:rsidRPr="00DC3434">
              <w:rPr>
                <w:rFonts w:ascii="Times New Roman" w:hAnsi="Times New Roman" w:cs="Times New Roman"/>
                <w:noProof/>
                <w:webHidden/>
                <w:sz w:val="24"/>
                <w:szCs w:val="24"/>
              </w:rPr>
              <w:fldChar w:fldCharType="end"/>
            </w:r>
          </w:hyperlink>
        </w:p>
        <w:p w:rsidR="00207920" w:rsidRPr="00DC3434" w:rsidP="00207920" w14:paraId="29A17F80"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0" w:history="1">
            <w:r w:rsidRPr="00DC3434">
              <w:rPr>
                <w:rStyle w:val="Hyperlink"/>
                <w:rFonts w:ascii="Times New Roman" w:hAnsi="Times New Roman" w:cs="Times New Roman"/>
                <w:noProof/>
                <w:sz w:val="24"/>
                <w:szCs w:val="24"/>
              </w:rPr>
              <w:t>Impact of Covid 19 on Employees and Customer Safety in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_Toc100863410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7</w:t>
            </w:r>
            <w:r w:rsidRPr="00DC3434">
              <w:rPr>
                <w:rFonts w:ascii="Times New Roman" w:hAnsi="Times New Roman" w:cs="Times New Roman"/>
                <w:noProof/>
                <w:webHidden/>
                <w:sz w:val="24"/>
                <w:szCs w:val="24"/>
              </w:rPr>
              <w:fldChar w:fldCharType="end"/>
            </w:r>
          </w:hyperlink>
        </w:p>
        <w:p w:rsidR="00207920" w:rsidRPr="00DC3434" w:rsidP="00207920" w14:paraId="33A521E6"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1" w:history="1">
            <w:r w:rsidRPr="00DC3434">
              <w:rPr>
                <w:rStyle w:val="Hyperlink"/>
                <w:rFonts w:ascii="Times New Roman" w:hAnsi="Times New Roman" w:cs="Times New Roman"/>
                <w:noProof/>
                <w:sz w:val="24"/>
                <w:szCs w:val="24"/>
              </w:rPr>
              <w:t>Impact of Covid 19 on Liquid cash transactions in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_Toc100863411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8</w:t>
            </w:r>
            <w:r w:rsidRPr="00DC3434">
              <w:rPr>
                <w:rFonts w:ascii="Times New Roman" w:hAnsi="Times New Roman" w:cs="Times New Roman"/>
                <w:noProof/>
                <w:webHidden/>
                <w:sz w:val="24"/>
                <w:szCs w:val="24"/>
              </w:rPr>
              <w:fldChar w:fldCharType="end"/>
            </w:r>
          </w:hyperlink>
        </w:p>
        <w:p w:rsidR="00207920" w:rsidRPr="00DC3434" w:rsidP="00207920" w14:paraId="61124A92"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2" w:history="1">
            <w:r w:rsidRPr="00DC3434">
              <w:rPr>
                <w:rStyle w:val="Hyperlink"/>
                <w:rFonts w:ascii="Times New Roman" w:hAnsi="Times New Roman" w:cs="Times New Roman"/>
                <w:noProof/>
                <w:sz w:val="24"/>
                <w:szCs w:val="24"/>
              </w:rPr>
              <w:t>Evidence of Covid 19 on the overall financial structure of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_Toc100863412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8</w:t>
            </w:r>
            <w:r w:rsidRPr="00DC3434">
              <w:rPr>
                <w:rFonts w:ascii="Times New Roman" w:hAnsi="Times New Roman" w:cs="Times New Roman"/>
                <w:noProof/>
                <w:webHidden/>
                <w:sz w:val="24"/>
                <w:szCs w:val="24"/>
              </w:rPr>
              <w:fldChar w:fldCharType="end"/>
            </w:r>
          </w:hyperlink>
        </w:p>
        <w:p w:rsidR="00207920" w:rsidRPr="00DC3434" w:rsidP="00207920" w14:paraId="15C3B0F6"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3" w:history="1">
            <w:r w:rsidRPr="00DC3434">
              <w:rPr>
                <w:rStyle w:val="Hyperlink"/>
                <w:rFonts w:ascii="Times New Roman" w:hAnsi="Times New Roman" w:cs="Times New Roman"/>
                <w:noProof/>
                <w:sz w:val="24"/>
                <w:szCs w:val="24"/>
              </w:rPr>
              <w:t>Rearrangement of operational structure in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_Toc100863413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9</w:t>
            </w:r>
            <w:r w:rsidRPr="00DC3434">
              <w:rPr>
                <w:rFonts w:ascii="Times New Roman" w:hAnsi="Times New Roman" w:cs="Times New Roman"/>
                <w:noProof/>
                <w:webHidden/>
                <w:sz w:val="24"/>
                <w:szCs w:val="24"/>
              </w:rPr>
              <w:fldChar w:fldCharType="end"/>
            </w:r>
          </w:hyperlink>
        </w:p>
        <w:p w:rsidR="00207920" w:rsidRPr="00DC3434" w:rsidP="00207920" w14:paraId="0F6892C1"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4" w:history="1">
            <w:r w:rsidRPr="00DC3434">
              <w:rPr>
                <w:rStyle w:val="Hyperlink"/>
                <w:rFonts w:ascii="Times New Roman" w:hAnsi="Times New Roman" w:cs="Times New Roman"/>
                <w:noProof/>
                <w:sz w:val="24"/>
                <w:szCs w:val="24"/>
              </w:rPr>
              <w:t>Follow up of governmental guidelines and Programs in Pandemic by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_Toc100863414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9</w:t>
            </w:r>
            <w:r w:rsidRPr="00DC3434">
              <w:rPr>
                <w:rFonts w:ascii="Times New Roman" w:hAnsi="Times New Roman" w:cs="Times New Roman"/>
                <w:noProof/>
                <w:webHidden/>
                <w:sz w:val="24"/>
                <w:szCs w:val="24"/>
              </w:rPr>
              <w:fldChar w:fldCharType="end"/>
            </w:r>
          </w:hyperlink>
        </w:p>
        <w:p w:rsidR="00207920" w:rsidRPr="00DC3434" w:rsidP="00207920" w14:paraId="39D2B13B"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5" w:history="1">
            <w:r w:rsidRPr="00DC3434">
              <w:rPr>
                <w:rStyle w:val="Hyperlink"/>
                <w:rFonts w:ascii="Times New Roman" w:hAnsi="Times New Roman" w:cs="Times New Roman"/>
                <w:noProof/>
                <w:sz w:val="24"/>
                <w:szCs w:val="24"/>
              </w:rPr>
              <w:t>Effect of Covid 19 on Marketing strategy of Next PLC</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_Toc100863415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10</w:t>
            </w:r>
            <w:r w:rsidRPr="00DC3434">
              <w:rPr>
                <w:rFonts w:ascii="Times New Roman" w:hAnsi="Times New Roman" w:cs="Times New Roman"/>
                <w:noProof/>
                <w:webHidden/>
                <w:sz w:val="24"/>
                <w:szCs w:val="24"/>
              </w:rPr>
              <w:fldChar w:fldCharType="end"/>
            </w:r>
          </w:hyperlink>
        </w:p>
        <w:p w:rsidR="00207920" w:rsidRPr="00DC3434" w:rsidP="00207920" w14:paraId="62E60A56" w14:textId="77777777">
          <w:pPr>
            <w:pStyle w:val="TOC2"/>
            <w:tabs>
              <w:tab w:val="right" w:leader="dot" w:pos="9350"/>
            </w:tabs>
            <w:spacing w:line="360" w:lineRule="auto"/>
            <w:jc w:val="both"/>
            <w:rPr>
              <w:rFonts w:ascii="Times New Roman" w:hAnsi="Times New Roman" w:cs="Times New Roman"/>
              <w:noProof/>
              <w:sz w:val="24"/>
              <w:szCs w:val="24"/>
            </w:rPr>
          </w:pPr>
          <w:hyperlink w:anchor="_Toc100863416" w:history="1">
            <w:r w:rsidRPr="00DC3434">
              <w:rPr>
                <w:rStyle w:val="Hyperlink"/>
                <w:rFonts w:ascii="Times New Roman" w:hAnsi="Times New Roman" w:cs="Times New Roman"/>
                <w:noProof/>
                <w:sz w:val="24"/>
                <w:szCs w:val="24"/>
              </w:rPr>
              <w:t>Covid 19 impression on Buying Behaviour of Consumers</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_Toc100863416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11</w:t>
            </w:r>
            <w:r w:rsidRPr="00DC3434">
              <w:rPr>
                <w:rFonts w:ascii="Times New Roman" w:hAnsi="Times New Roman" w:cs="Times New Roman"/>
                <w:noProof/>
                <w:webHidden/>
                <w:sz w:val="24"/>
                <w:szCs w:val="24"/>
              </w:rPr>
              <w:fldChar w:fldCharType="end"/>
            </w:r>
          </w:hyperlink>
        </w:p>
        <w:p w:rsidR="00207920" w:rsidRPr="00DC3434" w:rsidP="00207920" w14:paraId="2E276048" w14:textId="77777777">
          <w:pPr>
            <w:pStyle w:val="TOC1"/>
            <w:tabs>
              <w:tab w:val="right" w:leader="dot" w:pos="9350"/>
            </w:tabs>
            <w:spacing w:line="360" w:lineRule="auto"/>
            <w:jc w:val="both"/>
            <w:rPr>
              <w:rFonts w:ascii="Times New Roman" w:hAnsi="Times New Roman" w:cs="Times New Roman"/>
              <w:noProof/>
              <w:sz w:val="24"/>
              <w:szCs w:val="24"/>
            </w:rPr>
          </w:pPr>
          <w:hyperlink w:anchor="_Toc100863417" w:history="1">
            <w:r w:rsidRPr="00DC3434">
              <w:rPr>
                <w:rStyle w:val="Hyperlink"/>
                <w:rFonts w:ascii="Times New Roman" w:hAnsi="Times New Roman" w:cs="Times New Roman"/>
                <w:noProof/>
                <w:sz w:val="24"/>
                <w:szCs w:val="24"/>
              </w:rPr>
              <w:t>Conclusion</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_Toc100863417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12</w:t>
            </w:r>
            <w:r w:rsidRPr="00DC3434">
              <w:rPr>
                <w:rFonts w:ascii="Times New Roman" w:hAnsi="Times New Roman" w:cs="Times New Roman"/>
                <w:noProof/>
                <w:webHidden/>
                <w:sz w:val="24"/>
                <w:szCs w:val="24"/>
              </w:rPr>
              <w:fldChar w:fldCharType="end"/>
            </w:r>
          </w:hyperlink>
        </w:p>
        <w:p w:rsidR="00207920" w:rsidRPr="00DC3434" w:rsidP="00207920" w14:paraId="37A5783B" w14:textId="77777777">
          <w:pPr>
            <w:pStyle w:val="TOC1"/>
            <w:tabs>
              <w:tab w:val="right" w:leader="dot" w:pos="9350"/>
            </w:tabs>
            <w:spacing w:line="360" w:lineRule="auto"/>
            <w:jc w:val="both"/>
            <w:rPr>
              <w:rFonts w:ascii="Times New Roman" w:hAnsi="Times New Roman" w:cs="Times New Roman"/>
              <w:noProof/>
              <w:sz w:val="24"/>
              <w:szCs w:val="24"/>
            </w:rPr>
          </w:pPr>
          <w:hyperlink w:anchor="_Toc100863418" w:history="1">
            <w:r w:rsidRPr="00DC3434">
              <w:rPr>
                <w:rStyle w:val="Hyperlink"/>
                <w:rFonts w:ascii="Times New Roman" w:hAnsi="Times New Roman" w:cs="Times New Roman"/>
                <w:noProof/>
                <w:sz w:val="24"/>
                <w:szCs w:val="24"/>
              </w:rPr>
              <w:t>References</w:t>
            </w:r>
            <w:r w:rsidRPr="00DC3434">
              <w:rPr>
                <w:rFonts w:ascii="Times New Roman" w:hAnsi="Times New Roman" w:cs="Times New Roman"/>
                <w:noProof/>
                <w:webHidden/>
                <w:sz w:val="24"/>
                <w:szCs w:val="24"/>
              </w:rPr>
              <w:tab/>
            </w:r>
            <w:r w:rsidRPr="00DC3434">
              <w:rPr>
                <w:rFonts w:ascii="Times New Roman" w:hAnsi="Times New Roman" w:cs="Times New Roman"/>
                <w:noProof/>
                <w:webHidden/>
                <w:sz w:val="24"/>
                <w:szCs w:val="24"/>
              </w:rPr>
              <w:fldChar w:fldCharType="begin"/>
            </w:r>
            <w:r w:rsidRPr="00DC3434">
              <w:rPr>
                <w:rFonts w:ascii="Times New Roman" w:hAnsi="Times New Roman" w:cs="Times New Roman"/>
                <w:noProof/>
                <w:webHidden/>
                <w:sz w:val="24"/>
                <w:szCs w:val="24"/>
              </w:rPr>
              <w:instrText xml:space="preserve"> PAGEREF _Toc100863418 \h </w:instrText>
            </w:r>
            <w:r w:rsidRPr="00DC3434">
              <w:rPr>
                <w:rFonts w:ascii="Times New Roman" w:hAnsi="Times New Roman" w:cs="Times New Roman"/>
                <w:noProof/>
                <w:webHidden/>
                <w:sz w:val="24"/>
                <w:szCs w:val="24"/>
              </w:rPr>
              <w:fldChar w:fldCharType="separate"/>
            </w:r>
            <w:r w:rsidRPr="00DC3434">
              <w:rPr>
                <w:rFonts w:ascii="Times New Roman" w:hAnsi="Times New Roman" w:cs="Times New Roman"/>
                <w:noProof/>
                <w:webHidden/>
                <w:sz w:val="24"/>
                <w:szCs w:val="24"/>
              </w:rPr>
              <w:t>13</w:t>
            </w:r>
            <w:r w:rsidRPr="00DC3434">
              <w:rPr>
                <w:rFonts w:ascii="Times New Roman" w:hAnsi="Times New Roman" w:cs="Times New Roman"/>
                <w:noProof/>
                <w:webHidden/>
                <w:sz w:val="24"/>
                <w:szCs w:val="24"/>
              </w:rPr>
              <w:fldChar w:fldCharType="end"/>
            </w:r>
          </w:hyperlink>
        </w:p>
        <w:p w:rsidR="00207920" w:rsidRPr="00DC3434" w:rsidP="00207920" w14:paraId="6202539C" w14:textId="77777777">
          <w:pPr>
            <w:spacing w:line="360" w:lineRule="auto"/>
            <w:jc w:val="both"/>
            <w:rPr>
              <w:rFonts w:ascii="Times New Roman" w:hAnsi="Times New Roman" w:cs="Times New Roman"/>
              <w:sz w:val="24"/>
              <w:szCs w:val="24"/>
            </w:rPr>
          </w:pPr>
          <w:r w:rsidRPr="00DC3434">
            <w:rPr>
              <w:rFonts w:ascii="Times New Roman" w:hAnsi="Times New Roman" w:cs="Times New Roman"/>
              <w:sz w:val="24"/>
              <w:szCs w:val="24"/>
            </w:rPr>
            <w:fldChar w:fldCharType="end"/>
          </w:r>
        </w:p>
      </w:sdtContent>
    </w:sdt>
    <w:p w:rsidR="00207920" w:rsidRPr="00DC3434" w:rsidP="00207920" w14:paraId="0E4E8242" w14:textId="77777777">
      <w:pPr>
        <w:spacing w:line="360" w:lineRule="auto"/>
        <w:jc w:val="both"/>
        <w:rPr>
          <w:rFonts w:ascii="Times New Roman" w:hAnsi="Times New Roman" w:cs="Times New Roman"/>
          <w:b/>
          <w:sz w:val="24"/>
          <w:szCs w:val="24"/>
        </w:rPr>
      </w:pPr>
      <w:bookmarkStart w:id="0" w:name="_Toc100863404"/>
      <w:r w:rsidRPr="00DC3434">
        <w:rPr>
          <w:rFonts w:ascii="Times New Roman" w:hAnsi="Times New Roman" w:cs="Times New Roman"/>
          <w:sz w:val="24"/>
          <w:szCs w:val="24"/>
        </w:rPr>
        <w:br w:type="page"/>
      </w:r>
    </w:p>
    <w:p w:rsidR="00636D9A" w:rsidRPr="00207920" w:rsidP="00207920" w14:paraId="74E7D7BE" w14:textId="77777777">
      <w:pPr>
        <w:pStyle w:val="Heading1"/>
        <w:rPr>
          <w:sz w:val="24"/>
        </w:rPr>
      </w:pPr>
      <w:r>
        <w:t>Introduction</w:t>
      </w:r>
      <w:bookmarkEnd w:id="0"/>
      <w:r>
        <w:t xml:space="preserve"> </w:t>
      </w:r>
    </w:p>
    <w:p w:rsidR="00636D9A" w:rsidRPr="00207920" w:rsidP="00207920" w14:paraId="7E2163EA" w14:textId="50A8C02F">
      <w:pPr>
        <w:pStyle w:val="Normal1"/>
      </w:pPr>
      <w:r w:rsidRPr="00207920">
        <w:t xml:space="preserve">Covid 19 has impacted not only the life of the general public but has also created many difficulties in the way of businesses. All of the businesses suffered a huge crisis during the pandemic situation. </w:t>
      </w:r>
      <w:r w:rsidRPr="00207920" w:rsidR="00D86ACE">
        <w:t>Lockdowns, and shutting</w:t>
      </w:r>
      <w:r w:rsidRPr="00207920">
        <w:t xml:space="preserve"> down of companies have increased financial crisis, unemployment, and </w:t>
      </w:r>
      <w:r w:rsidRPr="00207920" w:rsidR="00D86ACE">
        <w:t>economic</w:t>
      </w:r>
      <w:r w:rsidRPr="00207920">
        <w:t xml:space="preserve"> crisis. Both the consumers and the companies are equally suffering </w:t>
      </w:r>
      <w:r w:rsidRPr="00207920" w:rsidR="00D86ACE">
        <w:t>losses (</w:t>
      </w:r>
      <w:r w:rsidRPr="00207920">
        <w:rPr>
          <w:szCs w:val="20"/>
          <w:highlight w:val="white"/>
        </w:rPr>
        <w:t>Bartiket</w:t>
      </w:r>
      <w:r w:rsidRPr="00207920">
        <w:rPr>
          <w:szCs w:val="20"/>
          <w:highlight w:val="white"/>
        </w:rPr>
        <w:t xml:space="preserve"> </w:t>
      </w:r>
      <w:r w:rsidRPr="00207920" w:rsidR="00D86ACE">
        <w:rPr>
          <w:szCs w:val="20"/>
          <w:highlight w:val="white"/>
        </w:rPr>
        <w:t>al.</w:t>
      </w:r>
      <w:r w:rsidR="00D86ACE">
        <w:rPr>
          <w:szCs w:val="20"/>
          <w:highlight w:val="white"/>
        </w:rPr>
        <w:t>,</w:t>
      </w:r>
      <w:r w:rsidRPr="00207920">
        <w:rPr>
          <w:szCs w:val="20"/>
          <w:highlight w:val="white"/>
        </w:rPr>
        <w:t xml:space="preserve"> 2020)</w:t>
      </w:r>
      <w:r w:rsidRPr="00207920">
        <w:t xml:space="preserve">. To fight the situation and to improve the condition of companies the authorities are trying to indulge in various ideas and regimes. They're trying to work on many different aspects for the betterment of business and their employees as well as their consumers. The business authorities are </w:t>
      </w:r>
      <w:r w:rsidRPr="00207920">
        <w:t>prioritising</w:t>
      </w:r>
      <w:r w:rsidRPr="00207920">
        <w:t xml:space="preserve"> the safety of their employees and consumers, maintain government protocols and following the </w:t>
      </w:r>
      <w:r w:rsidRPr="00207920" w:rsidR="00D86ACE">
        <w:t xml:space="preserve">guideline, </w:t>
      </w:r>
      <w:r w:rsidRPr="00207920">
        <w:t>and make decisions according to the needs of consumers in a pandemic situation. The report is focused on the effects of covid 19 on the Next PLC company.</w:t>
      </w:r>
      <w:r w:rsidR="00D86ACE">
        <w:t xml:space="preserve"> </w:t>
      </w:r>
      <w:r w:rsidRPr="00207920">
        <w:t xml:space="preserve">This report aims to conduct an internal and external analysis of the Next PLC </w:t>
      </w:r>
      <w:r w:rsidRPr="00207920" w:rsidR="00D86ACE">
        <w:t>company by</w:t>
      </w:r>
      <w:r w:rsidRPr="00207920">
        <w:t xml:space="preserve"> following the SWOT and PESTLE </w:t>
      </w:r>
      <w:r w:rsidRPr="00207920">
        <w:t>analysing</w:t>
      </w:r>
      <w:r w:rsidRPr="00207920">
        <w:t xml:space="preserve"> </w:t>
      </w:r>
      <w:r w:rsidRPr="00207920" w:rsidR="00D86ACE">
        <w:t>format (</w:t>
      </w:r>
      <w:r w:rsidRPr="00207920">
        <w:rPr>
          <w:szCs w:val="20"/>
          <w:highlight w:val="white"/>
        </w:rPr>
        <w:t>Wiedemann et al</w:t>
      </w:r>
      <w:r w:rsidR="00D86ACE">
        <w:rPr>
          <w:szCs w:val="20"/>
          <w:highlight w:val="white"/>
        </w:rPr>
        <w:t xml:space="preserve">., </w:t>
      </w:r>
      <w:r w:rsidRPr="00207920">
        <w:rPr>
          <w:szCs w:val="20"/>
          <w:highlight w:val="white"/>
        </w:rPr>
        <w:t>2020)</w:t>
      </w:r>
      <w:r w:rsidRPr="00207920">
        <w:t xml:space="preserve">. Discuss the impact of covid 19 on Employees and Customer Safety and </w:t>
      </w:r>
      <w:r w:rsidRPr="00207920" w:rsidR="00D86ACE">
        <w:t>in Liquid</w:t>
      </w:r>
      <w:r w:rsidRPr="00207920">
        <w:t xml:space="preserve"> cash transactions. </w:t>
      </w:r>
      <w:r w:rsidRPr="00207920" w:rsidR="00D86ACE">
        <w:t>Observing the</w:t>
      </w:r>
      <w:r w:rsidRPr="00207920">
        <w:t xml:space="preserve"> buying </w:t>
      </w:r>
      <w:r w:rsidRPr="00207920">
        <w:t>behaviour</w:t>
      </w:r>
      <w:r w:rsidRPr="00207920">
        <w:t xml:space="preserve"> of consumers and </w:t>
      </w:r>
      <w:r w:rsidRPr="00207920">
        <w:t>analysing</w:t>
      </w:r>
      <w:r w:rsidRPr="00207920">
        <w:t xml:space="preserve"> marketing strategies. Discussing the overall financial </w:t>
      </w:r>
      <w:r w:rsidRPr="00207920" w:rsidR="00D86ACE">
        <w:t>structure and</w:t>
      </w:r>
      <w:r w:rsidRPr="00207920">
        <w:t xml:space="preserve"> rearranging operational structures of Next PLC.</w:t>
      </w:r>
    </w:p>
    <w:p w:rsidR="00636D9A" w:rsidRPr="00207920" w:rsidP="00207920" w14:paraId="620303B6" w14:textId="77777777">
      <w:pPr>
        <w:pStyle w:val="Heading1"/>
        <w:rPr>
          <w:sz w:val="24"/>
        </w:rPr>
      </w:pPr>
      <w:bookmarkStart w:id="1" w:name="_Toc100863405"/>
      <w:r>
        <w:t>Background of Next PLC</w:t>
      </w:r>
      <w:bookmarkEnd w:id="1"/>
      <w:r>
        <w:t xml:space="preserve"> </w:t>
      </w:r>
    </w:p>
    <w:p w:rsidR="00636D9A" w:rsidRPr="00207920" w:rsidP="00207920" w14:paraId="28B25920" w14:textId="0901BB81">
      <w:pPr>
        <w:pStyle w:val="Normal1"/>
      </w:pPr>
      <w:r w:rsidRPr="00207920">
        <w:t xml:space="preserve">Next PLC is a multinational British company that focuses on providing consumers with clothing, footwear and home products. The Next PLC company established their headquarters in Enderby in England and they are a retailer company. They have more than 700 stores across Europe, Asia and the Middle East. In the year 1864, Joseph Hepworth founded the company and named it J Hepworth &amp; Sons. It was established in </w:t>
      </w:r>
      <w:r w:rsidRPr="00207920" w:rsidR="00D86ACE">
        <w:t>Leeds, England (</w:t>
      </w:r>
      <w:r w:rsidRPr="00207920">
        <w:rPr>
          <w:szCs w:val="20"/>
          <w:highlight w:val="white"/>
        </w:rPr>
        <w:t>Almond and Evans,2022)</w:t>
      </w:r>
      <w:r w:rsidRPr="00207920">
        <w:t xml:space="preserve">. Hepworth mainly focused on making suits for men and succeeded in expanding the company </w:t>
      </w:r>
      <w:r w:rsidRPr="00207920" w:rsidR="00D86ACE">
        <w:t>rapidly. I</w:t>
      </w:r>
      <w:r w:rsidR="00D86ACE">
        <w:t>n</w:t>
      </w:r>
      <w:r w:rsidRPr="00207920">
        <w:t xml:space="preserve"> 1981 Hepworth acquired Kendall and their son for approximately 2 million pounds. Hepworth wanted to develop a women's clothing line along with his men's clothing line. He transformed his women's clothing line and named it the Next </w:t>
      </w:r>
      <w:r w:rsidRPr="00207920" w:rsidR="00D86ACE">
        <w:t>store. In</w:t>
      </w:r>
      <w:r w:rsidRPr="00207920">
        <w:t xml:space="preserve"> the year 1982, the first Next store was opened on 12th February and their rapid growth and popularity among the consumers resulted in the opening of more than 70 stores across the UK within </w:t>
      </w:r>
      <w:r w:rsidRPr="00207920" w:rsidR="00D86ACE">
        <w:t>July. In</w:t>
      </w:r>
      <w:r w:rsidRPr="00207920">
        <w:t xml:space="preserve"> 1984, the very first Next store only for men was opened and by December 52 more Next stores for men were launched. Due to its popularity, </w:t>
      </w:r>
      <w:r w:rsidRPr="00207920">
        <w:t xml:space="preserve">the first mini departmental store opened in </w:t>
      </w:r>
      <w:r w:rsidRPr="00207920" w:rsidR="00D86ACE">
        <w:t>Edinburg, the</w:t>
      </w:r>
      <w:r w:rsidRPr="00207920">
        <w:t xml:space="preserve"> store provided </w:t>
      </w:r>
      <w:r w:rsidRPr="00207920" w:rsidR="00D86ACE">
        <w:t>menswear, women</w:t>
      </w:r>
      <w:r w:rsidRPr="00207920">
        <w:t xml:space="preserve"> wearing shoes and also had a cafe. </w:t>
      </w:r>
    </w:p>
    <w:p w:rsidR="00636D9A" w:rsidRPr="00207920" w:rsidP="00207920" w14:paraId="5D11EBB4" w14:textId="512C85A5">
      <w:pPr>
        <w:pStyle w:val="Normal1"/>
      </w:pPr>
      <w:r w:rsidRPr="00207920">
        <w:t xml:space="preserve">In 1985, Next expanded its stories and introduced home interior products. In the same year, the first Next departmental store consisted of menswear, womenswear and interior range in </w:t>
      </w:r>
      <w:r w:rsidRPr="00207920" w:rsidR="00D86ACE">
        <w:t>Regent Street</w:t>
      </w:r>
      <w:r w:rsidRPr="00207920">
        <w:t xml:space="preserve"> of </w:t>
      </w:r>
      <w:r w:rsidRPr="00207920" w:rsidR="00D86ACE">
        <w:t>London. In</w:t>
      </w:r>
      <w:r w:rsidRPr="00207920">
        <w:t xml:space="preserve"> 1986, the parent company changed their name to Next PLC. In the same year, they also acquired Grattan </w:t>
      </w:r>
      <w:r w:rsidRPr="00207920" w:rsidR="00D86ACE">
        <w:t>PLC. In</w:t>
      </w:r>
      <w:r w:rsidRPr="00207920">
        <w:t xml:space="preserve"> 1987 they launched children's </w:t>
      </w:r>
      <w:r w:rsidRPr="00207920" w:rsidR="00D86ACE">
        <w:t>clothes. In</w:t>
      </w:r>
      <w:r w:rsidRPr="00207920">
        <w:t xml:space="preserve"> 1993 they announced the brand strategy “One Brand; Two Ways of </w:t>
      </w:r>
      <w:r w:rsidRPr="00207920" w:rsidR="00D86ACE">
        <w:t xml:space="preserve">Shopping” </w:t>
      </w:r>
      <w:r w:rsidR="00D86ACE">
        <w:t>i</w:t>
      </w:r>
      <w:r w:rsidRPr="00207920" w:rsidR="00D86ACE">
        <w:t>n</w:t>
      </w:r>
      <w:r w:rsidRPr="00207920">
        <w:t xml:space="preserve"> 2001, they launched Next </w:t>
      </w:r>
      <w:r w:rsidRPr="00207920" w:rsidR="00D86ACE">
        <w:t>Flower. In</w:t>
      </w:r>
      <w:r w:rsidRPr="00207920">
        <w:t xml:space="preserve"> 2005, Next Home launched its new wedding list </w:t>
      </w:r>
      <w:r w:rsidRPr="00207920" w:rsidR="00D86ACE">
        <w:t>service. In</w:t>
      </w:r>
      <w:r w:rsidRPr="00207920">
        <w:t xml:space="preserve"> </w:t>
      </w:r>
      <w:r w:rsidRPr="00207920">
        <w:t>2008, Next</w:t>
      </w:r>
      <w:r w:rsidRPr="00207920">
        <w:t xml:space="preserve"> acquired the fashion brand </w:t>
      </w:r>
      <w:r w:rsidRPr="00207920">
        <w:t>Lipsy</w:t>
      </w:r>
      <w:r w:rsidRPr="00207920">
        <w:t>.</w:t>
      </w:r>
      <w:r w:rsidR="00D86ACE">
        <w:t xml:space="preserve"> </w:t>
      </w:r>
      <w:r w:rsidRPr="00207920">
        <w:t>In 2021, Next acquired 25% off Reiss and expanded its business through eCommerce and many outlets.</w:t>
      </w:r>
    </w:p>
    <w:p w:rsidR="00636D9A" w:rsidRPr="00207920" w:rsidP="00207920" w14:paraId="138C3262" w14:textId="77777777">
      <w:pPr>
        <w:pStyle w:val="Heading1"/>
        <w:rPr>
          <w:szCs w:val="24"/>
        </w:rPr>
      </w:pPr>
      <w:bookmarkStart w:id="2" w:name="_Toc100863406"/>
      <w:r w:rsidRPr="00207920">
        <w:rPr>
          <w:szCs w:val="24"/>
        </w:rPr>
        <w:t>Internal and External Analysis of Next PLC</w:t>
      </w:r>
      <w:bookmarkEnd w:id="2"/>
      <w:r w:rsidRPr="00207920">
        <w:rPr>
          <w:szCs w:val="24"/>
        </w:rPr>
        <w:t xml:space="preserve"> </w:t>
      </w:r>
    </w:p>
    <w:p w:rsidR="00636D9A" w:rsidRPr="00207920" w:rsidP="00207920" w14:paraId="047592DA" w14:textId="77777777">
      <w:pPr>
        <w:pStyle w:val="Heading2"/>
      </w:pPr>
      <w:bookmarkStart w:id="3" w:name="_Toc100863407"/>
      <w:r>
        <w:t>SWOT Analysis</w:t>
      </w:r>
      <w:bookmarkEnd w:id="3"/>
      <w:r>
        <w:t xml:space="preserve"> </w:t>
      </w:r>
    </w:p>
    <w:p w:rsidR="00636D9A" w:rsidRPr="00207920" w14:paraId="2D8F5FFB" w14:textId="77777777">
      <w:pPr>
        <w:pStyle w:val="Normal1"/>
        <w:numPr>
          <w:ilvl w:val="0"/>
          <w:numId w:val="1"/>
        </w:numPr>
        <w:rPr>
          <w:rFonts w:eastAsia="Times New Roman" w:cs="Times New Roman"/>
          <w:szCs w:val="24"/>
        </w:rPr>
      </w:pPr>
      <w:r w:rsidRPr="00207920">
        <w:rPr>
          <w:rFonts w:eastAsia="Times New Roman" w:cs="Times New Roman"/>
          <w:b/>
          <w:szCs w:val="24"/>
        </w:rPr>
        <w:t xml:space="preserve">Strengths: </w:t>
      </w:r>
      <w:r w:rsidRPr="00207920">
        <w:rPr>
          <w:rFonts w:eastAsia="Times New Roman" w:cs="Times New Roman"/>
          <w:szCs w:val="24"/>
        </w:rPr>
        <w:t xml:space="preserve">Next PLC is one of the popular brands that are based in the UK. They have many strengths that ensure their huge success in the market. The brand portfolio of the brand is very strong. They always try to create new products and hugely invest in product innovation. The company has free cash flow and it is strong. It allows the company to invest in many projects. The company has huge raw materials suppliers who are very reliable (Upadhyay, Kumar and </w:t>
      </w:r>
      <w:r w:rsidRPr="00207920">
        <w:rPr>
          <w:rFonts w:eastAsia="Times New Roman" w:cs="Times New Roman"/>
          <w:szCs w:val="24"/>
        </w:rPr>
        <w:t>Akter</w:t>
      </w:r>
      <w:r w:rsidRPr="00207920">
        <w:rPr>
          <w:rFonts w:eastAsia="Times New Roman" w:cs="Times New Roman"/>
          <w:szCs w:val="24"/>
        </w:rPr>
        <w:t>, 2021). The company also has a strong distribution network and it helps the company to reach its potential market. Their performance in the new markets is great and their workforce is also very highly skilled.</w:t>
      </w:r>
    </w:p>
    <w:p w:rsidR="00636D9A" w:rsidRPr="00207920" w14:paraId="7061EF28" w14:textId="77777777">
      <w:pPr>
        <w:pStyle w:val="Normal1"/>
        <w:numPr>
          <w:ilvl w:val="0"/>
          <w:numId w:val="1"/>
        </w:numPr>
        <w:rPr>
          <w:rFonts w:eastAsia="Times New Roman" w:cs="Times New Roman"/>
          <w:szCs w:val="24"/>
        </w:rPr>
      </w:pPr>
      <w:r w:rsidRPr="00207920">
        <w:rPr>
          <w:rFonts w:eastAsia="Times New Roman" w:cs="Times New Roman"/>
          <w:b/>
          <w:szCs w:val="24"/>
        </w:rPr>
        <w:t>Weaknesses:</w:t>
      </w:r>
      <w:r w:rsidRPr="00207920">
        <w:rPr>
          <w:rFonts w:eastAsia="Times New Roman" w:cs="Times New Roman"/>
          <w:szCs w:val="24"/>
        </w:rPr>
        <w:t xml:space="preserve"> Despite many strengths, the company also has some weaknesses. The net contribution and profitability ratio of the company is very low compared to other competitors in the market. The financial ratio of the company is not done efficiently and properly. The technology of the company is not very good and they need to invest more in this area. Product demand forecasting of the company is not very good and the company lost many opportunities for this reason. The company has merged with many companies over the years but it did not get success merging with companies with different cultures.</w:t>
      </w:r>
    </w:p>
    <w:p w:rsidR="00636D9A" w:rsidRPr="00207920" w14:paraId="7820BC9A" w14:textId="77777777">
      <w:pPr>
        <w:pStyle w:val="Normal1"/>
        <w:numPr>
          <w:ilvl w:val="0"/>
          <w:numId w:val="1"/>
        </w:numPr>
        <w:rPr>
          <w:rFonts w:eastAsia="Times New Roman" w:cs="Times New Roman"/>
          <w:szCs w:val="24"/>
        </w:rPr>
      </w:pPr>
      <w:r w:rsidRPr="00207920">
        <w:rPr>
          <w:rFonts w:eastAsia="Times New Roman" w:cs="Times New Roman"/>
          <w:b/>
          <w:szCs w:val="24"/>
        </w:rPr>
        <w:t>Opportunities:</w:t>
      </w:r>
      <w:r w:rsidRPr="00207920">
        <w:rPr>
          <w:rFonts w:eastAsia="Times New Roman" w:cs="Times New Roman"/>
          <w:szCs w:val="24"/>
        </w:rPr>
        <w:t xml:space="preserve"> The government of the UK has implemented a new tax policy that can be beneficial for the company. It also will open new opportunities for the brand and it will </w:t>
      </w:r>
      <w:r w:rsidRPr="00207920">
        <w:rPr>
          <w:rFonts w:eastAsia="Times New Roman" w:cs="Times New Roman"/>
          <w:szCs w:val="24"/>
        </w:rPr>
        <w:t xml:space="preserve">make more profit. The market has been developed massively and it will create more advantages for the company and it will enhance its competitiveness in the market. Many new trends can be observed in the </w:t>
      </w:r>
      <w:r w:rsidRPr="00207920">
        <w:rPr>
          <w:rFonts w:eastAsia="Times New Roman" w:cs="Times New Roman"/>
          <w:szCs w:val="24"/>
        </w:rPr>
        <w:t>behaviour</w:t>
      </w:r>
      <w:r w:rsidRPr="00207920">
        <w:rPr>
          <w:rFonts w:eastAsia="Times New Roman" w:cs="Times New Roman"/>
          <w:szCs w:val="24"/>
        </w:rPr>
        <w:t xml:space="preserve"> of the customers (Zhang et al., 2021). The company can create a new product catalogue and it will create more opportunities. The company has developed a strong online presence and it will bring more opportunities for the company.</w:t>
      </w:r>
    </w:p>
    <w:p w:rsidR="00636D9A" w:rsidRPr="00207920" w14:paraId="1AF04F84" w14:textId="77777777">
      <w:pPr>
        <w:pStyle w:val="Normal1"/>
        <w:numPr>
          <w:ilvl w:val="0"/>
          <w:numId w:val="1"/>
        </w:numPr>
        <w:rPr>
          <w:rFonts w:eastAsia="Times New Roman" w:cs="Times New Roman"/>
          <w:szCs w:val="24"/>
        </w:rPr>
      </w:pPr>
      <w:r w:rsidRPr="00207920">
        <w:rPr>
          <w:rFonts w:eastAsia="Times New Roman" w:cs="Times New Roman"/>
          <w:b/>
          <w:szCs w:val="24"/>
        </w:rPr>
        <w:t>Threats:</w:t>
      </w:r>
      <w:r w:rsidRPr="00207920">
        <w:rPr>
          <w:rFonts w:eastAsia="Times New Roman" w:cs="Times New Roman"/>
          <w:szCs w:val="24"/>
        </w:rPr>
        <w:t xml:space="preserve"> The technology department of the company is not very good and the competitors have developed advanced technology over the years. This is a great threat for the company as the competition is very high in the market. The company does not have a skilled workforce in the global market. The </w:t>
      </w:r>
      <w:r w:rsidRPr="00207920">
        <w:rPr>
          <w:rFonts w:eastAsia="Times New Roman" w:cs="Times New Roman"/>
          <w:szCs w:val="24"/>
        </w:rPr>
        <w:t>behaviour</w:t>
      </w:r>
      <w:r w:rsidRPr="00207920">
        <w:rPr>
          <w:rFonts w:eastAsia="Times New Roman" w:cs="Times New Roman"/>
          <w:szCs w:val="24"/>
        </w:rPr>
        <w:t xml:space="preserve"> of the consumers is changing every day and this is a great threat to the company. The pay level is rising and there are increasing prices in some countries. The company can lose its profit for these reasons.</w:t>
      </w:r>
    </w:p>
    <w:p w:rsidR="00636D9A" w:rsidRPr="00207920" w:rsidP="00207920" w14:paraId="10274044" w14:textId="77777777">
      <w:pPr>
        <w:pStyle w:val="Heading2"/>
      </w:pPr>
      <w:bookmarkStart w:id="4" w:name="_Toc100863408"/>
      <w:r>
        <w:t>PESTLE Analysis</w:t>
      </w:r>
      <w:bookmarkEnd w:id="4"/>
      <w:r>
        <w:t xml:space="preserve"> </w:t>
      </w:r>
    </w:p>
    <w:p w:rsidR="00636D9A" w:rsidRPr="00207920" w14:paraId="4CD924DA" w14:textId="77777777">
      <w:pPr>
        <w:pStyle w:val="Normal1"/>
        <w:numPr>
          <w:ilvl w:val="0"/>
          <w:numId w:val="3"/>
        </w:numPr>
        <w:rPr>
          <w:rFonts w:eastAsia="Times New Roman" w:cs="Times New Roman"/>
          <w:szCs w:val="24"/>
        </w:rPr>
      </w:pPr>
      <w:r w:rsidRPr="00207920">
        <w:rPr>
          <w:rFonts w:eastAsia="Times New Roman" w:cs="Times New Roman"/>
          <w:b/>
          <w:szCs w:val="24"/>
        </w:rPr>
        <w:t xml:space="preserve">Political Factors: </w:t>
      </w:r>
      <w:r w:rsidRPr="00207920">
        <w:rPr>
          <w:rFonts w:eastAsia="Times New Roman" w:cs="Times New Roman"/>
          <w:szCs w:val="24"/>
        </w:rPr>
        <w:t>The government of the UK raised the tax rate in the country and it can affect the company. This can also affect the corporation tax and the customer’s income tax. The customers of the company can purchase less due to increasing income tax. The interest rate is very low at the moment this can be a great opportunity for the company (Jones and Comfort, 2019). The company can borrow more money from the banks and it can invest in more important parts. After Brexit, the political stability was misbalanced. The political stability of the country is very important to operating any business. The laws and regulations also have been changed after that. The company has struggled to adapt to these new laws.</w:t>
      </w:r>
    </w:p>
    <w:p w:rsidR="00636D9A" w:rsidRPr="00207920" w14:paraId="4167A938" w14:textId="77777777">
      <w:pPr>
        <w:pStyle w:val="Normal1"/>
        <w:numPr>
          <w:ilvl w:val="0"/>
          <w:numId w:val="3"/>
        </w:numPr>
        <w:rPr>
          <w:rFonts w:eastAsia="Times New Roman" w:cs="Times New Roman"/>
          <w:szCs w:val="24"/>
        </w:rPr>
      </w:pPr>
      <w:r w:rsidRPr="00207920">
        <w:rPr>
          <w:rFonts w:eastAsia="Times New Roman" w:cs="Times New Roman"/>
          <w:b/>
          <w:szCs w:val="24"/>
        </w:rPr>
        <w:t>Economic Factors:</w:t>
      </w:r>
      <w:r w:rsidRPr="00207920">
        <w:rPr>
          <w:rFonts w:eastAsia="Times New Roman" w:cs="Times New Roman"/>
          <w:szCs w:val="24"/>
        </w:rPr>
        <w:t xml:space="preserve"> The economic environment was also damaged after Brexit in the UK. The economy of the country also crashed after the Covid-19 pandemic. Many people in the UK lost their jobs for these reasons. The customers are likely to spend less to purchase from the company as many of them are jobless. The company needed to shut down its stores during the lockdown period in the UK like other companies. The company faced irreversible loss due to the Covid-19 pandemic. The company had to stop their operations for many days for the restrictions of the government and this negatively affected its profit.</w:t>
      </w:r>
    </w:p>
    <w:p w:rsidR="00636D9A" w:rsidRPr="00207920" w14:paraId="40D3A402" w14:textId="77777777">
      <w:pPr>
        <w:pStyle w:val="Normal1"/>
        <w:numPr>
          <w:ilvl w:val="0"/>
          <w:numId w:val="3"/>
        </w:numPr>
        <w:rPr>
          <w:rFonts w:eastAsia="Times New Roman" w:cs="Times New Roman"/>
          <w:szCs w:val="24"/>
        </w:rPr>
      </w:pPr>
      <w:r w:rsidRPr="00207920">
        <w:rPr>
          <w:rFonts w:eastAsia="Times New Roman" w:cs="Times New Roman"/>
          <w:b/>
          <w:szCs w:val="24"/>
        </w:rPr>
        <w:t>Social Factors:</w:t>
      </w:r>
      <w:r w:rsidRPr="00207920">
        <w:rPr>
          <w:rFonts w:eastAsia="Times New Roman" w:cs="Times New Roman"/>
          <w:szCs w:val="24"/>
        </w:rPr>
        <w:t xml:space="preserve"> The cultural and social changes in the UK have affected the brand hugely. These are huge factors for any fashion retailer. The trends of the market can affect any fashion brand compared to any other brands in the market (Jones, Wynn and Comfort, 2020). The UK has a diverse culture in the country and there are many people with different backgrounds. The company needs to expand their product catalogue to satisfy every customer from a different culture. The company also needs to understand the cultures of other countries where the company operates. The company must understand the different cultures of different countries as this is very important for the development of their country.</w:t>
      </w:r>
    </w:p>
    <w:p w:rsidR="00636D9A" w:rsidRPr="00207920" w14:paraId="1247B254" w14:textId="77777777">
      <w:pPr>
        <w:pStyle w:val="Normal1"/>
        <w:numPr>
          <w:ilvl w:val="0"/>
          <w:numId w:val="3"/>
        </w:numPr>
        <w:rPr>
          <w:rFonts w:eastAsia="Times New Roman" w:cs="Times New Roman"/>
          <w:szCs w:val="24"/>
        </w:rPr>
      </w:pPr>
      <w:r w:rsidRPr="00207920">
        <w:rPr>
          <w:rFonts w:eastAsia="Times New Roman" w:cs="Times New Roman"/>
          <w:b/>
          <w:szCs w:val="24"/>
        </w:rPr>
        <w:t>Technological Factors:</w:t>
      </w:r>
      <w:r w:rsidRPr="00207920">
        <w:rPr>
          <w:rFonts w:eastAsia="Times New Roman" w:cs="Times New Roman"/>
          <w:szCs w:val="24"/>
        </w:rPr>
        <w:t xml:space="preserve"> Technology has developed massively in the past few years. The competitors of the brand also upgraded their technology in the company (Zhang, 2021). It is very important to have advanced technology in any retail store. The company has a great working online website to sell its products. During the lockdown, the company had to shut down their stores. However, their online selling was going on at that time and they have compensated for a few losses with their online selling. The company also has an app that can locate the nearest store of the company for the customers.</w:t>
      </w:r>
    </w:p>
    <w:p w:rsidR="00636D9A" w:rsidRPr="00207920" w14:paraId="6390EC92" w14:textId="77777777">
      <w:pPr>
        <w:pStyle w:val="Normal1"/>
        <w:numPr>
          <w:ilvl w:val="0"/>
          <w:numId w:val="3"/>
        </w:numPr>
        <w:rPr>
          <w:rFonts w:eastAsia="Times New Roman" w:cs="Times New Roman"/>
          <w:szCs w:val="24"/>
        </w:rPr>
      </w:pPr>
      <w:r w:rsidRPr="00207920">
        <w:rPr>
          <w:rFonts w:eastAsia="Times New Roman" w:cs="Times New Roman"/>
          <w:b/>
          <w:szCs w:val="24"/>
        </w:rPr>
        <w:t>Legal Factors:</w:t>
      </w:r>
      <w:r w:rsidRPr="00207920">
        <w:rPr>
          <w:rFonts w:eastAsia="Times New Roman" w:cs="Times New Roman"/>
          <w:szCs w:val="24"/>
        </w:rPr>
        <w:t xml:space="preserve"> Every organisation needs to abide by the laws and regulations of the country they are operating. No company can operate smoothly without following the law. Next PLC had many workers who were low paid. The government of the UK revised the minimum payment of the workers (</w:t>
      </w:r>
      <w:r w:rsidRPr="00207920">
        <w:rPr>
          <w:rFonts w:eastAsia="Times New Roman" w:cs="Times New Roman"/>
          <w:szCs w:val="24"/>
        </w:rPr>
        <w:t>Poorrezaei</w:t>
      </w:r>
      <w:r w:rsidRPr="00207920">
        <w:rPr>
          <w:rFonts w:eastAsia="Times New Roman" w:cs="Times New Roman"/>
          <w:szCs w:val="24"/>
        </w:rPr>
        <w:t xml:space="preserve">, </w:t>
      </w:r>
      <w:r w:rsidRPr="00207920">
        <w:rPr>
          <w:rFonts w:eastAsia="Times New Roman" w:cs="Times New Roman"/>
          <w:szCs w:val="24"/>
        </w:rPr>
        <w:t>Pich</w:t>
      </w:r>
      <w:r w:rsidRPr="00207920">
        <w:rPr>
          <w:rFonts w:eastAsia="Times New Roman" w:cs="Times New Roman"/>
          <w:szCs w:val="24"/>
        </w:rPr>
        <w:t xml:space="preserve"> and Resnick, 2019). The company has to pay 6.19 pounds per hour for the workers in their company. The company has a huge number of workers and the company needs to follow this law. The company can face some losses for the payment of the workers in the company.</w:t>
      </w:r>
    </w:p>
    <w:p w:rsidR="00636D9A" w:rsidRPr="00207920" w14:paraId="49D095C0" w14:textId="77777777">
      <w:pPr>
        <w:pStyle w:val="Normal1"/>
        <w:numPr>
          <w:ilvl w:val="0"/>
          <w:numId w:val="3"/>
        </w:numPr>
        <w:rPr>
          <w:rFonts w:eastAsia="Times New Roman" w:cs="Times New Roman"/>
          <w:szCs w:val="24"/>
        </w:rPr>
      </w:pPr>
      <w:r w:rsidRPr="00207920">
        <w:rPr>
          <w:rFonts w:eastAsia="Times New Roman" w:cs="Times New Roman"/>
          <w:b/>
          <w:szCs w:val="24"/>
        </w:rPr>
        <w:t xml:space="preserve">Environmental Factors: </w:t>
      </w:r>
      <w:r w:rsidRPr="00207920">
        <w:rPr>
          <w:rFonts w:eastAsia="Times New Roman" w:cs="Times New Roman"/>
          <w:szCs w:val="24"/>
        </w:rPr>
        <w:t>Many customers are now aware of the environmental laws and want to purchase from sustainable companies. Next PLC is very far in this competition compared to its other competitors like Marks and Spencer. The physical environment of the company is very important. The company’s other branches which are in other regions of the world have faced many environmental disasters over the years. The company faced disasters like forest fires, hurricanes and earthquakes. The company also faced snowstorms and frequent floods which affected its sales in the market.</w:t>
      </w:r>
    </w:p>
    <w:p w:rsidR="00636D9A" w:rsidRPr="00207920" w:rsidP="00207920" w14:paraId="620DB220" w14:textId="77777777">
      <w:pPr>
        <w:pStyle w:val="Heading1"/>
      </w:pPr>
      <w:bookmarkStart w:id="5" w:name="_Toc100863409"/>
      <w:r w:rsidRPr="00207920">
        <w:t>Discussion and Analysis</w:t>
      </w:r>
      <w:bookmarkEnd w:id="5"/>
      <w:r w:rsidRPr="00207920">
        <w:t xml:space="preserve"> </w:t>
      </w:r>
    </w:p>
    <w:p w:rsidR="00636D9A" w:rsidRPr="00207920" w:rsidP="00207920" w14:paraId="42776B7D" w14:textId="77777777">
      <w:pPr>
        <w:pStyle w:val="Heading2"/>
      </w:pPr>
      <w:bookmarkStart w:id="6" w:name="_Toc100863410"/>
      <w:r w:rsidRPr="00207920">
        <w:t>Impact of Covid 19 on Employees and Customer Safety in</w:t>
      </w:r>
      <w:r w:rsidR="00207920">
        <w:t xml:space="preserve"> Next PLC</w:t>
      </w:r>
      <w:bookmarkEnd w:id="6"/>
      <w:r w:rsidR="00207920">
        <w:t xml:space="preserve"> </w:t>
      </w:r>
    </w:p>
    <w:p w:rsidR="00636D9A" w:rsidRPr="00207920" w:rsidP="00207920" w14:paraId="7A636988" w14:textId="77777777">
      <w:pPr>
        <w:pStyle w:val="Normal1"/>
      </w:pPr>
      <w:r w:rsidRPr="00207920">
        <w:t xml:space="preserve">The covid 19 pandemic caused the worst job disaster after the great depression. Because of the crisis, poverty had increased and the inequalities also widened. Some studies have stated that the impact will be felt for several years to come (von Wachter, 2020). Most countries are still in this crisis, especially the job sectors. The pandemic had the potential to change the whole landscape of the workplace dramatically. Self-isolation and lockdowns were the major reasons behind it. And people throughout the world are still suffering from it. For that, the employees of many sectors had to learn the way of coping with these frequent changes. They had to learn to balance their life and work, teleworking, handling several technological challenges, online communication with clients and colleagues, and so on. The psychological and financial consequences of the pandemic were also significant to a large number of people. Due to the pandemic, many businesses went bankrupt, a lot of people lost their jobs, and numerous people had to deal with the psychological crisis of job loss worldwide. They also had to deal with loneliness and isolation. In April 2020, ILO which is the International </w:t>
      </w:r>
      <w:r w:rsidRPr="00207920">
        <w:t>Labour</w:t>
      </w:r>
      <w:r w:rsidRPr="00207920">
        <w:t xml:space="preserve"> Organisation stated that almost 2.5 crore people lost their job throughout the world due to the pandemic (Williams and </w:t>
      </w:r>
      <w:r w:rsidRPr="00207920">
        <w:t>Kayaoglu</w:t>
      </w:r>
      <w:r w:rsidRPr="00207920">
        <w:t>, 2020). After that, 2 years have passed but the number has increased only. Next PLC was not also an exception in how the Coronavirus has affected their business so far. In the year 2020, from January to April their sales fell to 41%. The shares were down to 1.6% and GBP47 in every share.</w:t>
      </w:r>
    </w:p>
    <w:p w:rsidR="00207920" w:rsidRPr="00207920" w:rsidP="00207920" w14:paraId="52D47F6A" w14:textId="77777777">
      <w:pPr>
        <w:pStyle w:val="Normal1"/>
      </w:pPr>
      <w:r w:rsidRPr="00207920">
        <w:t>Since the pandemic has entered the world the scenario of business and the economy has changed completely. Today businesses only focus on maintaining the relationships with their consumers in a whole new dimension. The pandemic has changed the relationships between the customers and the business providers. From that time, the business providers started to focus on the safety and the health of their customers. They started contactless delivery, curbside pickup, and e-commerce to continue their services. The companies re-evaluated their working processes and operations for supporting the customers.</w:t>
      </w:r>
    </w:p>
    <w:p w:rsidR="00636D9A" w:rsidRPr="00207920" w:rsidP="00207920" w14:paraId="3D28ECD6" w14:textId="77777777">
      <w:pPr>
        <w:pStyle w:val="Normal1"/>
      </w:pPr>
      <w:r w:rsidRPr="00207920">
        <w:t xml:space="preserve">They kept back the traditional techniques of sales to maintain customer relationships properly. At that vulnerable time, the emotions of the consumers were frayed and they wanted to focus on their safety only. The businesses found out that the customers responded only when they were communicating with them with empathy, honesty, and care. That is why they chose social media, </w:t>
      </w:r>
      <w:r w:rsidRPr="00207920">
        <w:t>email marketing, and direct mailing to continue their engagement with the consumers during the pandemic. PLC next also focused on these measures to continue their business in that situation.</w:t>
      </w:r>
    </w:p>
    <w:p w:rsidR="00207920" w:rsidP="00207920" w14:paraId="661293B9" w14:textId="77777777">
      <w:pPr>
        <w:pStyle w:val="Heading2"/>
      </w:pPr>
      <w:bookmarkStart w:id="7" w:name="_Toc100863411"/>
      <w:r w:rsidRPr="00207920">
        <w:t xml:space="preserve">Impact of Covid 19 on Liquid </w:t>
      </w:r>
      <w:r>
        <w:t>cash transactions in Next PLC</w:t>
      </w:r>
      <w:bookmarkEnd w:id="7"/>
      <w:r>
        <w:t xml:space="preserve"> </w:t>
      </w:r>
    </w:p>
    <w:p w:rsidR="00636D9A" w:rsidRPr="00207920" w:rsidP="00207920" w14:paraId="71BA1312" w14:textId="77777777">
      <w:pPr>
        <w:pStyle w:val="Normal1"/>
      </w:pPr>
      <w:r w:rsidRPr="00207920">
        <w:t xml:space="preserve">Next PLC, the British clothing, home products, and footwear retailer also faced difficulties when the pandemic stormed down the world. Like other companies and </w:t>
      </w:r>
      <w:r w:rsidRPr="00207920">
        <w:t>organisations</w:t>
      </w:r>
      <w:r w:rsidRPr="00207920">
        <w:t xml:space="preserve">, Next PLC had also gone through the problem regarding liquid cash transactions (Cowling et al., 2020). That was the time when people were running out of cash after constant lockdown. From that time, people started to focus on their health and safety and they chose not to go out of the home. That is why all the businesses and shopping chose the way to serve online and the payment was done digitally. Most of the people were reluctant to go to ATMs, as they were not ready to handle cash physically. Rather, they relied on the online payment procedure. Another bunch of people were not so tech-savvy to use ATMs in terms of cash transactions. They generally use banks for this. But in the middle of the pandemic, they have also locked themselves in their home to maintain safety. They considered the banks as the focal point of spreading the coronavirus (Qin et al., 2020). All these reasons affected the businesses, companies, and </w:t>
      </w:r>
      <w:r w:rsidRPr="00207920">
        <w:t>organisations</w:t>
      </w:r>
      <w:r w:rsidRPr="00207920">
        <w:t xml:space="preserve"> like Next PLC on their liquid cash transaction.</w:t>
      </w:r>
    </w:p>
    <w:p w:rsidR="00636D9A" w:rsidRPr="00207920" w:rsidP="00207920" w14:paraId="0A7A84D7" w14:textId="77777777">
      <w:pPr>
        <w:pStyle w:val="Heading2"/>
      </w:pPr>
      <w:bookmarkStart w:id="8" w:name="_Toc100863412"/>
      <w:r w:rsidRPr="00207920">
        <w:t>Evidence of Covid 19 on the overall fin</w:t>
      </w:r>
      <w:r w:rsidR="00207920">
        <w:t>ancial structure of Next PLC</w:t>
      </w:r>
      <w:bookmarkEnd w:id="8"/>
      <w:r w:rsidR="00207920">
        <w:t xml:space="preserve"> </w:t>
      </w:r>
    </w:p>
    <w:p w:rsidR="00636D9A" w:rsidRPr="00207920" w:rsidP="00207920" w14:paraId="1946E3C8" w14:textId="77777777">
      <w:pPr>
        <w:pStyle w:val="Normal1"/>
      </w:pPr>
      <w:r w:rsidRPr="00207920">
        <w:t>Covid 19 the Global pandemic entered the world in 2020. Since then, everyone was unsure about the longevity of the situation. The whole country went under lockdown and the social life was compromised. But the two most affected sectors were finance and business. As a result, the business operations were bound to reduce, their supply chains dried up, and all the demands were plunged (Khatib and Nour, 2021). In this situation, the small, as well as the big companies that were engaged in the field of lifestyle, commerce, agriculture, IT, construction, R&amp;D, storage, and transport, had faced several difficulties in their financial performance</w:t>
      </w:r>
    </w:p>
    <w:p w:rsidR="00636D9A" w:rsidRPr="00207920" w:rsidP="00207920" w14:paraId="4F9D218F" w14:textId="77777777">
      <w:pPr>
        <w:pStyle w:val="Normal1"/>
      </w:pPr>
      <w:r w:rsidRPr="00207920">
        <w:t xml:space="preserve">Next PLC also went through the same situation at the beginning of the pandemic. Their business faced a lot of difficulties as people were not in the situation to buy anything without their needs. Fashion and lavishness went back-foot at that time. That affected the financial structure of Next PLC. The revenue, as well as the share of the company, fell. In January 2019, the income of the franchise was 52.2 million pounds whereas in January 2020, it got lower and the </w:t>
      </w:r>
      <w:r w:rsidRPr="00207920">
        <w:t xml:space="preserve">outcome was 52 million pounds. In January 2019, the company's store sales were 10 million pounds. whereas, in January 2020, it was only 4.9 million pounds. Altogether, their total revenue in January 2020 was 56.9 million pounds which is quite less than January 2019's revenue. That year the company's revenue was 62.2 million pounds. </w:t>
      </w:r>
    </w:p>
    <w:p w:rsidR="00636D9A" w:rsidRPr="00207920" w:rsidP="00207920" w14:paraId="5A1D43BD" w14:textId="77777777">
      <w:pPr>
        <w:pStyle w:val="Heading2"/>
      </w:pPr>
      <w:bookmarkStart w:id="9" w:name="_Toc100863413"/>
      <w:r w:rsidRPr="00207920">
        <w:t>Rearrangement of opera</w:t>
      </w:r>
      <w:r w:rsidR="00207920">
        <w:t>tional structure in Next PLC</w:t>
      </w:r>
      <w:bookmarkEnd w:id="9"/>
      <w:r w:rsidR="00207920">
        <w:t xml:space="preserve"> </w:t>
      </w:r>
    </w:p>
    <w:p w:rsidR="00636D9A" w:rsidRPr="00207920" w:rsidP="00207920" w14:paraId="2FBC8CDE" w14:textId="77777777">
      <w:pPr>
        <w:pStyle w:val="Normal1"/>
      </w:pPr>
      <w:r w:rsidRPr="00207920">
        <w:t>For rearranging the operational structure, the Next PLC will have to go through some strategies that can help them. Most companies have faced difficulties along with incredible changes due to the global pandemic (</w:t>
      </w:r>
      <w:r w:rsidRPr="00207920">
        <w:t>Vozzola</w:t>
      </w:r>
      <w:r w:rsidRPr="00207920">
        <w:t xml:space="preserve">, 2020). Regularity factors, customer </w:t>
      </w:r>
      <w:r w:rsidRPr="00207920">
        <w:t>behaviours</w:t>
      </w:r>
      <w:r w:rsidRPr="00207920">
        <w:t xml:space="preserve"> as well as the whole business environment evolved at that time and the post-pandemic recovery is still on the way. For that, the companies including Next PLC will have to make small changes that can create a big impact. Like they will have to work on capital improvement, cost reduction, liquidity management, operational improvement, and tax planning. They will also have to embrace the transformation. It will also include cost savings, liquidity management, crisis management as well as communication. All the difficult decisions that can hold up the organisation will have to be taken. It will include bankruptcy protection, stakeholder management, and so on.</w:t>
      </w:r>
    </w:p>
    <w:p w:rsidR="00636D9A" w:rsidRPr="00207920" w:rsidP="00207920" w14:paraId="6F74E701" w14:textId="77777777">
      <w:pPr>
        <w:pStyle w:val="Heading2"/>
      </w:pPr>
      <w:bookmarkStart w:id="10" w:name="_Toc100863414"/>
      <w:r w:rsidRPr="00207920">
        <w:t>Follow up on governmental guidelines and Prog</w:t>
      </w:r>
      <w:r w:rsidR="00207920">
        <w:t>rams in Pandemic by Next PLC</w:t>
      </w:r>
      <w:bookmarkEnd w:id="10"/>
      <w:r w:rsidR="00207920">
        <w:t xml:space="preserve"> </w:t>
      </w:r>
    </w:p>
    <w:p w:rsidR="00636D9A" w:rsidRPr="00207920" w14:paraId="72CF00B4" w14:textId="77777777">
      <w:pPr>
        <w:pStyle w:val="Normal1"/>
        <w:rPr>
          <w:rFonts w:eastAsia="Times New Roman" w:cs="Times New Roman"/>
          <w:szCs w:val="24"/>
        </w:rPr>
      </w:pPr>
      <w:r w:rsidRPr="00207920">
        <w:rPr>
          <w:rFonts w:eastAsia="Times New Roman" w:cs="Times New Roman"/>
          <w:szCs w:val="24"/>
        </w:rPr>
        <w:t>During the entire covid 19 pandemic period, Next PLC has strictly followed the guidelines of the UK government to continue the business in the national market. Following are the steps that were taken by Next PLC in respect of the covid 19 pandemic as below.</w:t>
      </w:r>
    </w:p>
    <w:p w:rsidR="00636D9A" w:rsidRPr="00207920" w14:paraId="0A5AF699" w14:textId="77777777">
      <w:pPr>
        <w:pStyle w:val="Normal1"/>
        <w:numPr>
          <w:ilvl w:val="0"/>
          <w:numId w:val="2"/>
        </w:numPr>
        <w:rPr>
          <w:rFonts w:eastAsia="Times New Roman" w:cs="Times New Roman"/>
          <w:szCs w:val="24"/>
        </w:rPr>
      </w:pPr>
      <w:r w:rsidRPr="00207920">
        <w:rPr>
          <w:rFonts w:eastAsia="Times New Roman" w:cs="Times New Roman"/>
          <w:b/>
          <w:szCs w:val="24"/>
        </w:rPr>
        <w:t xml:space="preserve">Stock cancellation: </w:t>
      </w:r>
      <w:r w:rsidRPr="00207920">
        <w:rPr>
          <w:rFonts w:eastAsia="Times New Roman" w:cs="Times New Roman"/>
          <w:szCs w:val="24"/>
        </w:rPr>
        <w:t xml:space="preserve">As per the update on November 2021, to follow the guidelines of the UK Government, Next PLC cancelled future orders of 510 million British pounds (Carmody et al., 2020). The retailer also valued the Governmental guideline by cancelling stocks of the warehouse which was worth 450 million British pounds. </w:t>
      </w:r>
    </w:p>
    <w:p w:rsidR="00636D9A" w:rsidRPr="00207920" w14:paraId="5EB31323" w14:textId="77777777">
      <w:pPr>
        <w:pStyle w:val="Normal1"/>
        <w:numPr>
          <w:ilvl w:val="0"/>
          <w:numId w:val="2"/>
        </w:numPr>
        <w:rPr>
          <w:rFonts w:eastAsia="Times New Roman" w:cs="Times New Roman"/>
          <w:szCs w:val="24"/>
        </w:rPr>
      </w:pPr>
      <w:r w:rsidRPr="00207920">
        <w:rPr>
          <w:rFonts w:eastAsia="Times New Roman" w:cs="Times New Roman"/>
          <w:b/>
          <w:szCs w:val="24"/>
        </w:rPr>
        <w:t>Shattered Down of the Stores:</w:t>
      </w:r>
      <w:r w:rsidRPr="00207920">
        <w:rPr>
          <w:rFonts w:eastAsia="Times New Roman" w:cs="Times New Roman"/>
          <w:szCs w:val="24"/>
        </w:rPr>
        <w:t xml:space="preserve"> Like other retailers, Next PLC closed all its outlets all over the nation as per the guidelines of the UK Government. The strict guidelines restricted the shop to being open only for essential commodities (</w:t>
      </w:r>
      <w:r w:rsidRPr="00207920">
        <w:rPr>
          <w:rFonts w:eastAsia="Times New Roman" w:cs="Times New Roman"/>
          <w:szCs w:val="24"/>
        </w:rPr>
        <w:t>Bahlol</w:t>
      </w:r>
      <w:r w:rsidRPr="00207920">
        <w:rPr>
          <w:rFonts w:eastAsia="Times New Roman" w:cs="Times New Roman"/>
          <w:szCs w:val="24"/>
        </w:rPr>
        <w:t xml:space="preserve"> and Dewey, 2021). As Next PLC deals with clothing, footwear and accessories, therefore, they were not on the list of keeping their outlets open. </w:t>
      </w:r>
    </w:p>
    <w:p w:rsidR="00636D9A" w:rsidRPr="00207920" w14:paraId="16F21177" w14:textId="77777777">
      <w:pPr>
        <w:pStyle w:val="Normal1"/>
        <w:numPr>
          <w:ilvl w:val="0"/>
          <w:numId w:val="2"/>
        </w:numPr>
        <w:rPr>
          <w:rFonts w:eastAsia="Times New Roman" w:cs="Times New Roman"/>
          <w:szCs w:val="24"/>
        </w:rPr>
      </w:pPr>
      <w:r w:rsidRPr="00207920">
        <w:rPr>
          <w:rFonts w:eastAsia="Times New Roman" w:cs="Times New Roman"/>
          <w:b/>
          <w:szCs w:val="24"/>
        </w:rPr>
        <w:t xml:space="preserve">Remote working for Employees: </w:t>
      </w:r>
      <w:r w:rsidRPr="00207920">
        <w:rPr>
          <w:rFonts w:eastAsia="Times New Roman" w:cs="Times New Roman"/>
          <w:szCs w:val="24"/>
        </w:rPr>
        <w:t xml:space="preserve">Being an ethical and responsible company, Next PLC has taken care of its employees during the entire pandemic period. They offered work from home facilities for the employees to continue the business ambience in the market (Sabharwal et al., 2020). As per the UK Government guidelines, they tried their level best to sustain the jobs of all their employees. </w:t>
      </w:r>
    </w:p>
    <w:p w:rsidR="00636D9A" w:rsidRPr="00207920" w14:paraId="5F94BD59" w14:textId="77777777">
      <w:pPr>
        <w:pStyle w:val="Normal1"/>
        <w:numPr>
          <w:ilvl w:val="0"/>
          <w:numId w:val="2"/>
        </w:numPr>
        <w:rPr>
          <w:rFonts w:eastAsia="Times New Roman" w:cs="Times New Roman"/>
          <w:szCs w:val="24"/>
        </w:rPr>
      </w:pPr>
      <w:r w:rsidRPr="00207920">
        <w:rPr>
          <w:rFonts w:eastAsia="Times New Roman" w:cs="Times New Roman"/>
          <w:b/>
          <w:szCs w:val="24"/>
        </w:rPr>
        <w:t xml:space="preserve">Jabbing of the employees: </w:t>
      </w:r>
      <w:r w:rsidRPr="00207920">
        <w:rPr>
          <w:rFonts w:eastAsia="Times New Roman" w:cs="Times New Roman"/>
          <w:szCs w:val="24"/>
        </w:rPr>
        <w:t xml:space="preserve">While the vaccination was started by the UK Government as a precautionary measure, the Next PLC followed strict guidelines of the </w:t>
      </w:r>
      <w:r w:rsidRPr="00207920">
        <w:rPr>
          <w:rFonts w:eastAsia="Times New Roman" w:cs="Times New Roman"/>
          <w:szCs w:val="24"/>
        </w:rPr>
        <w:t>Honourable</w:t>
      </w:r>
      <w:r w:rsidRPr="00207920">
        <w:rPr>
          <w:rFonts w:eastAsia="Times New Roman" w:cs="Times New Roman"/>
          <w:szCs w:val="24"/>
        </w:rPr>
        <w:t xml:space="preserve"> Government by jabbing every employee for health safety.</w:t>
      </w:r>
    </w:p>
    <w:p w:rsidR="00636D9A" w:rsidRPr="00207920" w14:paraId="6830E53B" w14:textId="77777777">
      <w:pPr>
        <w:pStyle w:val="Normal1"/>
        <w:numPr>
          <w:ilvl w:val="0"/>
          <w:numId w:val="2"/>
        </w:numPr>
        <w:rPr>
          <w:rFonts w:eastAsia="Times New Roman" w:cs="Times New Roman"/>
          <w:szCs w:val="24"/>
        </w:rPr>
      </w:pPr>
      <w:r w:rsidRPr="00207920">
        <w:rPr>
          <w:rFonts w:eastAsia="Times New Roman" w:cs="Times New Roman"/>
          <w:b/>
          <w:szCs w:val="24"/>
        </w:rPr>
        <w:t>Sick pay for Covid Affected employees:</w:t>
      </w:r>
      <w:r w:rsidRPr="00207920">
        <w:rPr>
          <w:rFonts w:eastAsia="Times New Roman" w:cs="Times New Roman"/>
          <w:szCs w:val="24"/>
        </w:rPr>
        <w:t xml:space="preserve"> As per the UK Government published covid 19 guidelines and protocols, Next PLC initiated to pay for the entire treatment of the employees who were affected by coved. </w:t>
      </w:r>
    </w:p>
    <w:p w:rsidR="00636D9A" w:rsidRPr="00207920" w:rsidP="00207920" w14:paraId="36D709D6" w14:textId="77777777">
      <w:pPr>
        <w:pStyle w:val="Heading2"/>
      </w:pPr>
      <w:bookmarkStart w:id="11" w:name="_Toc100863415"/>
      <w:r w:rsidRPr="00207920">
        <w:t>Effect of Covid 19 on Ma</w:t>
      </w:r>
      <w:r w:rsidR="00207920">
        <w:t>rketing strategy of Next PLC</w:t>
      </w:r>
      <w:bookmarkEnd w:id="11"/>
      <w:r w:rsidR="00207920">
        <w:t xml:space="preserve"> </w:t>
      </w:r>
    </w:p>
    <w:p w:rsidR="00636D9A" w:rsidRPr="00207920" w14:paraId="72A124D1" w14:textId="77777777">
      <w:pPr>
        <w:pStyle w:val="Normal1"/>
        <w:rPr>
          <w:rFonts w:eastAsia="Times New Roman" w:cs="Times New Roman"/>
          <w:szCs w:val="24"/>
        </w:rPr>
      </w:pPr>
      <w:r w:rsidRPr="00207920">
        <w:rPr>
          <w:rFonts w:eastAsia="Times New Roman" w:cs="Times New Roman"/>
          <w:szCs w:val="24"/>
        </w:rPr>
        <w:t>The covid 19 pandemic has affected badly on the marketing strategy of Next PLC. following are the changes in the marketing strategies observed in Next PLC:</w:t>
      </w:r>
    </w:p>
    <w:p w:rsidR="00636D9A" w:rsidRPr="00207920" w14:paraId="2B0E4A1B" w14:textId="77777777">
      <w:pPr>
        <w:pStyle w:val="Normal1"/>
        <w:numPr>
          <w:ilvl w:val="0"/>
          <w:numId w:val="5"/>
        </w:numPr>
        <w:rPr>
          <w:rFonts w:eastAsia="Times New Roman" w:cs="Times New Roman"/>
          <w:szCs w:val="24"/>
        </w:rPr>
      </w:pPr>
      <w:r w:rsidRPr="00207920">
        <w:rPr>
          <w:rFonts w:eastAsia="Times New Roman" w:cs="Times New Roman"/>
          <w:b/>
          <w:szCs w:val="24"/>
        </w:rPr>
        <w:t>Focus on Digital Marketing:</w:t>
      </w:r>
      <w:r w:rsidRPr="00207920">
        <w:rPr>
          <w:rFonts w:eastAsia="Times New Roman" w:cs="Times New Roman"/>
          <w:szCs w:val="24"/>
        </w:rPr>
        <w:t xml:space="preserve"> As per the research and survey, the covid 19 pandemic has collapsed face to face marketing strategies in all the business sectors. Next PLC is a retailer company that deals with clothing, footwear and accessories (Santoso, 2020). To sustain in the market, without opening the outlets they focused on digital marketing through their website, social media pages and online links to reach the consumers. </w:t>
      </w:r>
    </w:p>
    <w:p w:rsidR="00636D9A" w:rsidRPr="00207920" w14:paraId="5E3DC21A" w14:textId="77777777">
      <w:pPr>
        <w:pStyle w:val="Normal1"/>
        <w:numPr>
          <w:ilvl w:val="0"/>
          <w:numId w:val="5"/>
        </w:numPr>
        <w:rPr>
          <w:rFonts w:eastAsia="Times New Roman" w:cs="Times New Roman"/>
          <w:szCs w:val="24"/>
        </w:rPr>
      </w:pPr>
      <w:r w:rsidRPr="00207920">
        <w:rPr>
          <w:rFonts w:eastAsia="Times New Roman" w:cs="Times New Roman"/>
          <w:b/>
          <w:szCs w:val="24"/>
        </w:rPr>
        <w:t xml:space="preserve">Changes from aggressive to defensive: </w:t>
      </w:r>
      <w:r w:rsidRPr="00207920">
        <w:rPr>
          <w:rFonts w:eastAsia="Times New Roman" w:cs="Times New Roman"/>
          <w:szCs w:val="24"/>
        </w:rPr>
        <w:t xml:space="preserve">Before the pandemic, Next PLC used to follow an aggressive business marketing strategy to hold their potential customers. But the pandemic has changed many things. After the first phase of lockdown was over, the clothing and secondary commodity section was out of the restrictions to keep their outlets open. During that period, Next </w:t>
      </w:r>
      <w:r w:rsidRPr="00207920">
        <w:rPr>
          <w:rFonts w:eastAsia="Times New Roman" w:cs="Times New Roman"/>
          <w:szCs w:val="24"/>
        </w:rPr>
        <w:t>PlC</w:t>
      </w:r>
      <w:r w:rsidRPr="00207920">
        <w:rPr>
          <w:rFonts w:eastAsia="Times New Roman" w:cs="Times New Roman"/>
          <w:szCs w:val="24"/>
        </w:rPr>
        <w:t xml:space="preserve"> applied a defensive strategy of the marketing by promoting their covid protocol maintenance in the outlets such as daily </w:t>
      </w:r>
      <w:r w:rsidRPr="00207920">
        <w:rPr>
          <w:rFonts w:eastAsia="Times New Roman" w:cs="Times New Roman"/>
          <w:szCs w:val="24"/>
        </w:rPr>
        <w:t>sanitisation</w:t>
      </w:r>
      <w:r w:rsidRPr="00207920">
        <w:rPr>
          <w:rFonts w:eastAsia="Times New Roman" w:cs="Times New Roman"/>
          <w:szCs w:val="24"/>
        </w:rPr>
        <w:t>, no mask, no entry and social distancing (Martín-</w:t>
      </w:r>
      <w:r w:rsidRPr="00207920">
        <w:rPr>
          <w:rFonts w:eastAsia="Times New Roman" w:cs="Times New Roman"/>
          <w:szCs w:val="24"/>
        </w:rPr>
        <w:t>Herrán</w:t>
      </w:r>
      <w:r w:rsidRPr="00207920">
        <w:rPr>
          <w:rFonts w:eastAsia="Times New Roman" w:cs="Times New Roman"/>
          <w:szCs w:val="24"/>
        </w:rPr>
        <w:t xml:space="preserve"> and </w:t>
      </w:r>
      <w:r w:rsidRPr="00207920">
        <w:rPr>
          <w:rFonts w:eastAsia="Times New Roman" w:cs="Times New Roman"/>
          <w:szCs w:val="24"/>
        </w:rPr>
        <w:t>Sigué</w:t>
      </w:r>
      <w:r w:rsidRPr="00207920">
        <w:rPr>
          <w:rFonts w:eastAsia="Times New Roman" w:cs="Times New Roman"/>
          <w:szCs w:val="24"/>
        </w:rPr>
        <w:t>, 2019). This healthy promotion helped Next PLC to attract the footprints. In the first phase, they kept a limitation on the entry into the outlets so that mass gatherings would not take place.</w:t>
      </w:r>
    </w:p>
    <w:p w:rsidR="00636D9A" w:rsidRPr="00207920" w14:paraId="024C468D" w14:textId="77777777">
      <w:pPr>
        <w:pStyle w:val="Normal1"/>
        <w:numPr>
          <w:ilvl w:val="0"/>
          <w:numId w:val="5"/>
        </w:numPr>
        <w:rPr>
          <w:rFonts w:eastAsia="Times New Roman" w:cs="Times New Roman"/>
          <w:szCs w:val="24"/>
        </w:rPr>
      </w:pPr>
      <w:r w:rsidRPr="00207920">
        <w:rPr>
          <w:rFonts w:eastAsia="Times New Roman" w:cs="Times New Roman"/>
          <w:b/>
          <w:szCs w:val="24"/>
        </w:rPr>
        <w:t xml:space="preserve">Focus on sustainability: </w:t>
      </w:r>
      <w:r w:rsidRPr="00207920">
        <w:rPr>
          <w:rFonts w:eastAsia="Times New Roman" w:cs="Times New Roman"/>
          <w:szCs w:val="24"/>
        </w:rPr>
        <w:t xml:space="preserve">The covid 19 pandemic destroyed many of the dreams of the business tycoons. Next PLC felt that the promotion of exclusive products would not be </w:t>
      </w:r>
      <w:r w:rsidRPr="00207920">
        <w:rPr>
          <w:rFonts w:eastAsia="Times New Roman" w:cs="Times New Roman"/>
          <w:szCs w:val="24"/>
        </w:rPr>
        <w:t>effective in the pandemic scenario because the disposable income of the people has reached down. Therefore, they concentrated on promoting cost-effective products maximum to feature that sustainability is the main thing to win the challenge thrown by the pandemic (</w:t>
      </w:r>
      <w:r w:rsidRPr="00207920">
        <w:rPr>
          <w:rFonts w:eastAsia="Times New Roman" w:cs="Times New Roman"/>
          <w:szCs w:val="24"/>
        </w:rPr>
        <w:t>Bernytė</w:t>
      </w:r>
      <w:r w:rsidRPr="00207920">
        <w:rPr>
          <w:rFonts w:eastAsia="Times New Roman" w:cs="Times New Roman"/>
          <w:szCs w:val="24"/>
        </w:rPr>
        <w:t>, 2018).</w:t>
      </w:r>
    </w:p>
    <w:p w:rsidR="00636D9A" w:rsidRPr="00207920" w14:paraId="433B404D" w14:textId="77777777">
      <w:pPr>
        <w:pStyle w:val="Normal1"/>
        <w:numPr>
          <w:ilvl w:val="0"/>
          <w:numId w:val="5"/>
        </w:numPr>
        <w:rPr>
          <w:rFonts w:eastAsia="Times New Roman" w:cs="Times New Roman"/>
          <w:szCs w:val="24"/>
        </w:rPr>
      </w:pPr>
      <w:r w:rsidRPr="00207920">
        <w:rPr>
          <w:rFonts w:eastAsia="Times New Roman" w:cs="Times New Roman"/>
          <w:b/>
          <w:szCs w:val="24"/>
        </w:rPr>
        <w:t xml:space="preserve">Social media campaigns: </w:t>
      </w:r>
      <w:r w:rsidRPr="00207920">
        <w:rPr>
          <w:rFonts w:eastAsia="Times New Roman" w:cs="Times New Roman"/>
          <w:szCs w:val="24"/>
        </w:rPr>
        <w:t xml:space="preserve">Like the other retailers and business sectors, Next PLC also found the social media pages as the prime promotional weapon which is cost-effective but easily accessible by the consumers. Next PLC understood that social media campaigns give almost a similar effect on the company which is observed by opening a virtual outlet. </w:t>
      </w:r>
    </w:p>
    <w:p w:rsidR="00636D9A" w:rsidRPr="00207920" w:rsidP="00207920" w14:paraId="531EA2D7" w14:textId="77777777">
      <w:pPr>
        <w:pStyle w:val="Heading2"/>
      </w:pPr>
      <w:bookmarkStart w:id="12" w:name="_Toc100863416"/>
      <w:r w:rsidRPr="00207920">
        <w:t>Covid 19 impression on B</w:t>
      </w:r>
      <w:r w:rsidR="00207920">
        <w:t xml:space="preserve">uying </w:t>
      </w:r>
      <w:r w:rsidR="00207920">
        <w:t>Behaviour</w:t>
      </w:r>
      <w:r w:rsidR="00207920">
        <w:t xml:space="preserve"> of Consumers</w:t>
      </w:r>
      <w:bookmarkEnd w:id="12"/>
      <w:r w:rsidR="00207920">
        <w:t xml:space="preserve"> </w:t>
      </w:r>
    </w:p>
    <w:p w:rsidR="00636D9A" w:rsidRPr="00207920" w14:paraId="5959ECEB" w14:textId="77777777">
      <w:pPr>
        <w:pStyle w:val="Normal1"/>
        <w:rPr>
          <w:rFonts w:eastAsia="Times New Roman" w:cs="Times New Roman"/>
          <w:szCs w:val="24"/>
        </w:rPr>
      </w:pPr>
      <w:r w:rsidRPr="00207920">
        <w:rPr>
          <w:rFonts w:eastAsia="Times New Roman" w:cs="Times New Roman"/>
          <w:szCs w:val="24"/>
        </w:rPr>
        <w:t xml:space="preserve">Covid 19 pandemic has brought a drastic change in consumer buying </w:t>
      </w:r>
      <w:r w:rsidRPr="00207920">
        <w:rPr>
          <w:rFonts w:eastAsia="Times New Roman" w:cs="Times New Roman"/>
          <w:szCs w:val="24"/>
        </w:rPr>
        <w:t>behaviour</w:t>
      </w:r>
      <w:r w:rsidRPr="00207920">
        <w:rPr>
          <w:rFonts w:eastAsia="Times New Roman" w:cs="Times New Roman"/>
          <w:szCs w:val="24"/>
        </w:rPr>
        <w:t>. It is visible that every industry has faced huge losses due to the pandemic and sales figures went down to the root level which may not suffice to sustain the sector. In this scenario, the key changes found in consumers’ buying attitudes are mentioned pointwise.</w:t>
      </w:r>
    </w:p>
    <w:p w:rsidR="00636D9A" w:rsidRPr="00207920" w14:paraId="69E2D2E7" w14:textId="77777777">
      <w:pPr>
        <w:pStyle w:val="Normal1"/>
        <w:numPr>
          <w:ilvl w:val="0"/>
          <w:numId w:val="4"/>
        </w:numPr>
        <w:rPr>
          <w:rFonts w:eastAsia="Times New Roman" w:cs="Times New Roman"/>
          <w:szCs w:val="24"/>
        </w:rPr>
      </w:pPr>
      <w:r w:rsidRPr="00207920">
        <w:rPr>
          <w:rFonts w:eastAsia="Times New Roman" w:cs="Times New Roman"/>
          <w:b/>
          <w:szCs w:val="24"/>
        </w:rPr>
        <w:t>Purchasing the basic needs:</w:t>
      </w:r>
      <w:r w:rsidRPr="00207920">
        <w:rPr>
          <w:rFonts w:eastAsia="Times New Roman" w:cs="Times New Roman"/>
          <w:szCs w:val="24"/>
        </w:rPr>
        <w:t xml:space="preserve"> Because of the covid 19, maximum of the earning members faced pay cuts in their salary resulting in a reduction in their disposable income, most the UK residents found it difficult to run a family with little income (</w:t>
      </w:r>
      <w:r w:rsidRPr="00207920">
        <w:rPr>
          <w:rFonts w:eastAsia="Times New Roman" w:cs="Times New Roman"/>
          <w:szCs w:val="24"/>
        </w:rPr>
        <w:t>Valaskova</w:t>
      </w:r>
      <w:r w:rsidRPr="00207920">
        <w:rPr>
          <w:rFonts w:eastAsia="Times New Roman" w:cs="Times New Roman"/>
          <w:szCs w:val="24"/>
        </w:rPr>
        <w:t xml:space="preserve"> et al., 2021). Therefore, consumers’ buying </w:t>
      </w:r>
      <w:r w:rsidRPr="00207920">
        <w:rPr>
          <w:rFonts w:eastAsia="Times New Roman" w:cs="Times New Roman"/>
          <w:szCs w:val="24"/>
        </w:rPr>
        <w:t>behaviour</w:t>
      </w:r>
      <w:r w:rsidRPr="00207920">
        <w:rPr>
          <w:rFonts w:eastAsia="Times New Roman" w:cs="Times New Roman"/>
          <w:szCs w:val="24"/>
        </w:rPr>
        <w:t xml:space="preserve"> changed to purchasing only the basic needs.</w:t>
      </w:r>
    </w:p>
    <w:p w:rsidR="00636D9A" w:rsidRPr="00207920" w14:paraId="3DC1D876" w14:textId="77777777">
      <w:pPr>
        <w:pStyle w:val="Normal1"/>
        <w:numPr>
          <w:ilvl w:val="0"/>
          <w:numId w:val="4"/>
        </w:numPr>
        <w:rPr>
          <w:rFonts w:eastAsia="Times New Roman" w:cs="Times New Roman"/>
          <w:szCs w:val="24"/>
        </w:rPr>
      </w:pPr>
      <w:r w:rsidRPr="00207920">
        <w:rPr>
          <w:rFonts w:eastAsia="Times New Roman" w:cs="Times New Roman"/>
          <w:b/>
          <w:szCs w:val="24"/>
        </w:rPr>
        <w:t xml:space="preserve">Online Shopping: </w:t>
      </w:r>
      <w:r w:rsidRPr="00207920">
        <w:rPr>
          <w:rFonts w:eastAsia="Times New Roman" w:cs="Times New Roman"/>
          <w:szCs w:val="24"/>
        </w:rPr>
        <w:t>During the covid 19 pandemic, the strict guidelines of the UK Government on moving out of the home without any essential purpose made the consumers focused on online shopping (</w:t>
      </w:r>
      <w:r w:rsidRPr="00207920">
        <w:rPr>
          <w:rFonts w:eastAsia="Times New Roman" w:cs="Times New Roman"/>
          <w:szCs w:val="24"/>
        </w:rPr>
        <w:t>Butu</w:t>
      </w:r>
      <w:r w:rsidRPr="00207920">
        <w:rPr>
          <w:rFonts w:eastAsia="Times New Roman" w:cs="Times New Roman"/>
          <w:szCs w:val="24"/>
        </w:rPr>
        <w:t xml:space="preserve"> et al., 2020). In the case of online shopping, people get the commodity delivered to their doorstep. By using this facility, consumers maintained covid protocol and met the requirements as well. </w:t>
      </w:r>
    </w:p>
    <w:p w:rsidR="00636D9A" w:rsidRPr="00207920" w14:paraId="5099F9F6" w14:textId="77777777">
      <w:pPr>
        <w:pStyle w:val="Normal1"/>
        <w:numPr>
          <w:ilvl w:val="0"/>
          <w:numId w:val="4"/>
        </w:numPr>
        <w:rPr>
          <w:rFonts w:eastAsia="Times New Roman" w:cs="Times New Roman"/>
          <w:szCs w:val="24"/>
        </w:rPr>
      </w:pPr>
      <w:r w:rsidRPr="00207920">
        <w:rPr>
          <w:rFonts w:eastAsia="Times New Roman" w:cs="Times New Roman"/>
          <w:b/>
          <w:szCs w:val="24"/>
        </w:rPr>
        <w:t>Looking forward to best buying options:</w:t>
      </w:r>
      <w:r w:rsidRPr="00207920">
        <w:rPr>
          <w:rFonts w:eastAsia="Times New Roman" w:cs="Times New Roman"/>
          <w:szCs w:val="24"/>
        </w:rPr>
        <w:t xml:space="preserve"> Because of less disposable income in their hands, consumers had no option rather than going for the best buying division irrespective of online and offline shopping. These family package offers were mainly obtained by the consumers for self-help within a limited income. Therefore, Next PLC changed its focus to keeping cost-effective items in its stores and E-commerce. </w:t>
      </w:r>
    </w:p>
    <w:p w:rsidR="00636D9A" w:rsidRPr="00207920" w:rsidP="00207920" w14:paraId="3E173D11" w14:textId="77777777">
      <w:pPr>
        <w:pStyle w:val="Heading1"/>
        <w:rPr>
          <w:sz w:val="24"/>
        </w:rPr>
      </w:pPr>
      <w:bookmarkStart w:id="13" w:name="_Toc100863417"/>
      <w:r>
        <w:t>Conclusion</w:t>
      </w:r>
      <w:bookmarkEnd w:id="13"/>
      <w:r>
        <w:t xml:space="preserve"> </w:t>
      </w:r>
    </w:p>
    <w:p w:rsidR="00636D9A" w:rsidRPr="00207920" w:rsidP="00207920" w14:paraId="1C8E81D4" w14:textId="6E27AB6D">
      <w:pPr>
        <w:pStyle w:val="Normal1"/>
      </w:pPr>
      <w:r w:rsidRPr="00207920">
        <w:t xml:space="preserve">From the above report, it can be concluded that the effect and impact of covid 19 on Next PLC is noticeable. Through the method of SWOT </w:t>
      </w:r>
      <w:r w:rsidRPr="00207920" w:rsidR="00D86ACE">
        <w:t>analysis,</w:t>
      </w:r>
      <w:r w:rsidRPr="00207920">
        <w:t xml:space="preserve"> it can be observed that they have many strengths including huge raw materials suppliers, free cash flow and a strong distribution network. Their weaknesses include low net contribution and profitability ratio, </w:t>
      </w:r>
      <w:r w:rsidRPr="00207920" w:rsidR="00D86ACE">
        <w:t>inefficient financial</w:t>
      </w:r>
      <w:r w:rsidRPr="00207920">
        <w:t xml:space="preserve"> ratio and many more. Opportunities such as the development of a strong online </w:t>
      </w:r>
      <w:r w:rsidRPr="00207920" w:rsidR="00D86ACE">
        <w:t>presence, and a new</w:t>
      </w:r>
      <w:r w:rsidRPr="00207920">
        <w:t xml:space="preserve"> tax policy implemented by the government. There are also threats like the requirement for a skilled workforce in the global market, the need </w:t>
      </w:r>
      <w:r w:rsidRPr="00207920" w:rsidR="00D86ACE">
        <w:t>for advanced</w:t>
      </w:r>
      <w:r w:rsidRPr="00207920">
        <w:t xml:space="preserve"> technology and many more. The PESTLE analysis also discussed many factors including political factors, economic factors, social factors, technological factors, legal factors and environmental factors of Next PLC company and their effect. The report also discussed and highlighted the impact and effect of covid 19 on the marketing strategies of Next PLC. Their observation and impression on customers' buying </w:t>
      </w:r>
      <w:r w:rsidRPr="00207920">
        <w:t>behaviour</w:t>
      </w:r>
      <w:r w:rsidRPr="00207920">
        <w:t xml:space="preserve">. How the company is focusing on maintaining the safety of their customers and </w:t>
      </w:r>
      <w:r w:rsidRPr="00207920" w:rsidR="00D86ACE">
        <w:t>employee</w:t>
      </w:r>
      <w:r w:rsidRPr="00207920">
        <w:t>s' well-being. The impact of covid 19 on Next PLC company's liquid cash transaction and how they sustained this problem, also the guideline and protocols introduced by the government for covid 19. The report also highlighted the rearrangement of the operational structure of Next PLC.</w:t>
      </w:r>
    </w:p>
    <w:p w:rsidR="00636D9A" w:rsidRPr="00207920" w:rsidP="00207920" w14:paraId="221774E3" w14:textId="77777777">
      <w:pPr>
        <w:pStyle w:val="Normal1"/>
      </w:pPr>
    </w:p>
    <w:p w:rsidR="00636D9A" w:rsidRPr="00207920" w14:paraId="78EBFE41" w14:textId="77777777">
      <w:pPr>
        <w:pStyle w:val="Normal1"/>
        <w:rPr>
          <w:rFonts w:eastAsia="Times New Roman" w:cs="Times New Roman"/>
          <w:b/>
          <w:szCs w:val="24"/>
        </w:rPr>
      </w:pPr>
      <w:r w:rsidRPr="00207920">
        <w:br w:type="page"/>
      </w:r>
    </w:p>
    <w:p w:rsidR="00636D9A" w:rsidRPr="00207920" w:rsidP="00207920" w14:paraId="108602FF" w14:textId="77777777">
      <w:pPr>
        <w:pStyle w:val="Heading1"/>
      </w:pPr>
      <w:bookmarkStart w:id="14" w:name="_Toc100863418"/>
      <w:r w:rsidRPr="00207920">
        <w:t>References</w:t>
      </w:r>
      <w:bookmarkEnd w:id="14"/>
      <w:r w:rsidRPr="00207920">
        <w:t xml:space="preserve"> </w:t>
      </w:r>
    </w:p>
    <w:p w:rsidR="00207920" w:rsidRPr="00207920" w:rsidP="00D86ACE" w14:paraId="002D9C06" w14:textId="77777777">
      <w:pPr>
        <w:pStyle w:val="Normal1"/>
        <w:rPr>
          <w:highlight w:val="white"/>
        </w:rPr>
      </w:pPr>
      <w:r w:rsidRPr="00207920">
        <w:rPr>
          <w:highlight w:val="white"/>
        </w:rPr>
        <w:t xml:space="preserve">Almond, K. and Evans, E., 2022. A Regional Study of Women's Emotional Attachments to the Consumption and Making of Ordinary Clothing, Drawing on Archives in Leeds, West Yorkshire, 1939–1979. Costume, 56(1), pp.74-100.Available </w:t>
      </w:r>
      <w:r w:rsidRPr="00207920">
        <w:rPr>
          <w:highlight w:val="white"/>
        </w:rPr>
        <w:t>at:</w:t>
      </w:r>
      <w:hyperlink r:id="rId5" w:history="1">
        <w:r w:rsidRPr="00207920">
          <w:rPr>
            <w:highlight w:val="white"/>
          </w:rPr>
          <w:t>https</w:t>
        </w:r>
        <w:r w:rsidRPr="00207920">
          <w:rPr>
            <w:highlight w:val="white"/>
          </w:rPr>
          <w:t>://www.euppublishing.com/doi/abs/10.3366/cost.2022.0219</w:t>
        </w:r>
      </w:hyperlink>
    </w:p>
    <w:p w:rsidR="00207920" w:rsidRPr="00207920" w:rsidP="00D86ACE" w14:paraId="70C74C2C" w14:textId="77777777">
      <w:pPr>
        <w:pStyle w:val="Normal1"/>
        <w:rPr>
          <w:szCs w:val="24"/>
        </w:rPr>
      </w:pPr>
      <w:r w:rsidRPr="00207920">
        <w:rPr>
          <w:szCs w:val="24"/>
        </w:rPr>
        <w:t>Bahlol</w:t>
      </w:r>
      <w:r w:rsidRPr="00207920">
        <w:rPr>
          <w:szCs w:val="24"/>
        </w:rPr>
        <w:t xml:space="preserve">, M. and Dewey, R.S., 2021. Pandemic preparedness of community pharmacies for COVID-19. Research in Social and Administrative Pharmacy, 17(1), pp.1888-1896. Available at: </w:t>
      </w:r>
      <w:hyperlink r:id="rId6" w:history="1">
        <w:r w:rsidRPr="00207920">
          <w:rPr>
            <w:szCs w:val="24"/>
          </w:rPr>
          <w:t>https://www.ncbi.nlm.nih.gov/pmc/articles/PMC7211678/</w:t>
        </w:r>
      </w:hyperlink>
      <w:r w:rsidRPr="00207920">
        <w:rPr>
          <w:szCs w:val="24"/>
        </w:rPr>
        <w:t xml:space="preserve"> </w:t>
      </w:r>
    </w:p>
    <w:p w:rsidR="00207920" w:rsidRPr="00207920" w:rsidP="00D86ACE" w14:paraId="28C22474" w14:textId="77777777">
      <w:pPr>
        <w:pStyle w:val="Normal1"/>
        <w:rPr>
          <w:szCs w:val="24"/>
        </w:rPr>
      </w:pPr>
      <w:r w:rsidRPr="00207920">
        <w:rPr>
          <w:highlight w:val="white"/>
        </w:rPr>
        <w:t>Bartik</w:t>
      </w:r>
      <w:r w:rsidRPr="00207920">
        <w:rPr>
          <w:highlight w:val="white"/>
        </w:rPr>
        <w:t xml:space="preserve">, A.W., Bertrand, M., Cullen, Z.B., </w:t>
      </w:r>
      <w:r w:rsidRPr="00207920">
        <w:rPr>
          <w:highlight w:val="white"/>
        </w:rPr>
        <w:t>Glaeser</w:t>
      </w:r>
      <w:r w:rsidRPr="00207920">
        <w:rPr>
          <w:highlight w:val="white"/>
        </w:rPr>
        <w:t xml:space="preserve">, E.L., Luca, M. and Stanton, C.T., 2020. How are small businesses adjusting to COVID-19? Early evidence from a survey (No. w26989). National Bureau of Economic </w:t>
      </w:r>
      <w:r w:rsidRPr="00207920">
        <w:rPr>
          <w:highlight w:val="white"/>
        </w:rPr>
        <w:t>Research.</w:t>
      </w:r>
      <w:r w:rsidRPr="00207920">
        <w:rPr>
          <w:szCs w:val="24"/>
        </w:rPr>
        <w:t>Available</w:t>
      </w:r>
      <w:r w:rsidRPr="00207920">
        <w:rPr>
          <w:szCs w:val="24"/>
        </w:rPr>
        <w:t xml:space="preserve"> </w:t>
      </w:r>
      <w:r w:rsidRPr="00207920">
        <w:rPr>
          <w:szCs w:val="24"/>
        </w:rPr>
        <w:t>at:</w:t>
      </w:r>
      <w:hyperlink r:id="rId7" w:history="1">
        <w:r w:rsidRPr="00207920">
          <w:rPr>
            <w:szCs w:val="24"/>
          </w:rPr>
          <w:t>https</w:t>
        </w:r>
        <w:r w:rsidRPr="00207920">
          <w:rPr>
            <w:szCs w:val="24"/>
          </w:rPr>
          <w:t>://www.nber.org/papers/w26989</w:t>
        </w:r>
      </w:hyperlink>
    </w:p>
    <w:p w:rsidR="00207920" w:rsidRPr="00207920" w:rsidP="00D86ACE" w14:paraId="3AFD50BB" w14:textId="77777777">
      <w:pPr>
        <w:pStyle w:val="Normal1"/>
        <w:rPr>
          <w:szCs w:val="24"/>
        </w:rPr>
      </w:pPr>
      <w:r w:rsidRPr="00207920">
        <w:rPr>
          <w:szCs w:val="24"/>
        </w:rPr>
        <w:t>Bernytė</w:t>
      </w:r>
      <w:r w:rsidRPr="00207920">
        <w:rPr>
          <w:szCs w:val="24"/>
        </w:rPr>
        <w:t xml:space="preserve">, S., 2018. Sustainability marketing communications based on consumer values and principles. Regional Formation and Development Studies, (3), pp.26-35. Available at: </w:t>
      </w:r>
      <w:hyperlink r:id="rId8" w:history="1">
        <w:r w:rsidRPr="00207920">
          <w:rPr>
            <w:szCs w:val="24"/>
          </w:rPr>
          <w:t>https://etalpykla.lituanistikadb.lt/object/LT-LDB-0001:J.04~2018~1571403730899/J.04~2018~1571403730899.pdf</w:t>
        </w:r>
      </w:hyperlink>
      <w:r w:rsidRPr="00207920">
        <w:rPr>
          <w:szCs w:val="24"/>
        </w:rPr>
        <w:t xml:space="preserve"> </w:t>
      </w:r>
    </w:p>
    <w:p w:rsidR="00207920" w:rsidRPr="00207920" w:rsidP="00D86ACE" w14:paraId="230EE090" w14:textId="77777777">
      <w:pPr>
        <w:pStyle w:val="Normal1"/>
        <w:rPr>
          <w:szCs w:val="24"/>
        </w:rPr>
      </w:pPr>
      <w:r w:rsidRPr="00207920">
        <w:rPr>
          <w:szCs w:val="24"/>
        </w:rPr>
        <w:t>Butu</w:t>
      </w:r>
      <w:r w:rsidRPr="00207920">
        <w:rPr>
          <w:szCs w:val="24"/>
        </w:rPr>
        <w:t xml:space="preserve">, A., </w:t>
      </w:r>
      <w:r w:rsidRPr="00207920">
        <w:rPr>
          <w:szCs w:val="24"/>
        </w:rPr>
        <w:t>Brumă</w:t>
      </w:r>
      <w:r w:rsidRPr="00207920">
        <w:rPr>
          <w:szCs w:val="24"/>
        </w:rPr>
        <w:t xml:space="preserve">, I.S., </w:t>
      </w:r>
      <w:r w:rsidRPr="00207920">
        <w:rPr>
          <w:szCs w:val="24"/>
        </w:rPr>
        <w:t>Tanasă</w:t>
      </w:r>
      <w:r w:rsidRPr="00207920">
        <w:rPr>
          <w:szCs w:val="24"/>
        </w:rPr>
        <w:t xml:space="preserve">, L., </w:t>
      </w:r>
      <w:r w:rsidRPr="00207920">
        <w:rPr>
          <w:szCs w:val="24"/>
        </w:rPr>
        <w:t>Rodino</w:t>
      </w:r>
      <w:r w:rsidRPr="00207920">
        <w:rPr>
          <w:szCs w:val="24"/>
        </w:rPr>
        <w:t xml:space="preserve">, S., Dinu </w:t>
      </w:r>
      <w:r w:rsidRPr="00207920">
        <w:rPr>
          <w:szCs w:val="24"/>
        </w:rPr>
        <w:t>Vasiliu</w:t>
      </w:r>
      <w:r w:rsidRPr="00207920">
        <w:rPr>
          <w:szCs w:val="24"/>
        </w:rPr>
        <w:t xml:space="preserve">, C., </w:t>
      </w:r>
      <w:r w:rsidRPr="00207920">
        <w:rPr>
          <w:szCs w:val="24"/>
        </w:rPr>
        <w:t>Doboș</w:t>
      </w:r>
      <w:r w:rsidRPr="00207920">
        <w:rPr>
          <w:szCs w:val="24"/>
        </w:rPr>
        <w:t xml:space="preserve">, S. and </w:t>
      </w:r>
      <w:r w:rsidRPr="00207920">
        <w:rPr>
          <w:szCs w:val="24"/>
        </w:rPr>
        <w:t>Butu</w:t>
      </w:r>
      <w:r w:rsidRPr="00207920">
        <w:rPr>
          <w:szCs w:val="24"/>
        </w:rPr>
        <w:t xml:space="preserve">, M., 2020. The impact of COVID-19 crisis upon the consumer buying behavior of fresh vegetables directly from local producers. Case study: The quarantined area of Suceava County, Romania. International journal of environmental research and public health, 17(15), p.5485. Available at: </w:t>
      </w:r>
      <w:hyperlink r:id="rId9" w:history="1">
        <w:r w:rsidRPr="00207920">
          <w:rPr>
            <w:szCs w:val="24"/>
          </w:rPr>
          <w:t>https://www.mdpi.com/1660-4601/17/15/5485/pdf</w:t>
        </w:r>
      </w:hyperlink>
      <w:r w:rsidRPr="00207920">
        <w:rPr>
          <w:szCs w:val="24"/>
        </w:rPr>
        <w:t xml:space="preserve"> </w:t>
      </w:r>
    </w:p>
    <w:p w:rsidR="00207920" w:rsidRPr="00207920" w:rsidP="00D86ACE" w14:paraId="0CC9CADC" w14:textId="77777777">
      <w:pPr>
        <w:pStyle w:val="Normal1"/>
        <w:rPr>
          <w:szCs w:val="24"/>
        </w:rPr>
      </w:pPr>
      <w:r w:rsidRPr="00207920">
        <w:rPr>
          <w:szCs w:val="24"/>
        </w:rPr>
        <w:t xml:space="preserve">Carmody, S., Murray, A., </w:t>
      </w:r>
      <w:r w:rsidRPr="00207920">
        <w:rPr>
          <w:szCs w:val="24"/>
        </w:rPr>
        <w:t>Borodina</w:t>
      </w:r>
      <w:r w:rsidRPr="00207920">
        <w:rPr>
          <w:szCs w:val="24"/>
        </w:rPr>
        <w:t xml:space="preserve">, M., </w:t>
      </w:r>
      <w:r w:rsidRPr="00207920">
        <w:rPr>
          <w:szCs w:val="24"/>
        </w:rPr>
        <w:t>Gouttebarge</w:t>
      </w:r>
      <w:r w:rsidRPr="00207920">
        <w:rPr>
          <w:szCs w:val="24"/>
        </w:rPr>
        <w:t xml:space="preserve">, V. and Massey, A., 2020. When can professional sport recommence safely during the COVID-19 pandemic? Risk assessment and factors to consider. British journal of sports medicine, 54(16), pp.946-948. Available at: </w:t>
      </w:r>
      <w:hyperlink r:id="rId10" w:history="1">
        <w:r w:rsidRPr="00207920">
          <w:rPr>
            <w:szCs w:val="24"/>
          </w:rPr>
          <w:t>https://bjsm.bmj.com/content/bjsports/54/16/946.full.pdf</w:t>
        </w:r>
      </w:hyperlink>
      <w:r w:rsidRPr="00207920">
        <w:rPr>
          <w:szCs w:val="24"/>
        </w:rPr>
        <w:t xml:space="preserve"> </w:t>
      </w:r>
    </w:p>
    <w:p w:rsidR="00207920" w:rsidRPr="00207920" w:rsidP="00D86ACE" w14:paraId="34780588" w14:textId="77777777">
      <w:pPr>
        <w:pStyle w:val="Normal1"/>
        <w:rPr>
          <w:szCs w:val="24"/>
        </w:rPr>
      </w:pPr>
      <w:r w:rsidRPr="00207920">
        <w:rPr>
          <w:szCs w:val="24"/>
        </w:rPr>
        <w:t>Cowling, M., Brown, R. and Rocha, A., 2020. &lt;? covid19?&gt; Did you save some cash for a rainy COVID-19 day? The crisis and SMEs. International Small Business Journal, 38(7), pp.593-604. Available at:</w:t>
      </w:r>
      <w:hyperlink r:id="rId11" w:history="1">
        <w:r w:rsidRPr="00207920">
          <w:rPr>
            <w:szCs w:val="24"/>
          </w:rPr>
          <w:t xml:space="preserve"> </w:t>
        </w:r>
      </w:hyperlink>
      <w:hyperlink r:id="rId11" w:history="1">
        <w:r w:rsidRPr="00207920">
          <w:rPr>
            <w:szCs w:val="24"/>
          </w:rPr>
          <w:t>https://journals.sagepub.com/doi/full/10.1177/0266242620945102</w:t>
        </w:r>
      </w:hyperlink>
    </w:p>
    <w:p w:rsidR="00207920" w:rsidRPr="00207920" w:rsidP="00D86ACE" w14:paraId="7B79014D" w14:textId="77777777">
      <w:pPr>
        <w:pStyle w:val="Normal1"/>
        <w:rPr>
          <w:szCs w:val="24"/>
        </w:rPr>
      </w:pPr>
      <w:r w:rsidRPr="00207920">
        <w:rPr>
          <w:szCs w:val="24"/>
        </w:rPr>
        <w:t xml:space="preserve">Jones, P. and Comfort, D., 2019. An exploratory case study of resilience and the leading retailers in the UK. International Journal of Management Cases, 21(4), pp.5-18. Available at: </w:t>
      </w:r>
      <w:hyperlink r:id="rId12" w:anchor="page=5" w:history="1">
        <w:r w:rsidRPr="00207920">
          <w:rPr>
            <w:szCs w:val="24"/>
          </w:rPr>
          <w:t>https://www.circleinternational.co.uk/wp-content/uploads/2021/01/21.4.pdf#page=5</w:t>
        </w:r>
      </w:hyperlink>
    </w:p>
    <w:p w:rsidR="00207920" w:rsidRPr="00207920" w:rsidP="00D86ACE" w14:paraId="6C33F170" w14:textId="77777777">
      <w:pPr>
        <w:pStyle w:val="Normal1"/>
        <w:rPr>
          <w:szCs w:val="24"/>
        </w:rPr>
      </w:pPr>
      <w:r w:rsidRPr="00207920">
        <w:rPr>
          <w:szCs w:val="24"/>
        </w:rPr>
        <w:t xml:space="preserve">Jones, P., Wynn, M. and Comfort, D., 2020. SDG 12, Sustainable consumption and the UK’s leading retailers. RESPONSIBLE CONSUMPTION AND PRODUCTION, p.7. Available at: </w:t>
      </w:r>
      <w:hyperlink r:id="rId13" w:anchor="page=26" w:history="1">
        <w:r w:rsidRPr="00207920">
          <w:rPr>
            <w:szCs w:val="24"/>
          </w:rPr>
          <w:t>https://library.oapen.org/bitstream/handle/20.500.12657/49695/9783038978725.pdf?sequence=1#page=26</w:t>
        </w:r>
      </w:hyperlink>
    </w:p>
    <w:p w:rsidR="00207920" w:rsidRPr="00207920" w:rsidP="00D86ACE" w14:paraId="1FC2494E" w14:textId="77777777">
      <w:pPr>
        <w:pStyle w:val="Normal1"/>
        <w:rPr>
          <w:szCs w:val="24"/>
        </w:rPr>
      </w:pPr>
      <w:r w:rsidRPr="00207920">
        <w:rPr>
          <w:szCs w:val="24"/>
        </w:rPr>
        <w:t>Khatib, S.F. and Nour, A.N.I., 2021. The impact of corporate governance on firm performance during the COVID-19 pandemic: evidence from Malaysia. Journal of Asian Finance, Economics and Business, 8(2), pp.0943-0952. Available at:</w:t>
      </w:r>
      <w:hyperlink r:id="rId14" w:history="1">
        <w:r w:rsidRPr="00207920">
          <w:rPr>
            <w:szCs w:val="24"/>
          </w:rPr>
          <w:t xml:space="preserve"> </w:t>
        </w:r>
      </w:hyperlink>
      <w:hyperlink r:id="rId14" w:history="1">
        <w:r w:rsidRPr="00207920">
          <w:rPr>
            <w:szCs w:val="24"/>
          </w:rPr>
          <w:t>https://papers.ssrn.com/sol3/papers.cfm?abstract_id=3762393</w:t>
        </w:r>
      </w:hyperlink>
    </w:p>
    <w:p w:rsidR="00207920" w:rsidRPr="00207920" w:rsidP="00D86ACE" w14:paraId="7B82F34C" w14:textId="77777777">
      <w:pPr>
        <w:pStyle w:val="Normal1"/>
        <w:rPr>
          <w:szCs w:val="24"/>
        </w:rPr>
      </w:pPr>
      <w:r w:rsidRPr="00207920">
        <w:rPr>
          <w:szCs w:val="24"/>
        </w:rPr>
        <w:t>Martín-</w:t>
      </w:r>
      <w:r w:rsidRPr="00207920">
        <w:rPr>
          <w:szCs w:val="24"/>
        </w:rPr>
        <w:t>Herrán</w:t>
      </w:r>
      <w:r w:rsidRPr="00207920">
        <w:rPr>
          <w:szCs w:val="24"/>
        </w:rPr>
        <w:t xml:space="preserve">, G. and </w:t>
      </w:r>
      <w:r w:rsidRPr="00207920">
        <w:rPr>
          <w:szCs w:val="24"/>
        </w:rPr>
        <w:t>Sigué</w:t>
      </w:r>
      <w:r w:rsidRPr="00207920">
        <w:rPr>
          <w:szCs w:val="24"/>
        </w:rPr>
        <w:t xml:space="preserve">, S.P., 2019. Offensive and defensive marketing in spatial competition. Journal of Service Research, 22(2), pp.189-201. Available at: </w:t>
      </w:r>
      <w:hyperlink r:id="rId15" w:history="1">
        <w:r w:rsidRPr="00207920">
          <w:rPr>
            <w:szCs w:val="24"/>
          </w:rPr>
          <w:t>https://uvadoc.uva.es/bitstream/handle/10324/37927/MartinHerran_Sigue.pdf?sequence=1&amp;isAllowed=y</w:t>
        </w:r>
      </w:hyperlink>
      <w:r w:rsidRPr="00207920">
        <w:rPr>
          <w:szCs w:val="24"/>
        </w:rPr>
        <w:t xml:space="preserve"> </w:t>
      </w:r>
    </w:p>
    <w:p w:rsidR="00207920" w:rsidRPr="00207920" w:rsidP="00D86ACE" w14:paraId="69BCB320" w14:textId="77777777">
      <w:pPr>
        <w:pStyle w:val="Normal1"/>
        <w:rPr>
          <w:szCs w:val="24"/>
        </w:rPr>
      </w:pPr>
      <w:r w:rsidRPr="00207920">
        <w:rPr>
          <w:szCs w:val="24"/>
        </w:rPr>
        <w:t>Poorrezaei</w:t>
      </w:r>
      <w:r w:rsidRPr="00207920">
        <w:rPr>
          <w:szCs w:val="24"/>
        </w:rPr>
        <w:t xml:space="preserve">, M., </w:t>
      </w:r>
      <w:r w:rsidRPr="00207920">
        <w:rPr>
          <w:szCs w:val="24"/>
        </w:rPr>
        <w:t>Pich</w:t>
      </w:r>
      <w:r w:rsidRPr="00207920">
        <w:rPr>
          <w:szCs w:val="24"/>
        </w:rPr>
        <w:t xml:space="preserve">, C. and Resnick, S., 2019. Investing the customer journey and the impact of online and offline touchpoints on brand loyalty in the context of a UK retailer. Available at: </w:t>
      </w:r>
      <w:hyperlink r:id="rId16" w:history="1">
        <w:r w:rsidRPr="00207920">
          <w:rPr>
            <w:szCs w:val="24"/>
          </w:rPr>
          <w:t>http://irep.ntu.ac.uk/id/eprint/36828/1/14042_Poorrezaei.pdf</w:t>
        </w:r>
      </w:hyperlink>
    </w:p>
    <w:p w:rsidR="00207920" w:rsidRPr="00207920" w:rsidP="00D86ACE" w14:paraId="0730D108" w14:textId="77777777">
      <w:pPr>
        <w:pStyle w:val="Normal1"/>
        <w:rPr>
          <w:szCs w:val="24"/>
        </w:rPr>
      </w:pPr>
      <w:r w:rsidRPr="00207920">
        <w:rPr>
          <w:szCs w:val="24"/>
        </w:rPr>
        <w:t>Qin, X., Huang, G., Shen, H. and Fu, M., 2020. COVID-19 pandemic and firm-level cash holding—moderating effect of goodwill and goodwill impairment. Emerging Markets Finance and Trade, 56(10), pp.2243-2258. Available at:</w:t>
      </w:r>
      <w:hyperlink r:id="rId17" w:history="1">
        <w:r w:rsidRPr="00207920">
          <w:rPr>
            <w:szCs w:val="24"/>
          </w:rPr>
          <w:t xml:space="preserve"> </w:t>
        </w:r>
      </w:hyperlink>
      <w:hyperlink r:id="rId17" w:history="1">
        <w:r w:rsidRPr="00207920">
          <w:rPr>
            <w:szCs w:val="24"/>
          </w:rPr>
          <w:t>https://www.tandfonline.com/doi/full/10.1080/1540496X.2020.1785864</w:t>
        </w:r>
      </w:hyperlink>
    </w:p>
    <w:p w:rsidR="00207920" w:rsidRPr="00207920" w:rsidP="00D86ACE" w14:paraId="76CFE3CA" w14:textId="77777777">
      <w:pPr>
        <w:pStyle w:val="Normal1"/>
        <w:rPr>
          <w:szCs w:val="24"/>
        </w:rPr>
      </w:pPr>
      <w:r w:rsidRPr="00207920">
        <w:rPr>
          <w:szCs w:val="24"/>
        </w:rPr>
        <w:t xml:space="preserve">Sabharwal, S., </w:t>
      </w:r>
      <w:r w:rsidRPr="00207920">
        <w:rPr>
          <w:szCs w:val="24"/>
        </w:rPr>
        <w:t>Ficke</w:t>
      </w:r>
      <w:r w:rsidRPr="00207920">
        <w:rPr>
          <w:szCs w:val="24"/>
        </w:rPr>
        <w:t xml:space="preserve">, J.R. and LaPorte, D.M., 2020. How we do it: modified residency programming and adoption of remote didactic curriculum during the COVID-19 pandemic. Journal of surgical education, 77(5), pp.1033-1036. Available at: </w:t>
      </w:r>
      <w:hyperlink r:id="rId18" w:history="1">
        <w:r w:rsidRPr="00207920">
          <w:rPr>
            <w:szCs w:val="24"/>
          </w:rPr>
          <w:t>https://www.ncbi.nlm.nih.gov/pmc/articles/pmc7253931/</w:t>
        </w:r>
      </w:hyperlink>
      <w:r w:rsidRPr="00207920">
        <w:rPr>
          <w:szCs w:val="24"/>
        </w:rPr>
        <w:t xml:space="preserve"> </w:t>
      </w:r>
    </w:p>
    <w:p w:rsidR="00207920" w:rsidRPr="00207920" w:rsidP="00D86ACE" w14:paraId="2062ABF4" w14:textId="77777777">
      <w:pPr>
        <w:pStyle w:val="Normal1"/>
        <w:rPr>
          <w:szCs w:val="24"/>
        </w:rPr>
      </w:pPr>
      <w:r w:rsidRPr="00207920">
        <w:rPr>
          <w:szCs w:val="24"/>
        </w:rPr>
        <w:t xml:space="preserve">Santoso, R., 2020. Review of Digital Marketing &amp; Business Sustainability of E-Commerce During Pandemic Covid19 </w:t>
      </w:r>
      <w:r w:rsidRPr="00207920">
        <w:rPr>
          <w:szCs w:val="24"/>
        </w:rPr>
        <w:t>In</w:t>
      </w:r>
      <w:r w:rsidRPr="00207920">
        <w:rPr>
          <w:szCs w:val="24"/>
        </w:rPr>
        <w:t xml:space="preserve"> Indonesia. JIET (</w:t>
      </w:r>
      <w:r w:rsidRPr="00207920">
        <w:rPr>
          <w:szCs w:val="24"/>
        </w:rPr>
        <w:t>Jurnal</w:t>
      </w:r>
      <w:r w:rsidRPr="00207920">
        <w:rPr>
          <w:szCs w:val="24"/>
        </w:rPr>
        <w:t xml:space="preserve"> </w:t>
      </w:r>
      <w:r w:rsidRPr="00207920">
        <w:rPr>
          <w:szCs w:val="24"/>
        </w:rPr>
        <w:t>Ilmu</w:t>
      </w:r>
      <w:r w:rsidRPr="00207920">
        <w:rPr>
          <w:szCs w:val="24"/>
        </w:rPr>
        <w:t xml:space="preserve"> Ekonomi </w:t>
      </w:r>
      <w:r w:rsidRPr="00207920">
        <w:rPr>
          <w:szCs w:val="24"/>
        </w:rPr>
        <w:t>Terapan</w:t>
      </w:r>
      <w:r w:rsidRPr="00207920">
        <w:rPr>
          <w:szCs w:val="24"/>
        </w:rPr>
        <w:t xml:space="preserve">), 5(2), pp.36-48. Available at: </w:t>
      </w:r>
      <w:hyperlink r:id="rId19" w:history="1">
        <w:r w:rsidRPr="00207920">
          <w:rPr>
            <w:szCs w:val="24"/>
          </w:rPr>
          <w:t>https://www.e-journal.unair.ac.id/JIET/article/download/23614/12950</w:t>
        </w:r>
      </w:hyperlink>
      <w:r w:rsidRPr="00207920">
        <w:rPr>
          <w:szCs w:val="24"/>
        </w:rPr>
        <w:t xml:space="preserve"> </w:t>
      </w:r>
    </w:p>
    <w:p w:rsidR="00207920" w:rsidRPr="00207920" w:rsidP="00D86ACE" w14:paraId="046B74F4" w14:textId="77777777">
      <w:pPr>
        <w:pStyle w:val="Normal1"/>
        <w:rPr>
          <w:szCs w:val="24"/>
        </w:rPr>
      </w:pPr>
      <w:r w:rsidRPr="00207920">
        <w:rPr>
          <w:szCs w:val="24"/>
        </w:rPr>
        <w:t xml:space="preserve">Upadhyay, A., Kumar, A. and </w:t>
      </w:r>
      <w:r w:rsidRPr="00207920">
        <w:rPr>
          <w:szCs w:val="24"/>
        </w:rPr>
        <w:t>Akter</w:t>
      </w:r>
      <w:r w:rsidRPr="00207920">
        <w:rPr>
          <w:szCs w:val="24"/>
        </w:rPr>
        <w:t xml:space="preserve">, S., 2021. An analysis of UK retailers’ initiatives towards circular economy transition and policy-driven directions. Clean Technologies and Environmental Policy, pp.1-9. Available at: </w:t>
      </w:r>
      <w:hyperlink r:id="rId20" w:history="1">
        <w:r w:rsidRPr="00207920">
          <w:rPr>
            <w:szCs w:val="24"/>
          </w:rPr>
          <w:t>http://repository.londonmet.ac.uk/6197/1/Revised%20Manuscript.pdf</w:t>
        </w:r>
      </w:hyperlink>
    </w:p>
    <w:p w:rsidR="00207920" w:rsidRPr="00207920" w:rsidP="00D86ACE" w14:paraId="297268CB" w14:textId="77777777">
      <w:pPr>
        <w:pStyle w:val="Normal1"/>
        <w:rPr>
          <w:szCs w:val="24"/>
        </w:rPr>
      </w:pPr>
      <w:r w:rsidRPr="00207920">
        <w:rPr>
          <w:szCs w:val="24"/>
        </w:rPr>
        <w:t>Valaskova</w:t>
      </w:r>
      <w:r w:rsidRPr="00207920">
        <w:rPr>
          <w:szCs w:val="24"/>
        </w:rPr>
        <w:t xml:space="preserve">, K., </w:t>
      </w:r>
      <w:r w:rsidRPr="00207920">
        <w:rPr>
          <w:szCs w:val="24"/>
        </w:rPr>
        <w:t>Durana</w:t>
      </w:r>
      <w:r w:rsidRPr="00207920">
        <w:rPr>
          <w:szCs w:val="24"/>
        </w:rPr>
        <w:t xml:space="preserve">, P. and </w:t>
      </w:r>
      <w:r w:rsidRPr="00207920">
        <w:rPr>
          <w:szCs w:val="24"/>
        </w:rPr>
        <w:t>Adamko</w:t>
      </w:r>
      <w:r w:rsidRPr="00207920">
        <w:rPr>
          <w:szCs w:val="24"/>
        </w:rPr>
        <w:t xml:space="preserve">, P., 2021. Changes in consumers’ purchase patterns as a consequence of the COVID-19 pandemic. Mathematics, 9(15), p.1788. Available at: </w:t>
      </w:r>
      <w:hyperlink r:id="rId21" w:history="1">
        <w:r w:rsidRPr="00207920">
          <w:rPr>
            <w:szCs w:val="24"/>
          </w:rPr>
          <w:t>https://www.mdpi.com/2227-7390/9/15/1788/pdf</w:t>
        </w:r>
      </w:hyperlink>
      <w:r w:rsidRPr="00207920">
        <w:rPr>
          <w:szCs w:val="24"/>
        </w:rPr>
        <w:t xml:space="preserve"> </w:t>
      </w:r>
    </w:p>
    <w:p w:rsidR="00207920" w:rsidRPr="00207920" w:rsidP="00D86ACE" w14:paraId="252AF769" w14:textId="77777777">
      <w:pPr>
        <w:pStyle w:val="Normal1"/>
        <w:rPr>
          <w:szCs w:val="24"/>
        </w:rPr>
      </w:pPr>
      <w:r w:rsidRPr="00207920">
        <w:rPr>
          <w:szCs w:val="24"/>
        </w:rPr>
        <w:t xml:space="preserve">von Wachter, T., 2020. Lost generations: long‐term effects of the COVID‐19 crisis on job losers and </w:t>
      </w:r>
      <w:r w:rsidRPr="00207920">
        <w:rPr>
          <w:szCs w:val="24"/>
        </w:rPr>
        <w:t>labour</w:t>
      </w:r>
      <w:r w:rsidRPr="00207920">
        <w:rPr>
          <w:szCs w:val="24"/>
        </w:rPr>
        <w:t xml:space="preserve"> market entrants, and options for policy. Fiscal Studies, 41(3), pp.549-590. Available at:</w:t>
      </w:r>
      <w:hyperlink r:id="rId22" w:history="1">
        <w:r w:rsidRPr="00207920">
          <w:rPr>
            <w:szCs w:val="24"/>
          </w:rPr>
          <w:t xml:space="preserve"> </w:t>
        </w:r>
      </w:hyperlink>
      <w:hyperlink r:id="rId22" w:history="1">
        <w:r w:rsidRPr="00207920">
          <w:rPr>
            <w:szCs w:val="24"/>
          </w:rPr>
          <w:t>https://onlinelibrary.wiley.com/doi/full/10.1111/1475-5890.12247</w:t>
        </w:r>
      </w:hyperlink>
    </w:p>
    <w:p w:rsidR="00207920" w:rsidRPr="00207920" w:rsidP="00D86ACE" w14:paraId="7C622B71" w14:textId="77777777">
      <w:pPr>
        <w:pStyle w:val="Normal1"/>
        <w:rPr>
          <w:szCs w:val="24"/>
        </w:rPr>
      </w:pPr>
      <w:r w:rsidRPr="00207920">
        <w:rPr>
          <w:szCs w:val="24"/>
        </w:rPr>
        <w:t>Vozzola</w:t>
      </w:r>
      <w:r w:rsidRPr="00207920">
        <w:rPr>
          <w:szCs w:val="24"/>
        </w:rPr>
        <w:t>, M., 2020. The support of graphic representation for the analysis of the distribution and the preparation of temporary works in the post pandemic period. VITRUVIO-International Journal of Architectural Technology and Sustainability, 5(2), pp.39-54. Available at:</w:t>
      </w:r>
      <w:hyperlink r:id="rId23" w:history="1">
        <w:r w:rsidRPr="00207920">
          <w:rPr>
            <w:szCs w:val="24"/>
          </w:rPr>
          <w:t xml:space="preserve"> </w:t>
        </w:r>
      </w:hyperlink>
      <w:hyperlink r:id="rId23" w:history="1">
        <w:r w:rsidRPr="00207920">
          <w:rPr>
            <w:szCs w:val="24"/>
          </w:rPr>
          <w:t>https://riunet.upv.es/handle/10251/159676</w:t>
        </w:r>
      </w:hyperlink>
    </w:p>
    <w:p w:rsidR="00207920" w:rsidRPr="00207920" w:rsidP="00D86ACE" w14:paraId="5D298602" w14:textId="77777777">
      <w:pPr>
        <w:pStyle w:val="Normal1"/>
        <w:rPr>
          <w:highlight w:val="white"/>
        </w:rPr>
      </w:pPr>
      <w:r w:rsidRPr="00207920">
        <w:rPr>
          <w:highlight w:val="white"/>
        </w:rPr>
        <w:t xml:space="preserve">Wiedemann, S.G., Biggs, L., </w:t>
      </w:r>
      <w:r w:rsidRPr="00207920">
        <w:rPr>
          <w:highlight w:val="white"/>
        </w:rPr>
        <w:t>Nebel</w:t>
      </w:r>
      <w:r w:rsidRPr="00207920">
        <w:rPr>
          <w:highlight w:val="white"/>
        </w:rPr>
        <w:t xml:space="preserve">, B., </w:t>
      </w:r>
      <w:r w:rsidRPr="00207920">
        <w:rPr>
          <w:highlight w:val="white"/>
        </w:rPr>
        <w:t>Bauch</w:t>
      </w:r>
      <w:r w:rsidRPr="00207920">
        <w:rPr>
          <w:highlight w:val="white"/>
        </w:rPr>
        <w:t xml:space="preserve">, K., </w:t>
      </w:r>
      <w:r w:rsidRPr="00207920">
        <w:rPr>
          <w:highlight w:val="white"/>
        </w:rPr>
        <w:t>Laitala</w:t>
      </w:r>
      <w:r w:rsidRPr="00207920">
        <w:rPr>
          <w:highlight w:val="white"/>
        </w:rPr>
        <w:t xml:space="preserve">, K., </w:t>
      </w:r>
      <w:r w:rsidRPr="00207920">
        <w:rPr>
          <w:highlight w:val="white"/>
        </w:rPr>
        <w:t>Klepp</w:t>
      </w:r>
      <w:r w:rsidRPr="00207920">
        <w:rPr>
          <w:highlight w:val="white"/>
        </w:rPr>
        <w:t xml:space="preserve">, I.G., Swan, P.G. and Watson, K., 2020. Environmental impacts associated with the production, use, and end-of-life of a </w:t>
      </w:r>
      <w:r w:rsidRPr="00207920">
        <w:rPr>
          <w:highlight w:val="white"/>
        </w:rPr>
        <w:t>woollen</w:t>
      </w:r>
      <w:r w:rsidRPr="00207920">
        <w:rPr>
          <w:highlight w:val="white"/>
        </w:rPr>
        <w:t xml:space="preserve"> garment. The international journal of life cycle assessment, 25(8), pp.1486-1499.Available </w:t>
      </w:r>
      <w:r w:rsidRPr="00207920">
        <w:rPr>
          <w:highlight w:val="white"/>
        </w:rPr>
        <w:t>at:</w:t>
      </w:r>
      <w:hyperlink r:id="rId24" w:history="1">
        <w:r w:rsidRPr="00207920">
          <w:rPr>
            <w:highlight w:val="white"/>
          </w:rPr>
          <w:t>https</w:t>
        </w:r>
        <w:r w:rsidRPr="00207920">
          <w:rPr>
            <w:highlight w:val="white"/>
          </w:rPr>
          <w:t>://link.springer.com/article/10.1007/s11367-020-01766-0</w:t>
        </w:r>
      </w:hyperlink>
    </w:p>
    <w:p w:rsidR="00207920" w:rsidRPr="00207920" w:rsidP="00D86ACE" w14:paraId="1D06F397" w14:textId="77777777">
      <w:pPr>
        <w:pStyle w:val="Normal1"/>
        <w:rPr>
          <w:szCs w:val="24"/>
        </w:rPr>
      </w:pPr>
      <w:r w:rsidRPr="00207920">
        <w:rPr>
          <w:szCs w:val="24"/>
        </w:rPr>
        <w:t xml:space="preserve">Williams, C.C. and </w:t>
      </w:r>
      <w:r w:rsidRPr="00207920">
        <w:rPr>
          <w:szCs w:val="24"/>
        </w:rPr>
        <w:t>Kayaoglu</w:t>
      </w:r>
      <w:r w:rsidRPr="00207920">
        <w:rPr>
          <w:szCs w:val="24"/>
        </w:rPr>
        <w:t>, A., 2020. The coronavirus pandemic and Europe’s undeclared economy: Impacts and a policy proposal. South East European Journal of Economics and Business, 15(1), pp.80-92. Available at:</w:t>
      </w:r>
      <w:hyperlink r:id="rId25" w:history="1">
        <w:r w:rsidRPr="00207920">
          <w:rPr>
            <w:szCs w:val="24"/>
          </w:rPr>
          <w:t xml:space="preserve"> </w:t>
        </w:r>
      </w:hyperlink>
      <w:hyperlink r:id="rId25" w:history="1">
        <w:r w:rsidRPr="00207920">
          <w:rPr>
            <w:szCs w:val="24"/>
          </w:rPr>
          <w:t>https://eprints.whiterose.ac.uk/164515/</w:t>
        </w:r>
      </w:hyperlink>
    </w:p>
    <w:p w:rsidR="00207920" w:rsidRPr="00207920" w:rsidP="00D86ACE" w14:paraId="2EBB9ACF" w14:textId="77777777">
      <w:pPr>
        <w:pStyle w:val="Normal1"/>
        <w:rPr>
          <w:szCs w:val="24"/>
        </w:rPr>
      </w:pPr>
      <w:r w:rsidRPr="00207920">
        <w:rPr>
          <w:szCs w:val="24"/>
        </w:rPr>
        <w:t xml:space="preserve">Zhang, L., Wu, L., Huang, L. and Zhang, Y., 2021. Wield the power of omni-channel retailing strategy: a capability and supply chain resilience perspective. Journal of Strategic Marketing, pp.1-25. Available at: </w:t>
      </w:r>
      <w:hyperlink r:id="rId26" w:history="1">
        <w:r w:rsidRPr="00207920">
          <w:rPr>
            <w:szCs w:val="24"/>
          </w:rPr>
          <w:t>https://www.tandfonline.com/doi/pdf/10.1080/0965254X.2021.1972440</w:t>
        </w:r>
      </w:hyperlink>
    </w:p>
    <w:p w:rsidR="00207920" w:rsidRPr="00207920" w:rsidP="00D86ACE" w14:paraId="6E2EBE74" w14:textId="77777777">
      <w:pPr>
        <w:pStyle w:val="Normal1"/>
        <w:rPr>
          <w:szCs w:val="24"/>
        </w:rPr>
      </w:pPr>
      <w:r w:rsidRPr="00207920">
        <w:rPr>
          <w:szCs w:val="24"/>
        </w:rPr>
        <w:t xml:space="preserve">Zhang, Y., 2021. The Socially Responsible Innovations of Mobile Retailer: A Case Study Approach. Academic Journal of Business &amp; Management, 3(12). Available at: </w:t>
      </w:r>
      <w:hyperlink r:id="rId27" w:history="1">
        <w:r w:rsidRPr="00207920">
          <w:rPr>
            <w:szCs w:val="24"/>
          </w:rPr>
          <w:t>https://francis-press.com/uploads/papers/u1HECGafSlEXcBBNfsXSXbc6uevMmxiDJmDrMj9J.pdf</w:t>
        </w:r>
      </w:hyperlink>
    </w:p>
    <w:sectPr w:rsidSect="00207920">
      <w:footerReference w:type="default" r:id="rId28"/>
      <w:pgSz w:w="12240" w:h="15840"/>
      <w:pgMar w:top="1440" w:right="1440" w:bottom="1440" w:left="1440" w:header="720" w:footer="720" w:gutter="0"/>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885447626"/>
      <w:docPartObj>
        <w:docPartGallery w:val="Page Numbers (Bottom of Page)"/>
        <w:docPartUnique/>
      </w:docPartObj>
    </w:sdtPr>
    <w:sdtContent>
      <w:sdt>
        <w:sdtPr>
          <w:id w:val="565050523"/>
          <w:docPartObj>
            <w:docPartGallery w:val="Page Numbers (Top of Page)"/>
            <w:docPartUnique/>
          </w:docPartObj>
        </w:sdtPr>
        <w:sdtContent>
          <w:p w:rsidR="00207920" w14:paraId="1D379A81" w14:textId="77777777">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DC343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C3434">
              <w:rPr>
                <w:b/>
                <w:noProof/>
              </w:rPr>
              <w:t>15</w:t>
            </w:r>
            <w:r>
              <w:rPr>
                <w:b/>
                <w:sz w:val="24"/>
                <w:szCs w:val="24"/>
              </w:rPr>
              <w:fldChar w:fldCharType="end"/>
            </w:r>
          </w:p>
        </w:sdtContent>
      </w:sdt>
    </w:sdtContent>
  </w:sdt>
  <w:p w:rsidR="00207920" w14:paraId="792F1802"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1B57C09"/>
    <w:multiLevelType w:val="hybridMultilevel"/>
    <w:tmpl w:val="821CDD6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325C38F9"/>
    <w:multiLevelType w:val="multilevel"/>
    <w:tmpl w:val="B26A13B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1CF5307"/>
    <w:multiLevelType w:val="multilevel"/>
    <w:tmpl w:val="F4B66AA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7CB749E"/>
    <w:multiLevelType w:val="multilevel"/>
    <w:tmpl w:val="48FA26F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1DA66BD"/>
    <w:multiLevelType w:val="multilevel"/>
    <w:tmpl w:val="11E6E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7AF7325"/>
    <w:multiLevelType w:val="multilevel"/>
    <w:tmpl w:val="2B9EA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D9A"/>
    <w:rsid w:val="00207920"/>
    <w:rsid w:val="00636D9A"/>
    <w:rsid w:val="0075664A"/>
    <w:rsid w:val="008D3B5F"/>
    <w:rsid w:val="00947DDC"/>
    <w:rsid w:val="00A60D38"/>
    <w:rsid w:val="00D86ACE"/>
    <w:rsid w:val="00DC3434"/>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3221A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207920"/>
    <w:pPr>
      <w:keepNext/>
      <w:keepLines/>
      <w:spacing w:before="400" w:after="120"/>
      <w:outlineLvl w:val="0"/>
    </w:pPr>
    <w:rPr>
      <w:b/>
      <w:sz w:val="28"/>
      <w:szCs w:val="40"/>
    </w:rPr>
  </w:style>
  <w:style w:type="paragraph" w:styleId="Heading2">
    <w:name w:val="heading 2"/>
    <w:basedOn w:val="Normal1"/>
    <w:next w:val="Normal1"/>
    <w:rsid w:val="00207920"/>
    <w:pPr>
      <w:keepNext/>
      <w:keepLines/>
      <w:spacing w:before="360" w:after="120"/>
      <w:outlineLvl w:val="1"/>
    </w:pPr>
    <w:rPr>
      <w:b/>
      <w:szCs w:val="32"/>
    </w:rPr>
  </w:style>
  <w:style w:type="paragraph" w:styleId="Heading3">
    <w:name w:val="heading 3"/>
    <w:basedOn w:val="Normal1"/>
    <w:next w:val="Normal1"/>
    <w:rsid w:val="00636D9A"/>
    <w:pPr>
      <w:keepNext/>
      <w:keepLines/>
      <w:spacing w:before="320" w:after="80"/>
      <w:outlineLvl w:val="2"/>
    </w:pPr>
    <w:rPr>
      <w:color w:val="434343"/>
      <w:sz w:val="28"/>
      <w:szCs w:val="28"/>
    </w:rPr>
  </w:style>
  <w:style w:type="paragraph" w:styleId="Heading4">
    <w:name w:val="heading 4"/>
    <w:basedOn w:val="Normal1"/>
    <w:next w:val="Normal1"/>
    <w:rsid w:val="00636D9A"/>
    <w:pPr>
      <w:keepNext/>
      <w:keepLines/>
      <w:spacing w:before="280" w:after="80"/>
      <w:outlineLvl w:val="3"/>
    </w:pPr>
    <w:rPr>
      <w:color w:val="666666"/>
      <w:szCs w:val="24"/>
    </w:rPr>
  </w:style>
  <w:style w:type="paragraph" w:styleId="Heading5">
    <w:name w:val="heading 5"/>
    <w:basedOn w:val="Normal1"/>
    <w:next w:val="Normal1"/>
    <w:rsid w:val="00636D9A"/>
    <w:pPr>
      <w:keepNext/>
      <w:keepLines/>
      <w:spacing w:before="240" w:after="80"/>
      <w:outlineLvl w:val="4"/>
    </w:pPr>
    <w:rPr>
      <w:color w:val="666666"/>
      <w:sz w:val="22"/>
    </w:rPr>
  </w:style>
  <w:style w:type="paragraph" w:styleId="Heading6">
    <w:name w:val="heading 6"/>
    <w:basedOn w:val="Normal1"/>
    <w:next w:val="Normal1"/>
    <w:rsid w:val="00636D9A"/>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07920"/>
    <w:pPr>
      <w:spacing w:line="360" w:lineRule="auto"/>
      <w:jc w:val="both"/>
    </w:pPr>
    <w:rPr>
      <w:rFonts w:ascii="Times New Roman" w:hAnsi="Times New Roman"/>
      <w:sz w:val="24"/>
    </w:rPr>
  </w:style>
  <w:style w:type="paragraph" w:styleId="Title">
    <w:name w:val="Title"/>
    <w:basedOn w:val="Normal1"/>
    <w:next w:val="Normal1"/>
    <w:rsid w:val="00636D9A"/>
    <w:pPr>
      <w:keepNext/>
      <w:keepLines/>
      <w:spacing w:after="60"/>
    </w:pPr>
    <w:rPr>
      <w:sz w:val="52"/>
      <w:szCs w:val="52"/>
    </w:rPr>
  </w:style>
  <w:style w:type="paragraph" w:styleId="Subtitle">
    <w:name w:val="Subtitle"/>
    <w:basedOn w:val="Normal1"/>
    <w:next w:val="Normal1"/>
    <w:rsid w:val="00636D9A"/>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207920"/>
    <w:pPr>
      <w:tabs>
        <w:tab w:val="center" w:pos="4680"/>
        <w:tab w:val="right" w:pos="9360"/>
      </w:tabs>
      <w:spacing w:line="240" w:lineRule="auto"/>
    </w:pPr>
  </w:style>
  <w:style w:type="character" w:customStyle="1" w:styleId="HeaderChar">
    <w:name w:val="Header Char"/>
    <w:basedOn w:val="DefaultParagraphFont"/>
    <w:link w:val="Header"/>
    <w:uiPriority w:val="99"/>
    <w:rsid w:val="00207920"/>
  </w:style>
  <w:style w:type="paragraph" w:styleId="Footer">
    <w:name w:val="footer"/>
    <w:basedOn w:val="Normal"/>
    <w:link w:val="FooterChar"/>
    <w:uiPriority w:val="99"/>
    <w:unhideWhenUsed/>
    <w:rsid w:val="00207920"/>
    <w:pPr>
      <w:tabs>
        <w:tab w:val="center" w:pos="4680"/>
        <w:tab w:val="right" w:pos="9360"/>
      </w:tabs>
      <w:spacing w:line="240" w:lineRule="auto"/>
    </w:pPr>
  </w:style>
  <w:style w:type="character" w:customStyle="1" w:styleId="FooterChar">
    <w:name w:val="Footer Char"/>
    <w:basedOn w:val="DefaultParagraphFont"/>
    <w:link w:val="Footer"/>
    <w:uiPriority w:val="99"/>
    <w:rsid w:val="00207920"/>
  </w:style>
  <w:style w:type="paragraph" w:styleId="TOCHeading">
    <w:name w:val="TOC Heading"/>
    <w:basedOn w:val="Heading1"/>
    <w:next w:val="Normal"/>
    <w:uiPriority w:val="39"/>
    <w:semiHidden/>
    <w:unhideWhenUsed/>
    <w:qFormat/>
    <w:rsid w:val="0020792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07920"/>
    <w:pPr>
      <w:spacing w:after="100"/>
    </w:pPr>
  </w:style>
  <w:style w:type="paragraph" w:styleId="TOC2">
    <w:name w:val="toc 2"/>
    <w:basedOn w:val="Normal"/>
    <w:next w:val="Normal"/>
    <w:autoRedefine/>
    <w:uiPriority w:val="39"/>
    <w:unhideWhenUsed/>
    <w:rsid w:val="00207920"/>
    <w:pPr>
      <w:spacing w:after="100"/>
      <w:ind w:left="220"/>
    </w:pPr>
  </w:style>
  <w:style w:type="character" w:styleId="Hyperlink">
    <w:name w:val="Hyperlink"/>
    <w:basedOn w:val="DefaultParagraphFont"/>
    <w:uiPriority w:val="99"/>
    <w:unhideWhenUsed/>
    <w:rsid w:val="00207920"/>
    <w:rPr>
      <w:color w:val="0000FF" w:themeColor="hyperlink"/>
      <w:u w:val="single"/>
    </w:rPr>
  </w:style>
  <w:style w:type="paragraph" w:styleId="BalloonText">
    <w:name w:val="Balloon Text"/>
    <w:basedOn w:val="Normal"/>
    <w:link w:val="BalloonTextChar"/>
    <w:uiPriority w:val="99"/>
    <w:semiHidden/>
    <w:unhideWhenUsed/>
    <w:rsid w:val="002079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9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bjsm.bmj.com/content/bjsports/54/16/946.full.pdf" TargetMode="External" /><Relationship Id="rId11" Type="http://schemas.openxmlformats.org/officeDocument/2006/relationships/hyperlink" Target="https://journals.sagepub.com/doi/full/10.1177/0266242620945102" TargetMode="External" /><Relationship Id="rId12" Type="http://schemas.openxmlformats.org/officeDocument/2006/relationships/hyperlink" Target="https://www.circleinternational.co.uk/wp-content/uploads/2021/01/21.4.pdf" TargetMode="External" /><Relationship Id="rId13" Type="http://schemas.openxmlformats.org/officeDocument/2006/relationships/hyperlink" Target="https://library.oapen.org/bitstream/handle/20.500.12657/49695/9783038978725.pdf?sequence=1" TargetMode="External" /><Relationship Id="rId14" Type="http://schemas.openxmlformats.org/officeDocument/2006/relationships/hyperlink" Target="https://papers.ssrn.com/sol3/papers.cfm?abstract_id=3762393" TargetMode="External" /><Relationship Id="rId15" Type="http://schemas.openxmlformats.org/officeDocument/2006/relationships/hyperlink" Target="https://uvadoc.uva.es/bitstream/handle/10324/37927/MartinHerran_Sigue.pdf?sequence=1&amp;isAllowed=y" TargetMode="External" /><Relationship Id="rId16" Type="http://schemas.openxmlformats.org/officeDocument/2006/relationships/hyperlink" Target="http://irep.ntu.ac.uk/id/eprint/36828/1/14042_Poorrezaei.pdf" TargetMode="External" /><Relationship Id="rId17" Type="http://schemas.openxmlformats.org/officeDocument/2006/relationships/hyperlink" Target="https://www.tandfonline.com/doi/full/10.1080/1540496X.2020.1785864" TargetMode="External" /><Relationship Id="rId18" Type="http://schemas.openxmlformats.org/officeDocument/2006/relationships/hyperlink" Target="https://www.ncbi.nlm.nih.gov/pmc/articles/pmc7253931/" TargetMode="External" /><Relationship Id="rId19" Type="http://schemas.openxmlformats.org/officeDocument/2006/relationships/hyperlink" Target="https://www.e-journal.unair.ac.id/JIET/article/download/23614/12950" TargetMode="External" /><Relationship Id="rId2" Type="http://schemas.openxmlformats.org/officeDocument/2006/relationships/webSettings" Target="webSettings.xml" /><Relationship Id="rId20" Type="http://schemas.openxmlformats.org/officeDocument/2006/relationships/hyperlink" Target="http://repository.londonmet.ac.uk/6197/1/Revised%20Manuscript.pdf" TargetMode="External" /><Relationship Id="rId21" Type="http://schemas.openxmlformats.org/officeDocument/2006/relationships/hyperlink" Target="https://www.mdpi.com/2227-7390/9/15/1788/pdf" TargetMode="External" /><Relationship Id="rId22" Type="http://schemas.openxmlformats.org/officeDocument/2006/relationships/hyperlink" Target="https://onlinelibrary.wiley.com/doi/full/10.1111/1475-5890.12247" TargetMode="External" /><Relationship Id="rId23" Type="http://schemas.openxmlformats.org/officeDocument/2006/relationships/hyperlink" Target="https://riunet.upv.es/handle/10251/159676" TargetMode="External" /><Relationship Id="rId24" Type="http://schemas.openxmlformats.org/officeDocument/2006/relationships/hyperlink" Target="https://link.springer.com/article/10.1007/s11367-020-01766-0" TargetMode="External" /><Relationship Id="rId25" Type="http://schemas.openxmlformats.org/officeDocument/2006/relationships/hyperlink" Target="https://eprints.whiterose.ac.uk/164515/" TargetMode="External" /><Relationship Id="rId26" Type="http://schemas.openxmlformats.org/officeDocument/2006/relationships/hyperlink" Target="https://www.tandfonline.com/doi/pdf/10.1080/0965254X.2021.1972440" TargetMode="External" /><Relationship Id="rId27" Type="http://schemas.openxmlformats.org/officeDocument/2006/relationships/hyperlink" Target="https://francis-press.com/uploads/papers/u1HECGafSlEXcBBNfsXSXbc6uevMmxiDJmDrMj9J.pdf" TargetMode="External" /><Relationship Id="rId28" Type="http://schemas.openxmlformats.org/officeDocument/2006/relationships/footer" Target="footer1.xml" /><Relationship Id="rId29" Type="http://schemas.openxmlformats.org/officeDocument/2006/relationships/theme" Target="theme/theme1.xml" /><Relationship Id="rId3" Type="http://schemas.openxmlformats.org/officeDocument/2006/relationships/fontTable" Target="fontTable.xml" /><Relationship Id="rId30" Type="http://schemas.openxmlformats.org/officeDocument/2006/relationships/numbering" Target="numbering.xml" /><Relationship Id="rId31" Type="http://schemas.openxmlformats.org/officeDocument/2006/relationships/styles" Target="styles.xml" /><Relationship Id="rId4" Type="http://schemas.openxmlformats.org/officeDocument/2006/relationships/customXml" Target="../customXml/item1.xml" /><Relationship Id="rId5" Type="http://schemas.openxmlformats.org/officeDocument/2006/relationships/hyperlink" Target="https://www.euppublishing.com/doi/abs/10.3366/cost.2022.0219" TargetMode="External" /><Relationship Id="rId6" Type="http://schemas.openxmlformats.org/officeDocument/2006/relationships/hyperlink" Target="https://www.ncbi.nlm.nih.gov/pmc/articles/PMC7211678/" TargetMode="External" /><Relationship Id="rId7" Type="http://schemas.openxmlformats.org/officeDocument/2006/relationships/hyperlink" Target="https://www.nber.org/papers/w26989" TargetMode="External" /><Relationship Id="rId8" Type="http://schemas.openxmlformats.org/officeDocument/2006/relationships/hyperlink" Target="https://etalpykla.lituanistikadb.lt/object/LT-LDB-0001:J.04~2018~1571403730899/J.04~2018~1571403730899.pdf" TargetMode="External" /><Relationship Id="rId9" Type="http://schemas.openxmlformats.org/officeDocument/2006/relationships/hyperlink" Target="https://www.mdpi.com/1660-4601/17/15/548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53226B-8787-4126-8D4E-A36711729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5045</Words>
  <Characters>28762</Characters>
  <Application>Microsoft Office Word</Application>
  <DocSecurity>0</DocSecurity>
  <Lines>239</Lines>
  <Paragraphs>67</Paragraphs>
  <ScaleCrop>false</ScaleCrop>
  <Company/>
  <LinksUpToDate>false</LinksUpToDate>
  <CharactersWithSpaces>33740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created xsi:type="dcterms:W3CDTF">2022-04-14T16:16:00Z</dcterms:created>
  <dcterms:modified xsi:type="dcterms:W3CDTF">2022-04-14T16:16:00Z</dcterms:modified>
</cp:coreProperties>
</file>