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header1.xml" ContentType="application/vnd.openxmlformats-officedocument.wordprocessingml.header+xml"/>
  <Override PartName="/word/theme/theme1.xml" ContentType="application/vnd.openxmlformats-officedocument.theme+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word/_rels/header1.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Tahoma" w:hAnsi="Tahoma" w:cs="Tahoma"/>
          <w:color w:val="000000"/>
          <w:sz w:val="40"/>
          <w:szCs w:val="40"/>
        </w:rPr>
      </w:pPr>
      <w:r>
        <w:rPr>
          <w:rFonts w:cs="Tahoma" w:ascii="Tahoma" w:hAnsi="Tahoma"/>
          <w:color w:val="000000"/>
          <w:sz w:val="40"/>
          <w:szCs w:val="40"/>
        </w:rPr>
      </w:r>
    </w:p>
    <w:p>
      <w:pPr>
        <w:pStyle w:val="Normal"/>
        <w:jc w:val="center"/>
        <w:rPr>
          <w:rFonts w:ascii="Tahoma" w:hAnsi="Tahoma" w:cs="Tahoma"/>
          <w:color w:val="000000"/>
          <w:sz w:val="40"/>
          <w:szCs w:val="40"/>
        </w:rPr>
      </w:pPr>
      <w:r>
        <w:rPr>
          <w:rFonts w:cs="Tahoma" w:ascii="Tahoma" w:hAnsi="Tahoma"/>
          <w:color w:val="000000"/>
          <w:sz w:val="40"/>
          <w:szCs w:val="40"/>
        </w:rPr>
        <w:t xml:space="preserve">Module Assignment Submission </w:t>
      </w:r>
    </w:p>
    <w:p>
      <w:pPr>
        <w:pStyle w:val="Normal"/>
        <w:jc w:val="center"/>
        <w:rPr>
          <w:rFonts w:ascii="Tahoma" w:hAnsi="Tahoma" w:cs="Tahoma"/>
          <w:color w:val="000000"/>
          <w:sz w:val="40"/>
          <w:szCs w:val="40"/>
        </w:rPr>
      </w:pPr>
      <w:r>
        <w:rPr>
          <w:rFonts w:cs="Tahoma" w:ascii="Tahoma" w:hAnsi="Tahoma"/>
          <w:color w:val="000000"/>
          <w:sz w:val="40"/>
          <w:szCs w:val="40"/>
        </w:rPr>
        <w:t>Cover Page</w:t>
      </w:r>
    </w:p>
    <w:p>
      <w:pPr>
        <w:pStyle w:val="Normal"/>
        <w:jc w:val="center"/>
        <w:rPr>
          <w:rFonts w:ascii="Tahoma" w:hAnsi="Tahoma" w:cs="Tahoma"/>
          <w:color w:val="000000"/>
          <w:sz w:val="56"/>
          <w:szCs w:val="56"/>
        </w:rPr>
      </w:pPr>
      <w:r>
        <w:rPr>
          <w:rFonts w:cs="Tahoma" w:ascii="Tahoma" w:hAnsi="Tahoma"/>
          <w:color w:val="000000"/>
          <w:sz w:val="56"/>
          <w:szCs w:val="56"/>
        </w:rPr>
      </w:r>
    </w:p>
    <w:tbl>
      <w:tblPr>
        <w:tblW w:w="9823"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496"/>
        <w:gridCol w:w="6326"/>
      </w:tblGrid>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Name: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Hannah Pope</w:t>
            </w:r>
          </w:p>
        </w:tc>
      </w:tr>
      <w:tr>
        <w:trPr>
          <w:trHeight w:val="69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Student Number:</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32"/>
                <w:szCs w:val="32"/>
              </w:rPr>
            </w:pPr>
            <w:r>
              <w:rPr>
                <w:rFonts w:cs="Tahoma" w:ascii="Tahoma" w:hAnsi="Tahoma"/>
                <w:color w:val="FF0000"/>
                <w:sz w:val="32"/>
                <w:szCs w:val="32"/>
              </w:rPr>
              <w:t>1603172</w:t>
            </w:r>
          </w:p>
        </w:tc>
      </w:tr>
      <w:tr>
        <w:trPr>
          <w:trHeight w:val="684"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No:</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BMSK6003</w:t>
            </w:r>
          </w:p>
        </w:tc>
      </w:tr>
      <w:tr>
        <w:trPr>
          <w:trHeight w:val="693" w:hRule="atLeast"/>
        </w:trPr>
        <w:tc>
          <w:tcPr>
            <w:tcW w:w="3496"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before="120" w:after="120"/>
              <w:rPr>
                <w:rFonts w:ascii="Tahoma" w:hAnsi="Tahoma" w:cs="Tahoma"/>
                <w:sz w:val="40"/>
                <w:szCs w:val="40"/>
              </w:rPr>
            </w:pPr>
            <w:r>
              <w:rPr>
                <w:rFonts w:cs="Tahoma" w:ascii="Tahoma" w:hAnsi="Tahoma"/>
                <w:sz w:val="40"/>
                <w:szCs w:val="40"/>
              </w:rPr>
              <w:t>Module Title:</w:t>
            </w:r>
          </w:p>
        </w:tc>
        <w:tc>
          <w:tcPr>
            <w:tcW w:w="6326"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color w:val="FF0000"/>
                <w:sz w:val="32"/>
                <w:szCs w:val="32"/>
              </w:rPr>
            </w:pPr>
            <w:r>
              <w:rPr>
                <w:rFonts w:cs="Tahoma" w:ascii="Tahoma" w:hAnsi="Tahoma"/>
                <w:color w:val="FF0000"/>
                <w:sz w:val="32"/>
                <w:szCs w:val="32"/>
              </w:rPr>
              <w:t>Leading and Implementing Workplace Change.</w:t>
            </w:r>
          </w:p>
        </w:tc>
      </w:tr>
    </w:tbl>
    <w:p>
      <w:pPr>
        <w:pStyle w:val="Normal"/>
        <w:jc w:val="center"/>
        <w:rPr>
          <w:rFonts w:ascii="Tahoma" w:hAnsi="Tahoma" w:cs="Tahoma"/>
          <w:color w:val="FF0000"/>
          <w:sz w:val="52"/>
          <w:szCs w:val="52"/>
        </w:rPr>
      </w:pPr>
      <w:r>
        <w:rPr>
          <w:rFonts w:cs="Tahoma" w:ascii="Tahoma" w:hAnsi="Tahoma"/>
          <w:color w:val="FF0000"/>
          <w:sz w:val="52"/>
          <w:szCs w:val="52"/>
        </w:rPr>
      </w:r>
    </w:p>
    <w:p>
      <w:pPr>
        <w:pStyle w:val="Normal"/>
        <w:jc w:val="center"/>
        <w:rPr>
          <w:rFonts w:ascii="Tahoma" w:hAnsi="Tahoma" w:cs="Tahoma"/>
          <w:sz w:val="52"/>
          <w:szCs w:val="52"/>
        </w:rPr>
      </w:pPr>
      <w:r>
        <w:rPr>
          <w:rFonts w:cs="Tahoma" w:ascii="Tahoma" w:hAnsi="Tahoma"/>
          <w:sz w:val="52"/>
          <w:szCs w:val="52"/>
        </w:rPr>
      </w:r>
    </w:p>
    <w:tbl>
      <w:tblPr>
        <w:tblW w:w="9678"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3977"/>
        <w:gridCol w:w="5700"/>
      </w:tblGrid>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Date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2"/>
                <w:szCs w:val="32"/>
              </w:rPr>
            </w:pPr>
            <w:r>
              <w:rPr>
                <w:rFonts w:cs="Tahoma" w:ascii="Tahoma" w:hAnsi="Tahoma"/>
                <w:sz w:val="32"/>
                <w:szCs w:val="32"/>
              </w:rPr>
              <w:t>04/09/2022</w:t>
            </w:r>
          </w:p>
        </w:tc>
      </w:tr>
      <w:tr>
        <w:trPr/>
        <w:tc>
          <w:tcPr>
            <w:tcW w:w="3977"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rPr>
                <w:rFonts w:ascii="Tahoma" w:hAnsi="Tahoma" w:cs="Tahoma"/>
                <w:sz w:val="40"/>
                <w:szCs w:val="40"/>
              </w:rPr>
            </w:pPr>
            <w:r>
              <w:rPr>
                <w:rFonts w:cs="Tahoma" w:ascii="Tahoma" w:hAnsi="Tahoma"/>
                <w:sz w:val="40"/>
                <w:szCs w:val="40"/>
              </w:rPr>
              <w:t>Time submitted:</w:t>
            </w:r>
          </w:p>
        </w:tc>
        <w:tc>
          <w:tcPr>
            <w:tcW w:w="5700" w:type="dxa"/>
            <w:tcBorders>
              <w:top w:val="single" w:sz="4" w:space="0" w:color="000000"/>
              <w:left w:val="single" w:sz="4" w:space="0" w:color="000000"/>
              <w:bottom w:val="single" w:sz="4" w:space="0" w:color="000000"/>
              <w:right w:val="single" w:sz="4" w:space="0" w:color="000000"/>
            </w:tcBorders>
          </w:tcPr>
          <w:p>
            <w:pPr>
              <w:pStyle w:val="Normal"/>
              <w:widowControl w:val="false"/>
              <w:spacing w:before="120" w:after="120"/>
              <w:jc w:val="center"/>
              <w:rPr>
                <w:rFonts w:ascii="Tahoma" w:hAnsi="Tahoma" w:cs="Tahoma"/>
                <w:sz w:val="36"/>
                <w:szCs w:val="36"/>
              </w:rPr>
            </w:pPr>
            <w:r>
              <w:rPr>
                <w:rFonts w:cs="Tahoma" w:ascii="Tahoma" w:hAnsi="Tahoma"/>
                <w:sz w:val="36"/>
                <w:szCs w:val="36"/>
              </w:rPr>
            </w:r>
          </w:p>
        </w:tc>
      </w:tr>
    </w:tbl>
    <w:p>
      <w:pPr>
        <w:pStyle w:val="Normal"/>
        <w:spacing w:before="120" w:after="120"/>
        <w:rPr>
          <w:rFonts w:ascii="Calibri" w:hAnsi="Calibri"/>
          <w:color w:val="FF0000"/>
          <w:sz w:val="24"/>
          <w:szCs w:val="24"/>
        </w:rPr>
      </w:pPr>
      <w:r>
        <w:rPr>
          <w:color w:val="FF0000"/>
          <w:sz w:val="24"/>
          <w:szCs w:val="24"/>
        </w:rPr>
      </w:r>
    </w:p>
    <w:p>
      <w:pPr>
        <w:pStyle w:val="Normal"/>
        <w:spacing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br/>
        <w:t>qualification.</w:t>
      </w:r>
    </w:p>
    <w:p>
      <w:pPr>
        <w:pStyle w:val="Normal"/>
        <w:spacing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the University and ILM.</w:t>
      </w:r>
    </w:p>
    <w:p>
      <w:pPr>
        <w:pStyle w:val="Normal"/>
        <w:spacing w:before="120" w:after="120"/>
        <w:rPr>
          <w:rFonts w:cs="Tahoma"/>
          <w:color w:val="000000"/>
          <w:sz w:val="16"/>
          <w:szCs w:val="16"/>
        </w:rPr>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rFonts w:cs="Arial"/>
          <w:b/>
          <w:bCs/>
          <w:color w:val="000000"/>
          <w:sz w:val="16"/>
          <w:szCs w:val="16"/>
        </w:rPr>
        <w:t>□</w:t>
      </w:r>
    </w:p>
    <w:p>
      <w:pPr>
        <w:pStyle w:val="Normal"/>
        <w:tabs>
          <w:tab w:val="clear" w:pos="720"/>
          <w:tab w:val="left" w:pos="426" w:leader="none"/>
        </w:tabs>
        <w:spacing w:before="0" w:after="0"/>
        <w:rPr/>
      </w:pPr>
      <w:r>
        <w:rPr/>
      </w:r>
    </w:p>
    <w:sdt>
      <w:sdtPr>
        <w:docPartObj>
          <w:docPartGallery w:val="Table of Contents"/>
          <w:docPartUnique w:val="true"/>
        </w:docPartObj>
      </w:sdtPr>
      <w:sdtContent>
        <w:p>
          <w:pPr>
            <w:pStyle w:val="ContentsHeading"/>
            <w:rPr>
              <w:color w:val="000000" w:themeColor="text1"/>
            </w:rPr>
          </w:pPr>
          <w:r>
            <w:rPr>
              <w:color w:val="000000" w:themeColor="text1"/>
            </w:rPr>
            <w:t>contents</w:t>
          </w:r>
        </w:p>
        <w:p>
          <w:pPr>
            <w:pStyle w:val="Normal"/>
            <w:rPr>
              <w:lang w:val="en-US" w:eastAsia="ja-JP"/>
            </w:rPr>
          </w:pPr>
          <w:r>
            <w:rPr>
              <w:lang w:val="en-US" w:eastAsia="ja-JP"/>
            </w:rPr>
          </w:r>
        </w:p>
        <w:p>
          <w:pPr>
            <w:pStyle w:val="Contents1"/>
            <w:tabs>
              <w:tab w:val="clear" w:pos="720"/>
              <w:tab w:val="right" w:pos="10762" w:leader="dot"/>
            </w:tabs>
            <w:rPr/>
          </w:pPr>
          <w:r>
            <w:fldChar w:fldCharType="begin"/>
          </w:r>
          <w:r>
            <w:rPr/>
            <w:instrText> TOC \z \o "1-3" \u \h</w:instrText>
          </w:r>
          <w:r>
            <w:rPr/>
            <w:fldChar w:fldCharType="separate"/>
          </w:r>
          <w:r>
            <w:rPr/>
            <w:t xml:space="preserve">Management </w:t>
          </w:r>
          <w:r>
            <w:rPr/>
            <w:t>Synopsis</w:t>
          </w:r>
        </w:p>
        <w:p>
          <w:pPr>
            <w:pStyle w:val="Contents1"/>
            <w:tabs>
              <w:tab w:val="clear" w:pos="720"/>
              <w:tab w:val="right" w:pos="10762" w:leader="dot"/>
            </w:tabs>
            <w:rPr/>
          </w:pPr>
          <w:r>
            <w:rPr/>
            <w:t xml:space="preserve">Introduction </w:t>
          </w:r>
        </w:p>
        <w:p>
          <w:pPr>
            <w:pStyle w:val="Normal"/>
            <w:tabs>
              <w:tab w:val="clear" w:pos="720"/>
              <w:tab w:val="right" w:pos="10762" w:leader="dot"/>
            </w:tabs>
            <w:rPr/>
          </w:pPr>
          <w:r>
            <w:rPr/>
            <w:t>Critically analyse the current forces for change in the organisations micro and macro environment that can impact workplace culture and capability</w:t>
          </w:r>
        </w:p>
        <w:p>
          <w:pPr>
            <w:pStyle w:val="Normal"/>
            <w:tabs>
              <w:tab w:val="clear" w:pos="720"/>
              <w:tab w:val="right" w:pos="10762" w:leader="dot"/>
            </w:tabs>
            <w:rPr/>
          </w:pPr>
          <w:r>
            <w:rPr/>
            <w:t>Evaluate how organisational stakeholders can be efficiently led through complex workplace change</w:t>
          </w:r>
        </w:p>
        <w:p>
          <w:pPr>
            <w:pStyle w:val="Normal"/>
            <w:tabs>
              <w:tab w:val="clear" w:pos="720"/>
              <w:tab w:val="right" w:pos="10762" w:leader="dot"/>
            </w:tabs>
            <w:rPr/>
          </w:pPr>
          <w:r>
            <w:rPr/>
            <w:t>References</w:t>
          </w:r>
        </w:p>
        <w:p>
          <w:pPr>
            <w:pStyle w:val="Normal"/>
            <w:tabs>
              <w:tab w:val="clear" w:pos="720"/>
              <w:tab w:val="right" w:pos="10762" w:leader="dot"/>
            </w:tabs>
            <w:rPr/>
          </w:pPr>
          <w:r>
            <w:rPr/>
            <w:t xml:space="preserve">Appendix </w:t>
          </w:r>
          <w:r>
            <w:rPr/>
            <w:t>1.</w:t>
          </w:r>
        </w:p>
        <w:p>
          <w:pPr>
            <w:pStyle w:val="Normal"/>
            <w:tabs>
              <w:tab w:val="clear" w:pos="720"/>
              <w:tab w:val="right" w:pos="10762" w:leader="dot"/>
            </w:tabs>
            <w:rPr/>
          </w:pPr>
          <w:r>
            <w:rPr/>
            <w:t>Appendix 2.</w:t>
          </w:r>
        </w:p>
        <w:p>
          <w:pPr>
            <w:pStyle w:val="Normal"/>
            <w:tabs>
              <w:tab w:val="clear" w:pos="720"/>
              <w:tab w:val="right" w:pos="10762" w:leader="dot"/>
            </w:tabs>
            <w:rPr/>
          </w:pPr>
          <w:r>
            <w:rPr/>
          </w:r>
        </w:p>
        <w:p>
          <w:pPr>
            <w:pStyle w:val="Contents1"/>
            <w:tabs>
              <w:tab w:val="clear" w:pos="720"/>
              <w:tab w:val="right" w:pos="10762" w:leader="dot"/>
            </w:tabs>
            <w:rPr/>
          </w:pPr>
          <w:r>
            <w:rPr/>
          </w:r>
        </w:p>
        <w:p>
          <w:pPr>
            <w:pStyle w:val="Normal"/>
            <w:rPr/>
          </w:pPr>
          <w:r>
            <w:rPr/>
          </w:r>
          <w:r>
            <w:rPr/>
            <w:fldChar w:fldCharType="end"/>
          </w:r>
        </w:p>
      </w:sdtContent>
    </w:sdt>
    <w:p>
      <w:pPr>
        <w:pStyle w:val="Normal"/>
        <w:spacing w:lineRule="auto" w:line="216"/>
        <w:rPr>
          <w:b/>
          <w:b/>
          <w:color w:val="000000"/>
          <w:sz w:val="24"/>
          <w:szCs w:val="24"/>
          <w:u w:val="single"/>
        </w:rPr>
      </w:pPr>
      <w:r>
        <w:rPr>
          <w:b/>
          <w:color w:val="000000"/>
          <w:sz w:val="24"/>
          <w:szCs w:val="24"/>
          <w:u w:val="single"/>
        </w:rPr>
      </w:r>
    </w:p>
    <w:p>
      <w:pPr>
        <w:pStyle w:val="Normal"/>
        <w:spacing w:lineRule="auto" w:line="216"/>
        <w:rPr>
          <w:sz w:val="22"/>
          <w:szCs w:val="22"/>
        </w:rPr>
      </w:pPr>
      <w:r>
        <w:rPr>
          <w:sz w:val="22"/>
          <w:szCs w:val="22"/>
        </w:rPr>
      </w:r>
    </w:p>
    <w:p>
      <w:pPr>
        <w:pStyle w:val="Normal"/>
        <w:spacing w:lineRule="auto" w:line="216"/>
        <w:rPr>
          <w:sz w:val="22"/>
          <w:szCs w:val="22"/>
        </w:rPr>
      </w:pPr>
      <w:r>
        <w:rPr>
          <w:b/>
          <w:color w:val="000000"/>
          <w:sz w:val="22"/>
          <w:szCs w:val="22"/>
          <w:u w:val="single"/>
        </w:rPr>
        <w:t>Management Synopsis.</w:t>
      </w:r>
    </w:p>
    <w:p>
      <w:pPr>
        <w:pStyle w:val="Normal"/>
        <w:spacing w:lineRule="auto" w:line="216"/>
        <w:rPr>
          <w:sz w:val="22"/>
          <w:szCs w:val="22"/>
        </w:rPr>
      </w:pPr>
      <w:r>
        <w:rPr>
          <w:sz w:val="22"/>
          <w:szCs w:val="22"/>
        </w:rPr>
        <w:t xml:space="preserve">During this report the author looks at organisational change </w:t>
      </w:r>
      <w:r>
        <w:rPr>
          <w:sz w:val="22"/>
          <w:szCs w:val="22"/>
        </w:rPr>
        <w:t>and ho change can be proactive and reactive.</w:t>
      </w:r>
      <w:r>
        <w:rPr>
          <w:sz w:val="22"/>
          <w:szCs w:val="22"/>
        </w:rPr>
        <w:t xml:space="preserve"> </w:t>
      </w:r>
      <w:r>
        <w:rPr>
          <w:sz w:val="22"/>
          <w:szCs w:val="22"/>
        </w:rPr>
        <w:t xml:space="preserve">She then examines </w:t>
      </w:r>
      <w:r>
        <w:rPr>
          <w:sz w:val="22"/>
          <w:szCs w:val="22"/>
        </w:rPr>
        <w:t>the forces that influence it both internally and externally. She then conducts a SWOT and PESTLE analysis on an up co</w:t>
      </w:r>
      <w:r>
        <w:rPr>
          <w:sz w:val="22"/>
          <w:szCs w:val="22"/>
        </w:rPr>
        <w:t>mi</w:t>
      </w:r>
      <w:r>
        <w:rPr>
          <w:sz w:val="22"/>
          <w:szCs w:val="22"/>
        </w:rPr>
        <w:t>ng change in her own organisati</w:t>
      </w:r>
      <w:r>
        <w:rPr>
          <w:sz w:val="22"/>
          <w:szCs w:val="22"/>
        </w:rPr>
        <w:t>on and how they affect the workplace culture. The second part of the report the author evaluates how stakeholder influence has to be led through a change looking closely at the stakeholder engagement, tactics and techniques to get them on board with the change.</w:t>
      </w:r>
    </w:p>
    <w:p>
      <w:pPr>
        <w:pStyle w:val="Normal"/>
        <w:spacing w:lineRule="auto" w:line="216"/>
        <w:rPr>
          <w:sz w:val="22"/>
          <w:szCs w:val="22"/>
        </w:rPr>
      </w:pPr>
      <w:r>
        <w:rPr>
          <w:b/>
          <w:color w:val="000000"/>
          <w:sz w:val="22"/>
          <w:szCs w:val="22"/>
          <w:u w:val="single"/>
        </w:rPr>
        <w:t>Introduction</w:t>
      </w:r>
    </w:p>
    <w:p>
      <w:pPr>
        <w:pStyle w:val="Normal"/>
        <w:spacing w:lineRule="auto" w:line="216"/>
        <w:rPr>
          <w:b w:val="false"/>
          <w:b w:val="false"/>
          <w:bCs w:val="false"/>
          <w:u w:val="none"/>
        </w:rPr>
      </w:pPr>
      <w:r>
        <w:rPr>
          <w:b w:val="false"/>
          <w:bCs w:val="false"/>
          <w:u w:val="none"/>
        </w:rPr>
        <w:t xml:space="preserve">Change can be described as the distinction between current factors and former factors (Peiperl, 2007).  If properly executed and accepted, change is considered to be one of the key components in any organization's success. It is a factor that is difficult to embrace, especially within an organisation, as stakeholders require some time to understand its significance. Change management is therefore seen as being very necessary in these situations. This makes it more likely that workplace modifications will be accepted and used to boost business efficiency. This is agreed by Daniels who echoes </w:t>
      </w:r>
      <w:r>
        <w:rPr>
          <w:b w:val="false"/>
          <w:bCs w:val="false"/>
          <w:color w:val="000000"/>
          <w:sz w:val="22"/>
          <w:szCs w:val="22"/>
          <w:u w:val="none"/>
        </w:rPr>
        <w:t xml:space="preserve">that challenges are a given in today's fiercely competitive and dynamic business environment, and it is essential to give any organisation the tools to not only overcome these various challenges but also to adapt and benefit from them, he continues by saying that every organizational environment requires transformation is necessary for an organisation to prevent failure (Daniels, 2011). </w:t>
      </w:r>
    </w:p>
    <w:p>
      <w:pPr>
        <w:pStyle w:val="Normal"/>
        <w:spacing w:lineRule="auto" w:line="216"/>
        <w:rPr>
          <w:rFonts w:ascii="Calibri" w:hAnsi="Calibri"/>
          <w:color w:val="000000"/>
          <w:sz w:val="22"/>
          <w:szCs w:val="22"/>
        </w:rPr>
      </w:pPr>
      <w:r>
        <w:rPr>
          <w:b w:val="false"/>
          <w:bCs w:val="false"/>
          <w:color w:val="000000"/>
          <w:sz w:val="22"/>
          <w:szCs w:val="22"/>
          <w:u w:val="none"/>
        </w:rPr>
        <w:t xml:space="preserve">Organisations must become more adaptive, efficient, and innovative to thrive in a world of shrinking economic resources and more global competition </w:t>
      </w:r>
      <w:r>
        <w:rPr>
          <w:color w:val="000000"/>
          <w:sz w:val="22"/>
          <w:szCs w:val="22"/>
        </w:rPr>
        <w:t xml:space="preserve">(Cascio, 2003; Ployhart &amp; Bliese, 2006).  Those very measures demand a workforce that can efficiently adjust to change. (Kozlowski, Watola, Nowakowski, Kim, &amp; Botero, 2008).  In this report the author will explore </w:t>
      </w:r>
      <w:r>
        <w:rPr>
          <w:b w:val="false"/>
          <w:i w:val="false"/>
          <w:caps w:val="false"/>
          <w:smallCaps w:val="false"/>
          <w:color w:val="000000"/>
          <w:spacing w:val="0"/>
          <w:sz w:val="22"/>
          <w:szCs w:val="22"/>
        </w:rPr>
        <w:t>how forces like globalization, technology and diversity are themselves in a constant state of change and how</w:t>
      </w:r>
      <w:r>
        <w:rPr>
          <w:color w:val="000000"/>
          <w:sz w:val="22"/>
          <w:szCs w:val="22"/>
        </w:rPr>
        <w:t xml:space="preserve"> they impact how and what we research, how we use information and how that knowledge should be used, what responsibilities and what moral commitments we have to those whose working lives we invest in, and they initiate change as they change.</w:t>
      </w:r>
    </w:p>
    <w:p>
      <w:pPr>
        <w:pStyle w:val="Normal"/>
        <w:spacing w:lineRule="auto" w:line="216"/>
        <w:rPr>
          <w:b/>
          <w:b/>
          <w:bCs/>
          <w:u w:val="none"/>
        </w:rPr>
      </w:pPr>
      <w:r>
        <w:rPr>
          <w:b/>
          <w:bCs/>
          <w:u w:val="none"/>
        </w:rPr>
      </w:r>
    </w:p>
    <w:p>
      <w:pPr>
        <w:pStyle w:val="Normal"/>
        <w:spacing w:lineRule="auto" w:line="216"/>
        <w:rPr/>
      </w:pPr>
      <w:r>
        <w:rPr>
          <w:b/>
          <w:bCs/>
          <w:u w:val="none"/>
        </w:rPr>
        <w:t>Critically analyse the current forces for change in the organisations micro and macro environment that can impact workplace culture and capability.</w:t>
      </w:r>
    </w:p>
    <w:p>
      <w:pPr>
        <w:pStyle w:val="Normal"/>
        <w:spacing w:lineRule="auto" w:line="216"/>
        <w:rPr/>
      </w:pPr>
      <w:r>
        <w:rPr>
          <w:b w:val="false"/>
          <w:bCs w:val="false"/>
          <w:u w:val="none"/>
        </w:rPr>
        <w:t xml:space="preserve">In many organisations, organisational change is a continual, driven by a variety of forces such as consumers, markets, and technology. However, research indicates that the majority of change programmes fall short of their goals and can even restrict the potential and workforce of an organisation. It is commonly known that implementing change is hard and challenging, with failure rates frequently estimated as high as 70% (CIPD, 2015). Failure to implement effective change can have a significant impact, including loss of market, removal of management, diminished credibility with stakeholders, departure of key personnel, and decreased motivation and engagement among employees. The author believes that organisations must shift from their current state to evolve and remain relevant in a new efficient state to keep up with the forever changing workplace culture. This is agreed with Simsek and Louis who state that organisational change takes place when forces encourage change and become more powerful than those who resist the change (Simsek &amp; Louis, 1994).  </w:t>
      </w:r>
      <w:r>
        <w:rPr>
          <w:b w:val="false"/>
          <w:bCs w:val="false"/>
          <w:u w:val="none"/>
        </w:rPr>
        <w:t xml:space="preserve">Forces that implement change will be discussed further on in the report. </w:t>
      </w:r>
    </w:p>
    <w:p>
      <w:pPr>
        <w:pStyle w:val="Normal"/>
        <w:spacing w:lineRule="auto" w:line="216"/>
        <w:rPr>
          <w:b w:val="false"/>
          <w:b w:val="false"/>
          <w:bCs w:val="false"/>
          <w:u w:val="none"/>
        </w:rPr>
      </w:pPr>
      <w:r>
        <w:rPr>
          <w:b w:val="false"/>
          <w:bCs w:val="false"/>
          <w:u w:val="none"/>
        </w:rPr>
        <w:t>There are many reasons why organisations must change in order to remain relevant in their field of work.</w:t>
      </w:r>
    </w:p>
    <w:p>
      <w:pPr>
        <w:pStyle w:val="Normal"/>
        <w:spacing w:lineRule="auto" w:line="216"/>
        <w:rPr>
          <w:b/>
          <w:b/>
          <w:bCs/>
        </w:rPr>
      </w:pPr>
      <w:r>
        <w:rPr>
          <w:b/>
          <w:bCs/>
          <w:u w:val="none"/>
        </w:rPr>
        <w:t>Types of change</w:t>
      </w:r>
    </w:p>
    <w:p>
      <w:pPr>
        <w:pStyle w:val="Normal"/>
        <w:spacing w:lineRule="auto" w:line="216"/>
        <w:rPr>
          <w:b w:val="false"/>
          <w:b w:val="false"/>
          <w:bCs w:val="false"/>
          <w:u w:val="none"/>
        </w:rPr>
      </w:pPr>
      <w:r>
        <w:rPr>
          <w:b w:val="false"/>
          <w:bCs w:val="false"/>
          <w:u w:val="none"/>
        </w:rPr>
        <w:t>Organisational Change</w:t>
      </w:r>
    </w:p>
    <w:p>
      <w:pPr>
        <w:pStyle w:val="Normal"/>
        <w:spacing w:lineRule="auto" w:line="216"/>
        <w:rPr>
          <w:b w:val="false"/>
          <w:b w:val="false"/>
          <w:bCs w:val="false"/>
          <w:u w:val="none"/>
        </w:rPr>
      </w:pPr>
      <w:r>
        <w:rPr>
          <w:b w:val="false"/>
          <w:bCs w:val="false"/>
          <w:u w:val="none"/>
        </w:rPr>
        <w:t>Different initiatives are impacted by change management. Examples include how new technology (such as new agent desktops, CRM, workforce management, and call recording) is used to handle customer encounters, the introduction of new channels, the standardisation of operations across many contact centres, and the consolidation of numerous contact centres. Such transformation programmes frequently encounter strong opposition from a variety of affected stakeholder groups. The authors organisation reported concerns about several of the anticipated process changes, such as new methods for scheduling and quality assessment, during a transformation project. Before the introduction, same concerns were voiced months earlier. With this advance warning, the team was able to devote time to researching additional possibilities for how training and new equipment could help the location acquire new skills and improve work performance. It turns out that during previous implementations, the staff had not gotten the proper training, which led to worries that their performance would decline and that their jobs would be in jeopardy. The company's dedication to a successful transition was reinforced by taking the time to discuss these required adjustments with its staff.</w:t>
      </w:r>
    </w:p>
    <w:p>
      <w:pPr>
        <w:pStyle w:val="Normal"/>
        <w:spacing w:lineRule="auto" w:line="216"/>
        <w:rPr>
          <w:b w:val="false"/>
          <w:b w:val="false"/>
          <w:bCs w:val="false"/>
          <w:u w:val="none"/>
        </w:rPr>
      </w:pPr>
      <w:r>
        <w:rPr>
          <w:b w:val="false"/>
          <w:bCs w:val="false"/>
          <w:u w:val="none"/>
        </w:rPr>
        <w:t>Reactive and Proactive Change</w:t>
      </w:r>
    </w:p>
    <w:p>
      <w:pPr>
        <w:pStyle w:val="Normal"/>
        <w:spacing w:lineRule="auto" w:line="216"/>
        <w:rPr>
          <w:b w:val="false"/>
          <w:b w:val="false"/>
          <w:bCs w:val="false"/>
          <w:u w:val="none"/>
        </w:rPr>
      </w:pPr>
      <w:r>
        <w:rPr>
          <w:b w:val="false"/>
          <w:bCs w:val="false"/>
          <w:u w:val="none"/>
        </w:rPr>
        <w:t>A proactive change is one that a company implements because it would be beneficial to, it is generally seen as a more orderly and efficient as it can be planned out accordingly (Paton &amp; McCalman, 2008). Change that is implemented in a company as a result of external pressures is known as reactive change. For instance, Many organisations like the authors workplace had to very quickly set up a home working office during the pandemic under new government guidelines to ensure employees were safe, this had to be implemented in a short time period. Compared to coming back to the office it was more proactive as the organisation had more time to plan out a safe return for several employees.</w:t>
      </w:r>
    </w:p>
    <w:p>
      <w:pPr>
        <w:pStyle w:val="Normal"/>
        <w:spacing w:lineRule="auto" w:line="216"/>
        <w:rPr>
          <w:b w:val="false"/>
          <w:b w:val="false"/>
          <w:bCs w:val="false"/>
          <w:u w:val="none"/>
        </w:rPr>
      </w:pPr>
      <w:r>
        <w:rPr>
          <w:b w:val="false"/>
          <w:bCs w:val="false"/>
          <w:u w:val="none"/>
        </w:rPr>
        <w:t>Technological Change</w:t>
      </w:r>
    </w:p>
    <w:p>
      <w:pPr>
        <w:pStyle w:val="Normal"/>
        <w:spacing w:lineRule="auto" w:line="216"/>
        <w:rPr>
          <w:b w:val="false"/>
          <w:b w:val="false"/>
          <w:bCs w:val="false"/>
          <w:u w:val="none"/>
        </w:rPr>
      </w:pPr>
      <w:r>
        <w:rPr>
          <w:b w:val="false"/>
          <w:bCs w:val="false"/>
          <w:u w:val="none"/>
        </w:rPr>
        <w:t xml:space="preserve">Even though there are still disparities in the adoption of new technologies around the world, particularly in the least developed nations, recent decades have seen a radically accelerated speed in their creation and uptake. Almost every aspect of the business, society, and culture is being impacted by this rapid technological transformation. Faster computer programmes and software help the authors workplace turnover more sales and communicate better with customers first hand creating more jobs as demand and supply can be affected, technology is pushing towards change at a faster pace (Robey et al., 2013).  During the pandemic the authors organisation would communicate via Teams to deliver stats and figures and updates as to when they would be returning to work, structural changes etc. </w:t>
      </w:r>
    </w:p>
    <w:p>
      <w:pPr>
        <w:pStyle w:val="Normal"/>
        <w:spacing w:lineRule="auto" w:line="216"/>
        <w:rPr>
          <w:b w:val="false"/>
          <w:b w:val="false"/>
          <w:bCs w:val="false"/>
          <w:u w:val="none"/>
        </w:rPr>
      </w:pPr>
      <w:r>
        <w:rPr>
          <w:b w:val="false"/>
          <w:bCs w:val="false"/>
          <w:u w:val="none"/>
        </w:rPr>
        <w:t>Structural and Procedural Change</w:t>
      </w:r>
    </w:p>
    <w:p>
      <w:pPr>
        <w:pStyle w:val="Normal"/>
        <w:spacing w:lineRule="auto" w:line="216"/>
        <w:rPr>
          <w:b w:val="false"/>
          <w:b w:val="false"/>
          <w:bCs w:val="false"/>
          <w:u w:val="none"/>
        </w:rPr>
      </w:pPr>
      <w:r>
        <w:rPr>
          <w:b w:val="false"/>
          <w:bCs w:val="false"/>
          <w:u w:val="none"/>
        </w:rPr>
        <w:t>Changes to an organization's structure that may result from internal or external factors and often have an impact on how the business is operated are referred to as structural changes. The organization's hierarchy, chain of command, management systems, job structure, and administrative procedures are examples of structural changes. Mergers and acquisitions, job duplication, changes in the market, and process or regulatory changes are among the situations that typically necessitate structural change. Lawrence and Lorsch 1967 found that organisations that fit their environment had higher performances (Lawrence &amp; Lorsch, 1967). A change of procedure happened recently within the authors organisation, both Legal &amp; General and AIG changed their procedures in handling customer retention, both companies issued a sta</w:t>
      </w:r>
      <w:r>
        <w:rPr>
          <w:b w:val="false"/>
          <w:bCs w:val="false"/>
          <w:u w:val="none"/>
        </w:rPr>
        <w:t>t</w:t>
      </w:r>
      <w:r>
        <w:rPr>
          <w:b w:val="false"/>
          <w:bCs w:val="false"/>
          <w:u w:val="none"/>
        </w:rPr>
        <w:t xml:space="preserve">ement that there will be no policy checks completed without both parties available together meaning that one customer couldn’t speak on the joint claimants behalf. This is due to customers stating that they had no say in what change has been altered in their policy and their partner may have missed some vital information and their policy could be void. The advantage of this is that there are less customer claw backs so the company won’t lose exiting customers as much but it has made it time consuming as many customers work away for long periods of time making them harder to get hold of. </w:t>
      </w:r>
    </w:p>
    <w:p>
      <w:pPr>
        <w:pStyle w:val="Normal"/>
        <w:spacing w:lineRule="auto" w:line="216"/>
        <w:rPr>
          <w:b w:val="false"/>
          <w:b w:val="false"/>
          <w:bCs w:val="false"/>
          <w:u w:val="none"/>
        </w:rPr>
      </w:pPr>
      <w:r>
        <w:rPr>
          <w:b w:val="false"/>
          <w:bCs w:val="false"/>
          <w:u w:val="none"/>
        </w:rPr>
        <w:t>People Oriented Change</w:t>
      </w:r>
    </w:p>
    <w:p>
      <w:pPr>
        <w:pStyle w:val="Normal"/>
        <w:spacing w:lineRule="auto" w:line="216"/>
        <w:rPr>
          <w:b w:val="false"/>
          <w:b w:val="false"/>
          <w:bCs w:val="false"/>
          <w:u w:val="none"/>
        </w:rPr>
      </w:pPr>
      <w:r>
        <w:rPr>
          <w:b w:val="false"/>
          <w:bCs w:val="false"/>
          <w:u w:val="none"/>
        </w:rPr>
        <w:t xml:space="preserve">Changes aimed towards the attitudes, behaviours, abilities, or performance of the organization's personnel are considered people-oriented changes. In order to alter their organisations, managers must first change their staff. Retraining, hiring new hires with higher performance standards, or replacing existing staff are all ways to implement people-oriented changes </w:t>
      </w:r>
      <w:r>
        <w:rPr>
          <w:b w:val="false"/>
          <w:bCs w:val="false"/>
          <w:u w:val="none"/>
        </w:rPr>
        <w:t>(Cunningham, 2006).  Numerous change management strategies can be utilised to promote learning and the adoption of new procedures and practises throughout the contact centre in a setting where employee and customer involvement take centre stage. Agents frequently claim that they have received adequate training for their position. But after they start the job, many people never enter a classroom. An agent who started two to three years ago may have a different process context than the agent of today because policies, processes, and contact centre content change frequently. Making ensuring that everyone is on the same page can be accomplished through well-structured refresher training. Since agents frequently appreciate a break from back-to-back calls and the chance to socialise with one another, such training can also help to raise morale.</w:t>
      </w:r>
    </w:p>
    <w:p>
      <w:pPr>
        <w:pStyle w:val="Normal"/>
        <w:spacing w:lineRule="auto" w:line="216"/>
        <w:rPr>
          <w:b w:val="false"/>
          <w:b w:val="false"/>
          <w:bCs w:val="false"/>
          <w:u w:val="none"/>
        </w:rPr>
      </w:pPr>
      <w:r>
        <w:rPr>
          <w:b w:val="false"/>
          <w:bCs w:val="false"/>
          <w:u w:val="none"/>
        </w:rPr>
        <w:t xml:space="preserve">Businesses are operated by organisations in a setting that includes a variety of elements. There are two types of business environments: micro-environments and macro-environments. Micro-environments have a direct influence on company operations, the term micro-environment describes an environment that is in close proximity to a business organisation and has the potential to immediately impact those activities. It is connected to a specific area where the business operates. </w:t>
      </w:r>
    </w:p>
    <w:p>
      <w:pPr>
        <w:pStyle w:val="Normal"/>
        <w:spacing w:lineRule="auto" w:line="216"/>
        <w:rPr>
          <w:b/>
          <w:b/>
          <w:bCs/>
        </w:rPr>
      </w:pPr>
      <w:r>
        <w:rPr>
          <w:b/>
          <w:bCs/>
          <w:u w:val="none"/>
        </w:rPr>
        <w:t>Micro Environment Forces</w:t>
      </w:r>
    </w:p>
    <w:p>
      <w:pPr>
        <w:pStyle w:val="Normal"/>
        <w:spacing w:lineRule="auto" w:line="216"/>
        <w:rPr>
          <w:b w:val="false"/>
          <w:b w:val="false"/>
          <w:bCs w:val="false"/>
          <w:u w:val="none"/>
        </w:rPr>
      </w:pPr>
      <w:r>
        <w:rPr>
          <w:b w:val="false"/>
          <w:bCs w:val="false"/>
          <w:u w:val="none"/>
        </w:rPr>
        <w:t xml:space="preserve">The micro-environment is a collection of all the forces that are close to the organisation. These forces are very particular they can influence the performance and day to day operations of the company, but for the short term only. Its elements include suppliers, competitors, marketing intermediaries, customers and the organisation itself. Whilst macro-environments have an indirect effect on all organizations on a significant scale. </w:t>
      </w:r>
    </w:p>
    <w:p>
      <w:pPr>
        <w:pStyle w:val="Normal"/>
        <w:spacing w:lineRule="auto" w:line="216"/>
        <w:rPr>
          <w:b w:val="false"/>
          <w:b w:val="false"/>
          <w:bCs w:val="false"/>
          <w:u w:val="none"/>
        </w:rPr>
      </w:pPr>
      <w:r>
        <w:rPr>
          <w:b w:val="false"/>
          <w:bCs w:val="false"/>
          <w:u w:val="none"/>
        </w:rPr>
        <w:t xml:space="preserve"> </w:t>
      </w:r>
      <w:r>
        <w:rPr>
          <w:rFonts w:ascii="Calibri" w:hAnsi="Calibri"/>
          <w:b w:val="false"/>
          <w:bCs w:val="false"/>
          <w:color w:val="000000"/>
          <w:sz w:val="22"/>
          <w:szCs w:val="22"/>
          <w:u w:val="none"/>
        </w:rPr>
        <w:t>A</w:t>
      </w:r>
      <w:r>
        <w:rPr>
          <w:rFonts w:ascii="Calibri" w:hAnsi="Calibri"/>
          <w:b w:val="false"/>
          <w:bCs w:val="false"/>
          <w:color w:val="000000"/>
          <w:sz w:val="22"/>
          <w:szCs w:val="22"/>
          <w:u w:val="none"/>
        </w:rPr>
        <w:t xml:space="preserve"> change has been voiced by management </w:t>
      </w:r>
      <w:r>
        <w:rPr>
          <w:rFonts w:ascii="Calibri" w:hAnsi="Calibri"/>
          <w:b w:val="false"/>
          <w:bCs w:val="false"/>
          <w:color w:val="000000"/>
          <w:sz w:val="22"/>
          <w:szCs w:val="22"/>
          <w:u w:val="none"/>
        </w:rPr>
        <w:t>in the authors company</w:t>
      </w:r>
      <w:r>
        <w:rPr>
          <w:rFonts w:ascii="Calibri" w:hAnsi="Calibri"/>
          <w:b w:val="false"/>
          <w:bCs w:val="false"/>
          <w:color w:val="000000"/>
          <w:sz w:val="22"/>
          <w:szCs w:val="22"/>
          <w:u w:val="none"/>
        </w:rPr>
        <w:t xml:space="preserve"> as an opportunity for more jobs, working hour flexibility as the service will be open 24/7 and the live chat service will be from 8am to 10am Monday to Saturday and will help gather customer feedback at a faster rate. The author has conducted a </w:t>
      </w:r>
      <w:r>
        <w:rPr>
          <w:rFonts w:ascii="Calibri" w:hAnsi="Calibri"/>
          <w:b w:val="false"/>
          <w:bCs w:val="false"/>
          <w:color w:val="000000"/>
          <w:sz w:val="22"/>
          <w:szCs w:val="22"/>
          <w:u w:val="none"/>
        </w:rPr>
        <w:t>SWOT Analysis</w:t>
      </w:r>
      <w:r>
        <w:rPr>
          <w:rFonts w:ascii="Calibri" w:hAnsi="Calibri"/>
          <w:b w:val="false"/>
          <w:bCs w:val="false"/>
          <w:color w:val="000000"/>
          <w:sz w:val="22"/>
          <w:szCs w:val="22"/>
          <w:u w:val="none"/>
        </w:rPr>
        <w:t xml:space="preserve"> on the change in </w:t>
      </w:r>
      <w:r>
        <w:rPr>
          <w:rFonts w:ascii="Calibri" w:hAnsi="Calibri"/>
          <w:b/>
          <w:bCs/>
          <w:color w:val="000000"/>
          <w:sz w:val="22"/>
          <w:szCs w:val="22"/>
          <w:u w:val="none"/>
        </w:rPr>
        <w:t xml:space="preserve">Appendix </w:t>
      </w:r>
      <w:r>
        <w:rPr>
          <w:rFonts w:ascii="Calibri" w:hAnsi="Calibri"/>
          <w:b/>
          <w:bCs/>
          <w:color w:val="000000"/>
          <w:sz w:val="22"/>
          <w:szCs w:val="22"/>
          <w:u w:val="none"/>
        </w:rPr>
        <w:t>1</w:t>
      </w:r>
      <w:r>
        <w:rPr>
          <w:rFonts w:ascii="Calibri" w:hAnsi="Calibri"/>
          <w:b/>
          <w:bCs/>
          <w:color w:val="000000"/>
          <w:sz w:val="22"/>
          <w:szCs w:val="22"/>
          <w:u w:val="none"/>
        </w:rPr>
        <w:t xml:space="preserve">. </w:t>
      </w:r>
      <w:r>
        <w:rPr>
          <w:rFonts w:ascii="Calibri" w:hAnsi="Calibri"/>
          <w:b w:val="false"/>
          <w:bCs w:val="false"/>
          <w:color w:val="000000"/>
          <w:sz w:val="22"/>
          <w:szCs w:val="22"/>
          <w:u w:val="none"/>
        </w:rPr>
        <w:t>structure from an internal point of view.</w:t>
      </w:r>
    </w:p>
    <w:p>
      <w:pPr>
        <w:pStyle w:val="Normal"/>
        <w:spacing w:lineRule="auto" w:line="216"/>
        <w:rPr>
          <w:b w:val="false"/>
          <w:b w:val="false"/>
          <w:bCs w:val="false"/>
          <w:u w:val="none"/>
        </w:rPr>
      </w:pPr>
      <w:r>
        <w:rPr>
          <w:rFonts w:ascii="Calibri" w:hAnsi="Calibri"/>
          <w:b w:val="false"/>
          <w:bCs w:val="false"/>
          <w:color w:val="000000"/>
          <w:sz w:val="22"/>
          <w:szCs w:val="22"/>
          <w:u w:val="none"/>
        </w:rPr>
        <w:t>Since all organisations depend on customers, they must to be built with customers in mind. With items that fulfil their "wants and requirements" and leading customer service, the company's marketing strategy should seek to draw in new clients and keep existing ones. With the organisation adopting an online service customers will now be able to monitor, change and browse through their plan as and when they want, many customers work the normal nine to five so they found it harder to up date or change things that were vital for their life insurance to run smooth, this will help retain customers and help the company review their stance easily. Although many customers don’t like change it can be harder to get older aged customers into the digital era and a threat of this could be that they enter details in wrong or feel overwhelmed with the new information that’s thrust upon them, the opportunity of this will that it would attract new customers if the process is faster and more transparent.</w:t>
      </w:r>
    </w:p>
    <w:p>
      <w:pPr>
        <w:pStyle w:val="Normal"/>
        <w:spacing w:lineRule="auto" w:line="216"/>
        <w:rPr>
          <w:b w:val="false"/>
          <w:b w:val="false"/>
          <w:bCs w:val="false"/>
          <w:u w:val="none"/>
        </w:rPr>
      </w:pPr>
      <w:r>
        <w:rPr>
          <w:rFonts w:ascii="Calibri" w:hAnsi="Calibri"/>
          <w:b w:val="false"/>
          <w:bCs w:val="false"/>
          <w:color w:val="000000"/>
          <w:sz w:val="22"/>
          <w:szCs w:val="22"/>
          <w:u w:val="none"/>
        </w:rPr>
        <w:t xml:space="preserve"> </w:t>
      </w:r>
      <w:r>
        <w:rPr>
          <w:rFonts w:ascii="Calibri" w:hAnsi="Calibri"/>
          <w:b w:val="false"/>
          <w:bCs w:val="false"/>
          <w:color w:val="000000"/>
          <w:sz w:val="22"/>
          <w:szCs w:val="22"/>
          <w:u w:val="none"/>
        </w:rPr>
        <w:t xml:space="preserve">Employing personnel with the necessary training and expertise is crucial. Through continued training and advancement chances, this process continues throughout an employee's tenure after the recruitment stage. Gaining a competitive edge depends heavily on training and development. Customer service and ultimately sales will suffer if a company hires employees who lack motivation, expertise, or experience. </w:t>
      </w:r>
      <w:r>
        <w:rPr>
          <w:rFonts w:ascii="Calibri" w:hAnsi="Calibri"/>
          <w:b w:val="false"/>
          <w:bCs w:val="false"/>
          <w:color w:val="000000"/>
          <w:sz w:val="22"/>
          <w:szCs w:val="22"/>
          <w:u w:val="none"/>
        </w:rPr>
        <w:t>The authors organisation has many members of staff who have years of experience in insurance so they will be able to assist the customers through the online chat on what would be the best option and offer advise, this could offer more opportunities for promotion or new jobs to help with the demand from customers, a weakness of it could be that it will be time consuming training newer staff and older staff members may not be inclined to using the system as it will be harder than simply taking a phone call, it may be harder to retain staff who have a lot of product knowledge in this field from finding jobs elsewhere.</w:t>
      </w:r>
    </w:p>
    <w:p>
      <w:pPr>
        <w:pStyle w:val="Normal"/>
        <w:spacing w:lineRule="auto" w:line="216"/>
        <w:rPr>
          <w:b w:val="false"/>
          <w:b w:val="false"/>
          <w:bCs w:val="false"/>
          <w:u w:val="none"/>
        </w:rPr>
      </w:pPr>
      <w:r>
        <w:rPr>
          <w:rFonts w:ascii="Calibri" w:hAnsi="Calibri"/>
          <w:b w:val="false"/>
          <w:bCs w:val="false"/>
          <w:color w:val="000000"/>
          <w:sz w:val="22"/>
          <w:szCs w:val="22"/>
          <w:u w:val="none"/>
        </w:rPr>
        <w:t xml:space="preserve"> </w:t>
      </w:r>
      <w:r>
        <w:rPr>
          <w:rFonts w:ascii="Calibri" w:hAnsi="Calibri"/>
          <w:b w:val="false"/>
          <w:bCs w:val="false"/>
          <w:color w:val="000000"/>
          <w:sz w:val="22"/>
          <w:szCs w:val="22"/>
          <w:u w:val="none"/>
        </w:rPr>
        <w:t xml:space="preserve">This is a whole new way of selling and reviewing life insurance so none of the competitors locally have the upper hand with this new way of sales, as stated previously the organisation will have to pay a lot of money upfront so they may have to slightly raise their prices in order to keep sustainable until the benefits of the new system start to come in, the competitors will have easy access to getting customers in with their lower prices to begin with. If the organisations projections of newer customers does happen then the competitors wouldn’t be able to keep up with the numbers but they may adopt the same approach if they see the organisation is flourishing. </w:t>
      </w:r>
    </w:p>
    <w:p>
      <w:pPr>
        <w:pStyle w:val="Normal"/>
        <w:spacing w:lineRule="auto" w:line="216"/>
        <w:rPr>
          <w:b w:val="false"/>
          <w:b w:val="false"/>
          <w:bCs w:val="false"/>
          <w:u w:val="none"/>
        </w:rPr>
      </w:pPr>
      <w:r>
        <w:rPr>
          <w:rFonts w:ascii="Calibri" w:hAnsi="Calibri"/>
          <w:b w:val="false"/>
          <w:bCs w:val="false"/>
          <w:color w:val="000000"/>
          <w:sz w:val="22"/>
          <w:szCs w:val="22"/>
          <w:u w:val="none"/>
        </w:rPr>
        <w:t>The actions of a supplier have an immediate effect on the company it supplies. The organisation has already met with the five main insurance providers that are widely used in the UK all have each stated they are happy with the new process and are willing to feed their data online for public consumption with the exception of a few new guidelines that must be put in place before they will accept the customer terms. This has created better relationships with the vendors as they feel they will profit greatly but any miss selling the company will be liable for.</w:t>
      </w:r>
    </w:p>
    <w:p>
      <w:pPr>
        <w:pStyle w:val="Normal"/>
        <w:spacing w:lineRule="auto" w:line="216"/>
        <w:rPr>
          <w:b w:val="false"/>
          <w:b w:val="false"/>
          <w:bCs w:val="false"/>
          <w:u w:val="none"/>
        </w:rPr>
      </w:pPr>
      <w:r>
        <w:rPr>
          <w:rFonts w:ascii="Calibri" w:hAnsi="Calibri"/>
          <w:b w:val="false"/>
          <w:bCs w:val="false"/>
          <w:color w:val="000000"/>
          <w:sz w:val="22"/>
          <w:szCs w:val="22"/>
          <w:u w:val="none"/>
        </w:rPr>
        <w:t>Organizations must control the media in order to promote the organization's positive attributes and lessen the impact of a negative occurrence on their reputation.  Getting the word out about the change through the proper channels such as the company’s website along with the vendors websites have helped again with relationships only issue is that the organisation hasn’t been able to show this on TV, radio etc which could help gain more customers on board. Trust pilot reviews could go either way with that being a trusted point where customers go to vent it may be crucial to get it right the first time.</w:t>
      </w:r>
    </w:p>
    <w:p>
      <w:pPr>
        <w:pStyle w:val="Normal"/>
        <w:spacing w:lineRule="auto" w:line="216"/>
        <w:rPr>
          <w:b/>
          <w:b/>
          <w:bCs/>
        </w:rPr>
      </w:pPr>
      <w:r>
        <w:rPr>
          <w:b/>
          <w:bCs/>
          <w:u w:val="none"/>
        </w:rPr>
        <w:t>Macro Environment Forces</w:t>
      </w:r>
    </w:p>
    <w:p>
      <w:pPr>
        <w:pStyle w:val="Normal"/>
        <w:spacing w:lineRule="auto" w:line="216"/>
        <w:rPr>
          <w:b w:val="false"/>
          <w:b w:val="false"/>
          <w:bCs w:val="false"/>
          <w:u w:val="none"/>
        </w:rPr>
      </w:pPr>
      <w:r>
        <w:rPr>
          <w:b w:val="false"/>
          <w:bCs w:val="false"/>
          <w:u w:val="none"/>
        </w:rPr>
        <w:t xml:space="preserve">Macro Environment refers to the overall economic environment that simultaneously affects the operation, effectiveness, decision-making, and strategy of all company sectors. Its nature is dynamic. Consequently, it never stops changing. It consists of those external forces that the company cannot control but which have a significant impact on how the company operates. It consists of the people, teams, organisations, agencies, and others that the company works with on a daily basis. Both refer to the organizational climate as a whole. Economic instability and upheaval, the reality of the new </w:t>
      </w:r>
      <w:r>
        <w:rPr>
          <w:b w:val="false"/>
          <w:bCs w:val="false"/>
          <w:color w:val="000000"/>
          <w:sz w:val="22"/>
          <w:szCs w:val="22"/>
          <w:u w:val="none"/>
        </w:rPr>
        <w:t xml:space="preserve">world order, the expansion of multinational corporations and what are referred to as "born global" organisations </w:t>
      </w:r>
      <w:r>
        <w:rPr>
          <w:b w:val="false"/>
          <w:bCs w:val="false"/>
          <w:i w:val="false"/>
          <w:caps w:val="false"/>
          <w:smallCaps w:val="false"/>
          <w:color w:val="000000"/>
          <w:spacing w:val="0"/>
          <w:sz w:val="22"/>
          <w:szCs w:val="22"/>
          <w:u w:val="none"/>
        </w:rPr>
        <w:t xml:space="preserve">(Gabrielsson &amp; Kirpalani 2004; Bowles &amp; Cooper 2012).  </w:t>
      </w:r>
    </w:p>
    <w:p>
      <w:pPr>
        <w:pStyle w:val="Normal"/>
        <w:spacing w:lineRule="auto" w:line="216"/>
        <w:rPr>
          <w:b w:val="false"/>
          <w:b w:val="false"/>
          <w:bCs w:val="false"/>
          <w:u w:val="none"/>
        </w:rPr>
      </w:pPr>
      <w:r>
        <w:rPr>
          <w:b w:val="false"/>
          <w:bCs w:val="false"/>
          <w:u w:val="none"/>
        </w:rPr>
        <w:t>Economic and Business</w:t>
      </w:r>
    </w:p>
    <w:p>
      <w:pPr>
        <w:pStyle w:val="Normal"/>
        <w:spacing w:lineRule="auto" w:line="216"/>
        <w:rPr>
          <w:b w:val="false"/>
          <w:b w:val="false"/>
          <w:bCs w:val="false"/>
          <w:u w:val="none"/>
        </w:rPr>
      </w:pPr>
      <w:r>
        <w:rPr>
          <w:b w:val="false"/>
          <w:bCs w:val="false"/>
          <w:u w:val="none"/>
        </w:rPr>
        <w:t xml:space="preserve">Economic factors are forces that relate to the nature and direction of the economic system in which the organisation operates (Thomas, 2010).  The cost of living increasing has been detrimental to individuals and organisations alike, with the consumer price index has increased by 9.1% but experts have stated that they could increase to around 10% by the end of 2022 (Hathotuwa, 2022).  Global factors such as the Pandemic and Brexit have hit UK households in a major way with more people having to tighten the purse strings just to be able to get from month to month, luxuries such as holidays, insurances and cars will be cut back. This will have an affect on the authors business as customers may not see insurance as a necessity and may not consider setting up new policies or even cancelling existing plans. The knock on effect is that the organisation may have a huge debt of claw backs from the providers that they deal with. Due to the CDS portfolio that AIG supplied through its British subsidiary, the company suffered tremendously during the financial crisis and was on the verge of declaring bankruptcy. The US government bailed out AIG to the tune of $182 billion because it felt it could not allow this to happen as doing so would have led to an economic depression(Harrington, 2009). AIG is still one of the authors most sought after insurance vendors customers ask for to this day. </w:t>
      </w:r>
    </w:p>
    <w:p>
      <w:pPr>
        <w:pStyle w:val="Normal"/>
        <w:spacing w:lineRule="auto" w:line="216"/>
        <w:rPr>
          <w:b w:val="false"/>
          <w:b w:val="false"/>
          <w:bCs w:val="false"/>
          <w:u w:val="none"/>
        </w:rPr>
      </w:pPr>
      <w:r>
        <w:rPr>
          <w:b w:val="false"/>
          <w:bCs w:val="false"/>
          <w:u w:val="none"/>
        </w:rPr>
        <w:t>Technology</w:t>
      </w:r>
    </w:p>
    <w:p>
      <w:pPr>
        <w:pStyle w:val="Normal"/>
        <w:spacing w:lineRule="auto" w:line="216"/>
        <w:rPr>
          <w:b w:val="false"/>
          <w:b w:val="false"/>
          <w:bCs w:val="false"/>
          <w:u w:val="none"/>
        </w:rPr>
      </w:pPr>
      <w:r>
        <w:rPr>
          <w:b w:val="false"/>
          <w:bCs w:val="false"/>
          <w:u w:val="none"/>
        </w:rPr>
        <w:t>Our culture has established the notion that we now live in an information society or an age of information so deeply that it is simply "widely taken to describe our times." (Mahoney, 1988) even while it might now be more accurate to describe the current era as one in which we are lucky to "live in a very linked world (Chen, 2011).  According to Chen 2011, there are over 5 billion mobile phone users in the world along with 2 billion people with access to the internet and the numbers are growing (Chen, 2011). This allows the authors organisation to be able to communicate with multiple new customers being it call centre based work. We live in an era of technological advances and developments and they hold a huge influence over change to organisations and individuals alike, with technology forever progressing an organisation must continually change to keep up with new programs and processes or they could as quickly become obsolete. The effects of changes in technology can be far reaching, bringing about alterations to management practices of a whole organisation (Leonardi, 2007). Changes in technology may have an impact on how a company provides its services and meets customer demand. This might either create new commercial prospects or put the company's survival in jeopardy. To build products that meet customers' demands, insurers must understand their lives, and technology can be a significant aid in this process (KPMG, 2014). Insurance companies now have a chance to outperform the competition thanks to the expansion of internet-connected gadgets and sensors that affect the availability of real-time information. With the help of this information, prices can be lowered and loss management and underwriting could be improved. These days, getting a quote, renewing a policy, paying your excess, filing a claim, and comparing policies are all doable online. As a result, the insured deals directly with insurance providers, skipping the middleman. Customers seeking simplicity and ease would be the target market for this type of direct selling. Insurance companies may benefit from this since they won't have to pay commission to middlemen and may instead keep all the sales proceeds (PwC, 2012). This negatively affects the authors organisation as insurers have no issue with just dealing with the customers themselves and can create issues then when customers will only deal with the insurer directly.</w:t>
      </w:r>
    </w:p>
    <w:p>
      <w:pPr>
        <w:pStyle w:val="Normal"/>
        <w:spacing w:lineRule="auto" w:line="216"/>
        <w:rPr>
          <w:b w:val="false"/>
          <w:b w:val="false"/>
          <w:bCs w:val="false"/>
          <w:u w:val="none"/>
        </w:rPr>
      </w:pPr>
      <w:r>
        <w:rPr>
          <w:b w:val="false"/>
          <w:bCs w:val="false"/>
          <w:u w:val="none"/>
        </w:rPr>
        <w:t>Demographic and Social</w:t>
      </w:r>
    </w:p>
    <w:p>
      <w:pPr>
        <w:pStyle w:val="Normal"/>
        <w:spacing w:lineRule="auto" w:line="216"/>
        <w:rPr>
          <w:b w:val="false"/>
          <w:b w:val="false"/>
          <w:bCs w:val="false"/>
          <w:u w:val="none"/>
        </w:rPr>
      </w:pPr>
      <w:r>
        <w:rPr>
          <w:b w:val="false"/>
          <w:bCs w:val="false"/>
          <w:u w:val="none"/>
        </w:rPr>
        <w:t xml:space="preserve">Any organisation could be impacted by changes in population demographics in a number of ways. This is due to the fact that when population trends change, so does the demand for the various services, which affects a business' capacity. This can overwhelm any organisation if demand for a service becomes too high it can cause recruitment and training issues which can then fall into customers not giving the best service. With more people in the UK becoming unemployed due to business closer from the pandemic more individuals are feeling financial pressure and are more willing to build up savings in banks rather than setting up insurance policies (Blanchard, 2006). The kinds of goods and services that financial institutions can advertise are influenced by this demographic shift (Shepherd, 2010). </w:t>
      </w:r>
    </w:p>
    <w:p>
      <w:pPr>
        <w:pStyle w:val="Normal"/>
        <w:spacing w:lineRule="auto" w:line="216"/>
        <w:rPr>
          <w:b w:val="false"/>
          <w:b w:val="false"/>
          <w:bCs w:val="false"/>
          <w:u w:val="none"/>
        </w:rPr>
      </w:pPr>
      <w:r>
        <w:rPr>
          <w:b w:val="false"/>
          <w:bCs w:val="false"/>
          <w:u w:val="none"/>
        </w:rPr>
        <w:t xml:space="preserve">In some ways, socio-cultural aspects are similar to demographics, but they are more concerned with populations and how they act in accordance with their preferences and values. Different demands, which are frequently based on various basic values and preferences, distinguish different nations and cultural groups. These are the key drivers of change that have an impact on a business's capacity to get resources, function in society, and produce its products (Daniels, 2011).  an example of this would be appearance, words and terminology can carry either a positive or negative meaning depending on the culture. Leading this to the authors own workplace she understands that with the UK opening its doors to different people and new cultures she understands that wording her script towards a demographic that doesn’t really understand the purpose of life insurance in a suitable way where they feel that they may need it or to stay away with a selling technique because insurance on your life is against some religions. Anti-discrimination laws were created for a variety of reasons, including public opposition to discrimination on the basis of gender, marital status, religion, disability, and race. Additionally, it leads to continuous public discussions about the legitimacy of life insurers' and pension plans' exemptions from such laws and the extent to which insurers can restrict the use of discrimination in underwriting (Avraham, et al. 2013). </w:t>
      </w:r>
    </w:p>
    <w:p>
      <w:pPr>
        <w:pStyle w:val="Normal"/>
        <w:spacing w:lineRule="auto" w:line="216"/>
        <w:rPr>
          <w:b w:val="false"/>
          <w:b w:val="false"/>
          <w:bCs w:val="false"/>
          <w:u w:val="none"/>
        </w:rPr>
      </w:pPr>
      <w:r>
        <w:rPr>
          <w:b w:val="false"/>
          <w:bCs w:val="false"/>
          <w:u w:val="none"/>
        </w:rPr>
        <w:t>Political and Legal</w:t>
      </w:r>
    </w:p>
    <w:p>
      <w:pPr>
        <w:pStyle w:val="Normal"/>
        <w:spacing w:lineRule="auto" w:line="216"/>
        <w:rPr>
          <w:b w:val="false"/>
          <w:b w:val="false"/>
          <w:bCs w:val="false"/>
          <w:u w:val="none"/>
        </w:rPr>
      </w:pPr>
      <w:r>
        <w:rPr>
          <w:b w:val="false"/>
          <w:bCs w:val="false"/>
          <w:u w:val="none"/>
        </w:rPr>
        <w:t xml:space="preserve">The political climate affects every business. Laws, governmental organisations, and political action committees are all involved. These factors have an impact on and impose limitations on social groups and individuals. Therefore, changes in the political climate have a significant impact on and influence corporate decisions. It is crucial that the insurance sector be able to assist governments in comprehending the possible effects of their policy initiatives. These choices will have an impact on how insurance protects society and will have an effect on state spending both immediately and over time. Stricter regulation across the board has been one of the most effective ways that political forces have impacted the financial services sector. Organizations must deal with the legal environment, which is changing with time and has an increasing impact on organisations. It is very challenging for an organisation to undertake any action without breaking the terms of legal rule and may cause more issues. Additionally, they improve elements like workplace health and safety and take care of employees' welfare (Peiperl, 2007).  Political forces have attempted to harmonise EU legislation in order to create a universal framework for the regulation of the financial services sector. An example of this is Solvency II (SII), their terms are a higher standard of protection for policyholders throughout the EU. A more advanced oversight procedure that will expand oversight and monitoring of the risk profiles of the insurers and the effectiveness of their risk management and governance systems an EU market that is more integrated, and an increase in competition between EU insurers abroad (Doff, 2008). </w:t>
      </w:r>
    </w:p>
    <w:p>
      <w:pPr>
        <w:pStyle w:val="Normal"/>
        <w:spacing w:lineRule="auto" w:line="216"/>
        <w:rPr>
          <w:b w:val="false"/>
          <w:b w:val="false"/>
          <w:bCs w:val="false"/>
          <w:u w:val="none"/>
        </w:rPr>
      </w:pPr>
      <w:r>
        <w:rPr>
          <w:b w:val="false"/>
          <w:bCs w:val="false"/>
          <w:u w:val="none"/>
        </w:rPr>
        <w:t>Environmental</w:t>
      </w:r>
    </w:p>
    <w:p>
      <w:pPr>
        <w:pStyle w:val="Normal"/>
        <w:spacing w:lineRule="auto" w:line="216"/>
        <w:rPr>
          <w:b w:val="false"/>
          <w:b w:val="false"/>
          <w:bCs w:val="false"/>
          <w:u w:val="none"/>
        </w:rPr>
      </w:pPr>
      <w:r>
        <w:rPr>
          <w:b w:val="false"/>
          <w:bCs w:val="false"/>
          <w:u w:val="none"/>
        </w:rPr>
        <w:t>Since the increase in greenhouse gas emissions has had a negative impact on our climate, climate change is quickly turning into a risk for all of society. Additionally, the insurance business, one of the biggest and most influential sectors in the world, must move quickly to address such a threat (World Economic Forum, 2016). Insurance firms may also have the chance to boost their reputation by operating sustainably, which would involve being aware of their energy usage and advocating energy-saving measures. This can both assist keep current clients and draw in new ones who will examine such considerations when selecting an insurance provider.</w:t>
      </w:r>
    </w:p>
    <w:p>
      <w:pPr>
        <w:pStyle w:val="Normal"/>
        <w:spacing w:lineRule="auto" w:line="216"/>
        <w:rPr>
          <w:b w:val="false"/>
          <w:b w:val="false"/>
          <w:bCs w:val="false"/>
          <w:u w:val="none"/>
        </w:rPr>
      </w:pPr>
      <w:r>
        <w:rPr>
          <w:b w:val="false"/>
          <w:bCs w:val="false"/>
          <w:u w:val="none"/>
        </w:rPr>
        <w:t xml:space="preserve">At the moment the authors organisation is implementing a change to the software that is used by the organisation. They aim to start up a web based chat service where customer are able to start and browse through new policies and manage their ongoing policy through the company’s website. </w:t>
      </w:r>
    </w:p>
    <w:p>
      <w:pPr>
        <w:pStyle w:val="Normal"/>
        <w:spacing w:lineRule="auto" w:line="216"/>
        <w:rPr>
          <w:b w:val="false"/>
          <w:b w:val="false"/>
          <w:bCs w:val="false"/>
          <w:u w:val="none"/>
        </w:rPr>
      </w:pPr>
      <w:r>
        <w:rPr>
          <w:b w:val="false"/>
          <w:bCs w:val="false"/>
          <w:u w:val="none"/>
        </w:rPr>
        <w:t xml:space="preserve">As a result, they work better together than against one another. Knowing the strengths, weaknesses, opportunities, and threats to business will be improved by the study of these environments. Fredrick Taylor suggests that there is no universal standard for management; rather, it relies on the environment, macro and micro forces of change (Taylor, 2012). </w:t>
      </w:r>
    </w:p>
    <w:p>
      <w:pPr>
        <w:pStyle w:val="Normal"/>
        <w:spacing w:lineRule="auto" w:line="216"/>
        <w:rPr>
          <w:b w:val="false"/>
          <w:b w:val="false"/>
          <w:bCs w:val="false"/>
          <w:u w:val="none"/>
        </w:rPr>
      </w:pPr>
      <w:r>
        <w:rPr>
          <w:b w:val="false"/>
          <w:bCs w:val="false"/>
          <w:u w:val="none"/>
        </w:rPr>
        <w:t>Reaction to Change</w:t>
      </w:r>
    </w:p>
    <w:p>
      <w:pPr>
        <w:pStyle w:val="Normal"/>
        <w:spacing w:lineRule="auto" w:line="216"/>
        <w:rPr>
          <w:b w:val="false"/>
          <w:b w:val="false"/>
          <w:bCs w:val="false"/>
          <w:u w:val="none"/>
        </w:rPr>
      </w:pPr>
      <w:r>
        <w:rPr>
          <w:b w:val="false"/>
          <w:bCs w:val="false"/>
          <w:u w:val="none"/>
        </w:rPr>
        <w:t xml:space="preserve"> </w:t>
      </w:r>
      <w:r>
        <w:rPr>
          <w:b w:val="false"/>
          <w:bCs w:val="false"/>
          <w:u w:val="none"/>
        </w:rPr>
        <w:t>Organizations don't necessarily change as a result of new systems, procedures, or structures. They alter because the organization's employees also change and transform. The true benefits of transformation can only be realised by a company once individuals have completed their own personal transitions. Individuals are going to get upset or feel anger as part of the change process, organisations who try to try to maintain their employees resistance often lead to the company’s demise,</w:t>
      </w:r>
      <w:r>
        <w:rPr>
          <w:b w:val="false"/>
          <w:bCs w:val="false"/>
          <w:u w:val="none"/>
        </w:rPr>
        <w:t xml:space="preserve"> this is often referred to as organisational inertia.</w:t>
      </w:r>
      <w:r>
        <w:rPr>
          <w:b w:val="false"/>
          <w:bCs w:val="false"/>
          <w:u w:val="none"/>
        </w:rPr>
        <w:t xml:space="preserve"> </w:t>
      </w:r>
      <w:r>
        <w:rPr>
          <w:b w:val="false"/>
          <w:bCs w:val="false"/>
          <w:u w:val="none"/>
        </w:rPr>
        <w:t>T</w:t>
      </w:r>
      <w:r>
        <w:rPr>
          <w:b w:val="false"/>
          <w:bCs w:val="false"/>
          <w:u w:val="none"/>
        </w:rPr>
        <w:t xml:space="preserve">his is agreed by Godkin and Allcorn 2008 who stated that resistance to change reduces can impede an organisations performance and reduces their chances for survival (Godkin &amp; Allcorn, 2008). </w:t>
      </w:r>
    </w:p>
    <w:p>
      <w:pPr>
        <w:pStyle w:val="Normal"/>
        <w:spacing w:lineRule="auto" w:line="216"/>
        <w:rPr>
          <w:b w:val="false"/>
          <w:b w:val="false"/>
          <w:bCs w:val="false"/>
          <w:u w:val="none"/>
        </w:rPr>
      </w:pPr>
      <w:r>
        <w:rPr>
          <w:b w:val="false"/>
          <w:bCs w:val="false"/>
          <w:u w:val="none"/>
        </w:rPr>
        <w:t xml:space="preserve">According to Burns and Stalker's theory, organisations may need to utilise an organic organisational structure if they want to quickly react to changes in their environment. These businesses have a decentralised decision-making structure that makes it easier for them to respond swiftly to market developments. Businesses that operate in a predictable environment would benefit from keeping a mechanistic organisational structure, in which decisions are made by a small group of people and remain consistent throughout time </w:t>
      </w:r>
      <w:r>
        <w:rPr>
          <w:b w:val="false"/>
          <w:bCs w:val="false"/>
          <w:u w:val="none"/>
        </w:rPr>
        <w:t xml:space="preserve">(Burns &amp; Stalker, 1961).  An example the organic organisation movement has inspired Christianity, which now rejects authority, ritual, and even church-owned property, </w:t>
      </w:r>
      <w:r>
        <w:rPr>
          <w:b w:val="false"/>
          <w:bCs w:val="false"/>
          <w:u w:val="none"/>
        </w:rPr>
        <w:t>this often causes reluctance on a more organisational level</w:t>
      </w:r>
    </w:p>
    <w:p>
      <w:pPr>
        <w:pStyle w:val="Normal"/>
        <w:spacing w:lineRule="auto" w:line="216"/>
        <w:rPr>
          <w:rFonts w:ascii="Calibri" w:hAnsi="Calibri"/>
          <w:color w:val="000000"/>
          <w:sz w:val="22"/>
          <w:szCs w:val="22"/>
        </w:rPr>
      </w:pPr>
      <w:r>
        <w:rPr>
          <w:rFonts w:ascii="Calibri" w:hAnsi="Calibri"/>
          <w:b w:val="false"/>
          <w:bCs w:val="false"/>
          <w:i w:val="false"/>
          <w:caps w:val="false"/>
          <w:smallCaps w:val="false"/>
          <w:color w:val="000000"/>
          <w:spacing w:val="0"/>
          <w:sz w:val="22"/>
          <w:szCs w:val="22"/>
          <w:u w:val="none"/>
        </w:rPr>
        <w:t>Groups develop strong informal norms that specify behaviour and govern interactions between group members.</w:t>
      </w:r>
      <w:r>
        <w:rPr>
          <w:rFonts w:ascii="Calibri" w:hAnsi="Calibri"/>
          <w:b w:val="false"/>
          <w:bCs w:val="false"/>
          <w:color w:val="000000"/>
          <w:sz w:val="22"/>
          <w:szCs w:val="22"/>
          <w:u w:val="none"/>
        </w:rPr>
        <w:t xml:space="preserve"> Changing these will often cause reluctance on a group level as individuals will have to adapt to a whole new set or norms, duties and relationships. Organisations with stronger norms or norms that haven’t been altered in a while will be most affected at this level (Fletcher et al., 2009). </w:t>
      </w:r>
    </w:p>
    <w:p>
      <w:pPr>
        <w:pStyle w:val="Normal"/>
        <w:spacing w:lineRule="auto" w:line="216"/>
        <w:rPr>
          <w:rFonts w:ascii="Calibri" w:hAnsi="Calibri"/>
          <w:color w:val="000000"/>
          <w:sz w:val="22"/>
          <w:szCs w:val="22"/>
        </w:rPr>
      </w:pPr>
      <w:r>
        <w:rPr>
          <w:rFonts w:ascii="Calibri" w:hAnsi="Calibri"/>
          <w:b w:val="false"/>
          <w:bCs w:val="false"/>
          <w:color w:val="000000"/>
          <w:sz w:val="22"/>
          <w:szCs w:val="22"/>
          <w:u w:val="none"/>
        </w:rPr>
        <w:t xml:space="preserve">Individuals are impacted by their habits in how they go about their jobs, and depending on how a change might affect their habits, they may accept or reject a change. For instance, a change in the </w:t>
      </w:r>
      <w:r>
        <w:rPr>
          <w:rFonts w:ascii="Calibri" w:hAnsi="Calibri"/>
          <w:b w:val="false"/>
          <w:bCs w:val="false"/>
          <w:color w:val="000000"/>
          <w:sz w:val="22"/>
          <w:szCs w:val="22"/>
          <w:u w:val="none"/>
        </w:rPr>
        <w:t xml:space="preserve">authors hours </w:t>
      </w:r>
      <w:r>
        <w:rPr>
          <w:rFonts w:ascii="Calibri" w:hAnsi="Calibri"/>
          <w:b w:val="false"/>
          <w:bCs w:val="false"/>
          <w:color w:val="000000"/>
          <w:sz w:val="22"/>
          <w:szCs w:val="22"/>
          <w:u w:val="none"/>
        </w:rPr>
        <w:t xml:space="preserve">of </w:t>
      </w:r>
      <w:r>
        <w:rPr>
          <w:rFonts w:ascii="Calibri" w:hAnsi="Calibri"/>
          <w:b w:val="false"/>
          <w:bCs w:val="false"/>
          <w:color w:val="000000"/>
          <w:sz w:val="22"/>
          <w:szCs w:val="22"/>
          <w:u w:val="none"/>
        </w:rPr>
        <w:t>work has</w:t>
      </w:r>
      <w:r>
        <w:rPr>
          <w:rFonts w:ascii="Calibri" w:hAnsi="Calibri"/>
          <w:b w:val="false"/>
          <w:bCs w:val="false"/>
          <w:color w:val="000000"/>
          <w:sz w:val="22"/>
          <w:szCs w:val="22"/>
          <w:u w:val="none"/>
        </w:rPr>
        <w:t xml:space="preserve"> be</w:t>
      </w:r>
      <w:r>
        <w:rPr>
          <w:rFonts w:ascii="Calibri" w:hAnsi="Calibri"/>
          <w:b w:val="false"/>
          <w:bCs w:val="false"/>
          <w:color w:val="000000"/>
          <w:sz w:val="22"/>
          <w:szCs w:val="22"/>
          <w:u w:val="none"/>
        </w:rPr>
        <w:t>en</w:t>
      </w:r>
      <w:r>
        <w:rPr>
          <w:rFonts w:ascii="Calibri" w:hAnsi="Calibri"/>
          <w:b w:val="false"/>
          <w:bCs w:val="false"/>
          <w:color w:val="000000"/>
          <w:sz w:val="22"/>
          <w:szCs w:val="22"/>
          <w:u w:val="none"/>
        </w:rPr>
        <w:t xml:space="preserve"> met with resistance from the people because it would force them to alter their current daily pattern and make it very difficult for them to adjust or cope with the schedule. The individuals </w:t>
      </w:r>
      <w:r>
        <w:rPr>
          <w:rFonts w:ascii="Calibri" w:hAnsi="Calibri"/>
          <w:b w:val="false"/>
          <w:bCs w:val="false"/>
          <w:color w:val="000000"/>
          <w:sz w:val="22"/>
          <w:szCs w:val="22"/>
          <w:u w:val="none"/>
        </w:rPr>
        <w:t xml:space="preserve">have had to organise childcare, routes on travelling to and from work again. Experiencing resistance on an individual level can either be positive or negative as people experience and deal with change differently (Bercovitz &amp; Feldman, 2008). </w:t>
      </w:r>
    </w:p>
    <w:p>
      <w:pPr>
        <w:pStyle w:val="Normal"/>
        <w:spacing w:lineRule="auto" w:line="216"/>
        <w:rPr>
          <w:rFonts w:ascii="Calibri" w:hAnsi="Calibri"/>
          <w:color w:val="000000"/>
          <w:sz w:val="22"/>
          <w:szCs w:val="22"/>
        </w:rPr>
      </w:pPr>
      <w:r>
        <w:rPr>
          <w:rFonts w:ascii="Calibri" w:hAnsi="Calibri"/>
          <w:b w:val="false"/>
          <w:bCs w:val="false"/>
          <w:color w:val="000000"/>
          <w:sz w:val="22"/>
          <w:szCs w:val="22"/>
          <w:u w:val="none"/>
        </w:rPr>
        <w:t xml:space="preserve">When organisations make changes on a micro environment workplace they often start with changing on an individual level (Jacobs et al., 2013) while macro environment workplaces will begin their changing their structure or processes. The way people react to change can have a huge effect at a group level. As discussed earlier an organisational change can be affected by individuals as they can alter the structure of the organisation. </w:t>
      </w:r>
      <w:r>
        <w:rPr>
          <w:rFonts w:ascii="Calibri" w:hAnsi="Calibri"/>
          <w:b w:val="false"/>
          <w:bCs w:val="false"/>
          <w:color w:val="000000"/>
          <w:sz w:val="22"/>
          <w:szCs w:val="22"/>
          <w:u w:val="none"/>
        </w:rPr>
        <w:t xml:space="preserve">This change </w:t>
      </w:r>
      <w:r>
        <w:rPr>
          <w:rFonts w:ascii="Calibri" w:hAnsi="Calibri"/>
          <w:b w:val="false"/>
          <w:bCs w:val="false"/>
          <w:color w:val="000000"/>
          <w:sz w:val="22"/>
          <w:szCs w:val="22"/>
          <w:u w:val="none"/>
        </w:rPr>
        <w:t>in the authors company will happen in the near future and she has drawn out a PESTLE Analysis</w:t>
      </w:r>
      <w:r>
        <w:rPr>
          <w:rFonts w:ascii="Calibri" w:hAnsi="Calibri"/>
          <w:b/>
          <w:bCs/>
          <w:color w:val="000000"/>
          <w:sz w:val="22"/>
          <w:szCs w:val="22"/>
          <w:u w:val="none"/>
        </w:rPr>
        <w:t xml:space="preserve"> See</w:t>
      </w:r>
      <w:r>
        <w:rPr>
          <w:rFonts w:ascii="Calibri" w:hAnsi="Calibri"/>
          <w:b/>
          <w:bCs/>
          <w:color w:val="000000"/>
          <w:sz w:val="22"/>
          <w:szCs w:val="22"/>
          <w:u w:val="none"/>
        </w:rPr>
        <w:t xml:space="preserve"> Appendix 2 </w:t>
      </w:r>
      <w:r>
        <w:rPr>
          <w:rFonts w:ascii="Calibri" w:hAnsi="Calibri"/>
          <w:b w:val="false"/>
          <w:bCs w:val="false"/>
          <w:color w:val="000000"/>
          <w:sz w:val="22"/>
          <w:szCs w:val="22"/>
          <w:u w:val="none"/>
        </w:rPr>
        <w:t xml:space="preserve">for external influences will have to be addressed before the action is actually finalised. </w:t>
      </w:r>
    </w:p>
    <w:p>
      <w:pPr>
        <w:pStyle w:val="Normal"/>
        <w:spacing w:lineRule="auto" w:line="216"/>
        <w:rPr>
          <w:rFonts w:ascii="Calibri" w:hAnsi="Calibri"/>
          <w:b w:val="false"/>
          <w:b w:val="false"/>
          <w:bCs w:val="false"/>
          <w:color w:val="000000"/>
          <w:sz w:val="22"/>
          <w:szCs w:val="22"/>
        </w:rPr>
      </w:pPr>
      <w:r>
        <w:rPr>
          <w:rFonts w:ascii="Calibri" w:hAnsi="Calibri"/>
          <w:b w:val="false"/>
          <w:bCs w:val="false"/>
          <w:color w:val="000000"/>
          <w:sz w:val="22"/>
          <w:szCs w:val="22"/>
          <w:u w:val="none"/>
        </w:rPr>
        <w:t xml:space="preserve">From a political view the change will have to pass both data protection law along with trading standard laws, like at the beginning of calls to customer via the dialling system customers are going to have to clear some security questions in order to talk about an account or have to register with the company in order to process any live data if employees don’t correctly pass or use these security questions then they will be in violation of the Data Protection act 2018 or GDPR, the information that is gathered must be used fairly, lawfully and transparently (DPA, 2018).  </w:t>
      </w:r>
      <w:r>
        <w:rPr>
          <w:rFonts w:ascii="Calibri" w:hAnsi="Calibri"/>
          <w:b w:val="false"/>
          <w:bCs w:val="false"/>
          <w:color w:val="000000"/>
          <w:sz w:val="22"/>
          <w:szCs w:val="22"/>
          <w:u w:val="none"/>
        </w:rPr>
        <w:t xml:space="preserve">Although it may be harder to pass security it will allow consumers to access their details and update them themselves, on numerous occasions the company has had customers who’s policies are ten years out of date and nothing can be done because the customer has had a seriously health issue since the last review, this often ends up with customers being disgruntle towards staff members. It will also allow customers to see how and why they aren’t able to get specific insurances due to their BMI, interests, health and jobs (if they work at extreme heights or considered to have a dangerous job ie in the military). It can allow them to factor the insurance around their lives rather than the other way around. </w:t>
      </w:r>
    </w:p>
    <w:p>
      <w:pPr>
        <w:pStyle w:val="Normal"/>
        <w:spacing w:lineRule="auto" w:line="216"/>
        <w:rPr>
          <w:rFonts w:ascii="Calibri" w:hAnsi="Calibri"/>
          <w:b w:val="false"/>
          <w:b w:val="false"/>
          <w:bCs w:val="false"/>
          <w:color w:val="000000"/>
          <w:sz w:val="22"/>
          <w:szCs w:val="22"/>
        </w:rPr>
      </w:pPr>
      <w:r>
        <w:rPr>
          <w:rFonts w:ascii="Calibri" w:hAnsi="Calibri"/>
          <w:b w:val="false"/>
          <w:bCs w:val="false"/>
          <w:color w:val="000000"/>
          <w:sz w:val="22"/>
          <w:szCs w:val="22"/>
          <w:u w:val="none"/>
        </w:rPr>
        <w:t>It will be easier for customers to budget or cut their insurance price down by doing the online search with the cost of living increasing as stated previously life insurance to many isn’t considered something that needs to be sorted over feeding their family, mortgage payments, utility bills so allowing them gain access to the details live rather than a lengthy phone call may save them from cancelling all together, only issue would be that the organisation would have to employ more technical savvy employees to use the systems and getting the website sorted to a high quality may cost them m</w:t>
      </w:r>
      <w:r>
        <w:rPr>
          <w:rFonts w:ascii="Calibri" w:hAnsi="Calibri"/>
          <w:b w:val="false"/>
          <w:bCs w:val="false"/>
          <w:color w:val="000000"/>
          <w:sz w:val="22"/>
          <w:szCs w:val="22"/>
          <w:u w:val="none"/>
        </w:rPr>
        <w:t>o</w:t>
      </w:r>
      <w:r>
        <w:rPr>
          <w:rFonts w:ascii="Calibri" w:hAnsi="Calibri"/>
          <w:b w:val="false"/>
          <w:bCs w:val="false"/>
          <w:color w:val="000000"/>
          <w:sz w:val="22"/>
          <w:szCs w:val="22"/>
          <w:u w:val="none"/>
        </w:rPr>
        <w:t xml:space="preserve">re money upfront before they see the profits. </w:t>
      </w:r>
    </w:p>
    <w:p>
      <w:pPr>
        <w:pStyle w:val="Normal"/>
        <w:spacing w:lineRule="auto" w:line="216"/>
        <w:rPr>
          <w:rFonts w:ascii="Calibri" w:hAnsi="Calibri"/>
          <w:b w:val="false"/>
          <w:b w:val="false"/>
          <w:bCs w:val="false"/>
          <w:color w:val="000000"/>
          <w:sz w:val="22"/>
          <w:szCs w:val="22"/>
        </w:rPr>
      </w:pPr>
      <w:r>
        <w:rPr>
          <w:rFonts w:ascii="Calibri" w:hAnsi="Calibri"/>
          <w:b w:val="false"/>
          <w:bCs w:val="false"/>
          <w:color w:val="000000"/>
          <w:sz w:val="22"/>
          <w:szCs w:val="22"/>
          <w:u w:val="none"/>
        </w:rPr>
        <w:t xml:space="preserve">Now that people are living longer customers of an older age may be reluctant to doing the online service whether its due to visual impairment or them just be set in their ways and not wanting to deal with a robot but would rather the phone service instead it wouldn’t be in the organisations best interest to get rid of the contact centre all together but have it there as a second response. Software updates and technical support will have to be on hand the author has addressed that if the home workers are experiencing technical difficulties it will be harder to do the online chat r sort out the problem. The author thinks that the workers from the office should at first start this new way of working until things run smooth and all issues are overcome. At least this way then compliance can be easily measured and a guideline for each individual can be set. </w:t>
      </w:r>
    </w:p>
    <w:p>
      <w:pPr>
        <w:pStyle w:val="Normal"/>
        <w:spacing w:lineRule="auto" w:line="216"/>
        <w:rPr>
          <w:u w:val="none"/>
        </w:rPr>
      </w:pPr>
      <w:r>
        <w:rPr>
          <w:rFonts w:ascii="Calibri" w:hAnsi="Calibri"/>
          <w:b/>
          <w:bCs/>
          <w:color w:val="000000"/>
          <w:sz w:val="22"/>
          <w:szCs w:val="22"/>
        </w:rPr>
      </w:r>
    </w:p>
    <w:p>
      <w:pPr>
        <w:pStyle w:val="Normal"/>
        <w:spacing w:lineRule="auto" w:line="216"/>
        <w:rPr>
          <w:u w:val="none"/>
        </w:rPr>
      </w:pPr>
      <w:r>
        <w:rPr>
          <w:rFonts w:ascii="Calibri" w:hAnsi="Calibri"/>
          <w:b/>
          <w:bCs/>
          <w:color w:val="000000"/>
          <w:sz w:val="22"/>
          <w:szCs w:val="22"/>
        </w:rPr>
      </w:r>
    </w:p>
    <w:p>
      <w:pPr>
        <w:pStyle w:val="Normal"/>
        <w:spacing w:before="0" w:after="200"/>
        <w:rPr>
          <w:rFonts w:ascii="Calibri" w:hAnsi="Calibri"/>
          <w:b/>
          <w:b/>
          <w:bCs/>
          <w:i w:val="false"/>
          <w:i w:val="false"/>
          <w:caps w:val="false"/>
          <w:smallCaps w:val="false"/>
          <w:color w:val="000000"/>
          <w:spacing w:val="0"/>
          <w:sz w:val="22"/>
          <w:szCs w:val="22"/>
          <w:u w:val="none"/>
        </w:rPr>
      </w:pPr>
      <w:r>
        <w:rPr>
          <w:b/>
          <w:bCs/>
          <w:i w:val="false"/>
          <w:caps w:val="false"/>
          <w:smallCaps w:val="false"/>
          <w:color w:val="000000"/>
          <w:spacing w:val="0"/>
          <w:sz w:val="22"/>
          <w:szCs w:val="22"/>
          <w:u w:val="none"/>
        </w:rPr>
        <w:t>Evaluate how organisational stakeholders can be efficiently led through complex workplace change.</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One of the most important jobs for any manager is change management. However, it can be challenging to change an organisation, and it is believed that around 70% of all endeavours fail </w:t>
      </w:r>
      <w:r>
        <w:rPr>
          <w:i w:val="false"/>
          <w:caps w:val="false"/>
          <w:smallCaps w:val="false"/>
          <w:color w:val="000000"/>
          <w:spacing w:val="0"/>
          <w:sz w:val="22"/>
          <w:szCs w:val="22"/>
        </w:rPr>
        <w:t xml:space="preserve">(Beer &amp; Nohria, 2000; Higgs &amp; Rowland, 2000).  Even more difficult is a transfer that calls for a change in organisational culture. According to published estimates, culture reforms have a success rate between 10 and 32 percent (Smith, 2003). Another factor contributing to poor success rates may be the inability to acquire stakeholder support and engagement during the project selection process </w:t>
      </w:r>
      <w:r>
        <w:rPr>
          <w:i w:val="false"/>
          <w:caps w:val="false"/>
          <w:smallCaps w:val="false"/>
          <w:color w:val="000000"/>
          <w:spacing w:val="0"/>
          <w:sz w:val="22"/>
          <w:szCs w:val="22"/>
        </w:rPr>
        <w:t xml:space="preserve">(Trader-Leigh,2002).  To overcome this the author must identify all stakeholders who have the greatest affect on the organisation success for change. It will allow the author to see who is on board and needs to be kept on board and whose who need to be informed of any changes and only addressed afterwards (Bourne &amp; Walker, 2005).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Communicate the aims and objectives of the change is important. People need to know  why the change is happening and when it is going to happen. Everything must be communicated transparently so everyone gets a better understanding (Parvinen et al., 2005). Educating the aims of the job can make a difference (Onkila, 2011).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Participate and Involve. At this stage all stakeholders should have an understanding of what is expected from them, now it is their turn to participate and reciprocate information back. Managers will be able to change elicit information from stakeholders which will in turn improve the quality of change effectively. It will aid employee engagement and they will then start to  accept the change (Marino, 2007).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Task Support.  Organisations can assist their stakeholders in changing by offering improved resources, procedures, tools, and guidance.  More training may be provided to people who lack the necessary skills for the proposed change, such as using a new operating system </w:t>
      </w:r>
      <w:r>
        <w:rPr>
          <w:i w:val="false"/>
          <w:caps w:val="false"/>
          <w:smallCaps w:val="false"/>
          <w:color w:val="000000"/>
          <w:spacing w:val="0"/>
          <w:sz w:val="22"/>
          <w:szCs w:val="22"/>
        </w:rPr>
        <w:t xml:space="preserve">(Hussain et al., 2018).  this will help assist the individual in their given task and develop within the organisational goal. This allows managers reduce the expectations of a failed change.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If managers offer emotional support to individuals it can help towards the success of the change. Many organisations will claim to have their employees best interest at heart but adopting this approach will help prove it. Fear of failure will be felt throughout the change process so individuals will feel more secure if emotionally supported by their superiors (Callan, 1993).  This will often come directly from their manager but emotional support may be offered in a group activity by other colleagues.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It has been touched on by this report that people react to change differently both positively and negatively. A manager may conduct an incentive to each stakeholder showing them how they can gain from the change, this may prove to be more attractive to get the task done efficiently by those who first saw it as subtractive (Destler, 2016).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Another way of leading stakeholders towards the goal is through manipulation. This is usually done by controlling and distorting information that stakeholders have access to. A manager can choose to only issue the benefits of the change and covering up possible losses. </w:t>
      </w:r>
      <w:r>
        <w:rPr>
          <w:i w:val="false"/>
          <w:caps w:val="false"/>
          <w:smallCaps w:val="false"/>
          <w:color w:val="000000"/>
          <w:spacing w:val="0"/>
          <w:sz w:val="22"/>
          <w:szCs w:val="22"/>
        </w:rPr>
        <w:t xml:space="preserve">Co-optation is used to garner interest into it’s success and makes the stakeholder believe that their input and work is valuable when in reality it isn’t , stakeholders are under the impression that they are a vital step in the organisational change (Banutu-Gomez &amp; Banutu-Gomez, 2007).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last of all coercion can be used as it is deemed powerful to change a stakeholders mindset and developing support but only in the short term. For coercion to work the stakeholder must believe that doing the task is much better than facing the repercussions if they don’t, it is believe to be very effective if a change has to happen on a whim (Kotter &amp; Schlesinger, 1989).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t xml:space="preserve">When the authors organisation talked about the workplace change they used a very manipulative approach they told each member of staff the benefits of the change to get more people on board it seemed like it would be a good idea at first considering that staff felt overwhelmed with the amount of customers the company already had to deal with  when in fact it caused more disruption in the workplace people started to panic and leave their jobs over the possibility of it happening so the remaining staff had their work spread out. </w:t>
      </w:r>
    </w:p>
    <w:p>
      <w:pPr>
        <w:pStyle w:val="Normal"/>
        <w:spacing w:before="0" w:after="200"/>
        <w:rPr>
          <w:rFonts w:ascii="Calibri" w:hAnsi="Calibri"/>
          <w:i w:val="false"/>
          <w:i w:val="false"/>
          <w:caps w:val="false"/>
          <w:smallCaps w:val="false"/>
          <w:color w:val="000000"/>
          <w:spacing w:val="0"/>
          <w:sz w:val="22"/>
          <w:szCs w:val="22"/>
        </w:rPr>
      </w:pPr>
      <w:r>
        <w:rPr>
          <w:i w:val="false"/>
          <w:caps w:val="false"/>
          <w:smallCaps w:val="false"/>
          <w:color w:val="000000"/>
          <w:spacing w:val="0"/>
          <w:sz w:val="22"/>
          <w:szCs w:val="22"/>
        </w:rPr>
      </w:r>
    </w:p>
    <w:p>
      <w:pPr>
        <w:pStyle w:val="Normal"/>
        <w:spacing w:before="0" w:after="200"/>
        <w:rPr>
          <w:b/>
          <w:b/>
          <w:bCs/>
        </w:rPr>
      </w:pPr>
      <w:r>
        <w:rPr>
          <w:b/>
          <w:bCs/>
        </w:rPr>
        <w:t>References</w:t>
      </w:r>
    </w:p>
    <w:p>
      <w:pPr>
        <w:pStyle w:val="Normal"/>
        <w:spacing w:lineRule="auto" w:line="240" w:before="0" w:after="0"/>
        <w:ind w:left="0" w:right="0" w:hanging="0"/>
        <w:rPr>
          <w:rFonts w:ascii="Calibri" w:hAnsi="Calibri"/>
          <w:b w:val="false"/>
          <w:b w:val="false"/>
          <w:bCs w:val="false"/>
          <w:i w:val="false"/>
          <w:i w:val="false"/>
          <w:caps w:val="false"/>
          <w:smallCaps w:val="false"/>
          <w:spacing w:val="0"/>
          <w:sz w:val="22"/>
          <w:szCs w:val="22"/>
        </w:rPr>
      </w:pPr>
      <w:r>
        <w:rPr>
          <w:b w:val="false"/>
          <w:bCs w:val="false"/>
          <w:i w:val="false"/>
          <w:caps w:val="false"/>
          <w:smallCaps w:val="false"/>
          <w:spacing w:val="0"/>
          <w:sz w:val="22"/>
          <w:szCs w:val="22"/>
        </w:rPr>
        <w:t>Avraham, Ronen, Kyle D. Logue, and Daniel B. Schwarcz. 2013. Understanding Insurance Anti-Discrimination. Ann</w:t>
      </w:r>
    </w:p>
    <w:p>
      <w:pPr>
        <w:pStyle w:val="Normal"/>
        <w:spacing w:lineRule="auto" w:line="240" w:before="0" w:after="0"/>
        <w:ind w:left="0" w:right="0" w:hanging="0"/>
        <w:rPr>
          <w:rFonts w:ascii="Calibri" w:hAnsi="Calibri"/>
          <w:b w:val="false"/>
          <w:b w:val="false"/>
          <w:i w:val="false"/>
          <w:i w:val="false"/>
          <w:caps w:val="false"/>
          <w:smallCaps w:val="false"/>
          <w:spacing w:val="0"/>
          <w:sz w:val="22"/>
          <w:szCs w:val="22"/>
        </w:rPr>
      </w:pPr>
      <w:r>
        <w:rPr>
          <w:b w:val="false"/>
          <w:i w:val="false"/>
          <w:caps w:val="false"/>
          <w:smallCaps w:val="false"/>
          <w:spacing w:val="0"/>
          <w:sz w:val="22"/>
          <w:szCs w:val="22"/>
        </w:rPr>
        <w:t>Arbor: University of Michigan Law School Scholarship Repository Law &amp; Economics Working Papers</w:t>
      </w:r>
    </w:p>
    <w:p>
      <w:pPr>
        <w:pStyle w:val="Normal"/>
        <w:spacing w:lineRule="auto" w:line="240" w:before="0" w:after="0"/>
        <w:ind w:left="0" w:right="0" w:hanging="0"/>
        <w:rPr>
          <w:rFonts w:ascii="Calibri" w:hAnsi="Calibri"/>
          <w:b w:val="false"/>
          <w:b w:val="false"/>
          <w:i w:val="false"/>
          <w:i w:val="false"/>
          <w:caps w:val="false"/>
          <w:smallCaps w:val="false"/>
          <w:spacing w:val="0"/>
          <w:sz w:val="22"/>
          <w:szCs w:val="22"/>
        </w:rPr>
      </w:pPr>
      <w:r>
        <w:rPr/>
      </w:r>
    </w:p>
    <w:p>
      <w:pPr>
        <w:pStyle w:val="Normal"/>
        <w:spacing w:lineRule="auto" w:line="240" w:before="0" w:after="0"/>
        <w:ind w:left="0" w:right="0" w:hanging="0"/>
        <w:rPr>
          <w:rFonts w:ascii="Calibri" w:hAnsi="Calibri"/>
          <w:b w:val="false"/>
          <w:b w:val="false"/>
          <w:i w:val="false"/>
          <w:i w:val="false"/>
          <w:caps w:val="false"/>
          <w:smallCaps w:val="false"/>
          <w:spacing w:val="0"/>
          <w:sz w:val="22"/>
          <w:szCs w:val="22"/>
        </w:rPr>
      </w:pPr>
      <w:r>
        <w:rPr>
          <w:b w:val="false"/>
          <w:i w:val="false"/>
          <w:caps w:val="false"/>
          <w:smallCaps w:val="false"/>
          <w:spacing w:val="0"/>
          <w:sz w:val="22"/>
          <w:szCs w:val="22"/>
        </w:rPr>
        <w:t>Banutu-Gomez, M. B., &amp; Banutu-Gomez, S. M. (2007) Leadership and organisational change in a competitive environment. Business renaissance quarterly, 2(2), 69</w:t>
      </w:r>
    </w:p>
    <w:p>
      <w:pPr>
        <w:pStyle w:val="Normal"/>
        <w:spacing w:lineRule="auto" w:line="240" w:before="0" w:after="0"/>
        <w:ind w:left="0" w:right="0" w:hanging="0"/>
        <w:rPr>
          <w:rFonts w:ascii="Calibri" w:hAnsi="Calibri"/>
          <w:b w:val="false"/>
          <w:b w:val="false"/>
          <w:i w:val="false"/>
          <w:i w:val="false"/>
          <w:caps w:val="false"/>
          <w:smallCaps w:val="false"/>
          <w:spacing w:val="0"/>
          <w:sz w:val="22"/>
          <w:szCs w:val="22"/>
        </w:rPr>
      </w:pPr>
      <w:r>
        <w:rPr/>
      </w:r>
    </w:p>
    <w:p>
      <w:pPr>
        <w:pStyle w:val="Normal"/>
        <w:spacing w:lineRule="auto" w:line="240" w:before="0" w:after="0"/>
        <w:ind w:left="0" w:right="0" w:hanging="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Beer, M. and Nohria, N. (2000), “Cracking the code of change”, Harvard Business Review, Vol. 78</w:t>
      </w:r>
    </w:p>
    <w:p>
      <w:pPr>
        <w:pStyle w:val="Normal"/>
        <w:spacing w:lineRule="auto" w:line="220" w:before="0" w:after="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No. 3, pp. 133-41.</w:t>
      </w:r>
    </w:p>
    <w:p>
      <w:pPr>
        <w:pStyle w:val="Normal"/>
        <w:spacing w:lineRule="auto" w:line="220" w:before="0" w:after="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r>
    </w:p>
    <w:p>
      <w:pPr>
        <w:pStyle w:val="Normal"/>
        <w:spacing w:lineRule="auto" w:line="220" w:before="0" w:after="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Bercovitz, J., &amp; Feldman, M. (2008) Academic entrepreneurs: organisational change at the individual level. Organisational science, 19(1), 69-89</w:t>
      </w:r>
    </w:p>
    <w:p>
      <w:pPr>
        <w:pStyle w:val="Normal"/>
        <w:spacing w:lineRule="auto" w:line="240" w:before="0" w:after="0"/>
        <w:ind w:left="0" w:right="0" w:hanging="0"/>
        <w:rPr>
          <w:rFonts w:ascii="Calibri" w:hAnsi="Calibri"/>
          <w:b w:val="false"/>
          <w:b w:val="false"/>
          <w:i w:val="false"/>
          <w:i w:val="false"/>
          <w:caps w:val="false"/>
          <w:smallCaps w:val="false"/>
          <w:spacing w:val="0"/>
          <w:sz w:val="22"/>
          <w:szCs w:val="22"/>
        </w:rPr>
      </w:pPr>
      <w:r>
        <w:rPr/>
      </w:r>
    </w:p>
    <w:p>
      <w:pPr>
        <w:pStyle w:val="Normal"/>
        <w:widowControl/>
        <w:spacing w:lineRule="auto" w:line="240" w:before="0" w:after="200"/>
        <w:ind w:left="0" w:right="0" w:hanging="0"/>
        <w:jc w:val="left"/>
        <w:rPr>
          <w:rFonts w:ascii="Calibri" w:hAnsi="Calibri"/>
          <w:b w:val="false"/>
          <w:b w:val="false"/>
          <w:bCs w:val="false"/>
          <w:sz w:val="22"/>
          <w:szCs w:val="22"/>
        </w:rPr>
      </w:pPr>
      <w:r>
        <w:rPr>
          <w:b w:val="false"/>
          <w:bCs w:val="false"/>
          <w:i w:val="false"/>
          <w:caps w:val="false"/>
          <w:smallCaps w:val="false"/>
          <w:color w:val="000000"/>
          <w:spacing w:val="0"/>
          <w:sz w:val="22"/>
          <w:szCs w:val="22"/>
        </w:rPr>
        <w:t>Blanchard, Olivier.</w:t>
      </w:r>
      <w:r>
        <w:rPr>
          <w:b w:val="false"/>
          <w:bCs w:val="false"/>
          <w:caps w:val="false"/>
          <w:smallCaps w:val="false"/>
          <w:spacing w:val="0"/>
          <w:sz w:val="22"/>
          <w:szCs w:val="22"/>
        </w:rPr>
        <w:t xml:space="preserve"> </w:t>
      </w:r>
      <w:r>
        <w:rPr>
          <w:b w:val="false"/>
          <w:bCs w:val="false"/>
          <w:i w:val="false"/>
          <w:caps w:val="false"/>
          <w:smallCaps w:val="false"/>
          <w:color w:val="000000"/>
          <w:spacing w:val="0"/>
          <w:sz w:val="22"/>
          <w:szCs w:val="22"/>
        </w:rPr>
        <w:t>2006.</w:t>
      </w:r>
      <w:r>
        <w:rPr>
          <w:b w:val="false"/>
          <w:bCs w:val="false"/>
          <w:caps w:val="false"/>
          <w:smallCaps w:val="false"/>
          <w:spacing w:val="0"/>
          <w:sz w:val="22"/>
          <w:szCs w:val="22"/>
        </w:rPr>
        <w:t xml:space="preserve"> </w:t>
      </w:r>
      <w:r>
        <w:rPr>
          <w:b w:val="false"/>
          <w:bCs w:val="false"/>
          <w:i w:val="false"/>
          <w:caps w:val="false"/>
          <w:smallCaps w:val="false"/>
          <w:color w:val="000000"/>
          <w:spacing w:val="0"/>
          <w:sz w:val="22"/>
          <w:szCs w:val="22"/>
        </w:rPr>
        <w:t>European Unemployment: the evolution of facts and ideas.</w:t>
      </w:r>
      <w:r>
        <w:rPr>
          <w:b w:val="false"/>
          <w:bCs w:val="false"/>
          <w:caps w:val="false"/>
          <w:smallCaps w:val="false"/>
          <w:spacing w:val="0"/>
          <w:sz w:val="22"/>
          <w:szCs w:val="22"/>
        </w:rPr>
        <w:t xml:space="preserve"> </w:t>
      </w:r>
      <w:r>
        <w:rPr>
          <w:b w:val="false"/>
          <w:bCs w:val="false"/>
          <w:i w:val="false"/>
          <w:caps w:val="false"/>
          <w:smallCaps w:val="false"/>
          <w:color w:val="000000"/>
          <w:spacing w:val="0"/>
          <w:sz w:val="22"/>
          <w:szCs w:val="22"/>
        </w:rPr>
        <w:t>Economic Policy 21: 5–59</w:t>
      </w:r>
      <w:r>
        <w:rPr>
          <w:b w:val="false"/>
          <w:bCs w:val="false"/>
          <w:sz w:val="22"/>
          <w:szCs w:val="22"/>
        </w:rPr>
        <w:t xml:space="preserve"> </w:t>
      </w:r>
    </w:p>
    <w:p>
      <w:pPr>
        <w:pStyle w:val="Normal"/>
        <w:widowControl/>
        <w:spacing w:lineRule="auto" w:line="240" w:before="0" w:after="200"/>
        <w:ind w:left="0" w:right="0" w:hanging="0"/>
        <w:jc w:val="left"/>
        <w:rPr>
          <w:rFonts w:ascii="Calibri" w:hAnsi="Calibri"/>
          <w:b w:val="false"/>
          <w:b w:val="false"/>
          <w:bCs w:val="false"/>
          <w:sz w:val="22"/>
          <w:szCs w:val="22"/>
        </w:rPr>
      </w:pPr>
      <w:r>
        <w:rPr>
          <w:b w:val="false"/>
          <w:bCs w:val="false"/>
          <w:sz w:val="22"/>
          <w:szCs w:val="22"/>
        </w:rPr>
        <w:t>Bourne, L., &amp; Walker, D. H. (2005) Visualising and mapping stakeholder influence. Management decision</w:t>
      </w:r>
    </w:p>
    <w:p>
      <w:pPr>
        <w:pStyle w:val="TextBody"/>
        <w:widowControl/>
        <w:spacing w:lineRule="auto" w:line="240" w:before="0" w:after="200"/>
        <w:ind w:left="0" w:right="0" w:hanging="0"/>
        <w:jc w:val="left"/>
        <w:rPr>
          <w:caps w:val="false"/>
          <w:smallCaps w:val="false"/>
          <w:color w:val="000000"/>
          <w:spacing w:val="0"/>
        </w:rPr>
      </w:pPr>
      <w:r>
        <w:rPr>
          <w:rFonts w:ascii="sans-serif" w:hAnsi="sans-serif"/>
          <w:b w:val="false"/>
          <w:bCs w:val="false"/>
          <w:i w:val="false"/>
          <w:caps w:val="false"/>
          <w:smallCaps w:val="false"/>
          <w:color w:val="000000"/>
          <w:spacing w:val="0"/>
          <w:sz w:val="18"/>
          <w:szCs w:val="22"/>
        </w:rPr>
        <w:t>Burns, T. &amp; Stalker, G. M. (1961), The Management of Innovation, Tavistock, London.</w:t>
      </w:r>
    </w:p>
    <w:p>
      <w:pPr>
        <w:pStyle w:val="TextBody"/>
        <w:widowControl/>
        <w:spacing w:lineRule="auto" w:line="240" w:before="0" w:after="200"/>
        <w:ind w:left="0" w:right="0" w:hanging="0"/>
        <w:jc w:val="left"/>
        <w:rPr>
          <w:caps w:val="false"/>
          <w:smallCaps w:val="false"/>
          <w:color w:val="000000"/>
          <w:spacing w:val="0"/>
        </w:rPr>
      </w:pPr>
      <w:r>
        <w:rPr>
          <w:rFonts w:ascii="sans-serif" w:hAnsi="sans-serif"/>
          <w:b w:val="false"/>
          <w:bCs w:val="false"/>
          <w:i w:val="false"/>
          <w:caps w:val="false"/>
          <w:smallCaps w:val="false"/>
          <w:color w:val="000000"/>
          <w:spacing w:val="0"/>
          <w:sz w:val="18"/>
          <w:szCs w:val="22"/>
        </w:rPr>
        <w:t>Callan, V. J. (1993) Individual and organisational strategies for coping with organisational change. Work and Stress, 7(1), 63-75</w:t>
      </w:r>
    </w:p>
    <w:p>
      <w:pPr>
        <w:pStyle w:val="Normal"/>
        <w:spacing w:before="0" w:after="200"/>
        <w:rPr>
          <w:b w:val="false"/>
          <w:b w:val="false"/>
          <w:bCs w:val="false"/>
        </w:rPr>
      </w:pPr>
      <w:r>
        <w:rPr>
          <w:b w:val="false"/>
          <w:bCs w:val="false"/>
        </w:rPr>
        <w:t xml:space="preserve">Cascio, W. F. (2003). Changes in workers, work, and organizations. In R. J. Klimoski, W. C. Borman, &amp; D. R. Ilgen (Eds.), Handbook of psychology (Vol. 12, pp. 401–422). Hoboken, NJ: Wiley </w:t>
      </w:r>
    </w:p>
    <w:p>
      <w:pPr>
        <w:pStyle w:val="Normal"/>
        <w:spacing w:before="0" w:after="200"/>
        <w:rPr>
          <w:b w:val="false"/>
          <w:b w:val="false"/>
          <w:bCs w:val="false"/>
        </w:rPr>
      </w:pPr>
      <w:r>
        <w:rPr>
          <w:b w:val="false"/>
          <w:bCs w:val="false"/>
        </w:rPr>
        <w:t>Cunningham, G. B. (2006) The relationships among commitment to change, coping with change and turnover intentions. European Journal of work and organisational psychology, 15(1), 29-45</w:t>
      </w:r>
    </w:p>
    <w:p>
      <w:pPr>
        <w:pStyle w:val="Normal"/>
        <w:spacing w:before="0" w:after="200"/>
        <w:rPr>
          <w:b w:val="false"/>
          <w:b w:val="false"/>
          <w:bCs w:val="false"/>
        </w:rPr>
      </w:pPr>
      <w:r>
        <w:rPr>
          <w:b w:val="false"/>
          <w:bCs w:val="false"/>
        </w:rPr>
        <w:t>Daniels, J. R. L. a. S. D., (2011). adapting to the changing business environment. 12</w:t>
      </w:r>
      <w:r>
        <w:rPr>
          <w:b w:val="false"/>
          <w:bCs w:val="false"/>
          <w:vertAlign w:val="superscript"/>
        </w:rPr>
        <w:t>th</w:t>
      </w:r>
      <w:r>
        <w:rPr>
          <w:b w:val="false"/>
          <w:bCs w:val="false"/>
        </w:rPr>
        <w:t xml:space="preserve"> ed ed. Upper Saddle River, NJ: Prentice Hall.</w:t>
      </w:r>
    </w:p>
    <w:p>
      <w:pPr>
        <w:pStyle w:val="Normal"/>
        <w:spacing w:before="0" w:after="200"/>
        <w:rPr>
          <w:b w:val="false"/>
          <w:b w:val="false"/>
          <w:bCs w:val="false"/>
        </w:rPr>
      </w:pPr>
      <w:r>
        <w:rPr>
          <w:b w:val="false"/>
          <w:bCs w:val="false"/>
        </w:rPr>
        <w:t>Destler, K. N. (2016) Creating a performance culture: Incentives, climate and organisational change. The American review of public administration, 46(2), 201-225</w:t>
      </w:r>
    </w:p>
    <w:p>
      <w:pPr>
        <w:pStyle w:val="Normal"/>
        <w:spacing w:before="0" w:after="200"/>
        <w:rPr>
          <w:rFonts w:ascii="Calibri" w:hAnsi="Calibri"/>
          <w:sz w:val="22"/>
          <w:szCs w:val="22"/>
        </w:rPr>
      </w:pPr>
      <w:r>
        <w:rPr>
          <w:b w:val="false"/>
          <w:bCs w:val="false"/>
          <w:i w:val="false"/>
          <w:caps w:val="false"/>
          <w:smallCaps w:val="false"/>
          <w:color w:val="000000"/>
          <w:spacing w:val="0"/>
          <w:sz w:val="22"/>
          <w:szCs w:val="22"/>
        </w:rPr>
        <w:t>Doff, René. 2008.</w:t>
      </w:r>
      <w:r>
        <w:rPr>
          <w:b w:val="false"/>
          <w:bCs w:val="false"/>
          <w:caps w:val="false"/>
          <w:smallCaps w:val="false"/>
          <w:spacing w:val="0"/>
          <w:sz w:val="22"/>
          <w:szCs w:val="22"/>
        </w:rPr>
        <w:t xml:space="preserve"> </w:t>
      </w:r>
      <w:r>
        <w:rPr>
          <w:b w:val="false"/>
          <w:bCs w:val="false"/>
          <w:i w:val="false"/>
          <w:caps w:val="false"/>
          <w:smallCaps w:val="false"/>
          <w:color w:val="000000"/>
          <w:spacing w:val="0"/>
          <w:sz w:val="22"/>
          <w:szCs w:val="22"/>
        </w:rPr>
        <w:t>A Critical Analysis of the Solvency II Proposals. The Geneva Papers 33: 193–206.</w:t>
      </w:r>
      <w:r>
        <w:rPr>
          <w:b w:val="false"/>
          <w:bCs w:val="false"/>
          <w:sz w:val="22"/>
          <w:szCs w:val="22"/>
        </w:rPr>
        <w:t xml:space="preserve"> </w:t>
      </w:r>
    </w:p>
    <w:p>
      <w:pPr>
        <w:pStyle w:val="Normal"/>
        <w:spacing w:before="0" w:after="200"/>
        <w:rPr>
          <w:rFonts w:ascii="Calibri" w:hAnsi="Calibri"/>
          <w:sz w:val="22"/>
          <w:szCs w:val="22"/>
        </w:rPr>
      </w:pPr>
      <w:r>
        <w:rPr>
          <w:b w:val="false"/>
          <w:bCs w:val="false"/>
          <w:sz w:val="22"/>
          <w:szCs w:val="22"/>
        </w:rPr>
        <w:t>Fletcher, J., Bailyn, L., &amp; Beard, S. B. (2009) Practical pushing: Creating discursive space in organisational narratives. In critical management studies at work.</w:t>
      </w:r>
    </w:p>
    <w:p>
      <w:pPr>
        <w:pStyle w:val="Normal"/>
        <w:spacing w:before="0" w:after="200"/>
        <w:rPr>
          <w:rFonts w:ascii="Calibri" w:hAnsi="Calibri"/>
          <w:sz w:val="22"/>
          <w:szCs w:val="22"/>
        </w:rPr>
      </w:pPr>
      <w:r>
        <w:rPr>
          <w:b w:val="false"/>
          <w:bCs w:val="false"/>
          <w:sz w:val="22"/>
          <w:szCs w:val="22"/>
        </w:rPr>
        <w:t>Godkin, L., &amp; Allcorn, S. (2008) Overcoming organisational inertia: A tripartite model for achieving strategic organisational change. The Journal of Applied Business and Economics, 8(1), 82.</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spacing w:val="0"/>
          <w:sz w:val="22"/>
          <w:szCs w:val="22"/>
        </w:rPr>
        <w:t>Harrington, Scott E. 2009. The Financial Crisis, Systemic Risk, and the Future of Insurance Regulation. The Journal</w:t>
      </w:r>
      <w:r>
        <w:rPr>
          <w:b w:val="false"/>
          <w:i w:val="false"/>
          <w:caps w:val="false"/>
          <w:smallCaps w:val="false"/>
          <w:spacing w:val="0"/>
          <w:sz w:val="22"/>
          <w:szCs w:val="22"/>
        </w:rPr>
        <w:t>of Risk and Insurance 76: 785–819.</w:t>
      </w:r>
    </w:p>
    <w:p>
      <w:pPr>
        <w:pStyle w:val="Normal"/>
        <w:spacing w:before="0" w:after="200"/>
        <w:rPr>
          <w:b w:val="false"/>
          <w:b w:val="false"/>
          <w:bCs w:val="false"/>
        </w:rPr>
      </w:pPr>
      <w:r>
        <w:rPr>
          <w:b w:val="false"/>
          <w:bCs w:val="false"/>
        </w:rPr>
        <w:t xml:space="preserve">Hathotuwa, S., (2022) A Cost Of Living Crisis: What Does It Mean For UK Businesses. </w:t>
      </w:r>
      <w:hyperlink r:id="rId2">
        <w:r>
          <w:rPr>
            <w:rStyle w:val="InternetLink"/>
            <w:b w:val="false"/>
            <w:bCs w:val="false"/>
          </w:rPr>
          <w:t>Www.businessleader.co.uk</w:t>
        </w:r>
      </w:hyperlink>
      <w:r>
        <w:rPr>
          <w:b w:val="false"/>
          <w:bCs w:val="false"/>
        </w:rPr>
        <w:t xml:space="preserve"> accessed 03/09/2022</w:t>
      </w:r>
    </w:p>
    <w:p>
      <w:pPr>
        <w:pStyle w:val="Normal"/>
        <w:spacing w:before="0" w:after="200"/>
        <w:rPr>
          <w:rFonts w:ascii="Calibri" w:hAnsi="Calibri"/>
          <w:b w:val="false"/>
          <w:i w:val="false"/>
          <w:caps w:val="false"/>
          <w:smallCaps w:val="false"/>
          <w:spacing w:val="0"/>
          <w:sz w:val="22"/>
          <w:szCs w:val="22"/>
        </w:rPr>
      </w:pPr>
      <w:r>
        <w:rPr>
          <w:rFonts w:ascii="Calibri" w:hAnsi="Calibri"/>
          <w:b w:val="false"/>
          <w:bCs w:val="false"/>
          <w:i w:val="false"/>
          <w:caps w:val="false"/>
          <w:smallCaps w:val="false"/>
          <w:spacing w:val="0"/>
          <w:sz w:val="22"/>
          <w:szCs w:val="22"/>
        </w:rPr>
        <w:t xml:space="preserve">Higgs, M. and Rowland, D. (2000), “Building change leadership capability: ‘the quest for change </w:t>
      </w:r>
      <w:r>
        <w:rPr>
          <w:rFonts w:ascii="Calibri" w:hAnsi="Calibri"/>
          <w:b w:val="false"/>
          <w:i w:val="false"/>
          <w:caps w:val="false"/>
          <w:smallCaps w:val="false"/>
          <w:spacing w:val="0"/>
          <w:sz w:val="22"/>
          <w:szCs w:val="22"/>
        </w:rPr>
        <w:t>competence’”, Journal of Change Management, Vol. 1 No. 2, pp. 116-31.</w:t>
      </w:r>
    </w:p>
    <w:p>
      <w:pPr>
        <w:pStyle w:val="Normal"/>
        <w:spacing w:before="0" w:after="20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Hussain, S. T., Lei, S, Akram, T., Haider, M., Hussain, S. H., &amp; Ali, M. (2018) Kurt Lewins change model: A critical review of the role of leadership and employee involvement in organisational change. Journal of Innovation &amp; Knowledge, 3(3) 123-127</w:t>
      </w:r>
    </w:p>
    <w:p>
      <w:pPr>
        <w:pStyle w:val="Normal"/>
        <w:spacing w:before="0" w:after="20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Jacobs, G., Van Witteloosstuijin, A., &amp; Christie-Zeyse, J. (2013) A theoretical framework of organisational change. A journal of organisational change management</w:t>
      </w:r>
    </w:p>
    <w:p>
      <w:pPr>
        <w:pStyle w:val="Normal"/>
        <w:spacing w:before="0" w:after="20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Kotter, J. P., &amp; Schlesinger, L. A. (1989) Choosing strategies for changes. In reading in strategic management (pp294-306)</w:t>
      </w:r>
    </w:p>
    <w:p>
      <w:pPr>
        <w:pStyle w:val="Normal"/>
        <w:spacing w:before="0" w:after="200"/>
        <w:rPr>
          <w:b w:val="false"/>
          <w:b w:val="false"/>
          <w:bCs w:val="false"/>
        </w:rPr>
      </w:pPr>
      <w:r>
        <w:rPr>
          <w:b w:val="false"/>
          <w:bCs w:val="false"/>
        </w:rPr>
        <w:t xml:space="preserve">Kozlowski, S. W. J., Watola, D., Nowakowski, J. M., Kim, B., &amp; Botero, I. (2008). Developing adaptive teams: A theory of dynamic team leadership. In E. Salas, G. F. Goodwin, &amp; C. S. Burke (Eds.), Team effectiveness in complex organizations: Cross-disciplinary perspectives and approaches (pp. 113–155). </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spacing w:val="0"/>
          <w:sz w:val="22"/>
          <w:szCs w:val="22"/>
        </w:rPr>
        <w:t xml:space="preserve">KMPG. 2014. How Well Is the Life Insurance Industry Keeping Pace with Rapidly Changing Technology? London: KPMG </w:t>
      </w:r>
      <w:r>
        <w:rPr>
          <w:b w:val="false"/>
          <w:i w:val="false"/>
          <w:caps w:val="false"/>
          <w:smallCaps w:val="false"/>
          <w:spacing w:val="0"/>
          <w:sz w:val="22"/>
          <w:szCs w:val="22"/>
        </w:rPr>
        <w:t>International Cooperative</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color w:val="000000"/>
          <w:spacing w:val="0"/>
          <w:sz w:val="22"/>
          <w:szCs w:val="22"/>
        </w:rPr>
        <w:t xml:space="preserve">Mahoney, M. S.(1988). The history of computing in the history of technology. </w:t>
      </w:r>
      <w:r>
        <w:rPr>
          <w:b w:val="false"/>
          <w:bCs w:val="false"/>
          <w:i/>
          <w:caps w:val="false"/>
          <w:smallCaps w:val="false"/>
          <w:color w:val="000000"/>
          <w:spacing w:val="0"/>
          <w:sz w:val="22"/>
          <w:szCs w:val="22"/>
        </w:rPr>
        <w:t xml:space="preserve">Annals of the History of Computing </w:t>
      </w:r>
      <w:r>
        <w:rPr>
          <w:b w:val="false"/>
          <w:bCs w:val="false"/>
          <w:i w:val="false"/>
          <w:caps w:val="false"/>
          <w:smallCaps w:val="false"/>
          <w:color w:val="000000"/>
          <w:spacing w:val="0"/>
          <w:sz w:val="22"/>
          <w:szCs w:val="22"/>
        </w:rPr>
        <w:t>10, 113–125.</w:t>
      </w:r>
      <w:r>
        <w:rPr>
          <w:b w:val="false"/>
          <w:bCs w:val="false"/>
          <w:i w:val="false"/>
          <w:caps w:val="false"/>
          <w:smallCaps w:val="false"/>
          <w:color w:val="000000"/>
          <w:spacing w:val="0"/>
          <w:sz w:val="22"/>
          <w:szCs w:val="22"/>
        </w:rPr>
        <w:t xml:space="preserve"> </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color w:val="000000"/>
          <w:spacing w:val="0"/>
          <w:sz w:val="22"/>
          <w:szCs w:val="22"/>
        </w:rPr>
        <w:t>Marino, J. J. (2007) A new paradigm for organisational change. Career development international, 6(2), 111-119</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color w:val="000000"/>
          <w:spacing w:val="0"/>
          <w:sz w:val="22"/>
          <w:szCs w:val="22"/>
        </w:rPr>
        <w:t>Onkila, T. (2011) Multiple forms of stakeholders interaction in environmental management: business arguments regarding differences in stakeholder relationships. Business strategy and the environment, 20(6), 379-393</w:t>
      </w:r>
    </w:p>
    <w:p>
      <w:pPr>
        <w:pStyle w:val="Normal"/>
        <w:spacing w:before="0" w:after="200"/>
        <w:rPr>
          <w:rFonts w:ascii="Calibri" w:hAnsi="Calibri"/>
          <w:b w:val="false"/>
          <w:i w:val="false"/>
          <w:caps w:val="false"/>
          <w:smallCaps w:val="false"/>
          <w:spacing w:val="0"/>
          <w:sz w:val="22"/>
          <w:szCs w:val="22"/>
        </w:rPr>
      </w:pPr>
      <w:r>
        <w:rPr>
          <w:rFonts w:ascii="Calibri" w:hAnsi="Calibri"/>
          <w:b w:val="false"/>
          <w:bCs w:val="false"/>
          <w:i w:val="false"/>
          <w:caps w:val="false"/>
          <w:smallCaps w:val="false"/>
          <w:color w:val="000000"/>
          <w:spacing w:val="0"/>
          <w:sz w:val="22"/>
          <w:szCs w:val="22"/>
        </w:rPr>
        <w:t xml:space="preserve">Parvinen, P., Kujala, J., Lillrank, P. and Kouri, J. (2005), “Managing process interventions in </w:t>
      </w:r>
      <w:r>
        <w:rPr>
          <w:rFonts w:ascii="Calibri" w:hAnsi="Calibri"/>
          <w:b w:val="false"/>
          <w:i w:val="false"/>
          <w:caps w:val="false"/>
          <w:smallCaps w:val="false"/>
          <w:spacing w:val="0"/>
          <w:sz w:val="22"/>
          <w:szCs w:val="22"/>
        </w:rPr>
        <w:t>healthcare: a question of governance”, 4th International Conference on the Management of Healthcare and Medical Technology, Aalborg, 25-26</w:t>
      </w:r>
    </w:p>
    <w:p>
      <w:pPr>
        <w:pStyle w:val="Normal"/>
        <w:spacing w:before="0" w:after="200"/>
        <w:rPr>
          <w:rFonts w:ascii="Calibri" w:hAnsi="Calibri"/>
          <w:b w:val="false"/>
          <w:b w:val="false"/>
          <w:bCs w:val="false"/>
          <w:color w:val="000000"/>
          <w:sz w:val="22"/>
          <w:szCs w:val="22"/>
        </w:rPr>
      </w:pPr>
      <w:r>
        <w:rPr>
          <w:b w:val="false"/>
          <w:bCs w:val="false"/>
          <w:color w:val="000000"/>
          <w:sz w:val="22"/>
          <w:szCs w:val="22"/>
        </w:rPr>
        <w:t>Peiperl, M. &amp;  J. T., (2007)  Managing Change. S, L. McGraw-Hill.</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color w:val="000000"/>
          <w:spacing w:val="0"/>
          <w:sz w:val="22"/>
          <w:szCs w:val="22"/>
        </w:rPr>
        <w:t xml:space="preserve">PricewaterhouseCoopers (PwC). 2012. Insurance 2020: Turning Change into Opportunity. Available online: </w:t>
      </w:r>
      <w:r>
        <w:rPr>
          <w:b w:val="false"/>
          <w:bCs w:val="false"/>
          <w:i w:val="false"/>
          <w:caps w:val="false"/>
          <w:smallCaps w:val="false"/>
          <w:color w:val="0000FF"/>
          <w:spacing w:val="0"/>
          <w:sz w:val="22"/>
          <w:szCs w:val="22"/>
        </w:rPr>
        <w:t>https:</w:t>
      </w:r>
      <w:r>
        <w:rPr>
          <w:b w:val="false"/>
          <w:i w:val="false"/>
          <w:caps w:val="false"/>
          <w:smallCaps w:val="false"/>
          <w:spacing w:val="0"/>
          <w:sz w:val="22"/>
          <w:szCs w:val="22"/>
        </w:rPr>
        <w:t xml:space="preserve">//www.pwc.com/gx/en/insurance/pdf/insurance-2020-turning-change-into-opportunity.pdf </w:t>
      </w:r>
      <w:r>
        <w:rPr>
          <w:b w:val="false"/>
          <w:i w:val="false"/>
          <w:caps w:val="false"/>
          <w:smallCaps w:val="false"/>
          <w:color w:val="000000"/>
          <w:spacing w:val="0"/>
          <w:sz w:val="22"/>
          <w:szCs w:val="22"/>
        </w:rPr>
        <w:t xml:space="preserve">(accessed </w:t>
      </w:r>
      <w:r>
        <w:rPr>
          <w:b w:val="false"/>
          <w:i w:val="false"/>
          <w:caps w:val="false"/>
          <w:smallCaps w:val="false"/>
          <w:spacing w:val="0"/>
          <w:sz w:val="22"/>
          <w:szCs w:val="22"/>
        </w:rPr>
        <w:t>on 03/09/2022)</w:t>
      </w:r>
    </w:p>
    <w:p>
      <w:pPr>
        <w:pStyle w:val="Normal"/>
        <w:spacing w:before="0" w:after="200"/>
        <w:rPr>
          <w:rFonts w:ascii="Calibri" w:hAnsi="Calibri"/>
          <w:b w:val="false"/>
          <w:b w:val="false"/>
          <w:bCs w:val="false"/>
          <w:color w:val="000000"/>
          <w:sz w:val="22"/>
          <w:szCs w:val="22"/>
        </w:rPr>
      </w:pPr>
      <w:r>
        <w:rPr>
          <w:b w:val="false"/>
          <w:bCs w:val="false"/>
          <w:color w:val="000000"/>
          <w:sz w:val="22"/>
          <w:szCs w:val="22"/>
        </w:rPr>
        <w:t xml:space="preserve">Ployhart, R. E., &amp; Bliese, P. D. (2006). Individual adaptability (I-ADAPT) theory: Conceptualizing the antecedents, consequences, and measurement of individual differences in adaptability. Advances in Human Performance and Cognitive Engineering Research, 6, 3–39 </w:t>
      </w:r>
    </w:p>
    <w:p>
      <w:pPr>
        <w:pStyle w:val="Normal"/>
        <w:spacing w:before="0" w:after="200"/>
        <w:rPr>
          <w:rFonts w:ascii="Calibri" w:hAnsi="Calibri"/>
          <w:b w:val="false"/>
          <w:b w:val="false"/>
          <w:bCs w:val="false"/>
          <w:color w:val="000000"/>
          <w:sz w:val="22"/>
          <w:szCs w:val="22"/>
        </w:rPr>
      </w:pPr>
      <w:r>
        <w:rPr>
          <w:b w:val="false"/>
          <w:bCs w:val="false"/>
          <w:color w:val="000000"/>
          <w:sz w:val="22"/>
          <w:szCs w:val="22"/>
        </w:rPr>
        <w:t>Robey, D., Anderson, C., &amp; Raymond, B. (2013). Information technology, materiality and organisational change: A professional odyssey. Journal of the Association for Information Systems , 14(7).1</w:t>
      </w:r>
    </w:p>
    <w:p>
      <w:pPr>
        <w:pStyle w:val="Normal"/>
        <w:spacing w:before="0" w:after="200"/>
        <w:rPr>
          <w:rFonts w:ascii="Calibri" w:hAnsi="Calibri"/>
          <w:b w:val="false"/>
          <w:b w:val="false"/>
          <w:bCs w:val="false"/>
          <w:color w:val="000000"/>
          <w:sz w:val="22"/>
          <w:szCs w:val="22"/>
        </w:rPr>
      </w:pPr>
      <w:r>
        <w:rPr>
          <w:b w:val="false"/>
          <w:bCs w:val="false"/>
          <w:color w:val="000000"/>
          <w:sz w:val="22"/>
          <w:szCs w:val="22"/>
        </w:rPr>
        <w:t>Simsek, H., &amp; Louis, K. S. (1994). Organisational change as paradigm shift: Analysis of the change process in a large, public university. The journal of Higher Education. 65(6), 670- 695.</w:t>
      </w:r>
    </w:p>
    <w:p>
      <w:pPr>
        <w:pStyle w:val="Normal"/>
        <w:spacing w:before="0" w:after="200"/>
        <w:rPr>
          <w:rFonts w:ascii="Calibri" w:hAnsi="Calibri"/>
          <w:b w:val="false"/>
          <w:b w:val="false"/>
          <w:i w:val="false"/>
          <w:i w:val="false"/>
          <w:caps w:val="false"/>
          <w:smallCaps w:val="false"/>
          <w:spacing w:val="0"/>
          <w:sz w:val="22"/>
          <w:szCs w:val="22"/>
        </w:rPr>
      </w:pPr>
      <w:r>
        <w:rPr>
          <w:b w:val="false"/>
          <w:bCs w:val="false"/>
          <w:i w:val="false"/>
          <w:caps w:val="false"/>
          <w:smallCaps w:val="false"/>
          <w:color w:val="000000"/>
          <w:spacing w:val="0"/>
          <w:sz w:val="22"/>
          <w:szCs w:val="22"/>
        </w:rPr>
        <w:t xml:space="preserve">Shepherd, John. 2010. The Context of Actuarial Work. In Understanding Actuarial Management: The Actuarial Control </w:t>
      </w:r>
      <w:r>
        <w:rPr>
          <w:b w:val="false"/>
          <w:i w:val="false"/>
          <w:caps w:val="false"/>
          <w:smallCaps w:val="false"/>
          <w:spacing w:val="0"/>
          <w:sz w:val="22"/>
          <w:szCs w:val="22"/>
        </w:rPr>
        <w:t>Cycle. Edited by Clare Bellis, Richard Lyon, Stuart Klugman and John Shepherd. Sydney: The Institute of Actuaries of Australia, pp. 105–32</w:t>
      </w:r>
    </w:p>
    <w:p>
      <w:pPr>
        <w:pStyle w:val="Normal"/>
        <w:spacing w:before="0" w:after="200"/>
        <w:rPr>
          <w:rFonts w:ascii="Calibri" w:hAnsi="Calibri"/>
          <w:sz w:val="22"/>
          <w:szCs w:val="22"/>
        </w:rPr>
      </w:pPr>
      <w:r>
        <w:rPr>
          <w:rFonts w:ascii="Calibri" w:hAnsi="Calibri"/>
          <w:b w:val="false"/>
          <w:bCs w:val="false"/>
          <w:i w:val="false"/>
          <w:caps w:val="false"/>
          <w:smallCaps w:val="false"/>
          <w:color w:val="000000"/>
          <w:spacing w:val="0"/>
          <w:sz w:val="22"/>
          <w:szCs w:val="22"/>
        </w:rPr>
        <w:t xml:space="preserve">Smith, M. (2003), “Changing an organisation’s culture: correlates of success and failure”, </w:t>
      </w:r>
      <w:r>
        <w:rPr>
          <w:rFonts w:ascii="Calibri" w:hAnsi="Calibri"/>
          <w:b w:val="false"/>
          <w:i w:val="false"/>
          <w:caps w:val="false"/>
          <w:smallCaps w:val="false"/>
          <w:spacing w:val="0"/>
          <w:sz w:val="22"/>
          <w:szCs w:val="22"/>
        </w:rPr>
        <w:t>Leadership &amp; Organization Development Journal, Vol. 24 Nos 5/6, pp. 249-61.</w:t>
      </w:r>
    </w:p>
    <w:p>
      <w:pPr>
        <w:pStyle w:val="Normal"/>
        <w:spacing w:before="0" w:after="200"/>
        <w:rPr>
          <w:rFonts w:ascii="Calibri" w:hAnsi="Calibri"/>
          <w:b w:val="false"/>
          <w:i w:val="false"/>
          <w:caps w:val="false"/>
          <w:smallCaps w:val="false"/>
          <w:spacing w:val="0"/>
          <w:sz w:val="22"/>
          <w:szCs w:val="22"/>
        </w:rPr>
      </w:pPr>
      <w:r>
        <w:rPr>
          <w:rFonts w:ascii="Calibri" w:hAnsi="Calibri"/>
          <w:b w:val="false"/>
          <w:i w:val="false"/>
          <w:caps w:val="false"/>
          <w:smallCaps w:val="false"/>
          <w:spacing w:val="0"/>
          <w:sz w:val="22"/>
          <w:szCs w:val="22"/>
        </w:rPr>
        <w:t>Trader-Leigh, K. (2002), “Case study: identifying resistance in managing change”, Journal of Organizational Change Management, Vol. 15 No. 2, pp. 138-55.</w:t>
      </w:r>
    </w:p>
    <w:p>
      <w:pPr>
        <w:pStyle w:val="Normal"/>
        <w:spacing w:before="0" w:after="200"/>
        <w:rPr>
          <w:rFonts w:ascii="Calibri" w:hAnsi="Calibri"/>
          <w:b w:val="false"/>
          <w:b w:val="false"/>
          <w:i w:val="false"/>
          <w:i w:val="false"/>
          <w:caps w:val="false"/>
          <w:smallCaps w:val="false"/>
          <w:spacing w:val="0"/>
          <w:sz w:val="22"/>
          <w:szCs w:val="22"/>
        </w:rPr>
      </w:pPr>
      <w:r>
        <w:rPr>
          <w:b w:val="false"/>
          <w:bCs/>
          <w:i w:val="false"/>
          <w:caps w:val="false"/>
          <w:smallCaps w:val="false"/>
          <w:color w:val="000000"/>
          <w:spacing w:val="0"/>
          <w:sz w:val="22"/>
          <w:szCs w:val="22"/>
        </w:rPr>
        <w:t xml:space="preserve">World Economic Forum. 2016. The Global Risks Report 2016, 11th Edition. Geneva: World Economic Forum. </w:t>
      </w:r>
      <w:r>
        <w:rPr>
          <w:b w:val="false"/>
          <w:i w:val="false"/>
          <w:caps w:val="false"/>
          <w:smallCaps w:val="false"/>
          <w:spacing w:val="0"/>
          <w:sz w:val="22"/>
          <w:szCs w:val="22"/>
        </w:rPr>
        <w:t>Xu, Lisa, and Bilal Zia. 2012. Financial Literacy Around the World: An Overview of the Evidence with Practical Suggestions for the Way Forward. World Bank Policy Research Working Paper; Washington, DC, USA: World Bank.</w:t>
      </w:r>
    </w:p>
    <w:p>
      <w:pPr>
        <w:pStyle w:val="Normal"/>
        <w:spacing w:before="0" w:after="200"/>
        <w:rPr>
          <w:rFonts w:ascii="Calibri" w:hAnsi="Calibri"/>
          <w:b w:val="false"/>
          <w:b w:val="false"/>
          <w:i w:val="false"/>
          <w:i w:val="false"/>
          <w:caps w:val="false"/>
          <w:smallCaps w:val="false"/>
          <w:spacing w:val="0"/>
          <w:sz w:val="22"/>
          <w:szCs w:val="22"/>
        </w:rPr>
      </w:pPr>
      <w:r>
        <w:rPr/>
      </w:r>
    </w:p>
    <w:p>
      <w:pPr>
        <w:pStyle w:val="Normal"/>
        <w:spacing w:before="0" w:after="200"/>
        <w:rPr>
          <w:b/>
          <w:b/>
          <w:bCs/>
        </w:rPr>
      </w:pPr>
      <w:r>
        <w:rPr>
          <w:b/>
          <w:bCs/>
        </w:rPr>
        <w:t>Appendix 1.</w:t>
      </w:r>
    </w:p>
    <w:p>
      <w:pPr>
        <w:pStyle w:val="Normal"/>
        <w:spacing w:before="0" w:after="200"/>
        <w:rPr>
          <w:b w:val="false"/>
          <w:b w:val="false"/>
          <w:bCs w:val="false"/>
        </w:rPr>
      </w:pPr>
      <w:r>
        <w:rPr>
          <w:b w:val="false"/>
          <w:bCs w:val="false"/>
        </w:rPr>
        <w:t xml:space="preserve">SWOT Analysis </w:t>
      </w:r>
    </w:p>
    <w:tbl>
      <w:tblPr>
        <w:tblW w:w="10886" w:type="dxa"/>
        <w:jc w:val="left"/>
        <w:tblInd w:w="55" w:type="dxa"/>
        <w:tblLayout w:type="fixed"/>
        <w:tblCellMar>
          <w:top w:w="55" w:type="dxa"/>
          <w:left w:w="55" w:type="dxa"/>
          <w:bottom w:w="55" w:type="dxa"/>
          <w:right w:w="55" w:type="dxa"/>
        </w:tblCellMar>
      </w:tblPr>
      <w:tblGrid>
        <w:gridCol w:w="5443"/>
        <w:gridCol w:w="5443"/>
      </w:tblGrid>
      <w:tr>
        <w:trPr/>
        <w:tc>
          <w:tcPr>
            <w:tcW w:w="5443" w:type="dxa"/>
            <w:tcBorders>
              <w:top w:val="single" w:sz="2" w:space="0" w:color="000000"/>
              <w:left w:val="single" w:sz="2" w:space="0" w:color="000000"/>
              <w:bottom w:val="single" w:sz="2" w:space="0" w:color="000000"/>
            </w:tcBorders>
          </w:tcPr>
          <w:p>
            <w:pPr>
              <w:pStyle w:val="TableContents"/>
              <w:spacing w:before="0" w:after="200"/>
              <w:jc w:val="center"/>
              <w:rPr>
                <w:b/>
                <w:b/>
                <w:bCs/>
              </w:rPr>
            </w:pPr>
            <w:r>
              <w:rPr>
                <w:b/>
                <w:bCs/>
              </w:rPr>
              <w:t>Strengths</w:t>
            </w:r>
          </w:p>
        </w:tc>
        <w:tc>
          <w:tcPr>
            <w:tcW w:w="5443" w:type="dxa"/>
            <w:tcBorders>
              <w:top w:val="single" w:sz="2" w:space="0" w:color="000000"/>
              <w:left w:val="single" w:sz="2" w:space="0" w:color="000000"/>
              <w:bottom w:val="single" w:sz="2" w:space="0" w:color="000000"/>
              <w:right w:val="single" w:sz="2" w:space="0" w:color="000000"/>
            </w:tcBorders>
          </w:tcPr>
          <w:p>
            <w:pPr>
              <w:pStyle w:val="TableContents"/>
              <w:spacing w:before="0" w:after="200"/>
              <w:jc w:val="center"/>
              <w:rPr>
                <w:b/>
                <w:b/>
                <w:bCs/>
              </w:rPr>
            </w:pPr>
            <w:r>
              <w:rPr>
                <w:b/>
                <w:bCs/>
              </w:rPr>
              <w:t>Weaknesses</w:t>
            </w:r>
          </w:p>
        </w:tc>
      </w:tr>
      <w:tr>
        <w:trPr/>
        <w:tc>
          <w:tcPr>
            <w:tcW w:w="5443" w:type="dxa"/>
            <w:tcBorders>
              <w:left w:val="single" w:sz="2" w:space="0" w:color="000000"/>
              <w:bottom w:val="single" w:sz="2" w:space="0" w:color="000000"/>
            </w:tcBorders>
          </w:tcPr>
          <w:p>
            <w:pPr>
              <w:pStyle w:val="TableContents"/>
              <w:rPr/>
            </w:pPr>
            <w:r>
              <w:rPr/>
              <w:t>Lots of skilled staff from multiple backgrounds and years of experience</w:t>
            </w:r>
          </w:p>
          <w:p>
            <w:pPr>
              <w:pStyle w:val="TableContents"/>
              <w:rPr/>
            </w:pPr>
            <w:r>
              <w:rPr/>
              <w:t>Motivated for change from every level owners, managers, IFA’s, shareholders and staff</w:t>
            </w:r>
          </w:p>
          <w:p>
            <w:pPr>
              <w:pStyle w:val="TableContents"/>
              <w:rPr/>
            </w:pPr>
            <w:r>
              <w:rPr/>
              <w:t>Ar</w:t>
            </w:r>
            <w:r>
              <w:rPr/>
              <w:t>o</w:t>
            </w:r>
            <w:r>
              <w:rPr/>
              <w:t>und the clock contact for customer</w:t>
            </w:r>
            <w:r>
              <w:rPr/>
              <w:t>s</w:t>
            </w:r>
          </w:p>
          <w:p>
            <w:pPr>
              <w:pStyle w:val="TableContents"/>
              <w:rPr/>
            </w:pPr>
            <w:r>
              <w:rPr/>
              <w:t>website set up and insurers willing to let the company link</w:t>
            </w:r>
          </w:p>
          <w:p>
            <w:pPr>
              <w:pStyle w:val="TableContents"/>
              <w:rPr/>
            </w:pPr>
            <w:r>
              <w:rPr/>
              <w:t>first of its kind</w:t>
            </w:r>
          </w:p>
          <w:p>
            <w:pPr>
              <w:pStyle w:val="TableContents"/>
              <w:spacing w:before="0" w:after="200"/>
              <w:rPr/>
            </w:pPr>
            <w:r>
              <w:rPr/>
            </w:r>
          </w:p>
        </w:tc>
        <w:tc>
          <w:tcPr>
            <w:tcW w:w="5443" w:type="dxa"/>
            <w:tcBorders>
              <w:left w:val="single" w:sz="2" w:space="0" w:color="000000"/>
              <w:bottom w:val="single" w:sz="2" w:space="0" w:color="000000"/>
              <w:right w:val="single" w:sz="2" w:space="0" w:color="000000"/>
            </w:tcBorders>
          </w:tcPr>
          <w:p>
            <w:pPr>
              <w:pStyle w:val="TableContents"/>
              <w:rPr/>
            </w:pPr>
            <w:r>
              <w:rPr/>
              <w:t>Time consuming training staff digitally</w:t>
            </w:r>
          </w:p>
          <w:p>
            <w:pPr>
              <w:pStyle w:val="TableContents"/>
              <w:rPr/>
            </w:pPr>
            <w:r>
              <w:rPr/>
              <w:t>more guidelines set to make it compliant</w:t>
            </w:r>
          </w:p>
          <w:p>
            <w:pPr>
              <w:pStyle w:val="TableContents"/>
              <w:rPr/>
            </w:pPr>
            <w:r>
              <w:rPr/>
              <w:t>customers unable to use computers because of visual impairment etc</w:t>
            </w:r>
          </w:p>
          <w:p>
            <w:pPr>
              <w:pStyle w:val="TableContents"/>
              <w:rPr/>
            </w:pPr>
            <w:r>
              <w:rPr/>
              <w:t>no access for streaming the information on TV, radio</w:t>
            </w:r>
          </w:p>
          <w:p>
            <w:pPr>
              <w:pStyle w:val="TableContents"/>
              <w:spacing w:before="0" w:after="200"/>
              <w:rPr/>
            </w:pPr>
            <w:r>
              <w:rPr/>
              <w:t>may have to rise prices temorarily</w:t>
            </w:r>
          </w:p>
        </w:tc>
      </w:tr>
      <w:tr>
        <w:trPr/>
        <w:tc>
          <w:tcPr>
            <w:tcW w:w="5443" w:type="dxa"/>
            <w:tcBorders>
              <w:left w:val="single" w:sz="2" w:space="0" w:color="000000"/>
              <w:bottom w:val="single" w:sz="2" w:space="0" w:color="000000"/>
            </w:tcBorders>
          </w:tcPr>
          <w:p>
            <w:pPr>
              <w:pStyle w:val="TableContents"/>
              <w:spacing w:before="0" w:after="200"/>
              <w:jc w:val="center"/>
              <w:rPr>
                <w:b/>
                <w:b/>
                <w:bCs/>
              </w:rPr>
            </w:pPr>
            <w:r>
              <w:rPr>
                <w:b/>
                <w:bCs/>
              </w:rPr>
              <w:t xml:space="preserve">Opportunities </w:t>
            </w:r>
          </w:p>
        </w:tc>
        <w:tc>
          <w:tcPr>
            <w:tcW w:w="5443" w:type="dxa"/>
            <w:tcBorders>
              <w:left w:val="single" w:sz="2" w:space="0" w:color="000000"/>
              <w:bottom w:val="single" w:sz="2" w:space="0" w:color="000000"/>
              <w:right w:val="single" w:sz="2" w:space="0" w:color="000000"/>
            </w:tcBorders>
          </w:tcPr>
          <w:p>
            <w:pPr>
              <w:pStyle w:val="TableContents"/>
              <w:spacing w:before="0" w:after="200"/>
              <w:jc w:val="center"/>
              <w:rPr>
                <w:b/>
                <w:b/>
                <w:bCs/>
              </w:rPr>
            </w:pPr>
            <w:r>
              <w:rPr>
                <w:b/>
                <w:bCs/>
              </w:rPr>
              <w:t>Threats</w:t>
            </w:r>
          </w:p>
        </w:tc>
      </w:tr>
      <w:tr>
        <w:trPr/>
        <w:tc>
          <w:tcPr>
            <w:tcW w:w="5443" w:type="dxa"/>
            <w:tcBorders>
              <w:left w:val="single" w:sz="2" w:space="0" w:color="000000"/>
              <w:bottom w:val="single" w:sz="2" w:space="0" w:color="000000"/>
            </w:tcBorders>
          </w:tcPr>
          <w:p>
            <w:pPr>
              <w:pStyle w:val="TableContents"/>
              <w:rPr/>
            </w:pPr>
            <w:r>
              <w:rPr/>
              <w:t>Better relationship with insurers</w:t>
            </w:r>
          </w:p>
          <w:p>
            <w:pPr>
              <w:pStyle w:val="TableContents"/>
              <w:rPr/>
            </w:pPr>
            <w:r>
              <w:rPr/>
              <w:t>Customer contact at a higher rate and quality</w:t>
            </w:r>
          </w:p>
          <w:p>
            <w:pPr>
              <w:pStyle w:val="TableContents"/>
              <w:rPr/>
            </w:pPr>
            <w:r>
              <w:rPr/>
              <w:t>More customers spreading the word about the organisation creating a bigger customer base</w:t>
            </w:r>
          </w:p>
          <w:p>
            <w:pPr>
              <w:pStyle w:val="TableContents"/>
              <w:spacing w:before="0" w:after="200"/>
              <w:rPr/>
            </w:pPr>
            <w:r>
              <w:rPr/>
            </w:r>
          </w:p>
        </w:tc>
        <w:tc>
          <w:tcPr>
            <w:tcW w:w="5443" w:type="dxa"/>
            <w:tcBorders>
              <w:left w:val="single" w:sz="2" w:space="0" w:color="000000"/>
              <w:bottom w:val="single" w:sz="2" w:space="0" w:color="000000"/>
              <w:right w:val="single" w:sz="2" w:space="0" w:color="000000"/>
            </w:tcBorders>
          </w:tcPr>
          <w:p>
            <w:pPr>
              <w:pStyle w:val="TableContents"/>
              <w:rPr/>
            </w:pPr>
            <w:r>
              <w:rPr/>
              <w:t xml:space="preserve">Older employees not agreeing to the change and may look elsewhere for employment </w:t>
            </w:r>
          </w:p>
          <w:p>
            <w:pPr>
              <w:pStyle w:val="TableContents"/>
              <w:rPr/>
            </w:pPr>
            <w:r>
              <w:rPr/>
              <w:t xml:space="preserve">Competitors offering another service or using the same service but cutting corners </w:t>
            </w:r>
          </w:p>
          <w:p>
            <w:pPr>
              <w:pStyle w:val="TableContents"/>
              <w:spacing w:before="0" w:after="200"/>
              <w:rPr/>
            </w:pPr>
            <w:r>
              <w:rPr/>
              <w:t>Telecoms failure</w:t>
            </w:r>
          </w:p>
        </w:tc>
      </w:tr>
    </w:tbl>
    <w:p>
      <w:pPr>
        <w:pStyle w:val="Normal"/>
        <w:spacing w:before="0" w:after="200"/>
        <w:rPr>
          <w:b/>
          <w:b/>
          <w:bCs/>
        </w:rPr>
      </w:pPr>
      <w:r>
        <w:rPr>
          <w:b/>
          <w:bCs/>
        </w:rPr>
      </w:r>
    </w:p>
    <w:p>
      <w:pPr>
        <w:pStyle w:val="Normal"/>
        <w:spacing w:before="0" w:after="200"/>
        <w:rPr>
          <w:b/>
          <w:b/>
          <w:bCs/>
        </w:rPr>
      </w:pPr>
      <w:r>
        <w:rPr>
          <w:b/>
          <w:bCs/>
        </w:rPr>
      </w:r>
    </w:p>
    <w:p>
      <w:pPr>
        <w:pStyle w:val="Normal"/>
        <w:spacing w:before="0" w:after="200"/>
        <w:rPr>
          <w:b/>
          <w:b/>
          <w:bCs/>
        </w:rPr>
      </w:pPr>
      <w:r>
        <w:rPr>
          <w:b/>
          <w:bCs/>
        </w:rPr>
      </w:r>
    </w:p>
    <w:p>
      <w:pPr>
        <w:pStyle w:val="Normal"/>
        <w:spacing w:before="0" w:after="200"/>
        <w:rPr>
          <w:b/>
          <w:b/>
          <w:bCs/>
        </w:rPr>
      </w:pPr>
      <w:r>
        <w:rPr>
          <w:b/>
          <w:bCs/>
        </w:rPr>
      </w:r>
    </w:p>
    <w:p>
      <w:pPr>
        <w:pStyle w:val="Normal"/>
        <w:spacing w:before="0" w:after="200"/>
        <w:rPr>
          <w:b/>
          <w:b/>
          <w:bCs/>
        </w:rPr>
      </w:pPr>
      <w:r>
        <w:rPr>
          <w:b/>
          <w:bCs/>
        </w:rPr>
        <w:t>Appendix 2.</w:t>
      </w:r>
    </w:p>
    <w:p>
      <w:pPr>
        <w:pStyle w:val="Normal"/>
        <w:spacing w:before="0" w:after="200"/>
        <w:rPr>
          <w:b w:val="false"/>
          <w:b w:val="false"/>
          <w:bCs w:val="false"/>
        </w:rPr>
      </w:pPr>
      <w:r>
        <w:rPr>
          <w:b w:val="false"/>
          <w:bCs w:val="false"/>
        </w:rPr>
        <w:t>PESTLE Analysis</w:t>
      </w:r>
    </w:p>
    <w:tbl>
      <w:tblPr>
        <w:tblW w:w="10886" w:type="dxa"/>
        <w:jc w:val="left"/>
        <w:tblInd w:w="55" w:type="dxa"/>
        <w:tblLayout w:type="fixed"/>
        <w:tblCellMar>
          <w:top w:w="55" w:type="dxa"/>
          <w:left w:w="55" w:type="dxa"/>
          <w:bottom w:w="55" w:type="dxa"/>
          <w:right w:w="55" w:type="dxa"/>
        </w:tblCellMar>
      </w:tblPr>
      <w:tblGrid>
        <w:gridCol w:w="3628"/>
        <w:gridCol w:w="3629"/>
        <w:gridCol w:w="3629"/>
      </w:tblGrid>
      <w:tr>
        <w:trPr/>
        <w:tc>
          <w:tcPr>
            <w:tcW w:w="3628" w:type="dxa"/>
            <w:tcBorders>
              <w:top w:val="single" w:sz="2" w:space="0" w:color="000000"/>
              <w:left w:val="single" w:sz="2" w:space="0" w:color="000000"/>
              <w:bottom w:val="single" w:sz="2" w:space="0" w:color="000000"/>
            </w:tcBorders>
          </w:tcPr>
          <w:p>
            <w:pPr>
              <w:pStyle w:val="TableContents"/>
              <w:spacing w:before="0" w:after="200"/>
              <w:jc w:val="center"/>
              <w:rPr>
                <w:b/>
                <w:b/>
                <w:bCs/>
              </w:rPr>
            </w:pPr>
            <w:r>
              <w:rPr>
                <w:b/>
                <w:bCs/>
              </w:rPr>
              <w:t>Political</w:t>
            </w:r>
          </w:p>
        </w:tc>
        <w:tc>
          <w:tcPr>
            <w:tcW w:w="3629" w:type="dxa"/>
            <w:tcBorders>
              <w:top w:val="single" w:sz="2" w:space="0" w:color="000000"/>
              <w:left w:val="single" w:sz="2" w:space="0" w:color="000000"/>
              <w:bottom w:val="single" w:sz="2" w:space="0" w:color="000000"/>
            </w:tcBorders>
          </w:tcPr>
          <w:p>
            <w:pPr>
              <w:pStyle w:val="TableContents"/>
              <w:spacing w:before="0" w:after="200"/>
              <w:jc w:val="center"/>
              <w:rPr>
                <w:b/>
                <w:b/>
                <w:bCs/>
              </w:rPr>
            </w:pPr>
            <w:r>
              <w:rPr>
                <w:b/>
                <w:bCs/>
              </w:rPr>
              <w:t>Economical</w:t>
            </w:r>
          </w:p>
        </w:tc>
        <w:tc>
          <w:tcPr>
            <w:tcW w:w="3629" w:type="dxa"/>
            <w:tcBorders>
              <w:top w:val="single" w:sz="2" w:space="0" w:color="000000"/>
              <w:left w:val="single" w:sz="2" w:space="0" w:color="000000"/>
              <w:bottom w:val="single" w:sz="2" w:space="0" w:color="000000"/>
              <w:right w:val="single" w:sz="2" w:space="0" w:color="000000"/>
            </w:tcBorders>
          </w:tcPr>
          <w:p>
            <w:pPr>
              <w:pStyle w:val="TableContents"/>
              <w:spacing w:before="0" w:after="200"/>
              <w:jc w:val="center"/>
              <w:rPr>
                <w:b/>
                <w:b/>
                <w:bCs/>
              </w:rPr>
            </w:pPr>
            <w:r>
              <w:rPr>
                <w:b/>
                <w:bCs/>
              </w:rPr>
              <w:t>Social</w:t>
            </w:r>
          </w:p>
        </w:tc>
      </w:tr>
      <w:tr>
        <w:trPr/>
        <w:tc>
          <w:tcPr>
            <w:tcW w:w="3628" w:type="dxa"/>
            <w:tcBorders>
              <w:left w:val="single" w:sz="2" w:space="0" w:color="000000"/>
              <w:bottom w:val="single" w:sz="2" w:space="0" w:color="000000"/>
            </w:tcBorders>
          </w:tcPr>
          <w:p>
            <w:pPr>
              <w:pStyle w:val="TableContents"/>
              <w:rPr>
                <w:b w:val="false"/>
                <w:b w:val="false"/>
                <w:bCs w:val="false"/>
              </w:rPr>
            </w:pPr>
            <w:r>
              <w:rPr>
                <w:b w:val="false"/>
                <w:bCs w:val="false"/>
              </w:rPr>
              <w:t>Stricter Legislation</w:t>
            </w:r>
          </w:p>
          <w:p>
            <w:pPr>
              <w:pStyle w:val="TableContents"/>
              <w:rPr>
                <w:b w:val="false"/>
                <w:b w:val="false"/>
                <w:bCs w:val="false"/>
              </w:rPr>
            </w:pPr>
            <w:r>
              <w:rPr>
                <w:b w:val="false"/>
                <w:bCs w:val="false"/>
              </w:rPr>
              <w:t xml:space="preserve">Harmonising </w:t>
            </w:r>
          </w:p>
          <w:p>
            <w:pPr>
              <w:pStyle w:val="TableContents"/>
              <w:spacing w:before="0" w:after="200"/>
              <w:rPr>
                <w:b w:val="false"/>
                <w:b w:val="false"/>
                <w:bCs w:val="false"/>
              </w:rPr>
            </w:pPr>
            <w:r>
              <w:rPr>
                <w:b w:val="false"/>
                <w:bCs w:val="false"/>
              </w:rPr>
              <w:t>Specific law with data protection and trading standards</w:t>
            </w:r>
          </w:p>
        </w:tc>
        <w:tc>
          <w:tcPr>
            <w:tcW w:w="3629" w:type="dxa"/>
            <w:tcBorders>
              <w:left w:val="single" w:sz="2" w:space="0" w:color="000000"/>
              <w:bottom w:val="single" w:sz="2" w:space="0" w:color="000000"/>
            </w:tcBorders>
          </w:tcPr>
          <w:p>
            <w:pPr>
              <w:pStyle w:val="TableContents"/>
              <w:rPr>
                <w:b w:val="false"/>
                <w:b w:val="false"/>
                <w:bCs w:val="false"/>
              </w:rPr>
            </w:pPr>
            <w:r>
              <w:rPr>
                <w:b w:val="false"/>
                <w:bCs w:val="false"/>
              </w:rPr>
              <w:t xml:space="preserve">Consumer behaviour </w:t>
            </w:r>
          </w:p>
          <w:p>
            <w:pPr>
              <w:pStyle w:val="TableContents"/>
              <w:rPr>
                <w:b w:val="false"/>
                <w:b w:val="false"/>
                <w:bCs w:val="false"/>
              </w:rPr>
            </w:pPr>
            <w:r>
              <w:rPr>
                <w:b w:val="false"/>
                <w:bCs w:val="false"/>
              </w:rPr>
              <w:t>Cost of bringing a new idea to market, updating the website and software</w:t>
            </w:r>
          </w:p>
          <w:p>
            <w:pPr>
              <w:pStyle w:val="TableContents"/>
              <w:spacing w:before="0" w:after="200"/>
              <w:rPr>
                <w:b w:val="false"/>
                <w:b w:val="false"/>
                <w:bCs w:val="false"/>
              </w:rPr>
            </w:pPr>
            <w:r>
              <w:rPr>
                <w:b w:val="false"/>
                <w:bCs w:val="false"/>
              </w:rPr>
              <w:t>Cost of living crisis</w:t>
            </w:r>
          </w:p>
        </w:tc>
        <w:tc>
          <w:tcPr>
            <w:tcW w:w="3629" w:type="dxa"/>
            <w:tcBorders>
              <w:left w:val="single" w:sz="2" w:space="0" w:color="000000"/>
              <w:bottom w:val="single" w:sz="2" w:space="0" w:color="000000"/>
              <w:right w:val="single" w:sz="2" w:space="0" w:color="000000"/>
            </w:tcBorders>
          </w:tcPr>
          <w:p>
            <w:pPr>
              <w:pStyle w:val="TableContents"/>
              <w:rPr>
                <w:b w:val="false"/>
                <w:b w:val="false"/>
                <w:bCs w:val="false"/>
              </w:rPr>
            </w:pPr>
            <w:r>
              <w:rPr>
                <w:b w:val="false"/>
                <w:bCs w:val="false"/>
              </w:rPr>
              <w:t>Ageing population</w:t>
            </w:r>
          </w:p>
          <w:p>
            <w:pPr>
              <w:pStyle w:val="TableContents"/>
              <w:rPr>
                <w:b w:val="false"/>
                <w:b w:val="false"/>
                <w:bCs w:val="false"/>
              </w:rPr>
            </w:pPr>
            <w:r>
              <w:rPr>
                <w:b w:val="false"/>
                <w:bCs w:val="false"/>
              </w:rPr>
              <w:t>Common values and attitudes</w:t>
            </w:r>
          </w:p>
          <w:p>
            <w:pPr>
              <w:pStyle w:val="TableContents"/>
              <w:spacing w:before="0" w:after="200"/>
              <w:rPr>
                <w:b w:val="false"/>
                <w:b w:val="false"/>
                <w:bCs w:val="false"/>
              </w:rPr>
            </w:pPr>
            <w:r>
              <w:rPr>
                <w:b w:val="false"/>
                <w:bCs w:val="false"/>
              </w:rPr>
              <w:t>Training</w:t>
            </w:r>
          </w:p>
        </w:tc>
      </w:tr>
      <w:tr>
        <w:trPr/>
        <w:tc>
          <w:tcPr>
            <w:tcW w:w="3628" w:type="dxa"/>
            <w:tcBorders>
              <w:left w:val="single" w:sz="2" w:space="0" w:color="000000"/>
              <w:bottom w:val="single" w:sz="2" w:space="0" w:color="000000"/>
            </w:tcBorders>
          </w:tcPr>
          <w:p>
            <w:pPr>
              <w:pStyle w:val="TableContents"/>
              <w:spacing w:before="0" w:after="200"/>
              <w:jc w:val="center"/>
              <w:rPr>
                <w:b/>
                <w:b/>
                <w:bCs/>
              </w:rPr>
            </w:pPr>
            <w:r>
              <w:rPr>
                <w:b/>
                <w:bCs/>
              </w:rPr>
              <w:t>Technological</w:t>
            </w:r>
          </w:p>
        </w:tc>
        <w:tc>
          <w:tcPr>
            <w:tcW w:w="3629" w:type="dxa"/>
            <w:tcBorders>
              <w:left w:val="single" w:sz="2" w:space="0" w:color="000000"/>
              <w:bottom w:val="single" w:sz="2" w:space="0" w:color="000000"/>
            </w:tcBorders>
          </w:tcPr>
          <w:p>
            <w:pPr>
              <w:pStyle w:val="TableContents"/>
              <w:spacing w:before="0" w:after="200"/>
              <w:jc w:val="center"/>
              <w:rPr>
                <w:b/>
                <w:b/>
                <w:bCs/>
              </w:rPr>
            </w:pPr>
            <w:r>
              <w:rPr>
                <w:b/>
                <w:bCs/>
              </w:rPr>
              <w:t>Legal</w:t>
            </w:r>
          </w:p>
        </w:tc>
        <w:tc>
          <w:tcPr>
            <w:tcW w:w="3629" w:type="dxa"/>
            <w:tcBorders>
              <w:left w:val="single" w:sz="2" w:space="0" w:color="000000"/>
              <w:bottom w:val="single" w:sz="2" w:space="0" w:color="000000"/>
              <w:right w:val="single" w:sz="2" w:space="0" w:color="000000"/>
            </w:tcBorders>
          </w:tcPr>
          <w:p>
            <w:pPr>
              <w:pStyle w:val="TableContents"/>
              <w:spacing w:before="0" w:after="200"/>
              <w:jc w:val="center"/>
              <w:rPr>
                <w:b/>
                <w:b/>
                <w:bCs/>
              </w:rPr>
            </w:pPr>
            <w:r>
              <w:rPr>
                <w:b/>
                <w:bCs/>
              </w:rPr>
              <w:t>Environmental</w:t>
            </w:r>
          </w:p>
        </w:tc>
      </w:tr>
      <w:tr>
        <w:trPr/>
        <w:tc>
          <w:tcPr>
            <w:tcW w:w="3628" w:type="dxa"/>
            <w:tcBorders>
              <w:left w:val="single" w:sz="2" w:space="0" w:color="000000"/>
              <w:bottom w:val="single" w:sz="2" w:space="0" w:color="000000"/>
            </w:tcBorders>
          </w:tcPr>
          <w:p>
            <w:pPr>
              <w:pStyle w:val="TableContents"/>
              <w:rPr/>
            </w:pPr>
            <w:r>
              <w:rPr/>
              <w:t>Direct technology effects</w:t>
            </w:r>
          </w:p>
          <w:p>
            <w:pPr>
              <w:pStyle w:val="TableContents"/>
              <w:rPr/>
            </w:pPr>
            <w:r>
              <w:rPr/>
              <w:t>New technologies to cover damages</w:t>
            </w:r>
          </w:p>
          <w:p>
            <w:pPr>
              <w:pStyle w:val="TableContents"/>
              <w:spacing w:before="0" w:after="200"/>
              <w:rPr/>
            </w:pPr>
            <w:r>
              <w:rPr/>
              <w:t>Software up dates</w:t>
            </w:r>
          </w:p>
        </w:tc>
        <w:tc>
          <w:tcPr>
            <w:tcW w:w="3629" w:type="dxa"/>
            <w:tcBorders>
              <w:left w:val="single" w:sz="2" w:space="0" w:color="000000"/>
              <w:bottom w:val="single" w:sz="2" w:space="0" w:color="000000"/>
            </w:tcBorders>
          </w:tcPr>
          <w:p>
            <w:pPr>
              <w:pStyle w:val="TableContents"/>
              <w:rPr/>
            </w:pPr>
            <w:r>
              <w:rPr/>
              <w:t>Legal compliance issues</w:t>
            </w:r>
          </w:p>
          <w:p>
            <w:pPr>
              <w:pStyle w:val="TableContents"/>
              <w:rPr/>
            </w:pPr>
            <w:r>
              <w:rPr/>
              <w:t>Accreditation standards to be put in place</w:t>
            </w:r>
          </w:p>
          <w:p>
            <w:pPr>
              <w:pStyle w:val="TableContents"/>
              <w:spacing w:before="0" w:after="200"/>
              <w:rPr/>
            </w:pPr>
            <w:r>
              <w:rPr/>
              <w:t xml:space="preserve">Liability with customer details </w:t>
            </w:r>
          </w:p>
        </w:tc>
        <w:tc>
          <w:tcPr>
            <w:tcW w:w="3629" w:type="dxa"/>
            <w:tcBorders>
              <w:left w:val="single" w:sz="2" w:space="0" w:color="000000"/>
              <w:bottom w:val="single" w:sz="2" w:space="0" w:color="000000"/>
              <w:right w:val="single" w:sz="2" w:space="0" w:color="000000"/>
            </w:tcBorders>
          </w:tcPr>
          <w:p>
            <w:pPr>
              <w:pStyle w:val="TableContents"/>
              <w:spacing w:before="0" w:after="200"/>
              <w:rPr/>
            </w:pPr>
            <w:r>
              <w:rPr/>
              <w:t>n/a</w:t>
            </w:r>
          </w:p>
        </w:tc>
      </w:tr>
    </w:tbl>
    <w:p>
      <w:pPr>
        <w:pStyle w:val="Normal"/>
        <w:spacing w:before="0" w:after="200"/>
        <w:rPr>
          <w:b w:val="false"/>
          <w:b w:val="false"/>
          <w:bCs w:val="false"/>
        </w:rPr>
      </w:pPr>
      <w:r>
        <w:rPr>
          <w:b w:val="false"/>
          <w:bCs w:val="false"/>
        </w:rPr>
      </w:r>
    </w:p>
    <w:sectPr>
      <w:headerReference w:type="default" r:id="rId3"/>
      <w:footerReference w:type="default" r:id="rId4"/>
      <w:type w:val="nextPage"/>
      <w:pgSz w:w="11906" w:h="16838"/>
      <w:pgMar w:left="510" w:right="510" w:gutter="0" w:header="170" w:top="567" w:footer="170" w:bottom="726"/>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Verdana">
    <w:charset w:val="00"/>
    <w:family w:val="roman"/>
    <w:pitch w:val="variable"/>
  </w:font>
  <w:font w:name="Courier New">
    <w:charset w:val="00"/>
    <w:family w:val="roman"/>
    <w:pitch w:val="variable"/>
  </w:font>
  <w:font w:name="OpenSymbol">
    <w:altName w:val="Arial Unicode MS"/>
    <w:charset w:val="00"/>
    <w:family w:val="roman"/>
    <w:pitch w:val="variable"/>
  </w:font>
  <w:font w:name="Liberation Sans">
    <w:altName w:val="Arial"/>
    <w:charset w:val="00"/>
    <w:family w:val="roman"/>
    <w:pitch w:val="variable"/>
  </w:font>
  <w:font w:name="Arial">
    <w:charset w:val="00"/>
    <w:family w:val="roman"/>
    <w:pitch w:val="variable"/>
  </w:font>
  <w:font w:name="Calibri">
    <w:charset w:val="01"/>
    <w:family w:val="swiss"/>
    <w:pitch w:val="variable"/>
  </w:font>
  <w:font w:name="sans-serif">
    <w:altName w:val="Arial"/>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r>
  </w:p>
  <w:sdt>
    <w:sdtPr>
      <w:docPartObj>
        <w:docPartGallery w:val="Page Numbers (Bottom of Page)"/>
        <w:docPartUnique w:val="true"/>
      </w:docPartObj>
      <w:id w:val="1338249356"/>
    </w:sdtPr>
    <w:sdtContent>
      <w:p>
        <w:pPr>
          <w:pStyle w:val="Footer"/>
          <w:jc w:val="center"/>
          <w:rPr/>
        </w:pPr>
        <w:r>
          <w:rPr/>
          <w:t xml:space="preserve">                                                                                        </w:t>
        </w:r>
        <w:r>
          <w:rPr/>
          <w:t xml:space="preserve">BMSK6005 </w:t>
          <w:tab/>
          <w:tab/>
          <w:t xml:space="preserve">        Page </w:t>
        </w:r>
        <w:r>
          <w:rPr/>
          <w:fldChar w:fldCharType="begin"/>
        </w:r>
        <w:r>
          <w:rPr/>
          <w:instrText> PAGE </w:instrText>
        </w:r>
        <w:r>
          <w:rPr/>
          <w:fldChar w:fldCharType="separate"/>
        </w:r>
        <w:r>
          <w:rPr/>
          <w:t>12</w:t>
        </w:r>
        <w:r>
          <w:rPr/>
          <w:fldChar w:fldCharType="end"/>
        </w:r>
      </w:p>
      <w:p>
        <w:pPr>
          <w:pStyle w:val="Footer"/>
          <w:rPr/>
        </w:pPr>
        <w:r>
          <w:rPr/>
        </w:r>
      </w:p>
      <w:p>
        <w:pPr>
          <w:pStyle w:val="Footer"/>
          <w:rPr/>
        </w:pPr>
        <w:r>
          <w:rPr/>
        </w:r>
      </w:p>
    </w:sdtContent>
  </w:sdt>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jc w:val="right"/>
      <w:rPr/>
    </w:pPr>
    <w:r>
      <w:rPr/>
      <w:drawing>
        <wp:inline distT="0" distB="0" distL="0" distR="0">
          <wp:extent cx="1158240" cy="433070"/>
          <wp:effectExtent l="0" t="0" r="0" b="0"/>
          <wp:docPr id="1"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7" descr=""/>
                  <pic:cNvPicPr>
                    <a:picLocks noChangeAspect="1" noChangeArrowheads="1"/>
                  </pic:cNvPicPr>
                </pic:nvPicPr>
                <pic:blipFill>
                  <a:blip r:embed="rId1"/>
                  <a:stretch>
                    <a:fillRect/>
                  </a:stretch>
                </pic:blipFill>
                <pic:spPr bwMode="auto">
                  <a:xfrm>
                    <a:off x="0" y="0"/>
                    <a:ext cx="1158240" cy="433070"/>
                  </a:xfrm>
                  <a:prstGeom prst="rect">
                    <a:avLst/>
                  </a:prstGeom>
                </pic:spPr>
              </pic:pic>
            </a:graphicData>
          </a:graphic>
        </wp:inline>
      </w:drawing>
    </w:r>
  </w:p>
</w:hd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332c21"/>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val="true"/>
      <w:keepLines/>
      <w:spacing w:before="40" w:after="0"/>
      <w:outlineLvl w:val="2"/>
    </w:pPr>
    <w:rPr>
      <w:rFonts w:ascii="Cambria" w:hAnsi="Cambria" w:eastAsia="" w:cs="" w:asciiTheme="majorHAnsi" w:cstheme="majorBidi" w:eastAsiaTheme="majorEastAsia" w:hAnsiTheme="majorHAns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val="true"/>
      <w:keepLines/>
      <w:spacing w:before="40" w:after="0"/>
      <w:outlineLvl w:val="3"/>
    </w:pPr>
    <w:rPr>
      <w:rFonts w:ascii="Cambria" w:hAnsi="Cambria" w:eastAsia="" w:cs="" w:asciiTheme="majorHAnsi" w:cstheme="majorBidi" w:eastAsiaTheme="majorEastAsia" w:hAnsiTheme="majorHAns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val="true"/>
      <w:keepLines/>
      <w:spacing w:before="40" w:after="0"/>
      <w:outlineLvl w:val="4"/>
    </w:pPr>
    <w:rPr>
      <w:rFonts w:ascii="Cambria" w:hAnsi="Cambria" w:eastAsia="" w:cs="" w:asciiTheme="majorHAnsi" w:cstheme="majorBidi" w:eastAsiaTheme="majorEastAsia" w:hAnsiTheme="majorHAnsi"/>
      <w:color w:val="365F91" w:themeColor="accent1" w:themeShade="bf"/>
    </w:rPr>
  </w:style>
  <w:style w:type="paragraph" w:styleId="Heading6">
    <w:name w:val="Heading 6"/>
    <w:basedOn w:val="Normal"/>
    <w:next w:val="Normal"/>
    <w:link w:val="Heading6Char"/>
    <w:uiPriority w:val="9"/>
    <w:semiHidden/>
    <w:unhideWhenUsed/>
    <w:qFormat/>
    <w:rsid w:val="00fd47ff"/>
    <w:pPr>
      <w:keepNext w:val="true"/>
      <w:keepLines/>
      <w:spacing w:before="40" w:after="0"/>
      <w:outlineLvl w:val="5"/>
    </w:pPr>
    <w:rPr>
      <w:rFonts w:ascii="Cambria" w:hAnsi="Cambria" w:eastAsia="" w:cs="" w:asciiTheme="majorHAnsi" w:cstheme="majorBidi" w:eastAsiaTheme="majorEastAsia" w:hAnsiTheme="majorHAnsi"/>
      <w:color w:val="243F60" w:themeColor="accent1" w:themeShade="7f"/>
    </w:rPr>
  </w:style>
  <w:style w:type="paragraph" w:styleId="Heading7">
    <w:name w:val="Heading 7"/>
    <w:basedOn w:val="Normal"/>
    <w:next w:val="Normal"/>
    <w:link w:val="Heading7Char"/>
    <w:uiPriority w:val="9"/>
    <w:semiHidden/>
    <w:unhideWhenUsed/>
    <w:qFormat/>
    <w:rsid w:val="00fd47ff"/>
    <w:pPr>
      <w:keepNext w:val="true"/>
      <w:keepLines/>
      <w:spacing w:before="40" w:after="0"/>
      <w:outlineLvl w:val="6"/>
    </w:pPr>
    <w:rPr>
      <w:rFonts w:ascii="Cambria" w:hAnsi="Cambria" w:eastAsia="" w:cs="" w:asciiTheme="majorHAnsi" w:cstheme="majorBidi" w:eastAsiaTheme="majorEastAsia" w:hAnsiTheme="majorHAnsi"/>
      <w:i/>
      <w:iCs/>
      <w:color w:val="243F60" w:themeColor="accent1" w:themeShade="7f"/>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2a14bc"/>
    <w:rPr>
      <w:rFonts w:ascii="Tahoma" w:hAnsi="Tahoma" w:cs="Tahoma"/>
      <w:sz w:val="16"/>
      <w:szCs w:val="16"/>
    </w:rPr>
  </w:style>
  <w:style w:type="character" w:styleId="InternetLink">
    <w:name w:val="Hyperlink"/>
    <w:basedOn w:val="DefaultParagraphFont"/>
    <w:uiPriority w:val="99"/>
    <w:unhideWhenUsed/>
    <w:rsid w:val="00693b56"/>
    <w:rPr>
      <w:color w:val="0000FF" w:themeColor="hyperlink"/>
      <w:u w:val="single"/>
    </w:rPr>
  </w:style>
  <w:style w:type="character" w:styleId="FootnoteTextChar" w:customStyle="1">
    <w:name w:val="Footnote Text Char"/>
    <w:basedOn w:val="DefaultParagraphFont"/>
    <w:link w:val="FootnoteText"/>
    <w:uiPriority w:val="99"/>
    <w:semiHidden/>
    <w:qFormat/>
    <w:rsid w:val="0083794d"/>
    <w:rPr>
      <w:sz w:val="20"/>
      <w:szCs w:val="20"/>
    </w:rPr>
  </w:style>
  <w:style w:type="character" w:styleId="FootnoteCharacters">
    <w:name w:val="Footnote Characters"/>
    <w:basedOn w:val="DefaultParagraphFont"/>
    <w:uiPriority w:val="99"/>
    <w:semiHidden/>
    <w:unhideWhenUsed/>
    <w:qFormat/>
    <w:rsid w:val="0083794d"/>
    <w:rPr>
      <w:vertAlign w:val="superscript"/>
    </w:rPr>
  </w:style>
  <w:style w:type="character" w:styleId="FootnoteAnchor">
    <w:name w:val="Footnote Anchor"/>
    <w:rPr>
      <w:vertAlign w:val="superscript"/>
    </w:rPr>
  </w:style>
  <w:style w:type="character" w:styleId="EndnoteTextChar" w:customStyle="1">
    <w:name w:val="Endnote Text Char"/>
    <w:basedOn w:val="DefaultParagraphFont"/>
    <w:link w:val="EndnoteText"/>
    <w:uiPriority w:val="99"/>
    <w:semiHidden/>
    <w:qFormat/>
    <w:rsid w:val="0083794d"/>
    <w:rPr>
      <w:sz w:val="20"/>
      <w:szCs w:val="20"/>
    </w:rPr>
  </w:style>
  <w:style w:type="character" w:styleId="EndnoteCharacters">
    <w:name w:val="Endnote Characters"/>
    <w:basedOn w:val="DefaultParagraphFont"/>
    <w:uiPriority w:val="99"/>
    <w:semiHidden/>
    <w:unhideWhenUsed/>
    <w:qFormat/>
    <w:rsid w:val="0083794d"/>
    <w:rPr>
      <w:vertAlign w:val="superscript"/>
    </w:rPr>
  </w:style>
  <w:style w:type="character" w:styleId="EndnoteAnchor">
    <w:name w:val="Endnote Anchor"/>
    <w:rPr>
      <w:vertAlign w:val="superscript"/>
    </w:rPr>
  </w:style>
  <w:style w:type="character" w:styleId="HeaderChar" w:customStyle="1">
    <w:name w:val="Header Char"/>
    <w:basedOn w:val="DefaultParagraphFont"/>
    <w:link w:val="Header"/>
    <w:uiPriority w:val="99"/>
    <w:qFormat/>
    <w:rsid w:val="00b73f35"/>
    <w:rPr/>
  </w:style>
  <w:style w:type="character" w:styleId="FooterChar" w:customStyle="1">
    <w:name w:val="Footer Char"/>
    <w:basedOn w:val="DefaultParagraphFont"/>
    <w:link w:val="Footer"/>
    <w:uiPriority w:val="99"/>
    <w:qFormat/>
    <w:rsid w:val="00b73f35"/>
    <w:rPr/>
  </w:style>
  <w:style w:type="character" w:styleId="Annotationreference">
    <w:name w:val="annotation reference"/>
    <w:basedOn w:val="DefaultParagraphFont"/>
    <w:uiPriority w:val="99"/>
    <w:semiHidden/>
    <w:unhideWhenUsed/>
    <w:qFormat/>
    <w:rsid w:val="008271a5"/>
    <w:rPr>
      <w:sz w:val="16"/>
      <w:szCs w:val="16"/>
    </w:rPr>
  </w:style>
  <w:style w:type="character" w:styleId="CommentTextChar" w:customStyle="1">
    <w:name w:val="Comment Text Char"/>
    <w:basedOn w:val="DefaultParagraphFont"/>
    <w:link w:val="CommentText"/>
    <w:uiPriority w:val="99"/>
    <w:semiHidden/>
    <w:qFormat/>
    <w:rsid w:val="008271a5"/>
    <w:rPr>
      <w:sz w:val="20"/>
      <w:szCs w:val="20"/>
    </w:rPr>
  </w:style>
  <w:style w:type="character" w:styleId="CommentSubjectChar" w:customStyle="1">
    <w:name w:val="Comment Subject Char"/>
    <w:basedOn w:val="CommentTextChar"/>
    <w:link w:val="CommentSubject"/>
    <w:uiPriority w:val="99"/>
    <w:semiHidden/>
    <w:qFormat/>
    <w:rsid w:val="008271a5"/>
    <w:rPr>
      <w:b/>
      <w:bCs/>
      <w:sz w:val="20"/>
      <w:szCs w:val="20"/>
    </w:rPr>
  </w:style>
  <w:style w:type="character" w:styleId="Maintext1" w:customStyle="1">
    <w:name w:val="maintext1"/>
    <w:basedOn w:val="DefaultParagraphFont"/>
    <w:qFormat/>
    <w:rsid w:val="00614886"/>
    <w:rPr>
      <w:rFonts w:ascii="Verdana" w:hAnsi="Verdana"/>
      <w:strike w:val="false"/>
      <w:dstrike w:val="false"/>
      <w:color w:val="232323"/>
      <w:sz w:val="20"/>
      <w:szCs w:val="20"/>
      <w:u w:val="none"/>
      <w:effect w:val="none"/>
    </w:rPr>
  </w:style>
  <w:style w:type="character" w:styleId="Firstword1" w:customStyle="1">
    <w:name w:val="firstword1"/>
    <w:basedOn w:val="DefaultParagraphFont"/>
    <w:qFormat/>
    <w:rsid w:val="00614886"/>
    <w:rPr>
      <w:rFonts w:ascii="Verdana" w:hAnsi="Verdana"/>
      <w:b/>
      <w:bCs/>
      <w:strike w:val="false"/>
      <w:dstrike w:val="false"/>
      <w:sz w:val="21"/>
      <w:szCs w:val="21"/>
      <w:u w:val="none"/>
      <w:effect w:val="none"/>
    </w:rPr>
  </w:style>
  <w:style w:type="character" w:styleId="Heading1Char" w:customStyle="1">
    <w:name w:val="Heading 1 Char"/>
    <w:basedOn w:val="DefaultParagraphFont"/>
    <w:link w:val="Heading1"/>
    <w:uiPriority w:val="9"/>
    <w:qFormat/>
    <w:rsid w:val="00332c21"/>
    <w:rPr>
      <w:rFonts w:ascii="Cambria" w:hAnsi="Cambria" w:eastAsia="" w:cs="" w:asciiTheme="majorHAnsi" w:cstheme="majorBidi" w:eastAsiaTheme="majorEastAsia" w:hAnsiTheme="majorHAnsi"/>
      <w:b/>
      <w:bCs/>
      <w:color w:val="365F91" w:themeColor="accent1" w:themeShade="bf"/>
      <w:sz w:val="28"/>
      <w:szCs w:val="28"/>
    </w:rPr>
  </w:style>
  <w:style w:type="character" w:styleId="Heading2Char" w:customStyle="1">
    <w:name w:val="Heading 2 Char"/>
    <w:basedOn w:val="DefaultParagraphFont"/>
    <w:link w:val="Heading2"/>
    <w:uiPriority w:val="9"/>
    <w:qFormat/>
    <w:rsid w:val="00c61e96"/>
    <w:rPr>
      <w:rFonts w:ascii="Cambria" w:hAnsi="Cambria" w:eastAsia="" w:cs="" w:asciiTheme="majorHAnsi" w:cstheme="majorBidi" w:eastAsiaTheme="majorEastAsia" w:hAnsiTheme="majorHAnsi"/>
      <w:b/>
      <w:bCs/>
      <w:color w:val="4F81BD" w:themeColor="accent1"/>
      <w:sz w:val="26"/>
      <w:szCs w:val="26"/>
    </w:rPr>
  </w:style>
  <w:style w:type="character" w:styleId="Heading4Char" w:customStyle="1">
    <w:name w:val="Heading 4 Char"/>
    <w:basedOn w:val="DefaultParagraphFont"/>
    <w:link w:val="Heading4"/>
    <w:uiPriority w:val="9"/>
    <w:semiHidden/>
    <w:qFormat/>
    <w:rsid w:val="00fd47ff"/>
    <w:rPr>
      <w:rFonts w:ascii="Cambria" w:hAnsi="Cambria" w:eastAsia="" w:cs="" w:asciiTheme="majorHAnsi" w:cstheme="majorBidi" w:eastAsiaTheme="majorEastAsia" w:hAnsiTheme="majorHAnsi"/>
      <w:i/>
      <w:iCs/>
      <w:color w:val="365F91" w:themeColor="accent1" w:themeShade="bf"/>
    </w:rPr>
  </w:style>
  <w:style w:type="character" w:styleId="Heading5Char" w:customStyle="1">
    <w:name w:val="Heading 5 Char"/>
    <w:basedOn w:val="DefaultParagraphFont"/>
    <w:link w:val="Heading5"/>
    <w:uiPriority w:val="9"/>
    <w:semiHidden/>
    <w:qFormat/>
    <w:rsid w:val="00fd47ff"/>
    <w:rPr>
      <w:rFonts w:ascii="Cambria" w:hAnsi="Cambria" w:eastAsia="" w:cs="" w:asciiTheme="majorHAnsi" w:cstheme="majorBidi" w:eastAsiaTheme="majorEastAsia" w:hAnsiTheme="majorHAnsi"/>
      <w:color w:val="365F91" w:themeColor="accent1" w:themeShade="bf"/>
    </w:rPr>
  </w:style>
  <w:style w:type="character" w:styleId="Heading6Char" w:customStyle="1">
    <w:name w:val="Heading 6 Char"/>
    <w:basedOn w:val="DefaultParagraphFont"/>
    <w:link w:val="Heading6"/>
    <w:uiPriority w:val="9"/>
    <w:semiHidden/>
    <w:qFormat/>
    <w:rsid w:val="00fd47ff"/>
    <w:rPr>
      <w:rFonts w:ascii="Cambria" w:hAnsi="Cambria" w:eastAsia="" w:cs="" w:asciiTheme="majorHAnsi" w:cstheme="majorBidi" w:eastAsiaTheme="majorEastAsia" w:hAnsiTheme="majorHAnsi"/>
      <w:color w:val="243F60" w:themeColor="accent1" w:themeShade="7f"/>
    </w:rPr>
  </w:style>
  <w:style w:type="character" w:styleId="Heading7Char" w:customStyle="1">
    <w:name w:val="Heading 7 Char"/>
    <w:basedOn w:val="DefaultParagraphFont"/>
    <w:link w:val="Heading7"/>
    <w:uiPriority w:val="9"/>
    <w:semiHidden/>
    <w:qFormat/>
    <w:rsid w:val="00fd47ff"/>
    <w:rPr>
      <w:rFonts w:ascii="Cambria" w:hAnsi="Cambria" w:eastAsia="" w:cs="" w:asciiTheme="majorHAnsi" w:cstheme="majorBidi" w:eastAsiaTheme="majorEastAsia" w:hAnsiTheme="majorHAnsi"/>
      <w:i/>
      <w:iCs/>
      <w:color w:val="243F60" w:themeColor="accent1" w:themeShade="7f"/>
    </w:rPr>
  </w:style>
  <w:style w:type="character" w:styleId="Citation" w:customStyle="1">
    <w:name w:val="citation"/>
    <w:basedOn w:val="DefaultParagraphFont"/>
    <w:qFormat/>
    <w:rsid w:val="00066e37"/>
    <w:rPr/>
  </w:style>
  <w:style w:type="character" w:styleId="HTMLCite">
    <w:name w:val="HTML Cite"/>
    <w:basedOn w:val="DefaultParagraphFont"/>
    <w:uiPriority w:val="99"/>
    <w:semiHidden/>
    <w:unhideWhenUsed/>
    <w:qFormat/>
    <w:rsid w:val="00332e40"/>
    <w:rPr>
      <w:i/>
      <w:iCs/>
    </w:rPr>
  </w:style>
  <w:style w:type="character" w:styleId="VisitedInternetLink">
    <w:name w:val="FollowedHyperlink"/>
    <w:basedOn w:val="DefaultParagraphFont"/>
    <w:uiPriority w:val="99"/>
    <w:semiHidden/>
    <w:unhideWhenUsed/>
    <w:rsid w:val="00c8652d"/>
    <w:rPr>
      <w:color w:val="800080" w:themeColor="followedHyperlink"/>
      <w:u w:val="single"/>
    </w:rPr>
  </w:style>
  <w:style w:type="character" w:styleId="Appleconvertedspace" w:customStyle="1">
    <w:name w:val="apple-converted-space"/>
    <w:basedOn w:val="DefaultParagraphFont"/>
    <w:qFormat/>
    <w:rsid w:val="00e501af"/>
    <w:rPr/>
  </w:style>
  <w:style w:type="character" w:styleId="Strong">
    <w:name w:val="Strong"/>
    <w:basedOn w:val="DefaultParagraphFont"/>
    <w:uiPriority w:val="22"/>
    <w:qFormat/>
    <w:rsid w:val="00902e62"/>
    <w:rPr>
      <w:b/>
      <w:bCs/>
    </w:rPr>
  </w:style>
  <w:style w:type="character" w:styleId="Heading3Char" w:customStyle="1">
    <w:name w:val="Heading 3 Char"/>
    <w:basedOn w:val="DefaultParagraphFont"/>
    <w:link w:val="Heading3"/>
    <w:uiPriority w:val="9"/>
    <w:semiHidden/>
    <w:qFormat/>
    <w:rsid w:val="00fd2bc8"/>
    <w:rPr>
      <w:rFonts w:ascii="Cambria" w:hAnsi="Cambria" w:eastAsia="" w:cs="" w:asciiTheme="majorHAnsi" w:cstheme="majorBidi" w:eastAsiaTheme="majorEastAsia" w:hAnsiTheme="majorHAnsi"/>
      <w:color w:val="243F60" w:themeColor="accent1" w:themeShade="7f"/>
      <w:sz w:val="24"/>
      <w:szCs w:val="24"/>
    </w:rPr>
  </w:style>
  <w:style w:type="character" w:styleId="Selectable" w:customStyle="1">
    <w:name w:val="selectable"/>
    <w:basedOn w:val="DefaultParagraphFont"/>
    <w:qFormat/>
    <w:rsid w:val="006865dc"/>
    <w:rPr/>
  </w:style>
  <w:style w:type="character" w:styleId="UnresolvedMention">
    <w:name w:val="Unresolved Mention"/>
    <w:basedOn w:val="DefaultParagraphFont"/>
    <w:uiPriority w:val="99"/>
    <w:semiHidden/>
    <w:unhideWhenUsed/>
    <w:qFormat/>
    <w:rsid w:val="00ae0562"/>
    <w:rPr>
      <w:color w:val="808080"/>
      <w:shd w:fill="E6E6E6" w:val="clear"/>
    </w:rPr>
  </w:style>
  <w:style w:type="character" w:styleId="CITE">
    <w:name w:val="CITE"/>
    <w:qFormat/>
    <w:rPr>
      <w:i/>
    </w:rPr>
  </w:style>
  <w:style w:type="character" w:styleId="CODE">
    <w:name w:val="CODE"/>
    <w:qFormat/>
    <w:rPr>
      <w:rFonts w:ascii="Courier New" w:hAnsi="Courier New"/>
      <w:sz w:val="20"/>
    </w:rPr>
  </w:style>
  <w:style w:type="character" w:styleId="Keyboard">
    <w:name w:val="Keyboard"/>
    <w:qFormat/>
    <w:rPr>
      <w:rFonts w:ascii="Courier New" w:hAnsi="Courier New"/>
      <w:b/>
      <w:sz w:val="20"/>
    </w:rPr>
  </w:style>
  <w:style w:type="character" w:styleId="Sample">
    <w:name w:val="Sample"/>
    <w:qFormat/>
    <w:rPr>
      <w:rFonts w:ascii="Courier New" w:hAnsi="Courier New"/>
    </w:rPr>
  </w:style>
  <w:style w:type="character" w:styleId="Typewriter">
    <w:name w:val="Typewriter"/>
    <w:qFormat/>
    <w:rPr>
      <w:rFonts w:ascii="Courier New" w:hAnsi="Courier New"/>
      <w:sz w:val="20"/>
    </w:rPr>
  </w:style>
  <w:style w:type="character" w:styleId="HTMLMarkup">
    <w:name w:val="HTML Markup"/>
    <w:qFormat/>
    <w:rPr>
      <w:vanish/>
      <w:color w:val="FF0000"/>
    </w:rPr>
  </w:style>
  <w:style w:type="character" w:styleId="Comment">
    <w:name w:val="Comment"/>
    <w:qFormat/>
    <w:rPr>
      <w:vanish/>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StrongEmphasis">
    <w:name w:val="Strong Emphasis"/>
    <w:qFormat/>
    <w:rPr>
      <w:b/>
      <w:bCs/>
    </w:rPr>
  </w:style>
  <w:style w:type="character" w:styleId="NumberingSymbols">
    <w:name w:val="Numbering Symbols"/>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ListParagraph">
    <w:name w:val="List Paragraph"/>
    <w:basedOn w:val="Normal"/>
    <w:uiPriority w:val="99"/>
    <w:qFormat/>
    <w:rsid w:val="00e431a8"/>
    <w:pPr>
      <w:spacing w:before="0" w:after="200"/>
      <w:ind w:left="720" w:hanging="0"/>
      <w:contextualSpacing/>
    </w:pPr>
    <w:rPr/>
  </w:style>
  <w:style w:type="paragraph" w:styleId="BalloonText">
    <w:name w:val="Balloon Text"/>
    <w:basedOn w:val="Normal"/>
    <w:link w:val="BalloonTextChar"/>
    <w:uiPriority w:val="99"/>
    <w:semiHidden/>
    <w:unhideWhenUsed/>
    <w:qFormat/>
    <w:rsid w:val="002a14bc"/>
    <w:pPr>
      <w:spacing w:lineRule="auto" w:line="240" w:before="0" w:after="0"/>
    </w:pPr>
    <w:rPr>
      <w:rFonts w:ascii="Tahoma" w:hAnsi="Tahoma" w:cs="Tahoma"/>
      <w:sz w:val="16"/>
      <w:szCs w:val="16"/>
    </w:rPr>
  </w:style>
  <w:style w:type="paragraph" w:styleId="Footnote">
    <w:name w:val="Footnote Text"/>
    <w:basedOn w:val="Normal"/>
    <w:link w:val="FootnoteTextChar"/>
    <w:uiPriority w:val="99"/>
    <w:semiHidden/>
    <w:unhideWhenUsed/>
    <w:rsid w:val="0083794d"/>
    <w:pPr>
      <w:spacing w:lineRule="auto" w:line="240" w:before="0" w:after="0"/>
    </w:pPr>
    <w:rPr>
      <w:sz w:val="20"/>
      <w:szCs w:val="20"/>
    </w:rPr>
  </w:style>
  <w:style w:type="paragraph" w:styleId="Endnote">
    <w:name w:val="Endnote Text"/>
    <w:basedOn w:val="Normal"/>
    <w:link w:val="EndnoteTextChar"/>
    <w:uiPriority w:val="99"/>
    <w:semiHidden/>
    <w:unhideWhenUsed/>
    <w:rsid w:val="0083794d"/>
    <w:pPr>
      <w:spacing w:lineRule="auto" w:line="240" w:before="0" w:after="0"/>
    </w:pPr>
    <w:rPr>
      <w:sz w:val="20"/>
      <w:szCs w:val="20"/>
    </w:rPr>
  </w:style>
  <w:style w:type="paragraph" w:styleId="HeaderandFooter">
    <w:name w:val="Header and Footer"/>
    <w:basedOn w:val="Normal"/>
    <w:qFormat/>
    <w:pPr/>
    <w:rPr/>
  </w:style>
  <w:style w:type="paragraph" w:styleId="Header">
    <w:name w:val="Header"/>
    <w:basedOn w:val="Normal"/>
    <w:link w:val="HeaderChar"/>
    <w:uiPriority w:val="99"/>
    <w:unhideWhenUsed/>
    <w:rsid w:val="00b73f35"/>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b73f35"/>
    <w:pPr>
      <w:tabs>
        <w:tab w:val="clear" w:pos="720"/>
        <w:tab w:val="center" w:pos="4513" w:leader="none"/>
        <w:tab w:val="right" w:pos="9026" w:leader="none"/>
      </w:tabs>
      <w:spacing w:lineRule="auto" w:line="240" w:before="0" w:after="0"/>
    </w:pPr>
    <w:rPr/>
  </w:style>
  <w:style w:type="paragraph" w:styleId="Annotationtext">
    <w:name w:val="annotation text"/>
    <w:basedOn w:val="Normal"/>
    <w:link w:val="CommentTextChar"/>
    <w:uiPriority w:val="99"/>
    <w:semiHidden/>
    <w:unhideWhenUsed/>
    <w:qFormat/>
    <w:rsid w:val="008271a5"/>
    <w:pPr>
      <w:spacing w:lineRule="auto" w:line="240"/>
    </w:pPr>
    <w:rPr>
      <w:sz w:val="20"/>
      <w:szCs w:val="20"/>
    </w:rPr>
  </w:style>
  <w:style w:type="paragraph" w:styleId="Annotationsubject">
    <w:name w:val="annotation subject"/>
    <w:basedOn w:val="Annotationtext"/>
    <w:next w:val="Annotationtext"/>
    <w:link w:val="CommentSubjectChar"/>
    <w:uiPriority w:val="99"/>
    <w:semiHidden/>
    <w:unhideWhenUsed/>
    <w:qFormat/>
    <w:rsid w:val="008271a5"/>
    <w:pPr/>
    <w:rPr>
      <w:b/>
      <w:bCs/>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61e96"/>
    <w:pPr>
      <w:outlineLvl w:val="9"/>
    </w:pPr>
    <w:rPr>
      <w:lang w:val="en-US" w:eastAsia="ja-JP"/>
    </w:rPr>
  </w:style>
  <w:style w:type="paragraph" w:styleId="Contents1">
    <w:name w:val="TOC 1"/>
    <w:basedOn w:val="Normal"/>
    <w:next w:val="Normal"/>
    <w:autoRedefine/>
    <w:uiPriority w:val="39"/>
    <w:unhideWhenUsed/>
    <w:rsid w:val="00c61e96"/>
    <w:pPr>
      <w:spacing w:before="0" w:after="100"/>
    </w:pPr>
    <w:rPr/>
  </w:style>
  <w:style w:type="paragraph" w:styleId="Contents2">
    <w:name w:val="TOC 2"/>
    <w:basedOn w:val="Normal"/>
    <w:next w:val="Normal"/>
    <w:autoRedefine/>
    <w:uiPriority w:val="39"/>
    <w:unhideWhenUsed/>
    <w:rsid w:val="00b2288b"/>
    <w:pPr>
      <w:tabs>
        <w:tab w:val="clear" w:pos="720"/>
        <w:tab w:val="left" w:pos="880" w:leader="none"/>
        <w:tab w:val="right" w:pos="10632" w:leader="dot"/>
      </w:tabs>
      <w:spacing w:before="0" w:after="100"/>
      <w:ind w:left="220" w:hanging="0"/>
    </w:pPr>
    <w:rPr/>
  </w:style>
  <w:style w:type="paragraph" w:styleId="Contents3">
    <w:name w:val="TOC 3"/>
    <w:basedOn w:val="Normal"/>
    <w:next w:val="Normal"/>
    <w:autoRedefine/>
    <w:uiPriority w:val="39"/>
    <w:unhideWhenUsed/>
    <w:rsid w:val="00ca4468"/>
    <w:pPr>
      <w:spacing w:lineRule="auto" w:line="259" w:before="0" w:after="100"/>
      <w:ind w:left="440" w:hanging="0"/>
    </w:pPr>
    <w:rPr>
      <w:rFonts w:eastAsia="" w:cs="Times New Roman" w:eastAsiaTheme="minorEastAsia"/>
      <w:lang w:val="en-US"/>
    </w:rPr>
  </w:style>
  <w:style w:type="paragraph" w:styleId="NormalWeb">
    <w:name w:val="Normal (Web)"/>
    <w:basedOn w:val="Normal"/>
    <w:uiPriority w:val="99"/>
    <w:unhideWhenUsed/>
    <w:qFormat/>
    <w:rsid w:val="00135567"/>
    <w:pPr>
      <w:spacing w:lineRule="auto" w:line="240" w:beforeAutospacing="1" w:afterAutospacing="1"/>
    </w:pPr>
    <w:rPr>
      <w:rFonts w:ascii="Times New Roman" w:hAnsi="Times New Roman" w:eastAsia="Times New Roman" w:cs="Times New Roman"/>
      <w:sz w:val="24"/>
      <w:szCs w:val="24"/>
      <w:lang w:eastAsia="en-GB"/>
    </w:rPr>
  </w:style>
  <w:style w:type="paragraph" w:styleId="NoSpacing">
    <w:name w:val="No Spacing"/>
    <w:uiPriority w:val="1"/>
    <w:qFormat/>
    <w:rsid w:val="001723f6"/>
    <w:pPr>
      <w:widowControl/>
      <w:suppressAutoHyphens w:val="true"/>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FrameContents">
    <w:name w:val="Frame Contents"/>
    <w:basedOn w:val="Normal"/>
    <w:qFormat/>
    <w:pPr/>
    <w:rPr/>
  </w:style>
  <w:style w:type="paragraph" w:styleId="DefinitionTerm">
    <w:name w:val="Definition Term"/>
    <w:basedOn w:val="Normal"/>
    <w:qFormat/>
    <w:pPr/>
    <w:rPr/>
  </w:style>
  <w:style w:type="paragraph" w:styleId="DefinitionList">
    <w:name w:val="Definition List"/>
    <w:basedOn w:val="Normal"/>
    <w:next w:val="DefinitionTerm"/>
    <w:qFormat/>
    <w:pPr>
      <w:ind w:left="360" w:hanging="0"/>
    </w:pPr>
    <w:rPr/>
  </w:style>
  <w:style w:type="paragraph" w:styleId="H1">
    <w:name w:val="H1"/>
    <w:basedOn w:val="Normal"/>
    <w:next w:val="Normal"/>
    <w:qFormat/>
    <w:pPr>
      <w:keepNext w:val="true"/>
      <w:spacing w:before="100" w:after="100"/>
      <w:outlineLvl w:val="1"/>
    </w:pPr>
    <w:rPr>
      <w:b/>
      <w:kern w:val="2"/>
      <w:sz w:val="48"/>
    </w:rPr>
  </w:style>
  <w:style w:type="paragraph" w:styleId="H2">
    <w:name w:val="H2"/>
    <w:basedOn w:val="Normal"/>
    <w:next w:val="Normal"/>
    <w:qFormat/>
    <w:pPr>
      <w:keepNext w:val="true"/>
      <w:spacing w:before="100" w:after="100"/>
      <w:outlineLvl w:val="2"/>
    </w:pPr>
    <w:rPr>
      <w:b/>
      <w:sz w:val="36"/>
    </w:rPr>
  </w:style>
  <w:style w:type="paragraph" w:styleId="H3">
    <w:name w:val="H3"/>
    <w:basedOn w:val="Normal"/>
    <w:next w:val="Normal"/>
    <w:qFormat/>
    <w:pPr>
      <w:keepNext w:val="true"/>
      <w:spacing w:before="100" w:after="100"/>
      <w:outlineLvl w:val="3"/>
    </w:pPr>
    <w:rPr>
      <w:b/>
      <w:sz w:val="28"/>
    </w:rPr>
  </w:style>
  <w:style w:type="paragraph" w:styleId="H4">
    <w:name w:val="H4"/>
    <w:basedOn w:val="Normal"/>
    <w:next w:val="Normal"/>
    <w:qFormat/>
    <w:pPr>
      <w:keepNext w:val="true"/>
      <w:spacing w:before="100" w:after="100"/>
      <w:outlineLvl w:val="4"/>
    </w:pPr>
    <w:rPr>
      <w:b/>
      <w:sz w:val="24"/>
    </w:rPr>
  </w:style>
  <w:style w:type="paragraph" w:styleId="H5">
    <w:name w:val="H5"/>
    <w:basedOn w:val="Normal"/>
    <w:next w:val="Normal"/>
    <w:qFormat/>
    <w:pPr>
      <w:keepNext w:val="true"/>
      <w:spacing w:before="100" w:after="100"/>
      <w:outlineLvl w:val="5"/>
    </w:pPr>
    <w:rPr>
      <w:b/>
      <w:sz w:val="20"/>
    </w:rPr>
  </w:style>
  <w:style w:type="paragraph" w:styleId="H6">
    <w:name w:val="H6"/>
    <w:basedOn w:val="Normal"/>
    <w:next w:val="Normal"/>
    <w:qFormat/>
    <w:pPr>
      <w:keepNext w:val="true"/>
      <w:spacing w:before="100" w:after="100"/>
      <w:outlineLvl w:val="6"/>
    </w:pPr>
    <w:rPr>
      <w:b/>
      <w:sz w:val="16"/>
    </w:rPr>
  </w:style>
  <w:style w:type="paragraph" w:styleId="Address">
    <w:name w:val="Address"/>
    <w:basedOn w:val="Normal"/>
    <w:next w:val="Normal"/>
    <w:qFormat/>
    <w:pPr/>
    <w:rPr>
      <w:i/>
    </w:rPr>
  </w:style>
  <w:style w:type="paragraph" w:styleId="Blockquote">
    <w:name w:val="Blockquote"/>
    <w:basedOn w:val="Normal"/>
    <w:qFormat/>
    <w:pPr>
      <w:spacing w:before="100" w:after="100"/>
      <w:ind w:left="360" w:right="360" w:hanging="0"/>
    </w:pPr>
    <w:rPr/>
  </w:style>
  <w:style w:type="paragraph" w:styleId="Preformatted">
    <w:name w:val="Preformatted"/>
    <w:basedOn w:val="Normal"/>
    <w:qFormat/>
    <w:pPr>
      <w:tabs>
        <w:tab w:val="clear" w:pos="720"/>
        <w:tab w:val="left" w:pos="0" w:leader="none"/>
        <w:tab w:val="left" w:pos="959" w:leader="none"/>
        <w:tab w:val="left" w:pos="1918" w:leader="none"/>
        <w:tab w:val="left" w:pos="2877" w:leader="none"/>
        <w:tab w:val="left" w:pos="3836" w:leader="none"/>
        <w:tab w:val="left" w:pos="4795" w:leader="none"/>
        <w:tab w:val="left" w:pos="5754" w:leader="none"/>
        <w:tab w:val="left" w:pos="6713" w:leader="none"/>
        <w:tab w:val="left" w:pos="7672" w:leader="none"/>
        <w:tab w:val="left" w:pos="8631" w:leader="none"/>
        <w:tab w:val="left" w:pos="9590" w:leader="none"/>
      </w:tabs>
      <w:spacing w:before="0" w:after="0"/>
    </w:pPr>
    <w:rPr>
      <w:rFonts w:ascii="Courier New" w:hAnsi="Courier New"/>
      <w:sz w:val="20"/>
    </w:rPr>
  </w:style>
  <w:style w:type="paragraph" w:styleId="ZBottomofForm">
    <w:name w:val="z-Bottom of Form"/>
    <w:next w:val="Normal"/>
    <w:qFormat/>
    <w:pPr>
      <w:widowControl/>
      <w:pBdr>
        <w:top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paragraph" w:styleId="ZTopofForm">
    <w:name w:val="z-Top of Form"/>
    <w:next w:val="Normal"/>
    <w:qFormat/>
    <w:pPr>
      <w:widowControl/>
      <w:pBdr>
        <w:bottom w:val="double" w:sz="2" w:space="0" w:color="000000"/>
      </w:pBdr>
      <w:suppressAutoHyphens w:val="true"/>
      <w:bidi w:val="0"/>
      <w:spacing w:lineRule="auto" w:line="276" w:before="0" w:after="200"/>
      <w:jc w:val="center"/>
    </w:pPr>
    <w:rPr>
      <w:rFonts w:ascii="Arial" w:hAnsi="Arial" w:eastAsia="Arial" w:cs="Courier New"/>
      <w:vanish/>
      <w:color w:val="auto"/>
      <w:kern w:val="0"/>
      <w:sz w:val="16"/>
      <w:szCs w:val="24"/>
      <w:lang w:val="en-GB" w:eastAsia="en-US" w:bidi="ar-SA"/>
    </w:rPr>
  </w:style>
  <w:style w:type="paragraph" w:styleId="TableContents">
    <w:name w:val="Table Contents"/>
    <w:basedOn w:val="Normal"/>
    <w:qFormat/>
    <w:pPr>
      <w:widowControl w:val="false"/>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740a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Light1">
    <w:name w:val="Table Grid Light1"/>
    <w:basedOn w:val="TableNormal"/>
    <w:uiPriority w:val="40"/>
    <w:rsid w:val="00805011"/>
    <w:pPr>
      <w:spacing w:after="0" w:line="240" w:lineRule="auto"/>
    </w:pPr>
    <w:tblPr>
      <w:tblBorders>
        <w:top w:val="single" w:color="BFBFBF" w:themeColor="background1" w:sz="4" w:space="0"/>
        <w:left w:val="single" w:color="BFBFBF" w:themeColor="background1" w:sz="4" w:space="0"/>
        <w:bottom w:val="single" w:color="BFBFBF" w:themeColor="background1" w:sz="4" w:space="0"/>
        <w:right w:val="single" w:color="BFBFBF" w:themeColor="background1" w:sz="4" w:space="0"/>
        <w:insideH w:val="single" w:color="BFBFBF" w:themeColor="background1" w:sz="4" w:space="0"/>
        <w:insideV w:val="single" w:color="BFBFBF" w:themeColor="background1"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Www.businessleader.co.uk/" TargetMode="External"/><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_rels/header1.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E209E6-5AE8-4168-8D03-4D225EE24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2621</TotalTime>
  <Application>LibreOffice/7.2.5.2$Windows_X86_64 LibreOffice_project/499f9727c189e6ef3471021d6132d4c694f357e5</Application>
  <AppVersion>15.0000</AppVersion>
  <Pages>12</Pages>
  <Words>6880</Words>
  <Characters>37010</Characters>
  <CharactersWithSpaces>43885</CharactersWithSpaces>
  <Paragraphs>174</Paragraphs>
  <Company>Private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2021-09-02T12:26:00Z</dcterms:created>
  <dc:creator>gareth</dc:creator>
  <dc:description/>
  <dc:language>en-GB</dc:language>
  <cp:lastModifiedBy/>
  <dcterms:modified xsi:type="dcterms:W3CDTF">2022-09-04T16:22:50Z</dcterms:modified>
  <cp:revision>207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Encoding">
    <vt:lpwstr>utf-8</vt:lpwstr>
  </property>
  <property fmtid="{D5CDD505-2E9C-101B-9397-08002B2CF9AE}" pid="3" name="HTML">
    <vt:bool>1</vt:bool>
  </property>
</Properties>
</file>