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43DC3" w14:textId="77777777" w:rsidR="00585D05" w:rsidRDefault="00585D05" w:rsidP="00585D05">
      <w:pPr>
        <w:shd w:val="clear" w:color="auto" w:fill="FFFFFF"/>
        <w:spacing w:line="240" w:lineRule="auto"/>
        <w:rPr>
          <w:rFonts w:ascii="Arial" w:eastAsia="Times New Roman" w:hAnsi="Arial" w:cs="Arial"/>
          <w:b/>
          <w:bCs/>
          <w:color w:val="222222"/>
          <w:lang w:eastAsia="en-GB"/>
        </w:rPr>
      </w:pPr>
      <w:r>
        <w:rPr>
          <w:rFonts w:ascii="Arial" w:eastAsia="Times New Roman" w:hAnsi="Arial" w:cs="Arial"/>
          <w:b/>
          <w:bCs/>
          <w:color w:val="222222"/>
          <w:lang w:eastAsia="en-GB"/>
        </w:rPr>
        <w:t>HARMONY: THEORY AND PRACTICE</w:t>
      </w:r>
    </w:p>
    <w:p w14:paraId="76625394"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NICK CAMPION</w:t>
      </w:r>
    </w:p>
    <w:p w14:paraId="352D4AA1"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WEEK 7 FOOD, FARMING AND EDUCATION</w:t>
      </w:r>
    </w:p>
    <w:p w14:paraId="2594D1B0"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593D268D"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NICK CAMPION</w:t>
      </w:r>
    </w:p>
    <w:p w14:paraId="19FCD25B"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131EAC73"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Tasks for this week.</w:t>
      </w:r>
    </w:p>
    <w:p w14:paraId="1ACA84E2" w14:textId="77777777" w:rsidR="00585D05" w:rsidRDefault="00585D05" w:rsidP="00585D05">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Download the Required Reading:</w:t>
      </w:r>
    </w:p>
    <w:p w14:paraId="6658820E" w14:textId="77777777" w:rsidR="00585D05" w:rsidRDefault="00585D05" w:rsidP="00585D05">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Post on the Forum</w:t>
      </w:r>
    </w:p>
    <w:p w14:paraId="6C823683" w14:textId="77777777" w:rsidR="00585D05" w:rsidRDefault="00585D05" w:rsidP="00585D05">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Complete your essay 2 proposal form.</w:t>
      </w:r>
    </w:p>
    <w:p w14:paraId="5A724137" w14:textId="77777777" w:rsidR="00585D05" w:rsidRDefault="00585D05" w:rsidP="00585D05">
      <w:pPr>
        <w:pStyle w:val="ListParagraph"/>
        <w:shd w:val="clear" w:color="auto" w:fill="FFFFFF"/>
        <w:spacing w:line="240" w:lineRule="auto"/>
        <w:rPr>
          <w:rFonts w:ascii="Arial" w:eastAsia="Times New Roman" w:hAnsi="Arial" w:cs="Arial"/>
          <w:color w:val="222222"/>
          <w:kern w:val="0"/>
          <w:lang w:eastAsia="en-GB"/>
          <w14:ligatures w14:val="none"/>
        </w:rPr>
      </w:pPr>
    </w:p>
    <w:p w14:paraId="6C3CBE1C" w14:textId="77777777" w:rsidR="00585D05" w:rsidRDefault="00585D05" w:rsidP="00585D05">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lang w:eastAsia="en-GB"/>
        </w:rPr>
        <w:t>THEMES FOR THIS WEEK</w:t>
      </w:r>
    </w:p>
    <w:p w14:paraId="71561DEC"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 xml:space="preserve">There are two themes this week: food and farming, and education. They are interlocking quite simply because Harmony is predicated on the interconnection of all things. There are also significant connections with UWTSD. </w:t>
      </w:r>
    </w:p>
    <w:p w14:paraId="0FC6DA5A"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5AB36CA9"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Regarding education, Richard Dunne, a UWTSD Honorary Professor, is coordinating Harmony education projects in primary schools (age 5-11 in the UK) in the Lampeter area.</w:t>
      </w:r>
    </w:p>
    <w:p w14:paraId="305C718D"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657D061D"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Concerning food and farming, Patrick Holden, founder of the Sustainable Food Trust (SFT), is an Honorary Doctor at UWTSD.</w:t>
      </w:r>
      <w:r>
        <w:rPr>
          <w:rStyle w:val="FootnoteReference"/>
          <w:rFonts w:ascii="Arial" w:eastAsia="Times New Roman" w:hAnsi="Arial" w:cs="Arial"/>
          <w:color w:val="222222"/>
          <w:lang w:eastAsia="en-GB"/>
        </w:rPr>
        <w:footnoteReference w:id="1"/>
      </w:r>
      <w:r>
        <w:rPr>
          <w:rFonts w:ascii="Arial" w:eastAsia="Times New Roman" w:hAnsi="Arial" w:cs="Arial"/>
          <w:color w:val="222222"/>
          <w:lang w:eastAsia="en-GB"/>
        </w:rPr>
        <w:t xml:space="preserve"> The SFT launched the Harmony Project which promotes the role of nature and sustainability in primary school education.</w:t>
      </w:r>
      <w:r>
        <w:rPr>
          <w:rStyle w:val="FootnoteReference"/>
          <w:rFonts w:ascii="Arial" w:eastAsia="Times New Roman" w:hAnsi="Arial" w:cs="Arial"/>
          <w:color w:val="222222"/>
          <w:lang w:eastAsia="en-GB"/>
        </w:rPr>
        <w:footnoteReference w:id="2"/>
      </w:r>
      <w:r>
        <w:rPr>
          <w:rFonts w:ascii="Arial" w:eastAsia="Times New Roman" w:hAnsi="Arial" w:cs="Arial"/>
          <w:color w:val="222222"/>
          <w:lang w:eastAsia="en-GB"/>
        </w:rPr>
        <w:t xml:space="preserve"> Richard Dunne is Director of the Harmony Project. </w:t>
      </w:r>
    </w:p>
    <w:p w14:paraId="086062DA"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74BCF047"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INTRODUCTION</w:t>
      </w:r>
    </w:p>
    <w:p w14:paraId="0F5ABEA5"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27507451"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 xml:space="preserve">The course material this week is simpler than in previous weeks. This is partly because the theoretical foundations of Harmony have been dealt with and complex applications such as in politics and business have been discussed. </w:t>
      </w:r>
    </w:p>
    <w:p w14:paraId="548B1FFD"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78572192"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Food and Farming</w:t>
      </w:r>
    </w:p>
    <w:p w14:paraId="41AFD720"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11DCAE7C"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 xml:space="preserve">A Harmony approach to Food and Farming is quite simple to delineate, even if there are some complex policy choices. If the fundamental consideration is interconnection, then complex relationships between organisms, physiological processes, chemical reactions, plant botany and weather systems are central. It follows that organic farming (which was universal until the invention of industrially produced fertilisers and pesticides) are preferable, and industrial agriculture and processed foods (and what are now known as ultra-processed foods – UPFs) are damaging. Some people advocate for local production over long-range transportation. An increasingly popular form of organic farming is permaculture, in which the principle is that the soil should be disturbed as little as possible. Biodynamic farming. founded by </w:t>
      </w:r>
      <w:r>
        <w:rPr>
          <w:rFonts w:ascii="Arial" w:eastAsia="Times New Roman" w:hAnsi="Arial" w:cs="Arial"/>
          <w:lang w:eastAsia="en-GB"/>
        </w:rPr>
        <w:t>Rudolph Steiner (1861-1925), which emphasises the use of lunar cycles (hence connections between cycles on-Earth and off-Earth) and other practices which are often considered magical and so tend not to be talked about publicly. A good example of the recent criticism of disturbing the soil by tillage is presented in the film ‘Kiss the Ground’, which is available on YouTube.</w:t>
      </w:r>
    </w:p>
    <w:p w14:paraId="5A1E85F0"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60053F8C"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 xml:space="preserve">Criticism of the pro-organic perspective from advocates of industrial farming is based around the claim that organic yields are too limited to feed the world’s growing population. One </w:t>
      </w:r>
      <w:r>
        <w:rPr>
          <w:rFonts w:ascii="Arial" w:eastAsia="Times New Roman" w:hAnsi="Arial" w:cs="Arial"/>
          <w:color w:val="222222"/>
          <w:lang w:eastAsia="en-GB"/>
        </w:rPr>
        <w:lastRenderedPageBreak/>
        <w:t>response to this is to question the figures. Another is to point out the massive food waste which takes place from crops being ploughed back into fields because it is too expensive to harvest them, through to supermarkets refusing to accept food from farmers because it doesn’t conform to preconceptions about what consumers will buy, or disposing of food which is past arbitrary ‘sell-by’ or ‘use-by’ dates.</w:t>
      </w:r>
    </w:p>
    <w:p w14:paraId="4463C543"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4293684B"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A further debate occurs within the organic and healthy-eating sectors concerns questions over veganism and vegetarianism. The vegan perspective holds that all use of animal products constitutes exploitation (and therefore, we could say, is non-Harmonious). The counter argument proposes that eating meat and using animal products is natural, that animals can be reared in natural conditions (rejecting industrial and mass scale farming), and that of these conditions are met then animal husbandry is beneficial to the wider ecosystem. This view is justified an appeal to a balanced and holistic perspective.</w:t>
      </w:r>
    </w:p>
    <w:p w14:paraId="2C14CDA1"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35215ECC"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Regarding human health and well-being, the rapid understanding of the sophistication and complexity of the gut biome points clearly to the benefits of natural foods and the potentially damaging effects of UPFs, which promote obesity while having little or no nutritional value.</w:t>
      </w:r>
    </w:p>
    <w:p w14:paraId="5C3E929F"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678BC7C8"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 xml:space="preserve">One complication which we </w:t>
      </w:r>
      <w:proofErr w:type="gramStart"/>
      <w:r>
        <w:rPr>
          <w:rFonts w:ascii="Arial" w:eastAsia="Times New Roman" w:hAnsi="Arial" w:cs="Arial"/>
          <w:color w:val="222222"/>
          <w:lang w:eastAsia="en-GB"/>
        </w:rPr>
        <w:t>have to</w:t>
      </w:r>
      <w:proofErr w:type="gramEnd"/>
      <w:r>
        <w:rPr>
          <w:rFonts w:ascii="Arial" w:eastAsia="Times New Roman" w:hAnsi="Arial" w:cs="Arial"/>
          <w:color w:val="222222"/>
          <w:lang w:eastAsia="en-GB"/>
        </w:rPr>
        <w:t xml:space="preserve"> recognise is economic: the existence of state subsidies, whether to promote industrial agriculture or nature conservation, and wealth disparities between trading nations. In recent years we have seen the eruption of tensions between European farmers and their governments over costs of net-zero policies. A question is how such tensions can be resolved of net zero policies are to be maintained.</w:t>
      </w:r>
    </w:p>
    <w:p w14:paraId="787C44AE"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5263BF2C"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 xml:space="preserve">Worldwide there are myriad groups and organisations promoting a balanced understanding of the value of natural diversity and a balance between human and wider natural interests. In the UK leading </w:t>
      </w:r>
      <w:proofErr w:type="gramStart"/>
      <w:r>
        <w:rPr>
          <w:rFonts w:ascii="Arial" w:eastAsia="Times New Roman" w:hAnsi="Arial" w:cs="Arial"/>
          <w:color w:val="222222"/>
          <w:lang w:eastAsia="en-GB"/>
        </w:rPr>
        <w:t>exemplars</w:t>
      </w:r>
      <w:proofErr w:type="gramEnd"/>
      <w:r>
        <w:rPr>
          <w:rFonts w:ascii="Arial" w:eastAsia="Times New Roman" w:hAnsi="Arial" w:cs="Arial"/>
          <w:color w:val="222222"/>
          <w:lang w:eastAsia="en-GB"/>
        </w:rPr>
        <w:t xml:space="preserve"> the Soil Association</w:t>
      </w:r>
      <w:r>
        <w:rPr>
          <w:rStyle w:val="FootnoteReference"/>
          <w:rFonts w:ascii="Arial" w:eastAsia="Times New Roman" w:hAnsi="Arial" w:cs="Arial"/>
          <w:color w:val="222222"/>
          <w:lang w:eastAsia="en-GB"/>
        </w:rPr>
        <w:footnoteReference w:id="3"/>
      </w:r>
      <w:r>
        <w:rPr>
          <w:rFonts w:ascii="Arial" w:eastAsia="Times New Roman" w:hAnsi="Arial" w:cs="Arial"/>
          <w:color w:val="222222"/>
          <w:lang w:eastAsia="en-GB"/>
        </w:rPr>
        <w:t xml:space="preserve"> and The Sustainable Food Trust.</w:t>
      </w:r>
      <w:r>
        <w:rPr>
          <w:rStyle w:val="FootnoteReference"/>
          <w:rFonts w:ascii="Arial" w:eastAsia="Times New Roman" w:hAnsi="Arial" w:cs="Arial"/>
          <w:color w:val="222222"/>
          <w:lang w:eastAsia="en-GB"/>
        </w:rPr>
        <w:footnoteReference w:id="4"/>
      </w:r>
    </w:p>
    <w:p w14:paraId="57A9CD7B" w14:textId="77777777" w:rsidR="00585D05" w:rsidRDefault="00585D05" w:rsidP="00585D05">
      <w:pPr>
        <w:shd w:val="clear" w:color="auto" w:fill="FFFFFF"/>
        <w:spacing w:line="240" w:lineRule="auto"/>
        <w:contextualSpacing/>
        <w:rPr>
          <w:rFonts w:ascii="Arial" w:eastAsia="Times New Roman" w:hAnsi="Arial" w:cs="Arial"/>
          <w:color w:val="222222"/>
          <w:lang w:eastAsia="en-GB"/>
        </w:rPr>
      </w:pPr>
    </w:p>
    <w:p w14:paraId="283CC100"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Education</w:t>
      </w:r>
    </w:p>
    <w:p w14:paraId="3DC4E442"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457587DA"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A simple segue from food and farming into education is based in the argument that children in western countries, and increasingly in countries where western style industrial food production is being promoted, need to be educated to understand where food comes from, how it is produced, and how to prepare food with natural ingredients.</w:t>
      </w:r>
    </w:p>
    <w:p w14:paraId="48E981CC" w14:textId="77777777" w:rsidR="00585D05" w:rsidRDefault="00585D05" w:rsidP="00585D05">
      <w:pPr>
        <w:spacing w:line="240" w:lineRule="auto"/>
        <w:contextualSpacing/>
        <w:rPr>
          <w:rFonts w:ascii="Arial" w:eastAsia="Times New Roman" w:hAnsi="Arial" w:cs="Arial"/>
          <w:lang w:eastAsia="en-GB"/>
        </w:rPr>
      </w:pPr>
    </w:p>
    <w:p w14:paraId="41255383"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This is the focus of the Harmony Project, directed by the UWTSD Honorary Professor, Richard Dunne. The Harmony Project also acknowledges the origins of Harmony in the Platonic and Pythagorean classical tradition by emphasising simple ways to educate young children about geometry, for example to have them draw star shapes.</w:t>
      </w:r>
    </w:p>
    <w:p w14:paraId="5001B1B7" w14:textId="77777777" w:rsidR="00585D05" w:rsidRDefault="00585D05" w:rsidP="00585D05">
      <w:pPr>
        <w:spacing w:line="240" w:lineRule="auto"/>
        <w:contextualSpacing/>
        <w:rPr>
          <w:rFonts w:ascii="Arial" w:eastAsia="Times New Roman" w:hAnsi="Arial" w:cs="Arial"/>
          <w:lang w:eastAsia="en-GB"/>
        </w:rPr>
      </w:pPr>
    </w:p>
    <w:p w14:paraId="6C0B8D3F"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This is clearly education anchored in Harmony. From here, though, we can debate, which might be a Harmonious perspective, and which might not. Clearly kindness to children, is required, and this means acknowledging their individuality, and allowing them to develop their own gifts and talents along with concepts of responsibility to others and the world around them. This is the basis of the Montessori system, founded by Maria Montessori (1870-1952) which has become influential in much western educational theory.</w:t>
      </w:r>
    </w:p>
    <w:p w14:paraId="1236ACF0" w14:textId="77777777" w:rsidR="00585D05" w:rsidRDefault="00585D05" w:rsidP="00585D05">
      <w:pPr>
        <w:spacing w:line="240" w:lineRule="auto"/>
        <w:contextualSpacing/>
        <w:rPr>
          <w:rFonts w:ascii="Arial" w:eastAsia="Times New Roman" w:hAnsi="Arial" w:cs="Arial"/>
          <w:lang w:eastAsia="en-GB"/>
        </w:rPr>
      </w:pPr>
    </w:p>
    <w:p w14:paraId="56954130"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 xml:space="preserve">Another educational theorist to have influenced notions of children’s individuality is Rudolph Steiner, the founder of Anthroposophy, Biodynamic farming, and so-called Waldorf education. In Steiner’s theology, each child contains a reincarnated soul, a model borrowed from Plato’s </w:t>
      </w:r>
      <w:r>
        <w:rPr>
          <w:rFonts w:ascii="Arial" w:eastAsia="Times New Roman" w:hAnsi="Arial" w:cs="Arial"/>
          <w:i/>
          <w:iCs/>
          <w:lang w:eastAsia="en-GB"/>
        </w:rPr>
        <w:t>Republic</w:t>
      </w:r>
      <w:r>
        <w:rPr>
          <w:rFonts w:ascii="Arial" w:eastAsia="Times New Roman" w:hAnsi="Arial" w:cs="Arial"/>
          <w:lang w:eastAsia="en-GB"/>
        </w:rPr>
        <w:t xml:space="preserve">. Educational theory is therefore based on the idea that children can remember wisdom and knowledge from before they were born, and from previous lifetimes. </w:t>
      </w:r>
      <w:r>
        <w:rPr>
          <w:rFonts w:ascii="Arial" w:eastAsia="Times New Roman" w:hAnsi="Arial" w:cs="Arial"/>
          <w:lang w:eastAsia="en-GB"/>
        </w:rPr>
        <w:lastRenderedPageBreak/>
        <w:t xml:space="preserve">Steiner’s child centred educational theory is taught in a network of Waldorf schools, but without its soul-centred theology, has influenced wider notions of child-centred education. </w:t>
      </w:r>
    </w:p>
    <w:p w14:paraId="36F2ABA6"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 xml:space="preserve">From this perspective, children need to be offered a wide range of topics to study, including the arts, </w:t>
      </w:r>
      <w:proofErr w:type="gramStart"/>
      <w:r>
        <w:rPr>
          <w:rFonts w:ascii="Arial" w:eastAsia="Times New Roman" w:hAnsi="Arial" w:cs="Arial"/>
          <w:lang w:eastAsia="en-GB"/>
        </w:rPr>
        <w:t>music</w:t>
      </w:r>
      <w:proofErr w:type="gramEnd"/>
      <w:r>
        <w:rPr>
          <w:rFonts w:ascii="Arial" w:eastAsia="Times New Roman" w:hAnsi="Arial" w:cs="Arial"/>
          <w:lang w:eastAsia="en-GB"/>
        </w:rPr>
        <w:t xml:space="preserve"> and dance, which are often downplayed or absent in other schools.</w:t>
      </w:r>
    </w:p>
    <w:p w14:paraId="16AFD7A6" w14:textId="77777777" w:rsidR="00585D05" w:rsidRDefault="00585D05" w:rsidP="00585D05">
      <w:pPr>
        <w:spacing w:line="240" w:lineRule="auto"/>
        <w:contextualSpacing/>
        <w:rPr>
          <w:rFonts w:ascii="Arial" w:eastAsia="Times New Roman" w:hAnsi="Arial" w:cs="Arial"/>
          <w:lang w:eastAsia="en-GB"/>
        </w:rPr>
      </w:pPr>
    </w:p>
    <w:p w14:paraId="72F0B4B2"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A vogue in some western countries (such as the UK) in recent decades, is to restrict the breadth of the curriculum and prioritise the so-called STEM subjects (science, technology, engineering, and maths) on the grounds that a technologically educated workforce is necessary for economic growth. This was partly inspired by the success of the Chinese education system in countries such as Singapore. However, paradoxically, Chinese culture deeply adheres to traditional concepts of Harmony and therefore wider connections. A critique of the western stem model is therefore that it was adopted out of context. In addition, some evidence suggests that skills in the creative arts may benefit technological and mathematical competence.</w:t>
      </w:r>
      <w:r>
        <w:rPr>
          <w:rStyle w:val="FootnoteReference"/>
          <w:rFonts w:ascii="Arial" w:eastAsia="Times New Roman" w:hAnsi="Arial" w:cs="Arial"/>
          <w:lang w:eastAsia="en-GB"/>
        </w:rPr>
        <w:footnoteReference w:id="5"/>
      </w:r>
      <w:r>
        <w:rPr>
          <w:rFonts w:ascii="Arial" w:eastAsia="Times New Roman" w:hAnsi="Arial" w:cs="Arial"/>
          <w:lang w:eastAsia="en-GB"/>
        </w:rPr>
        <w:t xml:space="preserve"> Recently STEM has been revised as STEAM, the A standing for Arts. </w:t>
      </w:r>
    </w:p>
    <w:p w14:paraId="1751161D" w14:textId="77777777" w:rsidR="00585D05" w:rsidRDefault="00585D05" w:rsidP="00585D05">
      <w:pPr>
        <w:spacing w:line="240" w:lineRule="auto"/>
        <w:contextualSpacing/>
        <w:rPr>
          <w:rFonts w:ascii="Arial" w:eastAsia="Times New Roman" w:hAnsi="Arial" w:cs="Arial"/>
          <w:lang w:eastAsia="en-GB"/>
        </w:rPr>
      </w:pPr>
    </w:p>
    <w:p w14:paraId="1CCA1D58" w14:textId="77777777" w:rsidR="00585D05" w:rsidRDefault="00585D05" w:rsidP="00585D05">
      <w:pPr>
        <w:spacing w:line="240" w:lineRule="auto"/>
        <w:contextualSpacing/>
        <w:rPr>
          <w:rFonts w:ascii="Arial" w:hAnsi="Arial" w:cs="Arial"/>
          <w:color w:val="000000"/>
          <w:shd w:val="clear" w:color="auto" w:fill="FFFFFF"/>
        </w:rPr>
      </w:pPr>
      <w:r>
        <w:rPr>
          <w:rFonts w:ascii="Arial" w:eastAsia="Times New Roman" w:hAnsi="Arial" w:cs="Arial"/>
          <w:lang w:eastAsia="en-GB"/>
        </w:rPr>
        <w:t xml:space="preserve">A critique of child-centred educational theory holds that it fails to give children sufficient guidance from adults. Some theorists advocate strict discipline in response to any notion, as in Steiner education, the children can dominate the educational process. A contemporary high-profile advocate of strict discipline is </w:t>
      </w:r>
      <w:r>
        <w:rPr>
          <w:rFonts w:ascii="Arial" w:hAnsi="Arial" w:cs="Arial"/>
          <w:color w:val="000000"/>
          <w:shd w:val="clear" w:color="auto" w:fill="FFFFFF"/>
        </w:rPr>
        <w:t xml:space="preserve">Katharine </w:t>
      </w:r>
      <w:proofErr w:type="spellStart"/>
      <w:r>
        <w:rPr>
          <w:rFonts w:ascii="Arial" w:hAnsi="Arial" w:cs="Arial"/>
          <w:color w:val="000000"/>
          <w:shd w:val="clear" w:color="auto" w:fill="FFFFFF"/>
        </w:rPr>
        <w:t>Birbalsingh</w:t>
      </w:r>
      <w:proofErr w:type="spellEnd"/>
      <w:r>
        <w:rPr>
          <w:rFonts w:ascii="Arial" w:hAnsi="Arial" w:cs="Arial"/>
          <w:color w:val="000000"/>
          <w:shd w:val="clear" w:color="auto" w:fill="FFFFFF"/>
        </w:rPr>
        <w:t xml:space="preserve">, the founder and headmistress of Michaela School, </w:t>
      </w:r>
      <w:proofErr w:type="spellStart"/>
      <w:r>
        <w:rPr>
          <w:rFonts w:ascii="Arial" w:hAnsi="Arial" w:cs="Arial"/>
          <w:color w:val="000000"/>
          <w:shd w:val="clear" w:color="auto" w:fill="FFFFFF"/>
        </w:rPr>
        <w:t>Birbalsingh’s</w:t>
      </w:r>
      <w:proofErr w:type="spellEnd"/>
      <w:r>
        <w:rPr>
          <w:rFonts w:ascii="Arial" w:hAnsi="Arial" w:cs="Arial"/>
          <w:color w:val="000000"/>
          <w:shd w:val="clear" w:color="auto" w:fill="FFFFFF"/>
        </w:rPr>
        <w:t xml:space="preserve"> aim being to develop children with respectful attitudes to others,</w:t>
      </w:r>
    </w:p>
    <w:p w14:paraId="10D48566" w14:textId="77777777" w:rsidR="00585D05" w:rsidRDefault="00585D05" w:rsidP="00585D05">
      <w:pPr>
        <w:spacing w:line="240" w:lineRule="auto"/>
        <w:contextualSpacing/>
        <w:rPr>
          <w:rFonts w:ascii="Arial" w:eastAsia="Times New Roman" w:hAnsi="Arial" w:cs="Arial"/>
          <w:lang w:eastAsia="en-GB"/>
        </w:rPr>
      </w:pPr>
    </w:p>
    <w:p w14:paraId="440E5805"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The question, therefore, is what makes for a Harmony-compatible educational system. There may be no single answer.</w:t>
      </w:r>
    </w:p>
    <w:p w14:paraId="755399F8" w14:textId="77777777" w:rsidR="00585D05" w:rsidRDefault="00585D05" w:rsidP="00585D05">
      <w:pPr>
        <w:spacing w:line="240" w:lineRule="auto"/>
        <w:contextualSpacing/>
        <w:rPr>
          <w:rFonts w:ascii="Arial" w:eastAsia="Times New Roman" w:hAnsi="Arial" w:cs="Arial"/>
          <w:lang w:eastAsia="en-GB"/>
        </w:rPr>
      </w:pPr>
    </w:p>
    <w:p w14:paraId="2346BD5A" w14:textId="77777777" w:rsidR="00585D05" w:rsidRDefault="00585D05" w:rsidP="00585D05">
      <w:pPr>
        <w:spacing w:line="240" w:lineRule="auto"/>
        <w:contextualSpacing/>
        <w:rPr>
          <w:rFonts w:ascii="Arial" w:eastAsia="Times New Roman" w:hAnsi="Arial" w:cs="Arial"/>
          <w:b/>
          <w:bCs/>
          <w:lang w:eastAsia="en-GB"/>
        </w:rPr>
      </w:pPr>
      <w:r>
        <w:rPr>
          <w:rFonts w:ascii="Arial" w:eastAsia="Times New Roman" w:hAnsi="Arial" w:cs="Arial"/>
          <w:b/>
          <w:bCs/>
          <w:lang w:eastAsia="en-GB"/>
        </w:rPr>
        <w:t>READING</w:t>
      </w:r>
    </w:p>
    <w:p w14:paraId="6BDADBB7" w14:textId="77777777" w:rsidR="00585D05" w:rsidRDefault="00585D05" w:rsidP="00585D05">
      <w:pPr>
        <w:spacing w:line="240" w:lineRule="auto"/>
        <w:contextualSpacing/>
        <w:rPr>
          <w:rFonts w:ascii="Arial" w:eastAsia="Times New Roman" w:hAnsi="Arial" w:cs="Arial"/>
          <w:lang w:eastAsia="en-GB"/>
        </w:rPr>
      </w:pPr>
    </w:p>
    <w:p w14:paraId="462BFA42" w14:textId="77777777" w:rsidR="00585D05" w:rsidRDefault="00585D05" w:rsidP="00585D05">
      <w:pPr>
        <w:spacing w:line="240" w:lineRule="auto"/>
        <w:contextualSpacing/>
        <w:rPr>
          <w:rFonts w:ascii="Arial" w:eastAsia="Times New Roman" w:hAnsi="Arial" w:cs="Arial"/>
          <w:lang w:eastAsia="en-GB"/>
        </w:rPr>
      </w:pPr>
      <w:r>
        <w:rPr>
          <w:rFonts w:ascii="Arial" w:eastAsia="Times New Roman" w:hAnsi="Arial" w:cs="Arial"/>
          <w:lang w:eastAsia="en-GB"/>
        </w:rPr>
        <w:t xml:space="preserve">The reading listed this week is shorter than in previous weeks because we have focused on texts which specifically reference harmony. However, if you wish to pursue any </w:t>
      </w:r>
      <w:proofErr w:type="gramStart"/>
      <w:r>
        <w:rPr>
          <w:rFonts w:ascii="Arial" w:eastAsia="Times New Roman" w:hAnsi="Arial" w:cs="Arial"/>
          <w:lang w:eastAsia="en-GB"/>
        </w:rPr>
        <w:t>particular avenue</w:t>
      </w:r>
      <w:proofErr w:type="gramEnd"/>
      <w:r>
        <w:rPr>
          <w:rFonts w:ascii="Arial" w:eastAsia="Times New Roman" w:hAnsi="Arial" w:cs="Arial"/>
          <w:lang w:eastAsia="en-GB"/>
        </w:rPr>
        <w:t xml:space="preserve"> of research there are many resources on educational theory in the university library and online. As the reading list is quite </w:t>
      </w:r>
      <w:proofErr w:type="gramStart"/>
      <w:r>
        <w:rPr>
          <w:rFonts w:ascii="Arial" w:eastAsia="Times New Roman" w:hAnsi="Arial" w:cs="Arial"/>
          <w:lang w:eastAsia="en-GB"/>
        </w:rPr>
        <w:t>short</w:t>
      </w:r>
      <w:proofErr w:type="gramEnd"/>
      <w:r>
        <w:rPr>
          <w:rFonts w:ascii="Arial" w:eastAsia="Times New Roman" w:hAnsi="Arial" w:cs="Arial"/>
          <w:lang w:eastAsia="en-GB"/>
        </w:rPr>
        <w:t xml:space="preserve"> we have not separated required reading from optional.</w:t>
      </w:r>
    </w:p>
    <w:p w14:paraId="202C9CB5" w14:textId="77777777" w:rsidR="00585D05" w:rsidRDefault="00585D05" w:rsidP="00585D05">
      <w:pPr>
        <w:spacing w:line="240" w:lineRule="auto"/>
        <w:contextualSpacing/>
        <w:rPr>
          <w:rFonts w:ascii="Arial" w:eastAsia="Times New Roman" w:hAnsi="Arial" w:cs="Arial"/>
          <w:lang w:eastAsia="en-GB"/>
        </w:rPr>
      </w:pPr>
    </w:p>
    <w:p w14:paraId="6A84805A" w14:textId="77777777" w:rsidR="00585D05" w:rsidRDefault="00585D05" w:rsidP="00585D05">
      <w:pPr>
        <w:spacing w:line="240" w:lineRule="auto"/>
        <w:contextualSpacing/>
        <w:rPr>
          <w:rFonts w:ascii="Arial" w:eastAsia="Times New Roman" w:hAnsi="Arial" w:cs="Arial"/>
          <w:b/>
          <w:bCs/>
          <w:lang w:eastAsia="en-GB"/>
        </w:rPr>
      </w:pPr>
      <w:r>
        <w:rPr>
          <w:rFonts w:ascii="Arial" w:eastAsia="Times New Roman" w:hAnsi="Arial" w:cs="Arial"/>
          <w:b/>
          <w:bCs/>
          <w:lang w:eastAsia="en-GB"/>
        </w:rPr>
        <w:t>FOR DISCUSSION ON THE FORUM</w:t>
      </w:r>
    </w:p>
    <w:p w14:paraId="783CEA2A" w14:textId="77777777" w:rsidR="00585D05" w:rsidRDefault="00585D05" w:rsidP="00585D05">
      <w:pPr>
        <w:spacing w:line="240" w:lineRule="auto"/>
        <w:contextualSpacing/>
        <w:rPr>
          <w:rFonts w:ascii="Arial" w:eastAsia="Times New Roman" w:hAnsi="Arial" w:cs="Arial"/>
          <w:b/>
          <w:bCs/>
          <w:lang w:eastAsia="en-GB"/>
        </w:rPr>
      </w:pPr>
    </w:p>
    <w:p w14:paraId="53F0358F" w14:textId="77777777" w:rsidR="00585D05" w:rsidRDefault="00585D05" w:rsidP="00585D05">
      <w:pPr>
        <w:spacing w:line="240" w:lineRule="auto"/>
        <w:contextualSpacing/>
        <w:rPr>
          <w:rFonts w:ascii="Arial" w:hAnsi="Arial" w:cs="Arial"/>
          <w:shd w:val="clear" w:color="auto" w:fill="FFFFFF"/>
        </w:rPr>
      </w:pPr>
      <w:r>
        <w:rPr>
          <w:rFonts w:ascii="Arial" w:hAnsi="Arial" w:cs="Arial"/>
        </w:rPr>
        <w:t>Dunne, Richard, and Emilie Martin. ‘Harmony in Education: Applying the principles of natural systems to learning’, in</w:t>
      </w:r>
      <w:r>
        <w:rPr>
          <w:rFonts w:ascii="Arial" w:hAnsi="Arial" w:cs="Arial"/>
          <w:kern w:val="36"/>
          <w:lang w:eastAsia="en-GB"/>
        </w:rPr>
        <w:t xml:space="preserve">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475–96. </w:t>
      </w:r>
    </w:p>
    <w:p w14:paraId="414382CB"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55FD8966"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r>
        <w:rPr>
          <w:rFonts w:ascii="Arial" w:eastAsia="Times New Roman" w:hAnsi="Arial" w:cs="Arial"/>
          <w:b/>
          <w:bCs/>
          <w:color w:val="222222"/>
          <w:lang w:eastAsia="en-GB"/>
        </w:rPr>
        <w:t>READING</w:t>
      </w:r>
    </w:p>
    <w:p w14:paraId="7A8CFE38" w14:textId="77777777" w:rsidR="00585D05" w:rsidRDefault="00585D05" w:rsidP="00585D05">
      <w:pPr>
        <w:shd w:val="clear" w:color="auto" w:fill="FFFFFF"/>
        <w:spacing w:line="240" w:lineRule="auto"/>
        <w:contextualSpacing/>
        <w:rPr>
          <w:rFonts w:ascii="Arial" w:eastAsia="Times New Roman" w:hAnsi="Arial" w:cs="Arial"/>
          <w:b/>
          <w:bCs/>
          <w:color w:val="222222"/>
          <w:lang w:eastAsia="en-GB"/>
        </w:rPr>
      </w:pPr>
    </w:p>
    <w:p w14:paraId="0E01A754" w14:textId="77777777" w:rsidR="00585D05" w:rsidRDefault="00585D05" w:rsidP="00585D05">
      <w:pPr>
        <w:shd w:val="clear" w:color="auto" w:fill="FFFFFF"/>
        <w:spacing w:line="240" w:lineRule="auto"/>
        <w:rPr>
          <w:rFonts w:ascii="Arial" w:eastAsia="Times New Roman" w:hAnsi="Arial" w:cs="Arial"/>
          <w:color w:val="222222"/>
          <w:lang w:eastAsia="en-GB"/>
        </w:rPr>
      </w:pPr>
      <w:r>
        <w:rPr>
          <w:rFonts w:ascii="Arial" w:eastAsia="Times New Roman" w:hAnsi="Arial" w:cs="Arial"/>
          <w:color w:val="222222"/>
          <w:lang w:eastAsia="en-GB"/>
        </w:rPr>
        <w:t xml:space="preserve">Two modules in the programme, Sacred Geography and Ecology and Spirituality inquire into the nature of spiritual beliefs concerning place, </w:t>
      </w:r>
      <w:proofErr w:type="gramStart"/>
      <w:r>
        <w:rPr>
          <w:rFonts w:ascii="Arial" w:eastAsia="Times New Roman" w:hAnsi="Arial" w:cs="Arial"/>
          <w:color w:val="222222"/>
          <w:lang w:eastAsia="en-GB"/>
        </w:rPr>
        <w:t>space</w:t>
      </w:r>
      <w:proofErr w:type="gramEnd"/>
      <w:r>
        <w:rPr>
          <w:rFonts w:ascii="Arial" w:eastAsia="Times New Roman" w:hAnsi="Arial" w:cs="Arial"/>
          <w:color w:val="222222"/>
          <w:lang w:eastAsia="en-GB"/>
        </w:rPr>
        <w:t xml:space="preserve"> and the natural environment. Key texts are: </w:t>
      </w:r>
    </w:p>
    <w:p w14:paraId="707CF417" w14:textId="77777777" w:rsidR="00585D05" w:rsidRDefault="00585D05" w:rsidP="00585D05">
      <w:pPr>
        <w:tabs>
          <w:tab w:val="left" w:pos="1545"/>
        </w:tabs>
        <w:rPr>
          <w:rFonts w:ascii="Arial" w:hAnsi="Arial" w:cs="Arial"/>
          <w:bCs/>
          <w:color w:val="000000" w:themeColor="text1"/>
        </w:rPr>
      </w:pPr>
      <w:r>
        <w:rPr>
          <w:rFonts w:ascii="Arial" w:hAnsi="Arial" w:cs="Arial"/>
          <w:bCs/>
          <w:color w:val="000000" w:themeColor="text1"/>
        </w:rPr>
        <w:lastRenderedPageBreak/>
        <w:t xml:space="preserve">Hunter, Jack, </w:t>
      </w:r>
      <w:r>
        <w:rPr>
          <w:rFonts w:ascii="Arial" w:hAnsi="Arial" w:cs="Arial"/>
          <w:bCs/>
          <w:i/>
          <w:iCs/>
          <w:color w:val="000000" w:themeColor="text1"/>
        </w:rPr>
        <w:t>Ecology and Spirituality: A Brief Introduction</w:t>
      </w:r>
      <w:r>
        <w:rPr>
          <w:rFonts w:ascii="Arial" w:hAnsi="Arial" w:cs="Arial"/>
          <w:bCs/>
          <w:color w:val="000000" w:themeColor="text1"/>
        </w:rPr>
        <w:t xml:space="preserve"> (Lampeter: Sophia Centre Press, 2023).</w:t>
      </w:r>
    </w:p>
    <w:p w14:paraId="04AD0780" w14:textId="77777777" w:rsidR="00585D05" w:rsidRDefault="00585D05" w:rsidP="00585D05">
      <w:pPr>
        <w:rPr>
          <w:rFonts w:ascii="Arial" w:hAnsi="Arial" w:cs="Arial"/>
        </w:rPr>
      </w:pPr>
      <w:r>
        <w:rPr>
          <w:rFonts w:ascii="Arial" w:hAnsi="Arial" w:cs="Arial"/>
        </w:rPr>
        <w:t xml:space="preserve">Attala, Lucy (ed.), </w:t>
      </w:r>
      <w:r>
        <w:rPr>
          <w:rFonts w:ascii="Arial" w:hAnsi="Arial" w:cs="Arial"/>
          <w:i/>
        </w:rPr>
        <w:t>Rivers, Mountains, Sky and Sea: exploring spirit and place</w:t>
      </w:r>
      <w:r>
        <w:rPr>
          <w:rFonts w:ascii="Arial" w:hAnsi="Arial" w:cs="Arial"/>
        </w:rPr>
        <w:t xml:space="preserve"> (Lampeter: Sophia Centre Press 2021).</w:t>
      </w:r>
    </w:p>
    <w:p w14:paraId="7D0577C3" w14:textId="77777777" w:rsidR="00585D05" w:rsidRDefault="00585D05" w:rsidP="00585D05">
      <w:pPr>
        <w:spacing w:line="240" w:lineRule="auto"/>
        <w:contextualSpacing/>
        <w:rPr>
          <w:rFonts w:ascii="Arial" w:hAnsi="Arial" w:cs="Arial"/>
        </w:rPr>
      </w:pPr>
      <w:r>
        <w:rPr>
          <w:rFonts w:ascii="Arial" w:hAnsi="Arial" w:cs="Arial"/>
        </w:rPr>
        <w:t>Browning, Helen. ‘The Farm as an Ecosystem’, in</w:t>
      </w:r>
      <w:r>
        <w:rPr>
          <w:rFonts w:ascii="Arial" w:hAnsi="Arial" w:cs="Arial"/>
          <w:kern w:val="36"/>
          <w:lang w:eastAsia="en-GB"/>
        </w:rPr>
        <w:t xml:space="preserve">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pp. 407–10</w:t>
      </w:r>
      <w:r>
        <w:rPr>
          <w:rFonts w:ascii="Arial" w:hAnsi="Arial" w:cs="Arial"/>
          <w:kern w:val="36"/>
          <w:lang w:eastAsia="en-GB"/>
        </w:rPr>
        <w:t>.</w:t>
      </w:r>
    </w:p>
    <w:p w14:paraId="55D071DE" w14:textId="77777777" w:rsidR="00585D05" w:rsidRDefault="00585D05" w:rsidP="00585D05">
      <w:pPr>
        <w:pStyle w:val="FootnoteText"/>
        <w:rPr>
          <w:rFonts w:ascii="Arial" w:hAnsi="Arial" w:cs="Arial"/>
          <w:sz w:val="22"/>
          <w:szCs w:val="22"/>
        </w:rPr>
      </w:pPr>
      <w:r>
        <w:rPr>
          <w:rFonts w:ascii="Arial" w:hAnsi="Arial" w:cs="Arial"/>
          <w:sz w:val="22"/>
          <w:szCs w:val="22"/>
        </w:rPr>
        <w:t xml:space="preserve">Dunne, Richard, </w:t>
      </w:r>
      <w:r>
        <w:rPr>
          <w:rFonts w:ascii="Arial" w:hAnsi="Arial" w:cs="Arial"/>
          <w:i/>
          <w:sz w:val="22"/>
          <w:szCs w:val="22"/>
        </w:rPr>
        <w:t>Harmony: A new way of looking at and learning about our world. A teacher’s guide to purposeful learning</w:t>
      </w:r>
      <w:r>
        <w:rPr>
          <w:rFonts w:ascii="Arial" w:hAnsi="Arial" w:cs="Arial"/>
          <w:sz w:val="22"/>
          <w:szCs w:val="22"/>
        </w:rPr>
        <w:t xml:space="preserve"> (London and Bristol: The Harmony Project/Sustainable Food Trust, 2019).</w:t>
      </w:r>
    </w:p>
    <w:p w14:paraId="38AD3F92" w14:textId="77777777" w:rsidR="00585D05" w:rsidRDefault="00585D05" w:rsidP="00585D05">
      <w:pPr>
        <w:pStyle w:val="FootnoteText"/>
        <w:rPr>
          <w:rFonts w:ascii="Arial" w:hAnsi="Arial" w:cs="Arial"/>
          <w:sz w:val="22"/>
          <w:szCs w:val="22"/>
        </w:rPr>
      </w:pPr>
      <w:r>
        <w:rPr>
          <w:rFonts w:ascii="Arial" w:hAnsi="Arial" w:cs="Arial"/>
          <w:sz w:val="22"/>
          <w:szCs w:val="22"/>
        </w:rPr>
        <w:t>THIS IS NOT IN THE UNIVERSITY LIBRARY</w:t>
      </w:r>
    </w:p>
    <w:p w14:paraId="696C896C" w14:textId="77777777" w:rsidR="00585D05" w:rsidRDefault="00585D05" w:rsidP="00585D05">
      <w:pPr>
        <w:pStyle w:val="FootnoteText"/>
        <w:rPr>
          <w:lang w:eastAsia="en-GB"/>
        </w:rPr>
      </w:pPr>
    </w:p>
    <w:p w14:paraId="03E0D5B8" w14:textId="77777777" w:rsidR="00585D05" w:rsidRDefault="00585D05" w:rsidP="00585D05">
      <w:pPr>
        <w:shd w:val="clear" w:color="auto" w:fill="FFFFFF"/>
        <w:spacing w:line="240" w:lineRule="auto"/>
        <w:rPr>
          <w:rFonts w:ascii="Arial" w:eastAsia="Times New Roman" w:hAnsi="Arial" w:cs="Arial"/>
          <w:color w:val="3A3A3A"/>
          <w:lang w:eastAsia="en-GB"/>
        </w:rPr>
      </w:pPr>
      <w:proofErr w:type="spellStart"/>
      <w:r>
        <w:rPr>
          <w:rFonts w:ascii="Arial" w:eastAsia="Times New Roman" w:hAnsi="Arial" w:cs="Arial"/>
          <w:color w:val="3A3A3A"/>
          <w:lang w:eastAsia="en-GB"/>
        </w:rPr>
        <w:t>Gliessman</w:t>
      </w:r>
      <w:proofErr w:type="spellEnd"/>
      <w:r>
        <w:rPr>
          <w:rFonts w:ascii="Arial" w:eastAsia="Times New Roman" w:hAnsi="Arial" w:cs="Arial"/>
          <w:color w:val="3A3A3A"/>
          <w:lang w:eastAsia="en-GB"/>
        </w:rPr>
        <w:t xml:space="preserve">, Steve, ‘Defining Agroecology’, </w:t>
      </w:r>
      <w:r>
        <w:rPr>
          <w:rFonts w:ascii="Arial" w:eastAsia="Times New Roman" w:hAnsi="Arial" w:cs="Arial"/>
          <w:i/>
          <w:iCs/>
          <w:color w:val="3A3A3A"/>
          <w:lang w:eastAsia="en-GB"/>
        </w:rPr>
        <w:t>Agroecology and sustainable food systems</w:t>
      </w:r>
      <w:r>
        <w:rPr>
          <w:rFonts w:ascii="Arial" w:eastAsia="Times New Roman" w:hAnsi="Arial" w:cs="Arial"/>
          <w:color w:val="3A3A3A"/>
          <w:lang w:eastAsia="en-GB"/>
        </w:rPr>
        <w:t>, 2018, Vol.42 (6), p.599-</w:t>
      </w:r>
      <w:proofErr w:type="gramStart"/>
      <w:r>
        <w:rPr>
          <w:rFonts w:ascii="Arial" w:eastAsia="Times New Roman" w:hAnsi="Arial" w:cs="Arial"/>
          <w:color w:val="3A3A3A"/>
          <w:lang w:eastAsia="en-GB"/>
        </w:rPr>
        <w:t>600</w:t>
      </w:r>
      <w:proofErr w:type="gramEnd"/>
    </w:p>
    <w:p w14:paraId="6373B362" w14:textId="77777777" w:rsidR="00585D05" w:rsidRDefault="00585D05" w:rsidP="00585D05">
      <w:pPr>
        <w:shd w:val="clear" w:color="auto" w:fill="FFFFFF"/>
        <w:spacing w:line="240" w:lineRule="auto"/>
        <w:contextualSpacing/>
        <w:rPr>
          <w:rFonts w:ascii="Arial" w:eastAsia="Times New Roman" w:hAnsi="Arial" w:cs="Arial"/>
          <w:color w:val="3A3A3A"/>
          <w:lang w:eastAsia="en-GB"/>
        </w:rPr>
      </w:pPr>
    </w:p>
    <w:p w14:paraId="68B591A3" w14:textId="77777777" w:rsidR="00585D05" w:rsidRDefault="00585D05" w:rsidP="00585D05">
      <w:pPr>
        <w:spacing w:line="240" w:lineRule="auto"/>
        <w:contextualSpacing/>
        <w:rPr>
          <w:rFonts w:ascii="Arial" w:hAnsi="Arial" w:cs="Arial"/>
        </w:rPr>
      </w:pPr>
      <w:r>
        <w:rPr>
          <w:rFonts w:ascii="Arial" w:hAnsi="Arial" w:cs="Arial"/>
        </w:rPr>
        <w:t>Lohmann-Hancock, Caroline, and Nicola Welton. ‘Reflections upon Education for Sustainability: Supporting Students’ Knowledge, Understanding and Practice’, in</w:t>
      </w:r>
      <w:r>
        <w:rPr>
          <w:rFonts w:ascii="Arial" w:hAnsi="Arial" w:cs="Arial"/>
          <w:kern w:val="36"/>
          <w:lang w:eastAsia="en-GB"/>
        </w:rPr>
        <w:t xml:space="preserve">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445–60. </w:t>
      </w:r>
    </w:p>
    <w:p w14:paraId="18A10EA8" w14:textId="77777777" w:rsidR="00585D05" w:rsidRDefault="00585D05" w:rsidP="00585D05">
      <w:pPr>
        <w:shd w:val="clear" w:color="auto" w:fill="FFFFFF"/>
        <w:spacing w:line="240" w:lineRule="auto"/>
        <w:contextualSpacing/>
        <w:rPr>
          <w:rFonts w:ascii="Arial" w:eastAsia="Times New Roman" w:hAnsi="Arial" w:cs="Arial"/>
          <w:color w:val="3A3A3A"/>
          <w:lang w:eastAsia="en-GB"/>
        </w:rPr>
      </w:pPr>
      <w:r>
        <w:rPr>
          <w:rFonts w:ascii="Arial" w:eastAsia="Times New Roman" w:hAnsi="Arial" w:cs="Arial"/>
          <w:color w:val="3A3A3A"/>
          <w:lang w:eastAsia="en-GB"/>
        </w:rPr>
        <w:t xml:space="preserve">Madeley, John, ‘Agroecology’, </w:t>
      </w:r>
      <w:r>
        <w:rPr>
          <w:rFonts w:ascii="Arial" w:eastAsia="Times New Roman" w:hAnsi="Arial" w:cs="Arial"/>
          <w:i/>
          <w:iCs/>
          <w:color w:val="3A3A3A"/>
          <w:lang w:eastAsia="en-GB"/>
        </w:rPr>
        <w:t>Appropriate technology</w:t>
      </w:r>
      <w:r>
        <w:rPr>
          <w:rFonts w:ascii="Arial" w:eastAsia="Times New Roman" w:hAnsi="Arial" w:cs="Arial"/>
          <w:color w:val="3A3A3A"/>
          <w:lang w:eastAsia="en-GB"/>
        </w:rPr>
        <w:t>, 2016, Vol.43 (2), p.41</w:t>
      </w:r>
    </w:p>
    <w:p w14:paraId="75BC00D8" w14:textId="77777777" w:rsidR="00585D05" w:rsidRDefault="00585D05" w:rsidP="00585D05">
      <w:pPr>
        <w:spacing w:line="240" w:lineRule="auto"/>
        <w:contextualSpacing/>
        <w:rPr>
          <w:rFonts w:ascii="Arial" w:hAnsi="Arial" w:cs="Arial"/>
        </w:rPr>
      </w:pPr>
    </w:p>
    <w:p w14:paraId="4879590D" w14:textId="77777777" w:rsidR="00585D05" w:rsidRDefault="00585D05" w:rsidP="00585D05">
      <w:pPr>
        <w:spacing w:line="240" w:lineRule="auto"/>
        <w:contextualSpacing/>
        <w:rPr>
          <w:rFonts w:ascii="Arial" w:hAnsi="Arial" w:cs="Arial"/>
        </w:rPr>
      </w:pPr>
      <w:r>
        <w:rPr>
          <w:rFonts w:ascii="Arial" w:hAnsi="Arial" w:cs="Arial"/>
        </w:rPr>
        <w:t>Polkey, Angie, ‘The Permaculture Path to Harmony: a Story of Personal Emergence’, in</w:t>
      </w:r>
      <w:r>
        <w:rPr>
          <w:rFonts w:ascii="Arial" w:hAnsi="Arial" w:cs="Arial"/>
          <w:kern w:val="36"/>
          <w:lang w:eastAsia="en-GB"/>
        </w:rPr>
        <w:t xml:space="preserve">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411–16. </w:t>
      </w:r>
    </w:p>
    <w:p w14:paraId="725A27DA" w14:textId="77777777" w:rsidR="00585D05" w:rsidRDefault="00585D05" w:rsidP="00585D05">
      <w:pPr>
        <w:spacing w:line="240" w:lineRule="auto"/>
        <w:contextualSpacing/>
        <w:rPr>
          <w:rFonts w:ascii="Arial" w:hAnsi="Arial" w:cs="Arial"/>
        </w:rPr>
      </w:pPr>
    </w:p>
    <w:p w14:paraId="07B7D820" w14:textId="77777777" w:rsidR="00585D05" w:rsidRDefault="00585D05" w:rsidP="00585D05">
      <w:pPr>
        <w:spacing w:line="240" w:lineRule="auto"/>
        <w:contextualSpacing/>
        <w:rPr>
          <w:rFonts w:ascii="Arial" w:hAnsi="Arial" w:cs="Arial"/>
        </w:rPr>
      </w:pPr>
      <w:proofErr w:type="spellStart"/>
      <w:r>
        <w:rPr>
          <w:rFonts w:ascii="Arial" w:hAnsi="Arial" w:cs="Arial"/>
        </w:rPr>
        <w:t>Stordalen</w:t>
      </w:r>
      <w:proofErr w:type="spellEnd"/>
      <w:r>
        <w:rPr>
          <w:rFonts w:ascii="Arial" w:hAnsi="Arial" w:cs="Arial"/>
        </w:rPr>
        <w:t>, Gunhild A. ‘Harmony and the Food System’, in</w:t>
      </w:r>
      <w:r>
        <w:rPr>
          <w:rFonts w:ascii="Arial" w:hAnsi="Arial" w:cs="Arial"/>
          <w:kern w:val="36"/>
          <w:lang w:eastAsia="en-GB"/>
        </w:rPr>
        <w:t xml:space="preserve">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417–20. </w:t>
      </w:r>
    </w:p>
    <w:p w14:paraId="32EAF5E7" w14:textId="77777777" w:rsidR="00585D05" w:rsidRDefault="00585D05" w:rsidP="00585D05">
      <w:pPr>
        <w:pStyle w:val="Heading1"/>
        <w:shd w:val="clear" w:color="auto" w:fill="FFFFFF"/>
        <w:spacing w:before="0" w:after="160"/>
        <w:contextualSpacing/>
        <w:rPr>
          <w:rStyle w:val="product-banner-author-name"/>
          <w:bCs/>
          <w:iCs/>
          <w:spacing w:val="3"/>
          <w:sz w:val="22"/>
          <w:szCs w:val="22"/>
          <w:shd w:val="clear" w:color="auto" w:fill="FFFFFF"/>
        </w:rPr>
      </w:pPr>
      <w:r>
        <w:rPr>
          <w:rStyle w:val="product-banner-author-name"/>
          <w:rFonts w:ascii="Arial" w:hAnsi="Arial" w:cs="Arial"/>
          <w:bCs/>
          <w:iCs/>
          <w:spacing w:val="3"/>
          <w:sz w:val="22"/>
          <w:szCs w:val="22"/>
          <w:shd w:val="clear" w:color="auto" w:fill="FFFFFF"/>
        </w:rPr>
        <w:t xml:space="preserve">The Sustainable Food Trust. </w:t>
      </w:r>
      <w:r>
        <w:rPr>
          <w:rStyle w:val="product-banner-author-name"/>
          <w:rFonts w:ascii="Arial" w:hAnsi="Arial" w:cs="Arial"/>
          <w:bCs/>
          <w:i/>
          <w:spacing w:val="3"/>
          <w:sz w:val="22"/>
          <w:szCs w:val="22"/>
          <w:shd w:val="clear" w:color="auto" w:fill="FFFFFF"/>
        </w:rPr>
        <w:t>The Hidden Cost of UK Food</w:t>
      </w:r>
      <w:r>
        <w:rPr>
          <w:rStyle w:val="product-banner-author-name"/>
          <w:rFonts w:ascii="Arial" w:hAnsi="Arial" w:cs="Arial"/>
          <w:bCs/>
          <w:iCs/>
          <w:spacing w:val="3"/>
          <w:sz w:val="22"/>
          <w:szCs w:val="22"/>
          <w:shd w:val="clear" w:color="auto" w:fill="FFFFFF"/>
        </w:rPr>
        <w:t xml:space="preserve">. Vale Press Ltd, revised 2019. </w:t>
      </w:r>
      <w:hyperlink r:id="rId7" w:history="1">
        <w:r>
          <w:rPr>
            <w:rStyle w:val="Hyperlink"/>
            <w:rFonts w:ascii="Arial" w:hAnsi="Arial" w:cs="Arial"/>
            <w:bCs/>
            <w:iCs/>
            <w:spacing w:val="3"/>
            <w:sz w:val="22"/>
            <w:szCs w:val="22"/>
            <w:shd w:val="clear" w:color="auto" w:fill="FFFFFF"/>
          </w:rPr>
          <w:t>https://sustainablefoodtrust.org/wp-content/uploads/2022/01/Website-Version-The-Hidden-Cost-of-UK-Food_compressed.pdf</w:t>
        </w:r>
      </w:hyperlink>
      <w:r>
        <w:rPr>
          <w:rStyle w:val="Hyperlink"/>
          <w:rFonts w:ascii="Arial" w:hAnsi="Arial" w:cs="Arial"/>
          <w:bCs/>
          <w:iCs/>
          <w:spacing w:val="3"/>
          <w:sz w:val="22"/>
          <w:szCs w:val="22"/>
          <w:shd w:val="clear" w:color="auto" w:fill="FFFFFF"/>
        </w:rPr>
        <w:t xml:space="preserve">. </w:t>
      </w:r>
    </w:p>
    <w:p w14:paraId="7AE8742F" w14:textId="77777777" w:rsidR="00585D05" w:rsidRDefault="00585D05" w:rsidP="00585D05">
      <w:pPr>
        <w:pStyle w:val="Heading1"/>
        <w:shd w:val="clear" w:color="auto" w:fill="FFFFFF"/>
        <w:spacing w:before="0" w:after="160"/>
        <w:contextualSpacing/>
        <w:rPr>
          <w:rStyle w:val="product-banner-author-name"/>
          <w:rFonts w:ascii="Arial" w:hAnsi="Arial" w:cs="Arial"/>
          <w:bCs/>
          <w:iCs/>
          <w:spacing w:val="3"/>
          <w:sz w:val="22"/>
          <w:szCs w:val="22"/>
          <w:shd w:val="clear" w:color="auto" w:fill="FFFFFF"/>
        </w:rPr>
      </w:pPr>
    </w:p>
    <w:p w14:paraId="42BE240A" w14:textId="77777777" w:rsidR="00585D05" w:rsidRDefault="00585D05" w:rsidP="00585D05">
      <w:pPr>
        <w:pStyle w:val="Heading1"/>
        <w:shd w:val="clear" w:color="auto" w:fill="FFFFFF"/>
        <w:spacing w:before="0" w:after="160"/>
        <w:contextualSpacing/>
        <w:rPr>
          <w:rStyle w:val="product-banner-author-name"/>
          <w:rFonts w:ascii="Arial" w:hAnsi="Arial" w:cs="Arial"/>
          <w:bCs/>
          <w:iCs/>
          <w:spacing w:val="3"/>
          <w:sz w:val="22"/>
          <w:szCs w:val="22"/>
          <w:shd w:val="clear" w:color="auto" w:fill="FFFFFF"/>
        </w:rPr>
      </w:pPr>
      <w:r>
        <w:rPr>
          <w:rStyle w:val="product-banner-author-name"/>
          <w:rFonts w:ascii="Arial" w:hAnsi="Arial" w:cs="Arial"/>
          <w:bCs/>
          <w:iCs/>
          <w:spacing w:val="3"/>
          <w:sz w:val="22"/>
          <w:szCs w:val="22"/>
          <w:shd w:val="clear" w:color="auto" w:fill="FFFFFF"/>
        </w:rPr>
        <w:t xml:space="preserve">The Sustainable Food Trust: True Cost Accounting. </w:t>
      </w:r>
      <w:hyperlink r:id="rId8" w:anchor="implementing-true-cost-accounting" w:history="1">
        <w:r>
          <w:rPr>
            <w:rStyle w:val="Hyperlink"/>
            <w:rFonts w:ascii="Arial" w:hAnsi="Arial" w:cs="Arial"/>
            <w:bCs/>
            <w:iCs/>
            <w:spacing w:val="3"/>
            <w:sz w:val="22"/>
            <w:szCs w:val="22"/>
            <w:shd w:val="clear" w:color="auto" w:fill="FFFFFF"/>
          </w:rPr>
          <w:t>https://sustainablefoodtrust.org/our-work/true-cost-accounting/#implementing-true-cost-accounting</w:t>
        </w:r>
      </w:hyperlink>
      <w:r>
        <w:rPr>
          <w:rStyle w:val="Hyperlink"/>
          <w:rFonts w:ascii="Arial" w:hAnsi="Arial" w:cs="Arial"/>
          <w:bCs/>
          <w:iCs/>
          <w:spacing w:val="3"/>
          <w:sz w:val="22"/>
          <w:szCs w:val="22"/>
          <w:shd w:val="clear" w:color="auto" w:fill="FFFFFF"/>
        </w:rPr>
        <w:t>.</w:t>
      </w:r>
    </w:p>
    <w:p w14:paraId="13795BF1" w14:textId="77777777" w:rsidR="00585D05" w:rsidRDefault="00585D05" w:rsidP="00585D05">
      <w:pPr>
        <w:spacing w:line="240" w:lineRule="auto"/>
        <w:rPr>
          <w:rFonts w:eastAsia="Times New Roman"/>
          <w:color w:val="3A3A3A"/>
          <w:lang w:eastAsia="en-GB"/>
        </w:rPr>
      </w:pPr>
      <w:r>
        <w:rPr>
          <w:rFonts w:ascii="Arial" w:hAnsi="Arial" w:cs="Arial"/>
        </w:rPr>
        <w:t>Tinney, Glenda. ‘Early Years Education, Education for Sustainable Development and Global Citizenship and the Principles of Harmony</w:t>
      </w:r>
      <w:proofErr w:type="gramStart"/>
      <w:r>
        <w:rPr>
          <w:rFonts w:ascii="Arial" w:hAnsi="Arial" w:cs="Arial"/>
        </w:rPr>
        <w:t>’ ,</w:t>
      </w:r>
      <w:proofErr w:type="gramEnd"/>
      <w:r>
        <w:rPr>
          <w:rFonts w:ascii="Arial" w:hAnsi="Arial" w:cs="Arial"/>
        </w:rPr>
        <w:t xml:space="preserve"> in</w:t>
      </w:r>
      <w:r>
        <w:rPr>
          <w:rFonts w:ascii="Arial" w:hAnsi="Arial" w:cs="Arial"/>
          <w:kern w:val="36"/>
          <w:lang w:eastAsia="en-GB"/>
        </w:rPr>
        <w:t xml:space="preserve">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461–74. </w:t>
      </w:r>
    </w:p>
    <w:p w14:paraId="31C8EAE4" w14:textId="77777777" w:rsidR="00585D05" w:rsidRDefault="00585D05" w:rsidP="00585D05">
      <w:pPr>
        <w:shd w:val="clear" w:color="auto" w:fill="FFFFFF"/>
        <w:spacing w:line="240" w:lineRule="auto"/>
        <w:contextualSpacing/>
        <w:rPr>
          <w:rFonts w:ascii="Arial" w:eastAsia="Times New Roman" w:hAnsi="Arial" w:cs="Arial"/>
          <w:color w:val="3A3A3A"/>
          <w:lang w:eastAsia="en-GB"/>
        </w:rPr>
      </w:pPr>
      <w:r>
        <w:rPr>
          <w:rFonts w:ascii="Arial" w:eastAsia="Times New Roman" w:hAnsi="Arial" w:cs="Arial"/>
          <w:color w:val="3A3A3A"/>
          <w:lang w:eastAsia="en-GB"/>
        </w:rPr>
        <w:t xml:space="preserve">Wright, Julia (ed.), </w:t>
      </w:r>
      <w:r>
        <w:rPr>
          <w:rFonts w:ascii="Arial" w:eastAsia="Times New Roman" w:hAnsi="Arial" w:cs="Arial"/>
          <w:i/>
          <w:iCs/>
          <w:color w:val="3A3A3A"/>
          <w:lang w:eastAsia="en-GB"/>
        </w:rPr>
        <w:t xml:space="preserve">Subtle </w:t>
      </w:r>
      <w:proofErr w:type="spellStart"/>
      <w:r>
        <w:rPr>
          <w:rFonts w:ascii="Arial" w:eastAsia="Times New Roman" w:hAnsi="Arial" w:cs="Arial"/>
          <w:i/>
          <w:iCs/>
          <w:color w:val="3A3A3A"/>
          <w:lang w:eastAsia="en-GB"/>
        </w:rPr>
        <w:t>Agroecologies</w:t>
      </w:r>
      <w:proofErr w:type="spellEnd"/>
      <w:r>
        <w:rPr>
          <w:rFonts w:ascii="Arial" w:eastAsia="Times New Roman" w:hAnsi="Arial" w:cs="Arial"/>
          <w:i/>
          <w:iCs/>
          <w:color w:val="3A3A3A"/>
          <w:lang w:eastAsia="en-GB"/>
        </w:rPr>
        <w:t>: Farming with the Hidden Half of Nature</w:t>
      </w:r>
      <w:r>
        <w:rPr>
          <w:rFonts w:ascii="Arial" w:eastAsia="Times New Roman" w:hAnsi="Arial" w:cs="Arial"/>
          <w:color w:val="3A3A3A"/>
          <w:lang w:eastAsia="en-GB"/>
        </w:rPr>
        <w:t xml:space="preserve"> (London:  Taylor &amp; Francis, 2021), chapter 1.</w:t>
      </w:r>
    </w:p>
    <w:p w14:paraId="0317944A" w14:textId="77777777" w:rsidR="0035419F" w:rsidRDefault="0035419F"/>
    <w:sectPr w:rsidR="003541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EE2F8" w14:textId="77777777" w:rsidR="00585D05" w:rsidRDefault="00585D05" w:rsidP="00585D05">
      <w:pPr>
        <w:spacing w:after="0" w:line="240" w:lineRule="auto"/>
      </w:pPr>
      <w:r>
        <w:separator/>
      </w:r>
    </w:p>
  </w:endnote>
  <w:endnote w:type="continuationSeparator" w:id="0">
    <w:p w14:paraId="16302C68" w14:textId="77777777" w:rsidR="00585D05" w:rsidRDefault="00585D05" w:rsidP="00585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E93A8" w14:textId="77777777" w:rsidR="00585D05" w:rsidRDefault="00585D05" w:rsidP="00585D05">
      <w:pPr>
        <w:spacing w:after="0" w:line="240" w:lineRule="auto"/>
      </w:pPr>
      <w:r>
        <w:separator/>
      </w:r>
    </w:p>
  </w:footnote>
  <w:footnote w:type="continuationSeparator" w:id="0">
    <w:p w14:paraId="7D6315AC" w14:textId="77777777" w:rsidR="00585D05" w:rsidRDefault="00585D05" w:rsidP="00585D05">
      <w:pPr>
        <w:spacing w:after="0" w:line="240" w:lineRule="auto"/>
      </w:pPr>
      <w:r>
        <w:continuationSeparator/>
      </w:r>
    </w:p>
  </w:footnote>
  <w:footnote w:id="1">
    <w:p w14:paraId="03E80B77" w14:textId="77777777" w:rsidR="00585D05" w:rsidRDefault="00585D05" w:rsidP="00585D05">
      <w:pPr>
        <w:pStyle w:val="FootnoteText"/>
      </w:pPr>
      <w:r>
        <w:rPr>
          <w:rStyle w:val="FootnoteReference"/>
        </w:rPr>
        <w:footnoteRef/>
      </w:r>
      <w:r>
        <w:t xml:space="preserve"> The Sustainable Food Trust, https://sustainablefoodtrust.org/</w:t>
      </w:r>
    </w:p>
  </w:footnote>
  <w:footnote w:id="2">
    <w:p w14:paraId="780C9783" w14:textId="77777777" w:rsidR="00585D05" w:rsidRDefault="00585D05" w:rsidP="00585D05">
      <w:pPr>
        <w:pStyle w:val="FootnoteText"/>
      </w:pPr>
      <w:r>
        <w:rPr>
          <w:rStyle w:val="FootnoteReference"/>
        </w:rPr>
        <w:footnoteRef/>
      </w:r>
      <w:r>
        <w:t xml:space="preserve"> The Harmony Project, https://www.theharmonyproject.org.uk/</w:t>
      </w:r>
    </w:p>
  </w:footnote>
  <w:footnote w:id="3">
    <w:p w14:paraId="161D8124" w14:textId="77777777" w:rsidR="00585D05" w:rsidRDefault="00585D05" w:rsidP="00585D05">
      <w:pPr>
        <w:pStyle w:val="FootnoteText"/>
      </w:pPr>
      <w:r>
        <w:rPr>
          <w:rStyle w:val="FootnoteReference"/>
        </w:rPr>
        <w:footnoteRef/>
      </w:r>
      <w:r>
        <w:t xml:space="preserve"> The Soil Association, https://www.soilassociation.org/who-we-are/our-strategy/</w:t>
      </w:r>
    </w:p>
  </w:footnote>
  <w:footnote w:id="4">
    <w:p w14:paraId="04F001FF" w14:textId="77777777" w:rsidR="00585D05" w:rsidRDefault="00585D05" w:rsidP="00585D05">
      <w:pPr>
        <w:pStyle w:val="FootnoteText"/>
      </w:pPr>
      <w:r>
        <w:rPr>
          <w:rStyle w:val="FootnoteReference"/>
        </w:rPr>
        <w:footnoteRef/>
      </w:r>
      <w:r>
        <w:t xml:space="preserve"> The Sustainable Food Trust, https://sustainablefoodtrust.org</w:t>
      </w:r>
    </w:p>
  </w:footnote>
  <w:footnote w:id="5">
    <w:p w14:paraId="068944CB" w14:textId="77777777" w:rsidR="00585D05" w:rsidRDefault="00585D05" w:rsidP="00585D05">
      <w:pPr>
        <w:spacing w:line="240" w:lineRule="auto"/>
      </w:pPr>
      <w:r>
        <w:rPr>
          <w:rStyle w:val="FootnoteReference"/>
        </w:rPr>
        <w:footnoteRef/>
      </w:r>
      <w:r>
        <w:t xml:space="preserve"> Bicer, Ali, Scott Chamberlin and Celal Perihan, ‘A Meta</w:t>
      </w:r>
      <w:r>
        <w:rPr>
          <w:rFonts w:ascii="Cambria Math" w:hAnsi="Cambria Math" w:cs="Cambria Math"/>
        </w:rPr>
        <w:t>‐</w:t>
      </w:r>
      <w:r>
        <w:t xml:space="preserve">Analysis of the Relationship between Mathematics Achievement and Creativity’, The Journal of Creative </w:t>
      </w:r>
      <w:proofErr w:type="spellStart"/>
      <w:r>
        <w:t>Behavior</w:t>
      </w:r>
      <w:proofErr w:type="spellEnd"/>
      <w:r>
        <w:t>, Vol 55 no 1, October 2020. SEE RESEARCH GATE</w:t>
      </w:r>
    </w:p>
    <w:p w14:paraId="5B20D937" w14:textId="77777777" w:rsidR="00585D05" w:rsidRDefault="00585D05" w:rsidP="00585D0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457EB"/>
    <w:multiLevelType w:val="hybridMultilevel"/>
    <w:tmpl w:val="2F6462B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0854808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D05"/>
    <w:rsid w:val="000C3E24"/>
    <w:rsid w:val="001859C5"/>
    <w:rsid w:val="0035419F"/>
    <w:rsid w:val="00585D05"/>
    <w:rsid w:val="008E6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2AD61"/>
  <w15:chartTrackingRefBased/>
  <w15:docId w15:val="{1AB78D94-2FD2-4FDA-9C6A-9EFE9FA81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D05"/>
    <w:pPr>
      <w:spacing w:line="254" w:lineRule="auto"/>
    </w:pPr>
  </w:style>
  <w:style w:type="paragraph" w:styleId="Heading1">
    <w:name w:val="heading 1"/>
    <w:basedOn w:val="Normal"/>
    <w:next w:val="Normal"/>
    <w:link w:val="Heading1Char"/>
    <w:uiPriority w:val="9"/>
    <w:qFormat/>
    <w:rsid w:val="00585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D05"/>
    <w:rPr>
      <w:rFonts w:eastAsiaTheme="majorEastAsia" w:cstheme="majorBidi"/>
      <w:color w:val="272727" w:themeColor="text1" w:themeTint="D8"/>
    </w:rPr>
  </w:style>
  <w:style w:type="paragraph" w:styleId="Title">
    <w:name w:val="Title"/>
    <w:basedOn w:val="Normal"/>
    <w:next w:val="Normal"/>
    <w:link w:val="TitleChar"/>
    <w:uiPriority w:val="10"/>
    <w:qFormat/>
    <w:rsid w:val="00585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D05"/>
    <w:pPr>
      <w:spacing w:before="160"/>
      <w:jc w:val="center"/>
    </w:pPr>
    <w:rPr>
      <w:i/>
      <w:iCs/>
      <w:color w:val="404040" w:themeColor="text1" w:themeTint="BF"/>
    </w:rPr>
  </w:style>
  <w:style w:type="character" w:customStyle="1" w:styleId="QuoteChar">
    <w:name w:val="Quote Char"/>
    <w:basedOn w:val="DefaultParagraphFont"/>
    <w:link w:val="Quote"/>
    <w:uiPriority w:val="29"/>
    <w:rsid w:val="00585D05"/>
    <w:rPr>
      <w:i/>
      <w:iCs/>
      <w:color w:val="404040" w:themeColor="text1" w:themeTint="BF"/>
    </w:rPr>
  </w:style>
  <w:style w:type="paragraph" w:styleId="ListParagraph">
    <w:name w:val="List Paragraph"/>
    <w:basedOn w:val="Normal"/>
    <w:uiPriority w:val="34"/>
    <w:qFormat/>
    <w:rsid w:val="00585D05"/>
    <w:pPr>
      <w:ind w:left="720"/>
      <w:contextualSpacing/>
    </w:pPr>
  </w:style>
  <w:style w:type="character" w:styleId="IntenseEmphasis">
    <w:name w:val="Intense Emphasis"/>
    <w:basedOn w:val="DefaultParagraphFont"/>
    <w:uiPriority w:val="21"/>
    <w:qFormat/>
    <w:rsid w:val="00585D05"/>
    <w:rPr>
      <w:i/>
      <w:iCs/>
      <w:color w:val="0F4761" w:themeColor="accent1" w:themeShade="BF"/>
    </w:rPr>
  </w:style>
  <w:style w:type="paragraph" w:styleId="IntenseQuote">
    <w:name w:val="Intense Quote"/>
    <w:basedOn w:val="Normal"/>
    <w:next w:val="Normal"/>
    <w:link w:val="IntenseQuoteChar"/>
    <w:uiPriority w:val="30"/>
    <w:qFormat/>
    <w:rsid w:val="00585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D05"/>
    <w:rPr>
      <w:i/>
      <w:iCs/>
      <w:color w:val="0F4761" w:themeColor="accent1" w:themeShade="BF"/>
    </w:rPr>
  </w:style>
  <w:style w:type="character" w:styleId="IntenseReference">
    <w:name w:val="Intense Reference"/>
    <w:basedOn w:val="DefaultParagraphFont"/>
    <w:uiPriority w:val="32"/>
    <w:qFormat/>
    <w:rsid w:val="00585D05"/>
    <w:rPr>
      <w:b/>
      <w:bCs/>
      <w:smallCaps/>
      <w:color w:val="0F4761" w:themeColor="accent1" w:themeShade="BF"/>
      <w:spacing w:val="5"/>
    </w:rPr>
  </w:style>
  <w:style w:type="character" w:styleId="Hyperlink">
    <w:name w:val="Hyperlink"/>
    <w:basedOn w:val="DefaultParagraphFont"/>
    <w:uiPriority w:val="99"/>
    <w:semiHidden/>
    <w:unhideWhenUsed/>
    <w:rsid w:val="00585D05"/>
    <w:rPr>
      <w:color w:val="467886" w:themeColor="hyperlink"/>
      <w:u w:val="single"/>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semiHidden/>
    <w:locked/>
    <w:rsid w:val="00585D05"/>
    <w:rPr>
      <w:kern w:val="0"/>
      <w:sz w:val="20"/>
      <w:szCs w:val="20"/>
      <w14:ligatures w14:val="none"/>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semiHidden/>
    <w:unhideWhenUsed/>
    <w:rsid w:val="00585D05"/>
    <w:pPr>
      <w:spacing w:after="0" w:line="240" w:lineRule="auto"/>
    </w:pPr>
    <w:rPr>
      <w:kern w:val="0"/>
      <w:sz w:val="20"/>
      <w:szCs w:val="20"/>
      <w14:ligatures w14:val="none"/>
    </w:rPr>
  </w:style>
  <w:style w:type="character" w:customStyle="1" w:styleId="FootnoteTextChar1">
    <w:name w:val="Footnote Text Char1"/>
    <w:basedOn w:val="DefaultParagraphFont"/>
    <w:uiPriority w:val="99"/>
    <w:semiHidden/>
    <w:rsid w:val="00585D05"/>
    <w:rPr>
      <w:sz w:val="20"/>
      <w:szCs w:val="20"/>
    </w:rPr>
  </w:style>
  <w:style w:type="character" w:styleId="FootnoteReference">
    <w:name w:val="footnote reference"/>
    <w:basedOn w:val="DefaultParagraphFont"/>
    <w:uiPriority w:val="99"/>
    <w:semiHidden/>
    <w:unhideWhenUsed/>
    <w:qFormat/>
    <w:rsid w:val="00585D05"/>
    <w:rPr>
      <w:vertAlign w:val="superscript"/>
    </w:rPr>
  </w:style>
  <w:style w:type="character" w:customStyle="1" w:styleId="product-banner-author-name">
    <w:name w:val="product-banner-author-name"/>
    <w:basedOn w:val="DefaultParagraphFont"/>
    <w:rsid w:val="00585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881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1688</Words>
  <Characters>9626</Characters>
  <Application>Microsoft Office Word</Application>
  <DocSecurity>0</DocSecurity>
  <Lines>80</Lines>
  <Paragraphs>22</Paragraphs>
  <ScaleCrop>false</ScaleCrop>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Campion</dc:creator>
  <cp:keywords/>
  <dc:description/>
  <cp:lastModifiedBy>Nicholas Campion</cp:lastModifiedBy>
  <cp:revision>1</cp:revision>
  <dcterms:created xsi:type="dcterms:W3CDTF">2024-03-07T14:33:00Z</dcterms:created>
  <dcterms:modified xsi:type="dcterms:W3CDTF">2024-03-07T14:33:00Z</dcterms:modified>
</cp:coreProperties>
</file>