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3C8ACA" w14:textId="77777777" w:rsidR="00F91D35" w:rsidRDefault="00F91D35" w:rsidP="00F91D35">
      <w:pPr>
        <w:spacing w:line="360" w:lineRule="auto"/>
      </w:pPr>
      <w:r>
        <w:rPr>
          <w:noProof/>
          <w:lang w:val="en-US"/>
        </w:rPr>
        <w:drawing>
          <wp:inline distT="0" distB="0" distL="0" distR="0" wp14:anchorId="276968FF" wp14:editId="11EDD5DB">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08A53383" w14:textId="77777777" w:rsidR="00F91D35" w:rsidRDefault="00F91D35" w:rsidP="00F91D35">
      <w:pPr>
        <w:spacing w:line="360" w:lineRule="auto"/>
        <w:rPr>
          <w:rStyle w:val="Strong"/>
          <w:rFonts w:ascii="Segoe UI" w:hAnsi="Segoe UI" w:cs="Segoe UI"/>
          <w:color w:val="1D2125"/>
        </w:rPr>
      </w:pPr>
    </w:p>
    <w:p w14:paraId="44B5F10C" w14:textId="77777777" w:rsidR="00F91D35" w:rsidRDefault="00F91D35" w:rsidP="00F91D35">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12ED25A4" w14:textId="77777777" w:rsidR="00F91D35" w:rsidRDefault="00F91D35" w:rsidP="00F91D3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2EC9B49C" w14:textId="77777777" w:rsidR="00F91D35" w:rsidRDefault="00F91D35" w:rsidP="00F91D35">
      <w:pPr>
        <w:spacing w:line="360" w:lineRule="auto"/>
        <w:jc w:val="center"/>
        <w:rPr>
          <w:rStyle w:val="Strong"/>
          <w:rFonts w:ascii="Arial" w:hAnsi="Arial" w:cs="Arial"/>
          <w:color w:val="1D2125"/>
          <w:sz w:val="36"/>
          <w:szCs w:val="36"/>
        </w:rPr>
      </w:pPr>
    </w:p>
    <w:p w14:paraId="0B2288B6" w14:textId="77777777" w:rsidR="00F91D35" w:rsidRDefault="00F91D35" w:rsidP="00F91D35">
      <w:pPr>
        <w:spacing w:line="360" w:lineRule="auto"/>
        <w:jc w:val="center"/>
        <w:rPr>
          <w:rStyle w:val="Strong"/>
          <w:rFonts w:ascii="Arial" w:hAnsi="Arial" w:cs="Arial"/>
          <w:color w:val="1D2125"/>
          <w:sz w:val="36"/>
          <w:szCs w:val="36"/>
        </w:rPr>
      </w:pPr>
    </w:p>
    <w:p w14:paraId="46E35EE5" w14:textId="77777777" w:rsidR="00F91D35" w:rsidRDefault="00F91D35" w:rsidP="00F91D3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1BBC5A8D" w14:textId="77777777" w:rsidR="00F91D35" w:rsidRDefault="00F91D35" w:rsidP="00F91D35">
      <w:pPr>
        <w:spacing w:line="360" w:lineRule="auto"/>
        <w:rPr>
          <w:rStyle w:val="Strong"/>
          <w:rFonts w:ascii="Arial" w:hAnsi="Arial" w:cs="Arial"/>
          <w:color w:val="1D2125"/>
          <w:sz w:val="32"/>
          <w:szCs w:val="32"/>
        </w:rPr>
      </w:pPr>
    </w:p>
    <w:p w14:paraId="23EA8128" w14:textId="06B6226D" w:rsidR="00F91D35" w:rsidRDefault="00F91D35" w:rsidP="00F91D3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A632AF">
        <w:rPr>
          <w:rStyle w:val="Strong"/>
          <w:rFonts w:ascii="Arial" w:hAnsi="Arial" w:cs="Arial"/>
          <w:color w:val="1D2125"/>
          <w:sz w:val="32"/>
          <w:szCs w:val="32"/>
        </w:rPr>
        <w:t xml:space="preserve"> Mohammed Jahangir </w:t>
      </w:r>
      <w:proofErr w:type="spellStart"/>
      <w:r w:rsidR="00A632AF">
        <w:rPr>
          <w:rStyle w:val="Strong"/>
          <w:rFonts w:ascii="Arial" w:hAnsi="Arial" w:cs="Arial"/>
          <w:color w:val="1D2125"/>
          <w:sz w:val="32"/>
          <w:szCs w:val="32"/>
        </w:rPr>
        <w:t>Alam</w:t>
      </w:r>
      <w:proofErr w:type="spellEnd"/>
      <w:r w:rsidR="00A632AF">
        <w:rPr>
          <w:rStyle w:val="Strong"/>
          <w:rFonts w:ascii="Arial" w:hAnsi="Arial" w:cs="Arial"/>
          <w:color w:val="1D2125"/>
          <w:sz w:val="32"/>
          <w:szCs w:val="32"/>
        </w:rPr>
        <w:t xml:space="preserve"> </w:t>
      </w:r>
    </w:p>
    <w:p w14:paraId="76699C44" w14:textId="670922DC" w:rsidR="00F91D35" w:rsidRDefault="00F91D35" w:rsidP="00F91D3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A632AF">
        <w:rPr>
          <w:rStyle w:val="Strong"/>
          <w:rFonts w:ascii="Arial" w:hAnsi="Arial" w:cs="Arial"/>
          <w:color w:val="1D2125"/>
          <w:sz w:val="32"/>
          <w:szCs w:val="32"/>
        </w:rPr>
        <w:t>2430566</w:t>
      </w:r>
    </w:p>
    <w:p w14:paraId="4C9CDA82" w14:textId="695FD904" w:rsidR="00F91D35" w:rsidRDefault="00F91D35" w:rsidP="00F91D3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A632AF">
        <w:rPr>
          <w:rStyle w:val="Strong"/>
          <w:rFonts w:ascii="Arial" w:hAnsi="Arial" w:cs="Arial"/>
          <w:color w:val="1D2125"/>
          <w:sz w:val="32"/>
          <w:szCs w:val="32"/>
        </w:rPr>
        <w:t xml:space="preserve"> Soban Sadiq and Brian Mashumba</w:t>
      </w:r>
    </w:p>
    <w:p w14:paraId="3877862B" w14:textId="77777777" w:rsidR="00F91D35" w:rsidRDefault="00F91D35" w:rsidP="00F91D35">
      <w:pPr>
        <w:spacing w:line="360" w:lineRule="auto"/>
        <w:rPr>
          <w:sz w:val="36"/>
          <w:szCs w:val="36"/>
        </w:rPr>
      </w:pPr>
    </w:p>
    <w:p w14:paraId="5C62EA66" w14:textId="77777777" w:rsidR="00D80A87" w:rsidRDefault="00A632AF"/>
    <w:p w14:paraId="59C72F88" w14:textId="77777777" w:rsidR="00F91D35" w:rsidRDefault="00F91D35"/>
    <w:p w14:paraId="49776480" w14:textId="77777777" w:rsidR="00F91D35" w:rsidRDefault="00F91D35"/>
    <w:p w14:paraId="04575227" w14:textId="77777777" w:rsidR="00F91D35" w:rsidRDefault="00F91D35"/>
    <w:p w14:paraId="24F758DE" w14:textId="77777777" w:rsidR="00F91D35" w:rsidRDefault="00F91D35"/>
    <w:sdt>
      <w:sdtPr>
        <w:rPr>
          <w:rFonts w:asciiTheme="minorHAnsi" w:eastAsiaTheme="minorEastAsia" w:hAnsiTheme="minorHAnsi" w:cs="Times New Roman"/>
          <w:color w:val="auto"/>
          <w:kern w:val="2"/>
          <w:sz w:val="22"/>
          <w:szCs w:val="22"/>
          <w:lang w:val="en-GB"/>
        </w:rPr>
        <w:id w:val="-562098911"/>
        <w:docPartObj>
          <w:docPartGallery w:val="Table of Contents"/>
          <w:docPartUnique/>
        </w:docPartObj>
      </w:sdtPr>
      <w:sdtEndPr>
        <w:rPr>
          <w:rFonts w:ascii="Aptos" w:eastAsia="Aptos" w:hAnsi="Aptos"/>
          <w:sz w:val="24"/>
          <w:szCs w:val="24"/>
        </w:rPr>
      </w:sdtEndPr>
      <w:sdtContent>
        <w:p w14:paraId="4019070D" w14:textId="77777777" w:rsidR="00065727" w:rsidRDefault="00065727" w:rsidP="00065727">
          <w:pPr>
            <w:pStyle w:val="TOCHeading"/>
            <w:jc w:val="center"/>
            <w:rPr>
              <w:b/>
            </w:rPr>
          </w:pPr>
          <w:r w:rsidRPr="00065727">
            <w:rPr>
              <w:b/>
            </w:rPr>
            <w:t>Table of Contents</w:t>
          </w:r>
        </w:p>
        <w:p w14:paraId="1B3065BA" w14:textId="77777777" w:rsidR="004A474D" w:rsidRPr="004A474D" w:rsidRDefault="004A474D" w:rsidP="004A474D">
          <w:pPr>
            <w:rPr>
              <w:lang w:val="en-US"/>
            </w:rPr>
          </w:pPr>
        </w:p>
        <w:p w14:paraId="2ABB488B" w14:textId="77777777" w:rsidR="00065727" w:rsidRPr="00B302DB" w:rsidRDefault="00B376D7" w:rsidP="008C17EB">
          <w:pPr>
            <w:pStyle w:val="TOC1"/>
            <w:spacing w:line="360" w:lineRule="auto"/>
            <w:rPr>
              <w:rFonts w:ascii="Times New Roman" w:hAnsi="Times New Roman"/>
              <w:sz w:val="24"/>
              <w:szCs w:val="24"/>
            </w:rPr>
          </w:pPr>
          <w:r w:rsidRPr="00B302DB">
            <w:rPr>
              <w:rFonts w:ascii="Times New Roman" w:hAnsi="Times New Roman"/>
              <w:bCs/>
              <w:sz w:val="24"/>
              <w:szCs w:val="24"/>
            </w:rPr>
            <w:t>Introduction</w:t>
          </w:r>
          <w:r w:rsidR="00065727" w:rsidRPr="00B302DB">
            <w:rPr>
              <w:rFonts w:ascii="Times New Roman" w:hAnsi="Times New Roman"/>
              <w:sz w:val="24"/>
              <w:szCs w:val="24"/>
            </w:rPr>
            <w:ptab w:relativeTo="margin" w:alignment="right" w:leader="dot"/>
          </w:r>
          <w:r w:rsidRPr="00B302DB">
            <w:rPr>
              <w:rFonts w:ascii="Times New Roman" w:hAnsi="Times New Roman"/>
              <w:bCs/>
              <w:sz w:val="24"/>
              <w:szCs w:val="24"/>
            </w:rPr>
            <w:t>3</w:t>
          </w:r>
        </w:p>
        <w:p w14:paraId="6DDACA45" w14:textId="77777777" w:rsidR="00065727" w:rsidRPr="00B302DB" w:rsidRDefault="00B376D7" w:rsidP="008C17EB">
          <w:pPr>
            <w:pStyle w:val="TOC2"/>
            <w:spacing w:line="360" w:lineRule="auto"/>
            <w:ind w:left="0"/>
            <w:rPr>
              <w:rFonts w:ascii="Times New Roman" w:hAnsi="Times New Roman"/>
              <w:sz w:val="24"/>
              <w:szCs w:val="24"/>
            </w:rPr>
          </w:pPr>
          <w:r w:rsidRPr="00B302DB">
            <w:rPr>
              <w:rFonts w:ascii="Times New Roman" w:hAnsi="Times New Roman"/>
              <w:sz w:val="24"/>
              <w:szCs w:val="24"/>
            </w:rPr>
            <w:t xml:space="preserve">Task 1: </w:t>
          </w:r>
          <w:r w:rsidR="00065727" w:rsidRPr="00B302DB">
            <w:rPr>
              <w:rFonts w:ascii="Times New Roman" w:hAnsi="Times New Roman"/>
              <w:sz w:val="24"/>
              <w:szCs w:val="24"/>
            </w:rPr>
            <w:ptab w:relativeTo="margin" w:alignment="right" w:leader="dot"/>
          </w:r>
          <w:r w:rsidR="00B302DB" w:rsidRPr="00B302DB">
            <w:rPr>
              <w:rFonts w:ascii="Times New Roman" w:hAnsi="Times New Roman"/>
              <w:sz w:val="24"/>
              <w:szCs w:val="24"/>
            </w:rPr>
            <w:t>3</w:t>
          </w:r>
        </w:p>
        <w:p w14:paraId="7D8EA7BB" w14:textId="77777777" w:rsidR="00065727" w:rsidRPr="00B302DB" w:rsidRDefault="00B302DB" w:rsidP="008C17EB">
          <w:pPr>
            <w:pStyle w:val="TOC3"/>
            <w:spacing w:line="360" w:lineRule="auto"/>
            <w:ind w:left="0"/>
            <w:rPr>
              <w:rFonts w:ascii="Times New Roman" w:hAnsi="Times New Roman"/>
              <w:sz w:val="24"/>
              <w:szCs w:val="24"/>
            </w:rPr>
          </w:pPr>
          <w:r w:rsidRPr="00B302DB">
            <w:rPr>
              <w:rFonts w:ascii="Times New Roman" w:hAnsi="Times New Roman"/>
              <w:sz w:val="24"/>
              <w:szCs w:val="24"/>
            </w:rPr>
            <w:t xml:space="preserve">Task 2: </w:t>
          </w:r>
          <w:r w:rsidR="00065727" w:rsidRPr="00B302DB">
            <w:rPr>
              <w:rFonts w:ascii="Times New Roman" w:hAnsi="Times New Roman"/>
              <w:sz w:val="24"/>
              <w:szCs w:val="24"/>
            </w:rPr>
            <w:ptab w:relativeTo="margin" w:alignment="right" w:leader="dot"/>
          </w:r>
          <w:r w:rsidR="0069090B">
            <w:rPr>
              <w:rFonts w:ascii="Times New Roman" w:hAnsi="Times New Roman"/>
              <w:sz w:val="24"/>
              <w:szCs w:val="24"/>
            </w:rPr>
            <w:t>4</w:t>
          </w:r>
        </w:p>
        <w:p w14:paraId="64C5BC13" w14:textId="77777777" w:rsidR="00065727" w:rsidRPr="00B302DB" w:rsidRDefault="00B302DB" w:rsidP="008C17EB">
          <w:pPr>
            <w:pStyle w:val="TOC1"/>
            <w:spacing w:line="360" w:lineRule="auto"/>
            <w:rPr>
              <w:rFonts w:ascii="Times New Roman" w:hAnsi="Times New Roman"/>
              <w:sz w:val="24"/>
              <w:szCs w:val="24"/>
            </w:rPr>
          </w:pPr>
          <w:r w:rsidRPr="00B302DB">
            <w:rPr>
              <w:rFonts w:ascii="Times New Roman" w:hAnsi="Times New Roman"/>
              <w:bCs/>
              <w:sz w:val="24"/>
              <w:szCs w:val="24"/>
            </w:rPr>
            <w:t>Task 3</w:t>
          </w:r>
          <w:r w:rsidR="00065727" w:rsidRPr="00B302DB">
            <w:rPr>
              <w:rFonts w:ascii="Times New Roman" w:hAnsi="Times New Roman"/>
              <w:sz w:val="24"/>
              <w:szCs w:val="24"/>
            </w:rPr>
            <w:ptab w:relativeTo="margin" w:alignment="right" w:leader="dot"/>
          </w:r>
          <w:r w:rsidR="0069090B">
            <w:rPr>
              <w:rFonts w:ascii="Times New Roman" w:hAnsi="Times New Roman"/>
              <w:bCs/>
              <w:sz w:val="24"/>
              <w:szCs w:val="24"/>
            </w:rPr>
            <w:t>5</w:t>
          </w:r>
        </w:p>
        <w:p w14:paraId="10CD0A95" w14:textId="77777777" w:rsidR="00065727" w:rsidRPr="00B302DB" w:rsidRDefault="00B302DB" w:rsidP="008C17EB">
          <w:pPr>
            <w:pStyle w:val="TOC2"/>
            <w:spacing w:line="360" w:lineRule="auto"/>
            <w:ind w:left="0"/>
            <w:rPr>
              <w:rFonts w:ascii="Times New Roman" w:hAnsi="Times New Roman"/>
              <w:sz w:val="24"/>
              <w:szCs w:val="24"/>
            </w:rPr>
          </w:pPr>
          <w:r w:rsidRPr="00B302DB">
            <w:rPr>
              <w:rFonts w:ascii="Times New Roman" w:hAnsi="Times New Roman"/>
              <w:sz w:val="24"/>
              <w:szCs w:val="24"/>
            </w:rPr>
            <w:t>Task 4</w:t>
          </w:r>
          <w:r w:rsidR="00065727" w:rsidRPr="00B302DB">
            <w:rPr>
              <w:rFonts w:ascii="Times New Roman" w:hAnsi="Times New Roman"/>
              <w:sz w:val="24"/>
              <w:szCs w:val="24"/>
            </w:rPr>
            <w:ptab w:relativeTo="margin" w:alignment="right" w:leader="dot"/>
          </w:r>
          <w:r w:rsidR="0069090B">
            <w:rPr>
              <w:rFonts w:ascii="Times New Roman" w:hAnsi="Times New Roman"/>
              <w:sz w:val="24"/>
              <w:szCs w:val="24"/>
            </w:rPr>
            <w:t>6</w:t>
          </w:r>
        </w:p>
        <w:p w14:paraId="251BBC44" w14:textId="77777777" w:rsidR="00B302DB" w:rsidRPr="00B302DB" w:rsidRDefault="00B302DB" w:rsidP="008C17EB">
          <w:pPr>
            <w:pStyle w:val="TOC3"/>
            <w:spacing w:line="360" w:lineRule="auto"/>
            <w:ind w:left="0"/>
            <w:rPr>
              <w:rFonts w:ascii="Times New Roman" w:hAnsi="Times New Roman"/>
              <w:sz w:val="24"/>
              <w:szCs w:val="24"/>
            </w:rPr>
          </w:pPr>
          <w:r w:rsidRPr="00B302DB">
            <w:rPr>
              <w:rFonts w:ascii="Times New Roman" w:hAnsi="Times New Roman"/>
              <w:sz w:val="24"/>
              <w:szCs w:val="24"/>
            </w:rPr>
            <w:t>Task 5</w:t>
          </w:r>
          <w:r w:rsidR="00065727" w:rsidRPr="00B302DB">
            <w:rPr>
              <w:rFonts w:ascii="Times New Roman" w:hAnsi="Times New Roman"/>
              <w:sz w:val="24"/>
              <w:szCs w:val="24"/>
            </w:rPr>
            <w:ptab w:relativeTo="margin" w:alignment="right" w:leader="dot"/>
          </w:r>
          <w:r w:rsidR="00C76578">
            <w:rPr>
              <w:rFonts w:ascii="Times New Roman" w:hAnsi="Times New Roman"/>
              <w:sz w:val="24"/>
              <w:szCs w:val="24"/>
            </w:rPr>
            <w:t>8</w:t>
          </w:r>
        </w:p>
        <w:p w14:paraId="341230C8" w14:textId="77777777" w:rsidR="00B302DB" w:rsidRPr="00B302DB" w:rsidRDefault="00B302DB" w:rsidP="008C17EB">
          <w:pPr>
            <w:pStyle w:val="TOC2"/>
            <w:spacing w:line="360" w:lineRule="auto"/>
            <w:ind w:left="0"/>
            <w:rPr>
              <w:rFonts w:ascii="Times New Roman" w:hAnsi="Times New Roman"/>
              <w:sz w:val="24"/>
              <w:szCs w:val="24"/>
            </w:rPr>
          </w:pPr>
          <w:r w:rsidRPr="00B302DB">
            <w:rPr>
              <w:rFonts w:ascii="Times New Roman" w:hAnsi="Times New Roman"/>
              <w:sz w:val="24"/>
              <w:szCs w:val="24"/>
            </w:rPr>
            <w:t>Task 6</w:t>
          </w:r>
          <w:r w:rsidRPr="00B302DB">
            <w:rPr>
              <w:rFonts w:ascii="Times New Roman" w:hAnsi="Times New Roman"/>
              <w:sz w:val="24"/>
              <w:szCs w:val="24"/>
            </w:rPr>
            <w:ptab w:relativeTo="margin" w:alignment="right" w:leader="dot"/>
          </w:r>
          <w:r w:rsidR="00C76578">
            <w:rPr>
              <w:rFonts w:ascii="Times New Roman" w:hAnsi="Times New Roman"/>
              <w:sz w:val="24"/>
              <w:szCs w:val="24"/>
            </w:rPr>
            <w:t>9</w:t>
          </w:r>
        </w:p>
        <w:p w14:paraId="38E62559" w14:textId="77777777" w:rsidR="00B302DB" w:rsidRPr="00B302DB" w:rsidRDefault="00B302DB" w:rsidP="008C17EB">
          <w:pPr>
            <w:spacing w:line="360" w:lineRule="auto"/>
            <w:rPr>
              <w:rFonts w:ascii="Times New Roman" w:hAnsi="Times New Roman"/>
            </w:rPr>
          </w:pPr>
          <w:r w:rsidRPr="00B302DB">
            <w:rPr>
              <w:rFonts w:ascii="Times New Roman" w:hAnsi="Times New Roman"/>
            </w:rPr>
            <w:t>Task 7</w:t>
          </w:r>
          <w:r w:rsidRPr="00B302DB">
            <w:rPr>
              <w:rFonts w:ascii="Times New Roman" w:hAnsi="Times New Roman"/>
            </w:rPr>
            <w:ptab w:relativeTo="margin" w:alignment="right" w:leader="dot"/>
          </w:r>
          <w:r w:rsidR="00C76578">
            <w:rPr>
              <w:rFonts w:ascii="Times New Roman" w:hAnsi="Times New Roman"/>
            </w:rPr>
            <w:t>10</w:t>
          </w:r>
        </w:p>
        <w:p w14:paraId="7033A61D" w14:textId="77777777" w:rsidR="00B302DB" w:rsidRPr="00B302DB" w:rsidRDefault="00B302DB" w:rsidP="008C17EB">
          <w:pPr>
            <w:pStyle w:val="TOC2"/>
            <w:spacing w:line="360" w:lineRule="auto"/>
            <w:ind w:left="0"/>
            <w:rPr>
              <w:rFonts w:ascii="Times New Roman" w:hAnsi="Times New Roman"/>
              <w:sz w:val="24"/>
              <w:szCs w:val="24"/>
            </w:rPr>
          </w:pPr>
          <w:r w:rsidRPr="00B302DB">
            <w:rPr>
              <w:rFonts w:ascii="Times New Roman" w:hAnsi="Times New Roman"/>
              <w:sz w:val="24"/>
              <w:szCs w:val="24"/>
            </w:rPr>
            <w:t>Task 8</w:t>
          </w:r>
          <w:r w:rsidRPr="00B302DB">
            <w:rPr>
              <w:rFonts w:ascii="Times New Roman" w:hAnsi="Times New Roman"/>
              <w:sz w:val="24"/>
              <w:szCs w:val="24"/>
            </w:rPr>
            <w:ptab w:relativeTo="margin" w:alignment="right" w:leader="dot"/>
          </w:r>
          <w:r w:rsidR="008C17EB">
            <w:rPr>
              <w:rFonts w:ascii="Times New Roman" w:hAnsi="Times New Roman"/>
              <w:sz w:val="24"/>
              <w:szCs w:val="24"/>
            </w:rPr>
            <w:t>1</w:t>
          </w:r>
          <w:r w:rsidR="00C76578">
            <w:rPr>
              <w:rFonts w:ascii="Times New Roman" w:hAnsi="Times New Roman"/>
              <w:sz w:val="24"/>
              <w:szCs w:val="24"/>
            </w:rPr>
            <w:t>0</w:t>
          </w:r>
        </w:p>
        <w:p w14:paraId="08789E20" w14:textId="77777777" w:rsidR="00B302DB" w:rsidRPr="00B302DB" w:rsidRDefault="00B302DB" w:rsidP="008C17EB">
          <w:pPr>
            <w:spacing w:line="360" w:lineRule="auto"/>
            <w:rPr>
              <w:rFonts w:ascii="Times New Roman" w:hAnsi="Times New Roman"/>
            </w:rPr>
          </w:pPr>
          <w:r w:rsidRPr="00B302DB">
            <w:rPr>
              <w:rFonts w:ascii="Times New Roman" w:hAnsi="Times New Roman"/>
            </w:rPr>
            <w:t xml:space="preserve">Conclusion </w:t>
          </w:r>
          <w:r w:rsidRPr="00B302DB">
            <w:rPr>
              <w:rFonts w:ascii="Times New Roman" w:hAnsi="Times New Roman"/>
            </w:rPr>
            <w:ptab w:relativeTo="margin" w:alignment="right" w:leader="dot"/>
          </w:r>
          <w:r w:rsidR="008C17EB">
            <w:rPr>
              <w:rFonts w:ascii="Times New Roman" w:hAnsi="Times New Roman"/>
            </w:rPr>
            <w:t>1</w:t>
          </w:r>
          <w:r w:rsidR="00C76578">
            <w:rPr>
              <w:rFonts w:ascii="Times New Roman" w:hAnsi="Times New Roman"/>
            </w:rPr>
            <w:t>1</w:t>
          </w:r>
        </w:p>
        <w:p w14:paraId="1656E135" w14:textId="77777777" w:rsidR="00B302DB" w:rsidRPr="00B302DB" w:rsidRDefault="00B302DB" w:rsidP="008C17EB">
          <w:pPr>
            <w:pStyle w:val="TOC2"/>
            <w:spacing w:line="360" w:lineRule="auto"/>
            <w:ind w:left="0"/>
            <w:rPr>
              <w:rFonts w:ascii="Times New Roman" w:hAnsi="Times New Roman"/>
              <w:sz w:val="24"/>
              <w:szCs w:val="24"/>
            </w:rPr>
          </w:pPr>
          <w:r w:rsidRPr="00B302DB">
            <w:rPr>
              <w:rFonts w:ascii="Times New Roman" w:hAnsi="Times New Roman"/>
              <w:sz w:val="24"/>
              <w:szCs w:val="24"/>
            </w:rPr>
            <w:t xml:space="preserve">References </w:t>
          </w:r>
          <w:r w:rsidRPr="00B302DB">
            <w:rPr>
              <w:rFonts w:ascii="Times New Roman" w:hAnsi="Times New Roman"/>
              <w:sz w:val="24"/>
              <w:szCs w:val="24"/>
            </w:rPr>
            <w:ptab w:relativeTo="margin" w:alignment="right" w:leader="dot"/>
          </w:r>
          <w:r w:rsidR="008C17EB">
            <w:rPr>
              <w:rFonts w:ascii="Times New Roman" w:hAnsi="Times New Roman"/>
              <w:sz w:val="24"/>
              <w:szCs w:val="24"/>
            </w:rPr>
            <w:t>1</w:t>
          </w:r>
          <w:r w:rsidR="00C76578">
            <w:rPr>
              <w:rFonts w:ascii="Times New Roman" w:hAnsi="Times New Roman"/>
              <w:sz w:val="24"/>
              <w:szCs w:val="24"/>
            </w:rPr>
            <w:t>2</w:t>
          </w:r>
        </w:p>
        <w:p w14:paraId="1E0A6ED8" w14:textId="77777777" w:rsidR="00065727" w:rsidRPr="00B302DB" w:rsidRDefault="00A632AF" w:rsidP="00B302DB">
          <w:pPr>
            <w:rPr>
              <w:lang w:val="en-US"/>
            </w:rPr>
          </w:pPr>
        </w:p>
      </w:sdtContent>
    </w:sdt>
    <w:p w14:paraId="114B1DFA" w14:textId="77777777" w:rsidR="00F91D35" w:rsidRDefault="00F91D35"/>
    <w:p w14:paraId="09C9BA91" w14:textId="77777777" w:rsidR="00F91D35" w:rsidRDefault="00F91D35"/>
    <w:p w14:paraId="1B070FBD" w14:textId="77777777" w:rsidR="00F91D35" w:rsidRDefault="00F91D35"/>
    <w:p w14:paraId="78F38EF0" w14:textId="77777777" w:rsidR="00F91D35" w:rsidRDefault="00F91D35"/>
    <w:p w14:paraId="32BF7FC1" w14:textId="77777777" w:rsidR="00F91D35" w:rsidRDefault="00F91D35"/>
    <w:p w14:paraId="7794DE9C" w14:textId="77777777" w:rsidR="00F91D35" w:rsidRDefault="00F91D35"/>
    <w:p w14:paraId="252CFC29" w14:textId="77777777" w:rsidR="00F91D35" w:rsidRDefault="00F91D35"/>
    <w:p w14:paraId="49D2838A" w14:textId="77777777" w:rsidR="00F91D35" w:rsidRDefault="00F91D35"/>
    <w:p w14:paraId="2C0D2C63" w14:textId="77777777" w:rsidR="00F91D35" w:rsidRDefault="00F91D35"/>
    <w:p w14:paraId="106C90FC" w14:textId="77777777" w:rsidR="00F91D35" w:rsidRDefault="00F91D35"/>
    <w:p w14:paraId="3002BDCF" w14:textId="77777777" w:rsidR="00F91D35" w:rsidRDefault="00F91D35"/>
    <w:p w14:paraId="743872C1" w14:textId="77777777" w:rsidR="00AC5202" w:rsidRPr="00B376D7" w:rsidRDefault="00AC5202" w:rsidP="001910DD">
      <w:pPr>
        <w:spacing w:line="360" w:lineRule="auto"/>
        <w:jc w:val="both"/>
        <w:rPr>
          <w:rFonts w:ascii="Times New Roman" w:hAnsi="Times New Roman"/>
          <w:b/>
          <w:bCs/>
          <w:color w:val="0070C0"/>
          <w:sz w:val="28"/>
          <w:lang w:val="en-US"/>
        </w:rPr>
      </w:pPr>
      <w:r w:rsidRPr="00B376D7">
        <w:rPr>
          <w:rFonts w:ascii="Times New Roman" w:hAnsi="Times New Roman"/>
          <w:b/>
          <w:bCs/>
          <w:color w:val="0070C0"/>
          <w:sz w:val="28"/>
          <w:lang w:val="en-US"/>
        </w:rPr>
        <w:lastRenderedPageBreak/>
        <w:t>Introduction</w:t>
      </w:r>
    </w:p>
    <w:p w14:paraId="34975E09"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 xml:space="preserve">This </w:t>
      </w:r>
      <w:r>
        <w:rPr>
          <w:rFonts w:ascii="Times New Roman" w:hAnsi="Times New Roman"/>
          <w:bCs/>
          <w:lang w:val="en-US"/>
        </w:rPr>
        <w:t>report</w:t>
      </w:r>
      <w:r w:rsidRPr="004D6F92">
        <w:rPr>
          <w:rFonts w:ascii="Times New Roman" w:hAnsi="Times New Roman"/>
          <w:bCs/>
          <w:lang w:val="en-US"/>
        </w:rPr>
        <w:t xml:space="preserve"> discusses the fundamental concepts that are used to guide the improvement of health and social care—with particular emphasis on innovation, creativity, value creation and change management. It identifies systemic issues with the workforce, especially staff burnout, as a reinforcing cycle, one that isn't a result of the individual, but rather the result of structural issues.</w:t>
      </w:r>
    </w:p>
    <w:p w14:paraId="2DFF45EE"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It features case studies and illustrates through digital tools (wearables, EHRs) the impact that creative thinking and technology solutions can make on patient outcomes, healthcare cost reductions, and care continuity.</w:t>
      </w:r>
    </w:p>
    <w:p w14:paraId="352A79F4"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Finally, reflective entries illustrate the importance of combining divergent and convergent thinking, the importance of inspiring shared purpose within the NHS Healthcare Leadership Model, and the importance of person-</w:t>
      </w:r>
      <w:proofErr w:type="spellStart"/>
      <w:r w:rsidRPr="004D6F92">
        <w:rPr>
          <w:rFonts w:ascii="Times New Roman" w:hAnsi="Times New Roman"/>
          <w:bCs/>
          <w:lang w:val="en-US"/>
        </w:rPr>
        <w:t>centred</w:t>
      </w:r>
      <w:proofErr w:type="spellEnd"/>
      <w:r w:rsidRPr="004D6F92">
        <w:rPr>
          <w:rFonts w:ascii="Times New Roman" w:hAnsi="Times New Roman"/>
          <w:bCs/>
          <w:lang w:val="en-US"/>
        </w:rPr>
        <w:t xml:space="preserve"> sustainable innovation.</w:t>
      </w:r>
    </w:p>
    <w:p w14:paraId="39954BD9" w14:textId="77777777" w:rsidR="004D6F92" w:rsidRPr="004D6F92" w:rsidRDefault="004D6F92" w:rsidP="004D6F92">
      <w:pPr>
        <w:spacing w:line="360" w:lineRule="auto"/>
        <w:jc w:val="both"/>
        <w:rPr>
          <w:rFonts w:ascii="Times New Roman" w:hAnsi="Times New Roman"/>
          <w:bCs/>
          <w:lang w:val="en-US"/>
        </w:rPr>
      </w:pPr>
    </w:p>
    <w:p w14:paraId="2F8BA53D" w14:textId="77777777" w:rsidR="004D6F92" w:rsidRPr="004D6F92" w:rsidRDefault="004D6F92" w:rsidP="004D6F92">
      <w:pPr>
        <w:spacing w:line="360" w:lineRule="auto"/>
        <w:jc w:val="both"/>
        <w:rPr>
          <w:rFonts w:ascii="Times New Roman" w:hAnsi="Times New Roman"/>
          <w:b/>
          <w:bCs/>
          <w:color w:val="0070C0"/>
          <w:sz w:val="28"/>
          <w:lang w:val="en-US"/>
        </w:rPr>
      </w:pPr>
      <w:r w:rsidRPr="004D6F92">
        <w:rPr>
          <w:rFonts w:ascii="Times New Roman" w:hAnsi="Times New Roman"/>
          <w:b/>
          <w:bCs/>
          <w:color w:val="0070C0"/>
          <w:sz w:val="28"/>
          <w:lang w:val="en-US"/>
        </w:rPr>
        <w:t xml:space="preserve">Task 1: </w:t>
      </w:r>
    </w:p>
    <w:p w14:paraId="1B4EF419" w14:textId="77777777" w:rsidR="004D6F92" w:rsidRPr="004D6F92" w:rsidRDefault="004D6F92" w:rsidP="004D6F92">
      <w:pPr>
        <w:spacing w:line="360" w:lineRule="auto"/>
        <w:jc w:val="both"/>
        <w:rPr>
          <w:rFonts w:ascii="Times New Roman" w:hAnsi="Times New Roman"/>
          <w:b/>
          <w:bCs/>
          <w:color w:val="0070C0"/>
          <w:sz w:val="28"/>
          <w:lang w:val="en-US"/>
        </w:rPr>
      </w:pPr>
      <w:r w:rsidRPr="004D6F92">
        <w:rPr>
          <w:rFonts w:ascii="Times New Roman" w:hAnsi="Times New Roman"/>
          <w:b/>
          <w:bCs/>
          <w:color w:val="0070C0"/>
          <w:sz w:val="28"/>
          <w:lang w:val="en-US"/>
        </w:rPr>
        <w:t xml:space="preserve">Innovation </w:t>
      </w:r>
    </w:p>
    <w:p w14:paraId="3EF71BE1"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 xml:space="preserve">Innovation is defined as the introduction and adoption of new thoughts, processes or technologies that enhance practice. Rogers’ Diffusion of Innovation theory focuses on the process of the diffusion of innovation in an </w:t>
      </w:r>
      <w:proofErr w:type="spellStart"/>
      <w:r w:rsidRPr="004D6F92">
        <w:rPr>
          <w:rFonts w:ascii="Times New Roman" w:hAnsi="Times New Roman"/>
          <w:bCs/>
          <w:lang w:val="en-US"/>
        </w:rPr>
        <w:t>organisation</w:t>
      </w:r>
      <w:proofErr w:type="spellEnd"/>
      <w:r w:rsidRPr="004D6F92">
        <w:rPr>
          <w:rFonts w:ascii="Times New Roman" w:hAnsi="Times New Roman"/>
          <w:bCs/>
          <w:lang w:val="en-US"/>
        </w:rPr>
        <w:t xml:space="preserve"> and its subsequent adoption by the employees (Rogers, 2003). In the healthcare sector, especially health and social care, innovation plays a crucial role in optimizing patient safety, efficiency, and outcomes amidst growing demand and resource constraints. For instance, electronic prescribing systems help prevent medication errors and integrate care more thoroughly across multidisciplinary teams.</w:t>
      </w:r>
    </w:p>
    <w:p w14:paraId="28F55471"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 xml:space="preserve">Creativity </w:t>
      </w:r>
    </w:p>
    <w:p w14:paraId="66B53463"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 xml:space="preserve">Creativity is the ability to produce new and useful ideas based on knowledge, skills, and a disposition to work creatively. According to Amabile's (1996) Componential Theory of Creativity, there are three components to creativity, which involve the use of knowledge, skills, and motivation in order to generate useful new ideas. It is significant to health and social care as many problems encountered in a care setting are more complex and cannot be solved in the “same” way. </w:t>
      </w:r>
      <w:r w:rsidRPr="004D6F92">
        <w:rPr>
          <w:rFonts w:ascii="Times New Roman" w:hAnsi="Times New Roman"/>
          <w:bCs/>
          <w:lang w:val="en-US"/>
        </w:rPr>
        <w:lastRenderedPageBreak/>
        <w:t xml:space="preserve">A good example is a social care worker developing an individual activity </w:t>
      </w:r>
      <w:proofErr w:type="spellStart"/>
      <w:r w:rsidRPr="004D6F92">
        <w:rPr>
          <w:rFonts w:ascii="Times New Roman" w:hAnsi="Times New Roman"/>
          <w:bCs/>
          <w:lang w:val="en-US"/>
        </w:rPr>
        <w:t>programme</w:t>
      </w:r>
      <w:proofErr w:type="spellEnd"/>
      <w:r w:rsidRPr="004D6F92">
        <w:rPr>
          <w:rFonts w:ascii="Times New Roman" w:hAnsi="Times New Roman"/>
          <w:bCs/>
          <w:lang w:val="en-US"/>
        </w:rPr>
        <w:t xml:space="preserve"> for members of the community with dementia, which includes incorporating their life stories and actions that will enhance their engagement and wellbeing.</w:t>
      </w:r>
    </w:p>
    <w:p w14:paraId="50A7A2CA" w14:textId="77777777" w:rsidR="004D6F92" w:rsidRPr="004D6F92" w:rsidRDefault="004D6F92" w:rsidP="004D6F92">
      <w:pPr>
        <w:spacing w:line="360" w:lineRule="auto"/>
        <w:jc w:val="both"/>
        <w:rPr>
          <w:rFonts w:ascii="Times New Roman" w:hAnsi="Times New Roman"/>
          <w:b/>
          <w:bCs/>
          <w:lang w:val="en-US"/>
        </w:rPr>
      </w:pPr>
      <w:r w:rsidRPr="004D6F92">
        <w:rPr>
          <w:rFonts w:ascii="Times New Roman" w:hAnsi="Times New Roman"/>
          <w:b/>
          <w:bCs/>
          <w:lang w:val="en-US"/>
        </w:rPr>
        <w:t xml:space="preserve">Value Creation </w:t>
      </w:r>
    </w:p>
    <w:p w14:paraId="4A1CFDA4"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In the healthcare sector, value is created when services deliver better outcomes than the cost of providing such services. Healthcare value is obtained when the attributes of the service enhance services for improved patient outcomes at a lower cost than is required to provide the service (Porter, 2010). Awareness of this is key in the health and social care context to achieve successful, sustainable and quality provision of services that put the patient first, rather than the volume of provision. If, for example, diabetes can be managed through an integrated care pathway, this can help to lower the incidence of re-admission to hospital and enhance the health outcome from the diabetes more broadly, at lower overall cost.</w:t>
      </w:r>
    </w:p>
    <w:p w14:paraId="553B69BF" w14:textId="77777777" w:rsidR="004D6F92" w:rsidRPr="004D6F92" w:rsidRDefault="004D6F92" w:rsidP="004D6F92">
      <w:pPr>
        <w:spacing w:line="360" w:lineRule="auto"/>
        <w:jc w:val="both"/>
        <w:rPr>
          <w:rFonts w:ascii="Times New Roman" w:hAnsi="Times New Roman"/>
          <w:b/>
          <w:bCs/>
          <w:lang w:val="en-US"/>
        </w:rPr>
      </w:pPr>
      <w:r w:rsidRPr="004D6F92">
        <w:rPr>
          <w:rFonts w:ascii="Times New Roman" w:hAnsi="Times New Roman"/>
          <w:b/>
          <w:bCs/>
          <w:lang w:val="en-US"/>
        </w:rPr>
        <w:t xml:space="preserve">Change </w:t>
      </w:r>
    </w:p>
    <w:p w14:paraId="6354B72D"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Change is the deliberate shift in practice to a better way of doing things. Lewin's Change Management Model proposes that adopting a new behavior is the process of unfreezing, intervening and stabilizing change (Burnes, 2017). Change plays a key role in health and social care and is essential to meet the changing evidence, policy and user/service needs. One example of this is taking the move towards person-</w:t>
      </w:r>
      <w:proofErr w:type="spellStart"/>
      <w:r w:rsidRPr="004D6F92">
        <w:rPr>
          <w:rFonts w:ascii="Times New Roman" w:hAnsi="Times New Roman"/>
          <w:bCs/>
          <w:lang w:val="en-US"/>
        </w:rPr>
        <w:t>centred</w:t>
      </w:r>
      <w:proofErr w:type="spellEnd"/>
      <w:r w:rsidRPr="004D6F92">
        <w:rPr>
          <w:rFonts w:ascii="Times New Roman" w:hAnsi="Times New Roman"/>
          <w:bCs/>
          <w:lang w:val="en-US"/>
        </w:rPr>
        <w:t xml:space="preserve"> care planning in residential services – training to support this, new documentation systems and continued support for them are required to drive the change.</w:t>
      </w:r>
    </w:p>
    <w:p w14:paraId="44041DAD"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Underpinning quality and continuous improvement for the people using health and social care services is linked to these four interconnected concepts.</w:t>
      </w:r>
    </w:p>
    <w:p w14:paraId="6CF35800" w14:textId="77777777" w:rsidR="004D6F92" w:rsidRPr="004D6F92" w:rsidRDefault="004D6F92" w:rsidP="004D6F92">
      <w:pPr>
        <w:spacing w:line="360" w:lineRule="auto"/>
        <w:jc w:val="both"/>
        <w:rPr>
          <w:rFonts w:ascii="Times New Roman" w:hAnsi="Times New Roman"/>
          <w:bCs/>
          <w:lang w:val="en-US"/>
        </w:rPr>
      </w:pPr>
    </w:p>
    <w:p w14:paraId="4E83F641" w14:textId="77777777" w:rsidR="004D6F92" w:rsidRDefault="004D6F92" w:rsidP="004D6F92">
      <w:pPr>
        <w:spacing w:line="360" w:lineRule="auto"/>
        <w:jc w:val="both"/>
        <w:rPr>
          <w:rFonts w:ascii="Times New Roman" w:hAnsi="Times New Roman"/>
          <w:bCs/>
          <w:lang w:val="en-US"/>
        </w:rPr>
      </w:pPr>
    </w:p>
    <w:p w14:paraId="378AF800" w14:textId="77777777" w:rsidR="004D6F92" w:rsidRDefault="004D6F92" w:rsidP="004D6F92">
      <w:pPr>
        <w:spacing w:line="360" w:lineRule="auto"/>
        <w:jc w:val="both"/>
        <w:rPr>
          <w:rFonts w:ascii="Times New Roman" w:hAnsi="Times New Roman"/>
          <w:bCs/>
          <w:lang w:val="en-US"/>
        </w:rPr>
      </w:pPr>
    </w:p>
    <w:p w14:paraId="6958F06A" w14:textId="77777777" w:rsidR="004D6F92" w:rsidRDefault="004D6F92" w:rsidP="004D6F92">
      <w:pPr>
        <w:spacing w:line="360" w:lineRule="auto"/>
        <w:jc w:val="both"/>
        <w:rPr>
          <w:rFonts w:ascii="Times New Roman" w:hAnsi="Times New Roman"/>
          <w:bCs/>
          <w:lang w:val="en-US"/>
        </w:rPr>
      </w:pPr>
    </w:p>
    <w:p w14:paraId="140BF93D" w14:textId="77777777" w:rsidR="004D6F92" w:rsidRPr="004D6F92" w:rsidRDefault="004D6F92" w:rsidP="004D6F92">
      <w:pPr>
        <w:spacing w:line="360" w:lineRule="auto"/>
        <w:jc w:val="both"/>
        <w:rPr>
          <w:rFonts w:ascii="Times New Roman" w:hAnsi="Times New Roman"/>
          <w:bCs/>
          <w:lang w:val="en-US"/>
        </w:rPr>
      </w:pPr>
    </w:p>
    <w:p w14:paraId="2A654DC3" w14:textId="77777777" w:rsidR="004D6F92" w:rsidRPr="004D6F92" w:rsidRDefault="004D6F92" w:rsidP="004D6F92">
      <w:pPr>
        <w:spacing w:line="360" w:lineRule="auto"/>
        <w:jc w:val="both"/>
        <w:rPr>
          <w:rFonts w:ascii="Times New Roman" w:hAnsi="Times New Roman"/>
          <w:b/>
          <w:bCs/>
          <w:color w:val="0070C0"/>
          <w:sz w:val="28"/>
          <w:lang w:val="en-US"/>
        </w:rPr>
      </w:pPr>
      <w:r w:rsidRPr="004D6F92">
        <w:rPr>
          <w:rFonts w:ascii="Times New Roman" w:hAnsi="Times New Roman"/>
          <w:b/>
          <w:bCs/>
          <w:color w:val="0070C0"/>
          <w:sz w:val="28"/>
          <w:lang w:val="en-US"/>
        </w:rPr>
        <w:lastRenderedPageBreak/>
        <w:t xml:space="preserve">Task 2: </w:t>
      </w:r>
    </w:p>
    <w:p w14:paraId="0B64F8F3" w14:textId="77777777" w:rsidR="004D6F92" w:rsidRPr="004D6F92" w:rsidRDefault="004D6F92" w:rsidP="004D6F92">
      <w:pPr>
        <w:spacing w:line="360" w:lineRule="auto"/>
        <w:jc w:val="both"/>
        <w:rPr>
          <w:rFonts w:ascii="Times New Roman" w:hAnsi="Times New Roman"/>
          <w:b/>
          <w:bCs/>
          <w:lang w:val="en-US"/>
        </w:rPr>
      </w:pPr>
      <w:r w:rsidRPr="004D6F92">
        <w:rPr>
          <w:rFonts w:ascii="Times New Roman" w:hAnsi="Times New Roman"/>
          <w:b/>
          <w:bCs/>
          <w:lang w:val="en-US"/>
        </w:rPr>
        <w:t xml:space="preserve">Explanation </w:t>
      </w:r>
    </w:p>
    <w:p w14:paraId="3BAF4437"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In the health and social care setting, staff burnout is a common issue and is a result of having continuous pressure on the employee(s). This is important because drowsy workers are unable to provide a consistent, safe, compassionate service, as end users are hurt and costs within the system are increased.</w:t>
      </w:r>
    </w:p>
    <w:p w14:paraId="4DD8C5D3"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A systems thinking approach acknowledges that problems in health and social care are caused by a variety of interconnected factors in the broader health and social care system and not just one (Meadows, 2008). This mind map outlines the impact of understaffing and emotional demands on people, which can result in burnout, a diminished quality of care, increased staff turnover, and further strengthening of this module. The lack of attention to the matter exacerbates the sense of shortages, increases wait times, and undermines trust in the process. This is particularly true for those in frontline work and vulnerable people who depend on regular, good-quality support. Systems solutions that tackle design and individual wellbeing can disrupt this cycle.</w:t>
      </w:r>
    </w:p>
    <w:p w14:paraId="102A134F" w14:textId="77777777" w:rsidR="004D6F92" w:rsidRPr="004D6F92" w:rsidRDefault="004D6F92" w:rsidP="004D6F92">
      <w:pPr>
        <w:spacing w:line="360" w:lineRule="auto"/>
        <w:jc w:val="both"/>
        <w:rPr>
          <w:rFonts w:ascii="Times New Roman" w:hAnsi="Times New Roman"/>
          <w:bCs/>
          <w:lang w:val="en-US"/>
        </w:rPr>
      </w:pPr>
    </w:p>
    <w:p w14:paraId="39338781" w14:textId="77777777" w:rsidR="004D6F92" w:rsidRPr="004D6F92" w:rsidRDefault="004D6F92" w:rsidP="004D6F92">
      <w:pPr>
        <w:spacing w:line="360" w:lineRule="auto"/>
        <w:jc w:val="both"/>
        <w:rPr>
          <w:rFonts w:ascii="Times New Roman" w:hAnsi="Times New Roman"/>
          <w:bCs/>
          <w:lang w:val="en-US"/>
        </w:rPr>
      </w:pPr>
    </w:p>
    <w:p w14:paraId="08E2367C" w14:textId="77777777" w:rsidR="004D6F92" w:rsidRPr="004D6F92" w:rsidRDefault="004D6F92" w:rsidP="004D6F92">
      <w:pPr>
        <w:spacing w:line="360" w:lineRule="auto"/>
        <w:jc w:val="both"/>
        <w:rPr>
          <w:rFonts w:ascii="Times New Roman" w:hAnsi="Times New Roman"/>
          <w:b/>
          <w:bCs/>
          <w:color w:val="0070C0"/>
          <w:lang w:val="en-US"/>
        </w:rPr>
      </w:pPr>
    </w:p>
    <w:p w14:paraId="6950E59F" w14:textId="77777777" w:rsidR="004D6F92" w:rsidRPr="004D6F92" w:rsidRDefault="004D6F92" w:rsidP="004D6F92">
      <w:pPr>
        <w:spacing w:line="360" w:lineRule="auto"/>
        <w:jc w:val="both"/>
        <w:rPr>
          <w:rFonts w:ascii="Times New Roman" w:hAnsi="Times New Roman"/>
          <w:b/>
          <w:bCs/>
          <w:color w:val="0070C0"/>
          <w:sz w:val="28"/>
          <w:lang w:val="en-US"/>
        </w:rPr>
      </w:pPr>
      <w:r w:rsidRPr="004D6F92">
        <w:rPr>
          <w:rFonts w:ascii="Times New Roman" w:hAnsi="Times New Roman"/>
          <w:b/>
          <w:bCs/>
          <w:color w:val="0070C0"/>
          <w:sz w:val="28"/>
          <w:lang w:val="en-US"/>
        </w:rPr>
        <w:t xml:space="preserve">Task 3: </w:t>
      </w:r>
    </w:p>
    <w:p w14:paraId="5F85F5E7"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The Gibbs' Reflective Cycle (Gibbs, 1988) is used for self-reflection.</w:t>
      </w:r>
    </w:p>
    <w:p w14:paraId="31378366"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Divergent thinking produces a host of alternate ideas; convergent thinking gives rise to the choice of the most suitable idea (Guilford, 1967).</w:t>
      </w:r>
    </w:p>
    <w:p w14:paraId="39B8A9C9"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Description: We briefly discussed the group activity where we first brainstormed solutions to staff burnout by engaging in divergent thinking and then gave the children the chance to filter the ideas through convergent thinking and select the best ones.</w:t>
      </w:r>
    </w:p>
    <w:p w14:paraId="7C5653AA"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Emotions: There was a bit of energy during idea generation but some frustration when the group didn't agree.</w:t>
      </w:r>
    </w:p>
    <w:p w14:paraId="16D4A42F"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lastRenderedPageBreak/>
        <w:t xml:space="preserve">Evaluation: Divergent thinking came naturally to me, and I was able to give some sensible solutions: flexibility with the </w:t>
      </w:r>
      <w:proofErr w:type="spellStart"/>
      <w:r w:rsidRPr="004D6F92">
        <w:rPr>
          <w:rFonts w:ascii="Times New Roman" w:hAnsi="Times New Roman"/>
          <w:bCs/>
          <w:lang w:val="en-US"/>
        </w:rPr>
        <w:t>rotas</w:t>
      </w:r>
      <w:proofErr w:type="spellEnd"/>
      <w:r w:rsidRPr="004D6F92">
        <w:rPr>
          <w:rFonts w:ascii="Times New Roman" w:hAnsi="Times New Roman"/>
          <w:bCs/>
          <w:lang w:val="en-US"/>
        </w:rPr>
        <w:t xml:space="preserve"> and peer support schemes. Reluctant to concede defeat, I made a list of pros and cons, and so the group moved on.</w:t>
      </w:r>
    </w:p>
    <w:p w14:paraId="76AB69A0"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Analysis: Both styles proved to be complementary in the activity. I became aware of a tendency to prefer coming up with ideas and at the same time get nervous about ending discussions, which can make decisions tougher.</w:t>
      </w:r>
    </w:p>
    <w:p w14:paraId="29001510"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My Bottom Line Finding: Effective teamwork demands both modes, and it is important to be deliberate about balancing the two and not remaining in open brainstorming; that is a mode that first responders instinctively rely on and understand.</w:t>
      </w:r>
    </w:p>
    <w:p w14:paraId="0334DD0F"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Improvements for the future: Divergent thinking will be explicitly timed and/or actively facilitated into convergent evaluation so as to guide the group to timely decisions, with creative thinking being valued.</w:t>
      </w:r>
    </w:p>
    <w:p w14:paraId="1E113E8D" w14:textId="77777777" w:rsidR="004D6F92" w:rsidRPr="004D6F92" w:rsidRDefault="004D6F92" w:rsidP="004D6F92">
      <w:pPr>
        <w:spacing w:line="360" w:lineRule="auto"/>
        <w:jc w:val="both"/>
        <w:rPr>
          <w:rFonts w:ascii="Times New Roman" w:hAnsi="Times New Roman"/>
          <w:b/>
          <w:bCs/>
          <w:color w:val="0070C0"/>
          <w:lang w:val="en-US"/>
        </w:rPr>
      </w:pPr>
    </w:p>
    <w:p w14:paraId="16996040" w14:textId="77777777" w:rsidR="004D6F92" w:rsidRPr="004D6F92" w:rsidRDefault="004D6F92" w:rsidP="004D6F92">
      <w:pPr>
        <w:spacing w:line="360" w:lineRule="auto"/>
        <w:jc w:val="both"/>
        <w:rPr>
          <w:rFonts w:ascii="Times New Roman" w:hAnsi="Times New Roman"/>
          <w:b/>
          <w:bCs/>
          <w:color w:val="0070C0"/>
          <w:sz w:val="28"/>
          <w:lang w:val="en-US"/>
        </w:rPr>
      </w:pPr>
      <w:r w:rsidRPr="004D6F92">
        <w:rPr>
          <w:rFonts w:ascii="Times New Roman" w:hAnsi="Times New Roman"/>
          <w:b/>
          <w:bCs/>
          <w:color w:val="0070C0"/>
          <w:sz w:val="28"/>
          <w:lang w:val="en-US"/>
        </w:rPr>
        <w:t xml:space="preserve">Task 4: </w:t>
      </w:r>
    </w:p>
    <w:p w14:paraId="150E2423"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 xml:space="preserve">The next two pages include a case study interview. The next two pages are a case study interview </w:t>
      </w:r>
      <w:proofErr w:type="spellStart"/>
      <w:r w:rsidRPr="004D6F92">
        <w:rPr>
          <w:rFonts w:ascii="Times New Roman" w:hAnsi="Times New Roman"/>
          <w:bCs/>
          <w:lang w:val="en-US"/>
        </w:rPr>
        <w:t>centred</w:t>
      </w:r>
      <w:proofErr w:type="spellEnd"/>
      <w:r w:rsidRPr="004D6F92">
        <w:rPr>
          <w:rFonts w:ascii="Times New Roman" w:hAnsi="Times New Roman"/>
          <w:bCs/>
          <w:lang w:val="en-US"/>
        </w:rPr>
        <w:t xml:space="preserve"> on NHS Virtual Wards (Hospital at Home).</w:t>
      </w:r>
    </w:p>
    <w:p w14:paraId="5A8CFE9F"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Virtual wards have been created to overcome some of the challenges the NHS faces in caring for its limited number of acute beds, including the increased proportion of non-elective admissions and the risks of transfer to hospital, such as infections, hospital-acquired pneumonia (HAP) and deconditioning, especially for those with frailty and respiratory illness who want to stay at home.</w:t>
      </w:r>
    </w:p>
    <w:p w14:paraId="6E110488"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Creativity implies rethinking the way care is provided in hospitals as a multi-disciplinary, technology-rich approach, provided at home. A hybrid model combining digital tools with the provision of nursing and clinical oversight across the community applied to an innovative combination of remote monitoring apps, wearable devices and a clinical review at home every day, which replaced the traditionally inpatient format.</w:t>
      </w:r>
    </w:p>
    <w:p w14:paraId="1DE7CF64"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 xml:space="preserve">Value was </w:t>
      </w:r>
      <w:proofErr w:type="spellStart"/>
      <w:r w:rsidRPr="004D6F92">
        <w:rPr>
          <w:rFonts w:ascii="Times New Roman" w:hAnsi="Times New Roman"/>
          <w:bCs/>
          <w:lang w:val="en-US"/>
        </w:rPr>
        <w:t>realised</w:t>
      </w:r>
      <w:proofErr w:type="spellEnd"/>
      <w:r w:rsidRPr="004D6F92">
        <w:rPr>
          <w:rFonts w:ascii="Times New Roman" w:hAnsi="Times New Roman"/>
          <w:bCs/>
          <w:lang w:val="en-US"/>
        </w:rPr>
        <w:t xml:space="preserve"> for the service users through safer and more comfortable service, in familiar surroundings; for staff through the development of a new flexible working arrangement; for the </w:t>
      </w:r>
      <w:r w:rsidRPr="004D6F92">
        <w:rPr>
          <w:rFonts w:ascii="Times New Roman" w:hAnsi="Times New Roman"/>
          <w:bCs/>
          <w:lang w:val="en-US"/>
        </w:rPr>
        <w:lastRenderedPageBreak/>
        <w:t xml:space="preserve">system by avoiding the use of hospital beds and lowering costs. Some of the reported results have been that there are long-term benefits with strong associations to avoided non-elective admissions (around 2.5 virtual ward episodes for every avoided non-elective admission in a large evaluation in the South East of more than 22,000 cases) and </w:t>
      </w:r>
      <w:proofErr w:type="spellStart"/>
      <w:r w:rsidRPr="004D6F92">
        <w:rPr>
          <w:rFonts w:ascii="Times New Roman" w:hAnsi="Times New Roman"/>
          <w:bCs/>
          <w:lang w:val="en-US"/>
        </w:rPr>
        <w:t>annualised</w:t>
      </w:r>
      <w:proofErr w:type="spellEnd"/>
      <w:r w:rsidRPr="004D6F92">
        <w:rPr>
          <w:rFonts w:ascii="Times New Roman" w:hAnsi="Times New Roman"/>
          <w:bCs/>
          <w:lang w:val="en-US"/>
        </w:rPr>
        <w:t xml:space="preserve"> net financial benefits of approximately £10.4 million across the evaluated pathways, and high levels of patient satisfaction and similar or improved safety measures.</w:t>
      </w:r>
    </w:p>
    <w:p w14:paraId="610BFE13"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 xml:space="preserve">The model has spread as staff and patients view it as having a relative advantage, being compatible with their home preferences, and seeing benefits that can be observed (Rogers, 2003). The method can also be applied to other pathways, like the context of heart failure or </w:t>
      </w:r>
      <w:proofErr w:type="spellStart"/>
      <w:r w:rsidRPr="004D6F92">
        <w:rPr>
          <w:rFonts w:ascii="Times New Roman" w:hAnsi="Times New Roman"/>
          <w:bCs/>
          <w:lang w:val="en-US"/>
        </w:rPr>
        <w:t>paediatric</w:t>
      </w:r>
      <w:proofErr w:type="spellEnd"/>
      <w:r w:rsidRPr="004D6F92">
        <w:rPr>
          <w:rFonts w:ascii="Times New Roman" w:hAnsi="Times New Roman"/>
          <w:bCs/>
          <w:lang w:val="en-US"/>
        </w:rPr>
        <w:t xml:space="preserve"> care.</w:t>
      </w:r>
    </w:p>
    <w:p w14:paraId="241F1B6F" w14:textId="77777777" w:rsidR="004D6F92" w:rsidRPr="00193EE0" w:rsidRDefault="004D6F92" w:rsidP="004D6F92">
      <w:pPr>
        <w:spacing w:line="360" w:lineRule="auto"/>
        <w:jc w:val="both"/>
        <w:rPr>
          <w:rFonts w:ascii="Times New Roman" w:hAnsi="Times New Roman"/>
          <w:bCs/>
          <w:sz w:val="28"/>
          <w:lang w:val="en-US"/>
        </w:rPr>
      </w:pPr>
    </w:p>
    <w:p w14:paraId="586C46D1" w14:textId="77777777" w:rsidR="004D6F92" w:rsidRPr="00193EE0" w:rsidRDefault="002727C2" w:rsidP="004D6F92">
      <w:pPr>
        <w:spacing w:line="360" w:lineRule="auto"/>
        <w:jc w:val="both"/>
        <w:rPr>
          <w:rFonts w:ascii="Times New Roman" w:hAnsi="Times New Roman"/>
          <w:b/>
          <w:bCs/>
          <w:color w:val="0070C0"/>
          <w:sz w:val="28"/>
          <w:lang w:val="en-US"/>
        </w:rPr>
      </w:pPr>
      <w:r w:rsidRPr="00193EE0">
        <w:rPr>
          <w:rFonts w:ascii="Times New Roman" w:hAnsi="Times New Roman"/>
          <w:b/>
          <w:bCs/>
          <w:color w:val="0070C0"/>
          <w:sz w:val="28"/>
          <w:lang w:val="en-US"/>
        </w:rPr>
        <w:t xml:space="preserve">Task 5: </w:t>
      </w:r>
    </w:p>
    <w:p w14:paraId="4CE5A36E" w14:textId="77777777" w:rsidR="00000AC4" w:rsidRPr="00D7472F" w:rsidRDefault="00000AC4" w:rsidP="00000AC4">
      <w:pPr>
        <w:spacing w:line="360" w:lineRule="auto"/>
        <w:jc w:val="both"/>
        <w:rPr>
          <w:rFonts w:ascii="Times New Roman" w:hAnsi="Times New Roman"/>
          <w:b/>
          <w:bCs/>
          <w:lang w:val="en-US"/>
        </w:rPr>
      </w:pPr>
      <w:r w:rsidRPr="00D7472F">
        <w:rPr>
          <w:rFonts w:ascii="Times New Roman" w:hAnsi="Times New Roman"/>
          <w:b/>
          <w:bCs/>
          <w:lang w:val="en-US"/>
        </w:rPr>
        <w:t>Healt</w:t>
      </w:r>
      <w:r w:rsidR="00D7472F">
        <w:rPr>
          <w:rFonts w:ascii="Times New Roman" w:hAnsi="Times New Roman"/>
          <w:b/>
          <w:bCs/>
          <w:lang w:val="en-US"/>
        </w:rPr>
        <w:t>h and Social Care staff burnout</w:t>
      </w:r>
    </w:p>
    <w:p w14:paraId="20BB9532" w14:textId="77777777" w:rsidR="00000AC4" w:rsidRPr="00000AC4" w:rsidRDefault="00000AC4" w:rsidP="00000AC4">
      <w:pPr>
        <w:spacing w:line="360" w:lineRule="auto"/>
        <w:jc w:val="both"/>
        <w:rPr>
          <w:rFonts w:ascii="Times New Roman" w:hAnsi="Times New Roman"/>
          <w:bCs/>
          <w:lang w:val="en-US"/>
        </w:rPr>
      </w:pPr>
      <w:r w:rsidRPr="00000AC4">
        <w:rPr>
          <w:rFonts w:ascii="Times New Roman" w:hAnsi="Times New Roman"/>
          <w:bCs/>
          <w:lang w:val="en-US"/>
        </w:rPr>
        <w:t>A major concern within health and social care in the UK is problems with staff burnout, such as insufficient staffing on wards resulting in nurses being overly fatigued or leaving shifts early and therefore compromising standards of care and continuity for the service user.</w:t>
      </w:r>
    </w:p>
    <w:p w14:paraId="575757A9" w14:textId="77777777" w:rsidR="00000AC4" w:rsidRPr="00000AC4" w:rsidRDefault="00000AC4" w:rsidP="00000AC4">
      <w:pPr>
        <w:spacing w:line="360" w:lineRule="auto"/>
        <w:jc w:val="both"/>
        <w:rPr>
          <w:rFonts w:ascii="Times New Roman" w:hAnsi="Times New Roman"/>
          <w:bCs/>
          <w:lang w:val="en-US"/>
        </w:rPr>
      </w:pPr>
      <w:r w:rsidRPr="00000AC4">
        <w:rPr>
          <w:rFonts w:ascii="Times New Roman" w:hAnsi="Times New Roman"/>
          <w:bCs/>
          <w:lang w:val="en-US"/>
        </w:rPr>
        <w:t xml:space="preserve">Studies that examined nursing burnout are reviewed by </w:t>
      </w:r>
      <w:proofErr w:type="spellStart"/>
      <w:r w:rsidRPr="00000AC4">
        <w:rPr>
          <w:rFonts w:ascii="Times New Roman" w:hAnsi="Times New Roman"/>
          <w:bCs/>
          <w:lang w:val="en-US"/>
        </w:rPr>
        <w:t>Dall'Ora</w:t>
      </w:r>
      <w:proofErr w:type="spellEnd"/>
      <w:r w:rsidRPr="00000AC4">
        <w:rPr>
          <w:rFonts w:ascii="Times New Roman" w:hAnsi="Times New Roman"/>
          <w:bCs/>
          <w:lang w:val="en-US"/>
        </w:rPr>
        <w:t xml:space="preserve"> et al (2020), and they consistently show that high workload, low staffing levels, long shifts, low job control, poor social support, and value incongruence are related to nursing burnout. These results confirmed Maslach's burnout theory that burnout is a product of the chronic lack of fit between work and worker's environment. The purpose of this article is to help account for the problem—namely, how structural dimensions of job characteristics at work, not individual weakness, lead to emotional exhaustion and personal accomplishment.</w:t>
      </w:r>
    </w:p>
    <w:p w14:paraId="4CCAC696" w14:textId="77777777" w:rsidR="00000AC4" w:rsidRPr="00000AC4" w:rsidRDefault="00000AC4" w:rsidP="00000AC4">
      <w:pPr>
        <w:spacing w:line="360" w:lineRule="auto"/>
        <w:jc w:val="both"/>
        <w:rPr>
          <w:rFonts w:ascii="Times New Roman" w:hAnsi="Times New Roman"/>
          <w:bCs/>
          <w:lang w:val="en-US"/>
        </w:rPr>
      </w:pPr>
      <w:r w:rsidRPr="00000AC4">
        <w:rPr>
          <w:rFonts w:ascii="Times New Roman" w:hAnsi="Times New Roman"/>
          <w:bCs/>
          <w:lang w:val="en-US"/>
        </w:rPr>
        <w:t>While Meredith et al. (2022) conducted a systematic review of the predictors among US health care providers, they found that office related factors like heavy workload, poor work–life balance, limited autonomy, and less supportive leadership were more likely to be associated with predictors, as well as some mental health risks. Social support was an 'protective factor'.</w:t>
      </w:r>
    </w:p>
    <w:p w14:paraId="1A313A51" w14:textId="77777777" w:rsidR="00000AC4" w:rsidRDefault="00000AC4" w:rsidP="00000AC4">
      <w:pPr>
        <w:spacing w:line="360" w:lineRule="auto"/>
        <w:jc w:val="both"/>
        <w:rPr>
          <w:rFonts w:ascii="Times New Roman" w:hAnsi="Times New Roman"/>
          <w:bCs/>
          <w:lang w:val="en-US"/>
        </w:rPr>
      </w:pPr>
      <w:r w:rsidRPr="00000AC4">
        <w:rPr>
          <w:rFonts w:ascii="Times New Roman" w:hAnsi="Times New Roman"/>
          <w:bCs/>
          <w:lang w:val="en-US"/>
        </w:rPr>
        <w:t xml:space="preserve">Both articles concur that it is </w:t>
      </w:r>
      <w:proofErr w:type="spellStart"/>
      <w:r w:rsidRPr="00000AC4">
        <w:rPr>
          <w:rFonts w:ascii="Times New Roman" w:hAnsi="Times New Roman"/>
          <w:bCs/>
          <w:lang w:val="en-US"/>
        </w:rPr>
        <w:t>organisational</w:t>
      </w:r>
      <w:proofErr w:type="spellEnd"/>
      <w:r w:rsidRPr="00000AC4">
        <w:rPr>
          <w:rFonts w:ascii="Times New Roman" w:hAnsi="Times New Roman"/>
          <w:bCs/>
          <w:lang w:val="en-US"/>
        </w:rPr>
        <w:t xml:space="preserve"> and workload factors that are the main triggers and Meredith et al. focus more on the individual's mental health factors and protective psychosocial </w:t>
      </w:r>
      <w:r w:rsidRPr="00000AC4">
        <w:rPr>
          <w:rFonts w:ascii="Times New Roman" w:hAnsi="Times New Roman"/>
          <w:bCs/>
          <w:lang w:val="en-US"/>
        </w:rPr>
        <w:lastRenderedPageBreak/>
        <w:t>resources. They co-create an understanding that burnout is a problem in systems which needs to be staffed without relying on just personal burn-out training.</w:t>
      </w:r>
    </w:p>
    <w:p w14:paraId="6D96F663" w14:textId="77777777" w:rsidR="00D7472F" w:rsidRPr="00000AC4" w:rsidRDefault="00D7472F" w:rsidP="00000AC4">
      <w:pPr>
        <w:spacing w:line="360" w:lineRule="auto"/>
        <w:jc w:val="both"/>
        <w:rPr>
          <w:rFonts w:ascii="Times New Roman" w:hAnsi="Times New Roman"/>
          <w:bCs/>
          <w:lang w:val="en-US"/>
        </w:rPr>
      </w:pPr>
    </w:p>
    <w:p w14:paraId="5377204F" w14:textId="77777777" w:rsidR="004D6F92" w:rsidRPr="00D7472F" w:rsidRDefault="004D6F92" w:rsidP="004D6F92">
      <w:pPr>
        <w:spacing w:line="360" w:lineRule="auto"/>
        <w:jc w:val="both"/>
        <w:rPr>
          <w:rFonts w:ascii="Times New Roman" w:hAnsi="Times New Roman"/>
          <w:b/>
          <w:bCs/>
          <w:color w:val="0070C0"/>
          <w:sz w:val="28"/>
          <w:lang w:val="en-US"/>
        </w:rPr>
      </w:pPr>
      <w:r w:rsidRPr="00D7472F">
        <w:rPr>
          <w:rFonts w:ascii="Times New Roman" w:hAnsi="Times New Roman"/>
          <w:b/>
          <w:bCs/>
          <w:color w:val="0070C0"/>
          <w:sz w:val="28"/>
          <w:lang w:val="en-US"/>
        </w:rPr>
        <w:t xml:space="preserve">Task 6: </w:t>
      </w:r>
    </w:p>
    <w:p w14:paraId="1C1F69B7"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 xml:space="preserve">Facial recognition or wristband technologies are being researched to help monitor health and track chronic diseases for individuals. </w:t>
      </w:r>
    </w:p>
    <w:p w14:paraId="7C276459"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 xml:space="preserve">Smartwatches and activity trackers allow real-time monitoring of vital signs, activity, and physiology, as these are continuously tracked in real time. This is one advantage, which is the enhancement of self-management of chronic issues. Those who suffer from Type 2 diabetes and/or hypertension can monitor steps, heart rate or blood glucose patterns, and can receive reminders between clinic appointments to make lifestyle changes and/or adjust medication. This moves the focus of care from reactive to proactive, which can help to </w:t>
      </w:r>
      <w:proofErr w:type="spellStart"/>
      <w:r w:rsidRPr="004D6F92">
        <w:rPr>
          <w:rFonts w:ascii="Times New Roman" w:hAnsi="Times New Roman"/>
          <w:bCs/>
          <w:lang w:val="en-US"/>
        </w:rPr>
        <w:t>minimise</w:t>
      </w:r>
      <w:proofErr w:type="spellEnd"/>
      <w:r w:rsidRPr="004D6F92">
        <w:rPr>
          <w:rFonts w:ascii="Times New Roman" w:hAnsi="Times New Roman"/>
          <w:bCs/>
          <w:lang w:val="en-US"/>
        </w:rPr>
        <w:t xml:space="preserve"> complications. The Technology Acceptance Model suggests that users are more likely to use computer-based health care tools when they are useful to them and easy to use (Davis, 1989). There are systematic reviews which show that wearables can push up physical activity and thus contribute to improved disease management in chronic populations.</w:t>
      </w:r>
    </w:p>
    <w:p w14:paraId="0E41A67E"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 xml:space="preserve">Integrating EHRs and Collaboration </w:t>
      </w:r>
    </w:p>
    <w:p w14:paraId="079CE281"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 xml:space="preserve">Electronic health records (EHRs) provide a unified and broadly shared electronic patient record that is accessible by </w:t>
      </w:r>
      <w:proofErr w:type="spellStart"/>
      <w:r w:rsidRPr="004D6F92">
        <w:rPr>
          <w:rFonts w:ascii="Times New Roman" w:hAnsi="Times New Roman"/>
          <w:bCs/>
          <w:lang w:val="en-US"/>
        </w:rPr>
        <w:t>authorised</w:t>
      </w:r>
      <w:proofErr w:type="spellEnd"/>
      <w:r w:rsidRPr="004D6F92">
        <w:rPr>
          <w:rFonts w:ascii="Times New Roman" w:hAnsi="Times New Roman"/>
          <w:bCs/>
          <w:lang w:val="en-US"/>
        </w:rPr>
        <w:t xml:space="preserve"> workers in different environments. This enhances communication between GPs, hospital experts, nurses, and social care, as they are now able to see all the same information about their patients' diagnoses, medication, tests, </w:t>
      </w:r>
      <w:proofErr w:type="spellStart"/>
      <w:r w:rsidRPr="004D6F92">
        <w:rPr>
          <w:rFonts w:ascii="Times New Roman" w:hAnsi="Times New Roman"/>
          <w:bCs/>
          <w:lang w:val="en-US"/>
        </w:rPr>
        <w:t>etc</w:t>
      </w:r>
      <w:proofErr w:type="spellEnd"/>
      <w:r w:rsidRPr="004D6F92">
        <w:rPr>
          <w:rFonts w:ascii="Times New Roman" w:hAnsi="Times New Roman"/>
          <w:bCs/>
          <w:lang w:val="en-US"/>
        </w:rPr>
        <w:t xml:space="preserve"> and care planning. When a patient transfers through the acute secondary to community services, for instance, the EHR can allow the receiving team to quickly see a patient's complete history without having to wait for paper notes. Evidence indicates that the ability to access the medical records, both to share information or coordinate, is a benefit of EHRs; however, the way a system is designed could affect information-sharing and coordination.</w:t>
      </w:r>
    </w:p>
    <w:p w14:paraId="28AA2138"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 xml:space="preserve">Preventative Care and Health Promotion using Digital Technology </w:t>
      </w:r>
    </w:p>
    <w:p w14:paraId="21C91738"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lastRenderedPageBreak/>
        <w:t xml:space="preserve">Digital technology can help with prevention; early identification of risk, tailored advice and reminders. An example is the NHS App, which enables users to complete online health checks, view screening invitations, book a vaccination and access expert lifestyle advice. This supports better </w:t>
      </w:r>
      <w:proofErr w:type="spellStart"/>
      <w:r w:rsidRPr="004D6F92">
        <w:rPr>
          <w:rFonts w:ascii="Times New Roman" w:hAnsi="Times New Roman"/>
          <w:bCs/>
          <w:lang w:val="en-US"/>
        </w:rPr>
        <w:t>behaviours</w:t>
      </w:r>
      <w:proofErr w:type="spellEnd"/>
      <w:r w:rsidRPr="004D6F92">
        <w:rPr>
          <w:rFonts w:ascii="Times New Roman" w:hAnsi="Times New Roman"/>
          <w:bCs/>
          <w:lang w:val="en-US"/>
        </w:rPr>
        <w:t xml:space="preserve"> before they become ill, and will aid in the management of controllable risk factors like low physical activity or hypertension. With ease and accessibility, digital platforms help to reach broader populations and diminish the demand for services in the future. Davis (1989) brought to the fore the importance of perceived usefulness and ease of use in influencing adoption of technology, a factor that is emphasized in the TAM. There are also national plans in place to continue scaling up these capabilities in the NHS App.</w:t>
      </w:r>
    </w:p>
    <w:p w14:paraId="3A8C89D3" w14:textId="77777777" w:rsidR="004D6F92" w:rsidRPr="004D6F92" w:rsidRDefault="004D6F92" w:rsidP="004D6F92">
      <w:pPr>
        <w:spacing w:line="360" w:lineRule="auto"/>
        <w:jc w:val="both"/>
        <w:rPr>
          <w:rFonts w:ascii="Times New Roman" w:hAnsi="Times New Roman"/>
          <w:bCs/>
          <w:sz w:val="28"/>
          <w:lang w:val="en-US"/>
        </w:rPr>
      </w:pPr>
    </w:p>
    <w:p w14:paraId="3C902C42" w14:textId="77777777" w:rsidR="004D6F92" w:rsidRPr="004D6F92" w:rsidRDefault="004D6F92" w:rsidP="004D6F92">
      <w:pPr>
        <w:spacing w:line="360" w:lineRule="auto"/>
        <w:jc w:val="both"/>
        <w:rPr>
          <w:rFonts w:ascii="Times New Roman" w:hAnsi="Times New Roman"/>
          <w:b/>
          <w:bCs/>
          <w:color w:val="0070C0"/>
          <w:sz w:val="28"/>
          <w:lang w:val="en-US"/>
        </w:rPr>
      </w:pPr>
      <w:r w:rsidRPr="004D6F92">
        <w:rPr>
          <w:rFonts w:ascii="Times New Roman" w:hAnsi="Times New Roman"/>
          <w:b/>
          <w:bCs/>
          <w:color w:val="0070C0"/>
          <w:sz w:val="28"/>
          <w:lang w:val="en-US"/>
        </w:rPr>
        <w:t>Task 7:</w:t>
      </w:r>
    </w:p>
    <w:p w14:paraId="01FEBA32"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 xml:space="preserve">1. The NHS Healthcare Leadership Model is </w:t>
      </w:r>
      <w:proofErr w:type="spellStart"/>
      <w:r w:rsidRPr="004D6F92">
        <w:rPr>
          <w:rFonts w:ascii="Times New Roman" w:hAnsi="Times New Roman"/>
          <w:bCs/>
          <w:lang w:val="en-US"/>
        </w:rPr>
        <w:t>summarised</w:t>
      </w:r>
      <w:proofErr w:type="spellEnd"/>
      <w:r w:rsidRPr="004D6F92">
        <w:rPr>
          <w:rFonts w:ascii="Times New Roman" w:hAnsi="Times New Roman"/>
          <w:bCs/>
          <w:lang w:val="en-US"/>
        </w:rPr>
        <w:t xml:space="preserve"> </w:t>
      </w:r>
      <w:proofErr w:type="spellStart"/>
      <w:r w:rsidRPr="004D6F92">
        <w:rPr>
          <w:rFonts w:ascii="Times New Roman" w:hAnsi="Times New Roman"/>
          <w:bCs/>
          <w:lang w:val="en-US"/>
        </w:rPr>
        <w:t>below.NHS</w:t>
      </w:r>
      <w:proofErr w:type="spellEnd"/>
      <w:r w:rsidRPr="004D6F92">
        <w:rPr>
          <w:rFonts w:ascii="Times New Roman" w:hAnsi="Times New Roman"/>
          <w:bCs/>
          <w:lang w:val="en-US"/>
        </w:rPr>
        <w:t xml:space="preserve"> Healthcare Leadership Model is </w:t>
      </w:r>
      <w:proofErr w:type="spellStart"/>
      <w:r w:rsidRPr="004D6F92">
        <w:rPr>
          <w:rFonts w:ascii="Times New Roman" w:hAnsi="Times New Roman"/>
          <w:bCs/>
          <w:lang w:val="en-US"/>
        </w:rPr>
        <w:t>summarised</w:t>
      </w:r>
      <w:proofErr w:type="spellEnd"/>
      <w:r w:rsidRPr="004D6F92">
        <w:rPr>
          <w:rFonts w:ascii="Times New Roman" w:hAnsi="Times New Roman"/>
          <w:bCs/>
          <w:lang w:val="en-US"/>
        </w:rPr>
        <w:t xml:space="preserve"> below. </w:t>
      </w:r>
    </w:p>
    <w:p w14:paraId="2439B7F4"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 xml:space="preserve">The NHS Healthcare Leadership Model outlines nine interwoven elements of leadership </w:t>
      </w:r>
      <w:proofErr w:type="spellStart"/>
      <w:r w:rsidRPr="004D6F92">
        <w:rPr>
          <w:rFonts w:ascii="Times New Roman" w:hAnsi="Times New Roman"/>
          <w:bCs/>
          <w:lang w:val="en-US"/>
        </w:rPr>
        <w:t>behaviour</w:t>
      </w:r>
      <w:proofErr w:type="spellEnd"/>
      <w:r w:rsidRPr="004D6F92">
        <w:rPr>
          <w:rFonts w:ascii="Times New Roman" w:hAnsi="Times New Roman"/>
          <w:bCs/>
          <w:lang w:val="en-US"/>
        </w:rPr>
        <w:t xml:space="preserve"> which are expected in health and social care: inspiring shared purpose, leading with care, evaluating information, connecting our service, sharing the vision, engaging the team, holding to account, developing capability, influencing for results. It outlines attitudes and actions which leaders should adopt to promote positive cultures, enhance services and ensure patients receive high-quality care effectively. Leadership is key, as effective leadership directly affects staff wellbeing, team performance, team innovation and patient outcomes in a high-pressure, complex environment. It offers a clear, easy-to-understand route for self-reflection and improvement, enabling leaders at all levels to match their actions with NHS values and system aims.</w:t>
      </w:r>
    </w:p>
    <w:p w14:paraId="5552D06D"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 xml:space="preserve">Create an environment that fosters creativity through use of “Inspiring Shared Purpose” </w:t>
      </w:r>
    </w:p>
    <w:p w14:paraId="6512CCB2"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 xml:space="preserve">A leader who inspires shared purpose respects the NHS service ethos, is curious about improving care, and acts and behaves in a way that is consistent with the principles of the </w:t>
      </w:r>
      <w:proofErr w:type="spellStart"/>
      <w:r w:rsidRPr="004D6F92">
        <w:rPr>
          <w:rFonts w:ascii="Times New Roman" w:hAnsi="Times New Roman"/>
          <w:bCs/>
          <w:lang w:val="en-US"/>
        </w:rPr>
        <w:t>organisation</w:t>
      </w:r>
      <w:proofErr w:type="spellEnd"/>
      <w:r w:rsidRPr="004D6F92">
        <w:rPr>
          <w:rFonts w:ascii="Times New Roman" w:hAnsi="Times New Roman"/>
          <w:bCs/>
          <w:lang w:val="en-US"/>
        </w:rPr>
        <w:t xml:space="preserve">. To foster creativity, the leader can periodically link daily activities back to the broader objective of improved patient experience, ask employees to consider how things work and how they can be made better, and provide employees with a safe space for brainstorming new ideas. If there are </w:t>
      </w:r>
      <w:r w:rsidRPr="004D6F92">
        <w:rPr>
          <w:rFonts w:ascii="Times New Roman" w:hAnsi="Times New Roman"/>
          <w:bCs/>
          <w:lang w:val="en-US"/>
        </w:rPr>
        <w:lastRenderedPageBreak/>
        <w:t>high loads on a community nursing team, for instance, the team leader could host small “ideas huddles” where nurses offer modest enhancements to visit scheduling or other digital tools, and test-run the most promising of that feedback. This method establishes a connection between personal tasks and purpose for the group, driving staff to innovatively do things. Transformational leadership theory, which highlights the communication of vision and encouragement of teams to embrace new ideas and increase performance levels, suggests that this approach would help to implement new ideas and improve performance (Bass &amp; Avolio, 1994). The outcome is more person-</w:t>
      </w:r>
      <w:proofErr w:type="spellStart"/>
      <w:r w:rsidRPr="004D6F92">
        <w:rPr>
          <w:rFonts w:ascii="Times New Roman" w:hAnsi="Times New Roman"/>
          <w:bCs/>
          <w:lang w:val="en-US"/>
        </w:rPr>
        <w:t>centred</w:t>
      </w:r>
      <w:proofErr w:type="spellEnd"/>
      <w:r w:rsidRPr="004D6F92">
        <w:rPr>
          <w:rFonts w:ascii="Times New Roman" w:hAnsi="Times New Roman"/>
          <w:bCs/>
          <w:lang w:val="en-US"/>
        </w:rPr>
        <w:t xml:space="preserve"> and efficient care, and greater staff engagement.</w:t>
      </w:r>
    </w:p>
    <w:p w14:paraId="1D43C679" w14:textId="77777777" w:rsidR="004D6F92" w:rsidRPr="004D6F92" w:rsidRDefault="004D6F92" w:rsidP="004D6F92">
      <w:pPr>
        <w:spacing w:line="360" w:lineRule="auto"/>
        <w:jc w:val="both"/>
        <w:rPr>
          <w:rFonts w:ascii="Times New Roman" w:hAnsi="Times New Roman"/>
          <w:bCs/>
          <w:lang w:val="en-US"/>
        </w:rPr>
      </w:pPr>
    </w:p>
    <w:p w14:paraId="4C21C275"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 xml:space="preserve">3. Reflective Journal Entry </w:t>
      </w:r>
    </w:p>
    <w:p w14:paraId="462DECAD" w14:textId="77777777" w:rsidR="004D6F92" w:rsidRPr="004D6F92" w:rsidRDefault="004D6F92" w:rsidP="004D6F92">
      <w:pPr>
        <w:spacing w:line="360" w:lineRule="auto"/>
        <w:jc w:val="both"/>
        <w:rPr>
          <w:rFonts w:ascii="Times New Roman" w:hAnsi="Times New Roman"/>
          <w:bCs/>
          <w:lang w:val="en-US"/>
        </w:rPr>
      </w:pPr>
    </w:p>
    <w:p w14:paraId="6ADD9172"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In this module, my awareness and understanding of the importance of creativity and value creation in health and social care has changed from extras to provision as a core part of the system. At first it was just that I believed that innovation was primarily about big projects in technology. Key concepts, the staff-burnout mind map, virtual-ward case study and digital tools demonstrated to me how creativity can be applied to minute-to-minute problems, which might be redesigning workflows, applying wearables for chronic conditioning support, or applying systems thinking. An emphasis on value creation is no longer solely a cost issue, but a quality/take-home issue, looking to enhance the return on investment where appropriate whilst ensuring staff wellbeing.</w:t>
      </w:r>
    </w:p>
    <w:p w14:paraId="5121B222"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 xml:space="preserve">The convergent–divergent thinking activity and reflective models were helpful to me because they created an awareness of the need to generate ideas as well as select practical solutions. In the future, I will intentionally incorporate collaborative purposeful leadership actions and evidence-informed </w:t>
      </w:r>
      <w:proofErr w:type="spellStart"/>
      <w:r w:rsidRPr="004D6F92">
        <w:rPr>
          <w:rFonts w:ascii="Times New Roman" w:hAnsi="Times New Roman"/>
          <w:bCs/>
          <w:lang w:val="en-US"/>
        </w:rPr>
        <w:t>digitisation</w:t>
      </w:r>
      <w:proofErr w:type="spellEnd"/>
      <w:r w:rsidRPr="004D6F92">
        <w:rPr>
          <w:rFonts w:ascii="Times New Roman" w:hAnsi="Times New Roman"/>
          <w:bCs/>
          <w:lang w:val="en-US"/>
        </w:rPr>
        <w:t xml:space="preserve"> in my work while creating a culture of staff members being enabled to experiment and service users to be offered enhanced experiences of care and quality of service, which is measurable.</w:t>
      </w:r>
    </w:p>
    <w:p w14:paraId="14BB959A" w14:textId="77777777" w:rsidR="004D6F92" w:rsidRDefault="004D6F92" w:rsidP="004D6F92">
      <w:pPr>
        <w:spacing w:line="360" w:lineRule="auto"/>
        <w:jc w:val="both"/>
        <w:rPr>
          <w:rFonts w:ascii="Times New Roman" w:hAnsi="Times New Roman"/>
          <w:bCs/>
          <w:lang w:val="en-US"/>
        </w:rPr>
      </w:pPr>
    </w:p>
    <w:p w14:paraId="7B66E0DA" w14:textId="77777777" w:rsidR="00C8266A" w:rsidRPr="004D6F92" w:rsidRDefault="00C8266A" w:rsidP="004D6F92">
      <w:pPr>
        <w:spacing w:line="360" w:lineRule="auto"/>
        <w:jc w:val="both"/>
        <w:rPr>
          <w:rFonts w:ascii="Times New Roman" w:hAnsi="Times New Roman"/>
          <w:bCs/>
          <w:lang w:val="en-US"/>
        </w:rPr>
      </w:pPr>
    </w:p>
    <w:p w14:paraId="34CCF5F8" w14:textId="77777777" w:rsidR="004D6F92" w:rsidRPr="004D6F92" w:rsidRDefault="004D6F92" w:rsidP="004D6F92">
      <w:pPr>
        <w:spacing w:line="360" w:lineRule="auto"/>
        <w:jc w:val="both"/>
        <w:rPr>
          <w:rFonts w:ascii="Times New Roman" w:hAnsi="Times New Roman"/>
          <w:bCs/>
          <w:color w:val="0070C0"/>
          <w:lang w:val="en-US"/>
        </w:rPr>
      </w:pPr>
    </w:p>
    <w:p w14:paraId="3604FECA" w14:textId="77777777" w:rsidR="004D6F92" w:rsidRPr="004D6F92" w:rsidRDefault="004D6F92" w:rsidP="004D6F92">
      <w:pPr>
        <w:spacing w:line="360" w:lineRule="auto"/>
        <w:jc w:val="both"/>
        <w:rPr>
          <w:rFonts w:ascii="Times New Roman" w:hAnsi="Times New Roman"/>
          <w:b/>
          <w:bCs/>
          <w:color w:val="0070C0"/>
          <w:sz w:val="28"/>
          <w:lang w:val="en-US"/>
        </w:rPr>
      </w:pPr>
      <w:r w:rsidRPr="004D6F92">
        <w:rPr>
          <w:rFonts w:ascii="Times New Roman" w:hAnsi="Times New Roman"/>
          <w:b/>
          <w:bCs/>
          <w:color w:val="0070C0"/>
          <w:sz w:val="28"/>
          <w:lang w:val="en-US"/>
        </w:rPr>
        <w:lastRenderedPageBreak/>
        <w:t>Task 8:</w:t>
      </w:r>
    </w:p>
    <w:p w14:paraId="78AF6119" w14:textId="77777777" w:rsidR="004D6F92" w:rsidRPr="004D6F92" w:rsidRDefault="004D6F92" w:rsidP="004D6F92">
      <w:pPr>
        <w:spacing w:line="360" w:lineRule="auto"/>
        <w:jc w:val="both"/>
        <w:rPr>
          <w:rFonts w:ascii="Times New Roman" w:hAnsi="Times New Roman"/>
          <w:bCs/>
          <w:color w:val="0070C0"/>
          <w:lang w:val="en-US"/>
        </w:rPr>
      </w:pPr>
    </w:p>
    <w:p w14:paraId="7B2CF47D" w14:textId="77777777" w:rsidR="004D6F92" w:rsidRPr="004D6F92" w:rsidRDefault="004D6F92" w:rsidP="004D6F92">
      <w:pPr>
        <w:spacing w:line="360" w:lineRule="auto"/>
        <w:jc w:val="both"/>
        <w:rPr>
          <w:rFonts w:ascii="Times New Roman" w:hAnsi="Times New Roman"/>
          <w:bCs/>
          <w:color w:val="0070C0"/>
          <w:lang w:val="en-US"/>
        </w:rPr>
      </w:pPr>
      <w:r w:rsidRPr="004D6F92">
        <w:rPr>
          <w:rFonts w:ascii="Times New Roman" w:hAnsi="Times New Roman"/>
          <w:bCs/>
          <w:color w:val="0070C0"/>
          <w:lang w:val="en-US"/>
        </w:rPr>
        <w:t>Self-Reflection Journal Entry</w:t>
      </w:r>
    </w:p>
    <w:p w14:paraId="06AC5BB8"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 xml:space="preserve">I have </w:t>
      </w:r>
      <w:proofErr w:type="spellStart"/>
      <w:r w:rsidRPr="004D6F92">
        <w:rPr>
          <w:rFonts w:ascii="Times New Roman" w:hAnsi="Times New Roman"/>
          <w:bCs/>
          <w:lang w:val="en-US"/>
        </w:rPr>
        <w:t>analysed</w:t>
      </w:r>
      <w:proofErr w:type="spellEnd"/>
      <w:r w:rsidRPr="004D6F92">
        <w:rPr>
          <w:rFonts w:ascii="Times New Roman" w:hAnsi="Times New Roman"/>
          <w:bCs/>
          <w:lang w:val="en-US"/>
        </w:rPr>
        <w:t xml:space="preserve"> my learning related to creativity, innovation and value creation into Gibbs' Reflective Cycle. Prior to the module, I tended to think of innovation as big technology projects. The virtual-wards case study and the staff-burnout mind map have altered this: Now I know that 'innovation' means being practical on a systems level; effective problem solving that aims to deliver an improved outcome at a lower cost (value creation); and supporting staff.</w:t>
      </w:r>
    </w:p>
    <w:p w14:paraId="1D476282" w14:textId="77777777" w:rsidR="004D6F92"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This convergent–divergent thinking activity had the greatest impact. This was an excellent exercise in producing a large number of ideas and then filtering through them to see the ones that might be feasible, as Amabile recognized that thinking skills, processes, and motivation are all required strands to achieve useful creativity through novel, appropriate solutions.</w:t>
      </w:r>
    </w:p>
    <w:p w14:paraId="569AE5B3" w14:textId="77777777" w:rsid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For future placements, I will intentionally provide opportunities for staff ideas, make the connection between improvements and purpose, and test to see if the amendments truly bring value to service users. In terms of sustainable innovation, one message I will take away is understanding and measurement of the interconnected causes, and understanding the real benefit rather than novelty.</w:t>
      </w:r>
    </w:p>
    <w:p w14:paraId="0F6AE104" w14:textId="77777777" w:rsidR="004D6F92" w:rsidRDefault="004D6F92" w:rsidP="004D6F92">
      <w:pPr>
        <w:spacing w:line="360" w:lineRule="auto"/>
        <w:jc w:val="both"/>
        <w:rPr>
          <w:rFonts w:ascii="Times New Roman" w:hAnsi="Times New Roman"/>
          <w:bCs/>
          <w:lang w:val="en-US"/>
        </w:rPr>
      </w:pPr>
    </w:p>
    <w:p w14:paraId="124719E4" w14:textId="77777777" w:rsidR="004D6F92" w:rsidRPr="004D6F92" w:rsidRDefault="004D6F92" w:rsidP="004D6F92">
      <w:pPr>
        <w:spacing w:line="360" w:lineRule="auto"/>
        <w:jc w:val="both"/>
        <w:rPr>
          <w:rFonts w:ascii="Times New Roman" w:hAnsi="Times New Roman"/>
          <w:bCs/>
          <w:lang w:val="en-US"/>
        </w:rPr>
      </w:pPr>
    </w:p>
    <w:p w14:paraId="4CB90596" w14:textId="77777777" w:rsidR="004D6F92" w:rsidRPr="004D6F92" w:rsidRDefault="004D6F92" w:rsidP="004D6F92">
      <w:pPr>
        <w:spacing w:line="360" w:lineRule="auto"/>
        <w:jc w:val="both"/>
        <w:rPr>
          <w:rFonts w:ascii="Times New Roman" w:hAnsi="Times New Roman"/>
          <w:b/>
          <w:bCs/>
          <w:color w:val="0070C0"/>
          <w:sz w:val="28"/>
          <w:lang w:val="en-US"/>
        </w:rPr>
      </w:pPr>
      <w:r w:rsidRPr="004D6F92">
        <w:rPr>
          <w:rFonts w:ascii="Times New Roman" w:hAnsi="Times New Roman"/>
          <w:b/>
          <w:bCs/>
          <w:color w:val="0070C0"/>
          <w:sz w:val="28"/>
          <w:lang w:val="en-US"/>
        </w:rPr>
        <w:t>Conclusion</w:t>
      </w:r>
    </w:p>
    <w:p w14:paraId="71182973" w14:textId="77777777" w:rsidR="001910DD" w:rsidRPr="004D6F92" w:rsidRDefault="004D6F92" w:rsidP="004D6F92">
      <w:pPr>
        <w:spacing w:line="360" w:lineRule="auto"/>
        <w:jc w:val="both"/>
        <w:rPr>
          <w:rFonts w:ascii="Times New Roman" w:hAnsi="Times New Roman"/>
          <w:bCs/>
          <w:lang w:val="en-US"/>
        </w:rPr>
      </w:pPr>
      <w:r w:rsidRPr="004D6F92">
        <w:rPr>
          <w:rFonts w:ascii="Times New Roman" w:hAnsi="Times New Roman"/>
          <w:bCs/>
          <w:lang w:val="en-US"/>
        </w:rPr>
        <w:t>To transform health and social care, you need innovation, problem-solving ability and compassionate leadership to overcome system-wide issues such as staff burnout. Through the use of digital tools and collaborative decision-making, care systems can achieve better outcomes, more efficient use of resources and a stronger sense of care, which fosters a good working life and contributes to the quality of long-term systems.</w:t>
      </w:r>
    </w:p>
    <w:p w14:paraId="46FB1870" w14:textId="77777777" w:rsidR="002B5A50" w:rsidRPr="00073509" w:rsidRDefault="002B5A50" w:rsidP="001910DD">
      <w:pPr>
        <w:spacing w:line="360" w:lineRule="auto"/>
        <w:jc w:val="both"/>
        <w:rPr>
          <w:rFonts w:ascii="Times New Roman" w:hAnsi="Times New Roman"/>
          <w:color w:val="0070C0"/>
          <w:sz w:val="28"/>
        </w:rPr>
      </w:pPr>
    </w:p>
    <w:p w14:paraId="29E55DAD" w14:textId="77777777" w:rsidR="002B5A50" w:rsidRPr="00073509" w:rsidRDefault="002B5A50" w:rsidP="002B5A50">
      <w:pPr>
        <w:spacing w:line="360" w:lineRule="auto"/>
        <w:jc w:val="both"/>
        <w:rPr>
          <w:rFonts w:ascii="Times New Roman" w:hAnsi="Times New Roman"/>
          <w:b/>
          <w:bCs/>
          <w:color w:val="0070C0"/>
          <w:sz w:val="28"/>
          <w:lang w:val="en-US"/>
        </w:rPr>
      </w:pPr>
      <w:r w:rsidRPr="00073509">
        <w:rPr>
          <w:rFonts w:ascii="Times New Roman" w:hAnsi="Times New Roman"/>
          <w:b/>
          <w:bCs/>
          <w:color w:val="0070C0"/>
          <w:sz w:val="28"/>
          <w:lang w:val="en-US"/>
        </w:rPr>
        <w:lastRenderedPageBreak/>
        <w:t>Reference List</w:t>
      </w:r>
    </w:p>
    <w:p w14:paraId="5F477948" w14:textId="77777777" w:rsidR="002B5A50" w:rsidRPr="002B5A50" w:rsidRDefault="002B5A50" w:rsidP="002B5A50">
      <w:pPr>
        <w:numPr>
          <w:ilvl w:val="0"/>
          <w:numId w:val="2"/>
        </w:numPr>
        <w:spacing w:line="360" w:lineRule="auto"/>
        <w:jc w:val="both"/>
        <w:rPr>
          <w:rFonts w:ascii="Times New Roman" w:hAnsi="Times New Roman"/>
          <w:lang w:val="en-US"/>
        </w:rPr>
      </w:pPr>
      <w:r w:rsidRPr="002B5A50">
        <w:rPr>
          <w:rFonts w:ascii="Times New Roman" w:hAnsi="Times New Roman"/>
          <w:bCs/>
          <w:lang w:val="en-US"/>
        </w:rPr>
        <w:t>Amabile, T.M.</w:t>
      </w:r>
      <w:r w:rsidRPr="002B5A50">
        <w:rPr>
          <w:rFonts w:ascii="Times New Roman" w:hAnsi="Times New Roman"/>
          <w:lang w:val="en-US"/>
        </w:rPr>
        <w:t xml:space="preserve"> (1996) </w:t>
      </w:r>
      <w:r w:rsidRPr="002B5A50">
        <w:rPr>
          <w:rFonts w:ascii="Times New Roman" w:hAnsi="Times New Roman"/>
          <w:i/>
          <w:iCs/>
          <w:lang w:val="en-US"/>
        </w:rPr>
        <w:t>Creativity in context: update to the social psychology of creativity</w:t>
      </w:r>
      <w:r w:rsidRPr="002B5A50">
        <w:rPr>
          <w:rFonts w:ascii="Times New Roman" w:hAnsi="Times New Roman"/>
          <w:lang w:val="en-US"/>
        </w:rPr>
        <w:t>. Boulder: Westview Press.</w:t>
      </w:r>
    </w:p>
    <w:p w14:paraId="5404AB47" w14:textId="77777777" w:rsidR="002B5A50" w:rsidRPr="002B5A50" w:rsidRDefault="002B5A50" w:rsidP="002B5A50">
      <w:pPr>
        <w:numPr>
          <w:ilvl w:val="0"/>
          <w:numId w:val="2"/>
        </w:numPr>
        <w:spacing w:line="360" w:lineRule="auto"/>
        <w:jc w:val="both"/>
        <w:rPr>
          <w:rFonts w:ascii="Times New Roman" w:hAnsi="Times New Roman"/>
          <w:lang w:val="en-US"/>
        </w:rPr>
      </w:pPr>
      <w:r w:rsidRPr="002B5A50">
        <w:rPr>
          <w:rFonts w:ascii="Times New Roman" w:hAnsi="Times New Roman"/>
          <w:bCs/>
          <w:lang w:val="en-US"/>
        </w:rPr>
        <w:t>Bass, B.M. and Avolio, B.J.</w:t>
      </w:r>
      <w:r w:rsidRPr="002B5A50">
        <w:rPr>
          <w:rFonts w:ascii="Times New Roman" w:hAnsi="Times New Roman"/>
          <w:lang w:val="en-US"/>
        </w:rPr>
        <w:t xml:space="preserve"> (1994) </w:t>
      </w:r>
      <w:r w:rsidRPr="002B5A50">
        <w:rPr>
          <w:rFonts w:ascii="Times New Roman" w:hAnsi="Times New Roman"/>
          <w:i/>
          <w:iCs/>
          <w:lang w:val="en-US"/>
        </w:rPr>
        <w:t>Improving organizational effectiveness through transformational leadership</w:t>
      </w:r>
      <w:r w:rsidRPr="002B5A50">
        <w:rPr>
          <w:rFonts w:ascii="Times New Roman" w:hAnsi="Times New Roman"/>
          <w:lang w:val="en-US"/>
        </w:rPr>
        <w:t>. Thousand Oaks: SAGE Publications.</w:t>
      </w:r>
    </w:p>
    <w:p w14:paraId="522BA0C1" w14:textId="77777777" w:rsidR="002B5A50" w:rsidRPr="002B5A50" w:rsidRDefault="002B5A50" w:rsidP="002B5A50">
      <w:pPr>
        <w:numPr>
          <w:ilvl w:val="0"/>
          <w:numId w:val="2"/>
        </w:numPr>
        <w:spacing w:line="360" w:lineRule="auto"/>
        <w:jc w:val="both"/>
        <w:rPr>
          <w:rFonts w:ascii="Times New Roman" w:hAnsi="Times New Roman"/>
          <w:lang w:val="en-US"/>
        </w:rPr>
      </w:pPr>
      <w:r w:rsidRPr="002B5A50">
        <w:rPr>
          <w:rFonts w:ascii="Times New Roman" w:hAnsi="Times New Roman"/>
          <w:bCs/>
          <w:lang w:val="en-US"/>
        </w:rPr>
        <w:t>Burnes, B.</w:t>
      </w:r>
      <w:r w:rsidRPr="002B5A50">
        <w:rPr>
          <w:rFonts w:ascii="Times New Roman" w:hAnsi="Times New Roman"/>
          <w:lang w:val="en-US"/>
        </w:rPr>
        <w:t xml:space="preserve"> (2017) </w:t>
      </w:r>
      <w:r w:rsidRPr="002B5A50">
        <w:rPr>
          <w:rFonts w:ascii="Times New Roman" w:hAnsi="Times New Roman"/>
          <w:i/>
          <w:iCs/>
          <w:lang w:val="en-US"/>
        </w:rPr>
        <w:t>Managing change</w:t>
      </w:r>
      <w:r w:rsidRPr="002B5A50">
        <w:rPr>
          <w:rFonts w:ascii="Times New Roman" w:hAnsi="Times New Roman"/>
          <w:lang w:val="en-US"/>
        </w:rPr>
        <w:t xml:space="preserve">. 7th </w:t>
      </w:r>
      <w:proofErr w:type="spellStart"/>
      <w:r w:rsidRPr="002B5A50">
        <w:rPr>
          <w:rFonts w:ascii="Times New Roman" w:hAnsi="Times New Roman"/>
          <w:lang w:val="en-US"/>
        </w:rPr>
        <w:t>edn</w:t>
      </w:r>
      <w:proofErr w:type="spellEnd"/>
      <w:r w:rsidRPr="002B5A50">
        <w:rPr>
          <w:rFonts w:ascii="Times New Roman" w:hAnsi="Times New Roman"/>
          <w:lang w:val="en-US"/>
        </w:rPr>
        <w:t>. Harlow: Pearson Education.</w:t>
      </w:r>
    </w:p>
    <w:p w14:paraId="6EC2DD68" w14:textId="77777777" w:rsidR="002B5A50" w:rsidRPr="002B5A50" w:rsidRDefault="002B5A50" w:rsidP="002B5A50">
      <w:pPr>
        <w:numPr>
          <w:ilvl w:val="0"/>
          <w:numId w:val="2"/>
        </w:numPr>
        <w:spacing w:line="360" w:lineRule="auto"/>
        <w:jc w:val="both"/>
        <w:rPr>
          <w:rFonts w:ascii="Times New Roman" w:hAnsi="Times New Roman"/>
          <w:lang w:val="en-US"/>
        </w:rPr>
      </w:pPr>
      <w:proofErr w:type="spellStart"/>
      <w:r w:rsidRPr="002B5A50">
        <w:rPr>
          <w:rFonts w:ascii="Times New Roman" w:hAnsi="Times New Roman"/>
          <w:bCs/>
          <w:lang w:val="en-US"/>
        </w:rPr>
        <w:t>Dall’Ora</w:t>
      </w:r>
      <w:proofErr w:type="spellEnd"/>
      <w:r w:rsidRPr="002B5A50">
        <w:rPr>
          <w:rFonts w:ascii="Times New Roman" w:hAnsi="Times New Roman"/>
          <w:bCs/>
          <w:lang w:val="en-US"/>
        </w:rPr>
        <w:t xml:space="preserve">, C., Ball, J., </w:t>
      </w:r>
      <w:proofErr w:type="spellStart"/>
      <w:r w:rsidRPr="002B5A50">
        <w:rPr>
          <w:rFonts w:ascii="Times New Roman" w:hAnsi="Times New Roman"/>
          <w:bCs/>
          <w:lang w:val="en-US"/>
        </w:rPr>
        <w:t>Reinius</w:t>
      </w:r>
      <w:proofErr w:type="spellEnd"/>
      <w:r w:rsidRPr="002B5A50">
        <w:rPr>
          <w:rFonts w:ascii="Times New Roman" w:hAnsi="Times New Roman"/>
          <w:bCs/>
          <w:lang w:val="en-US"/>
        </w:rPr>
        <w:t>, M. and Griffiths, P.</w:t>
      </w:r>
      <w:r w:rsidRPr="002B5A50">
        <w:rPr>
          <w:rFonts w:ascii="Times New Roman" w:hAnsi="Times New Roman"/>
          <w:lang w:val="en-US"/>
        </w:rPr>
        <w:t xml:space="preserve"> (2020) 'Burnout in nursing: a theoretical review', </w:t>
      </w:r>
      <w:r w:rsidRPr="002B5A50">
        <w:rPr>
          <w:rFonts w:ascii="Times New Roman" w:hAnsi="Times New Roman"/>
          <w:i/>
          <w:iCs/>
          <w:lang w:val="en-US"/>
        </w:rPr>
        <w:t>Human Resources for Health</w:t>
      </w:r>
      <w:r w:rsidRPr="002B5A50">
        <w:rPr>
          <w:rFonts w:ascii="Times New Roman" w:hAnsi="Times New Roman"/>
          <w:lang w:val="en-US"/>
        </w:rPr>
        <w:t xml:space="preserve">, 18(1), pp. 1–17. Available at: </w:t>
      </w:r>
      <w:hyperlink r:id="rId9" w:tgtFrame="_blank" w:history="1">
        <w:r w:rsidRPr="002B5A50">
          <w:rPr>
            <w:rStyle w:val="Hyperlink"/>
            <w:rFonts w:ascii="Times New Roman" w:hAnsi="Times New Roman"/>
            <w:lang w:val="en-US"/>
          </w:rPr>
          <w:t>https://doi.org/10.1186/s12960-020-00486-9</w:t>
        </w:r>
      </w:hyperlink>
      <w:r w:rsidRPr="002B5A50">
        <w:rPr>
          <w:rFonts w:ascii="Times New Roman" w:hAnsi="Times New Roman"/>
          <w:lang w:val="en-US"/>
        </w:rPr>
        <w:t xml:space="preserve"> (Accessed: 31 July 2026).</w:t>
      </w:r>
    </w:p>
    <w:p w14:paraId="44B4E20E" w14:textId="77777777" w:rsidR="002B5A50" w:rsidRPr="002B5A50" w:rsidRDefault="002B5A50" w:rsidP="002B5A50">
      <w:pPr>
        <w:numPr>
          <w:ilvl w:val="0"/>
          <w:numId w:val="2"/>
        </w:numPr>
        <w:spacing w:line="360" w:lineRule="auto"/>
        <w:jc w:val="both"/>
        <w:rPr>
          <w:rFonts w:ascii="Times New Roman" w:hAnsi="Times New Roman"/>
          <w:lang w:val="en-US"/>
        </w:rPr>
      </w:pPr>
      <w:r w:rsidRPr="002B5A50">
        <w:rPr>
          <w:rFonts w:ascii="Times New Roman" w:hAnsi="Times New Roman"/>
          <w:bCs/>
          <w:lang w:val="en-US"/>
        </w:rPr>
        <w:t>Davis, F.D.</w:t>
      </w:r>
      <w:r w:rsidRPr="002B5A50">
        <w:rPr>
          <w:rFonts w:ascii="Times New Roman" w:hAnsi="Times New Roman"/>
          <w:lang w:val="en-US"/>
        </w:rPr>
        <w:t xml:space="preserve"> (1989) 'Perceived usefulness, perceived ease of use, and user acceptance of information technology', </w:t>
      </w:r>
      <w:r w:rsidRPr="002B5A50">
        <w:rPr>
          <w:rFonts w:ascii="Times New Roman" w:hAnsi="Times New Roman"/>
          <w:i/>
          <w:iCs/>
          <w:lang w:val="en-US"/>
        </w:rPr>
        <w:t>MIS Quarterly</w:t>
      </w:r>
      <w:r w:rsidRPr="002B5A50">
        <w:rPr>
          <w:rFonts w:ascii="Times New Roman" w:hAnsi="Times New Roman"/>
          <w:lang w:val="en-US"/>
        </w:rPr>
        <w:t>, 13(3), pp. 319–340.</w:t>
      </w:r>
    </w:p>
    <w:p w14:paraId="6A5115EA" w14:textId="77777777" w:rsidR="002B5A50" w:rsidRPr="002B5A50" w:rsidRDefault="002B5A50" w:rsidP="002B5A50">
      <w:pPr>
        <w:numPr>
          <w:ilvl w:val="0"/>
          <w:numId w:val="2"/>
        </w:numPr>
        <w:spacing w:line="360" w:lineRule="auto"/>
        <w:jc w:val="both"/>
        <w:rPr>
          <w:rFonts w:ascii="Times New Roman" w:hAnsi="Times New Roman"/>
          <w:lang w:val="en-US"/>
        </w:rPr>
      </w:pPr>
      <w:r w:rsidRPr="002B5A50">
        <w:rPr>
          <w:rFonts w:ascii="Times New Roman" w:hAnsi="Times New Roman"/>
          <w:bCs/>
          <w:lang w:val="en-US"/>
        </w:rPr>
        <w:t>Gibbs, G.</w:t>
      </w:r>
      <w:r w:rsidRPr="002B5A50">
        <w:rPr>
          <w:rFonts w:ascii="Times New Roman" w:hAnsi="Times New Roman"/>
          <w:lang w:val="en-US"/>
        </w:rPr>
        <w:t xml:space="preserve"> (1988) </w:t>
      </w:r>
      <w:r w:rsidRPr="002B5A50">
        <w:rPr>
          <w:rFonts w:ascii="Times New Roman" w:hAnsi="Times New Roman"/>
          <w:i/>
          <w:iCs/>
          <w:lang w:val="en-US"/>
        </w:rPr>
        <w:t>Learning by doing: a guide to teaching and learning methods</w:t>
      </w:r>
      <w:r w:rsidRPr="002B5A50">
        <w:rPr>
          <w:rFonts w:ascii="Times New Roman" w:hAnsi="Times New Roman"/>
          <w:lang w:val="en-US"/>
        </w:rPr>
        <w:t>. Further Education Unit. Oxford: Oxford Polytechnic.</w:t>
      </w:r>
    </w:p>
    <w:p w14:paraId="43C2A240" w14:textId="77777777" w:rsidR="002B5A50" w:rsidRPr="002B5A50" w:rsidRDefault="002B5A50" w:rsidP="002B5A50">
      <w:pPr>
        <w:numPr>
          <w:ilvl w:val="0"/>
          <w:numId w:val="2"/>
        </w:numPr>
        <w:spacing w:line="360" w:lineRule="auto"/>
        <w:jc w:val="both"/>
        <w:rPr>
          <w:rFonts w:ascii="Times New Roman" w:hAnsi="Times New Roman"/>
          <w:lang w:val="en-US"/>
        </w:rPr>
      </w:pPr>
      <w:r w:rsidRPr="002B5A50">
        <w:rPr>
          <w:rFonts w:ascii="Times New Roman" w:hAnsi="Times New Roman"/>
          <w:bCs/>
          <w:lang w:val="en-US"/>
        </w:rPr>
        <w:t>Guilford, J.P.</w:t>
      </w:r>
      <w:r w:rsidRPr="002B5A50">
        <w:rPr>
          <w:rFonts w:ascii="Times New Roman" w:hAnsi="Times New Roman"/>
          <w:lang w:val="en-US"/>
        </w:rPr>
        <w:t xml:space="preserve"> (1967) </w:t>
      </w:r>
      <w:r w:rsidRPr="002B5A50">
        <w:rPr>
          <w:rFonts w:ascii="Times New Roman" w:hAnsi="Times New Roman"/>
          <w:i/>
          <w:iCs/>
          <w:lang w:val="en-US"/>
        </w:rPr>
        <w:t>The nature of human intelligence</w:t>
      </w:r>
      <w:r w:rsidRPr="002B5A50">
        <w:rPr>
          <w:rFonts w:ascii="Times New Roman" w:hAnsi="Times New Roman"/>
          <w:lang w:val="en-US"/>
        </w:rPr>
        <w:t>. New York: McGraw-Hill.</w:t>
      </w:r>
    </w:p>
    <w:p w14:paraId="1CD74ED7" w14:textId="77777777" w:rsidR="002B5A50" w:rsidRPr="002B5A50" w:rsidRDefault="002B5A50" w:rsidP="002B5A50">
      <w:pPr>
        <w:numPr>
          <w:ilvl w:val="0"/>
          <w:numId w:val="2"/>
        </w:numPr>
        <w:spacing w:line="360" w:lineRule="auto"/>
        <w:jc w:val="both"/>
        <w:rPr>
          <w:rFonts w:ascii="Times New Roman" w:hAnsi="Times New Roman"/>
          <w:lang w:val="en-US"/>
        </w:rPr>
      </w:pPr>
      <w:r w:rsidRPr="002B5A50">
        <w:rPr>
          <w:rFonts w:ascii="Times New Roman" w:hAnsi="Times New Roman"/>
          <w:bCs/>
          <w:lang w:val="en-US"/>
        </w:rPr>
        <w:t>Meadows, D.H.</w:t>
      </w:r>
      <w:r w:rsidRPr="002B5A50">
        <w:rPr>
          <w:rFonts w:ascii="Times New Roman" w:hAnsi="Times New Roman"/>
          <w:lang w:val="en-US"/>
        </w:rPr>
        <w:t xml:space="preserve"> (2008) </w:t>
      </w:r>
      <w:r w:rsidRPr="002B5A50">
        <w:rPr>
          <w:rFonts w:ascii="Times New Roman" w:hAnsi="Times New Roman"/>
          <w:i/>
          <w:iCs/>
          <w:lang w:val="en-US"/>
        </w:rPr>
        <w:t>Thinking in systems: a primer</w:t>
      </w:r>
      <w:r w:rsidRPr="002B5A50">
        <w:rPr>
          <w:rFonts w:ascii="Times New Roman" w:hAnsi="Times New Roman"/>
          <w:lang w:val="en-US"/>
        </w:rPr>
        <w:t>. White River Junction: Chelsea Green Publishing.</w:t>
      </w:r>
    </w:p>
    <w:p w14:paraId="0AF83C91" w14:textId="77777777" w:rsidR="002B5A50" w:rsidRPr="002B5A50" w:rsidRDefault="002B5A50" w:rsidP="002B5A50">
      <w:pPr>
        <w:numPr>
          <w:ilvl w:val="0"/>
          <w:numId w:val="2"/>
        </w:numPr>
        <w:spacing w:line="360" w:lineRule="auto"/>
        <w:jc w:val="both"/>
        <w:rPr>
          <w:rFonts w:ascii="Times New Roman" w:hAnsi="Times New Roman"/>
          <w:lang w:val="en-US"/>
        </w:rPr>
      </w:pPr>
      <w:r w:rsidRPr="002B5A50">
        <w:rPr>
          <w:rFonts w:ascii="Times New Roman" w:hAnsi="Times New Roman"/>
          <w:bCs/>
          <w:lang w:val="en-US"/>
        </w:rPr>
        <w:t xml:space="preserve">Meredith, L.S., Bouskill, K.E., Chang, J., Bellows, B.K., Chen, E.K., </w:t>
      </w:r>
      <w:proofErr w:type="spellStart"/>
      <w:r w:rsidRPr="002B5A50">
        <w:rPr>
          <w:rFonts w:ascii="Times New Roman" w:hAnsi="Times New Roman"/>
          <w:bCs/>
          <w:lang w:val="en-US"/>
        </w:rPr>
        <w:t>Shanman</w:t>
      </w:r>
      <w:proofErr w:type="spellEnd"/>
      <w:r w:rsidRPr="002B5A50">
        <w:rPr>
          <w:rFonts w:ascii="Times New Roman" w:hAnsi="Times New Roman"/>
          <w:bCs/>
          <w:lang w:val="en-US"/>
        </w:rPr>
        <w:t>, R. and Hempel, S.</w:t>
      </w:r>
      <w:r w:rsidRPr="002B5A50">
        <w:rPr>
          <w:rFonts w:ascii="Times New Roman" w:hAnsi="Times New Roman"/>
          <w:lang w:val="en-US"/>
        </w:rPr>
        <w:t xml:space="preserve"> (2022) 'Predictors of burnout among US healthcare providers: a systematic review', </w:t>
      </w:r>
      <w:r w:rsidRPr="002B5A50">
        <w:rPr>
          <w:rFonts w:ascii="Times New Roman" w:hAnsi="Times New Roman"/>
          <w:i/>
          <w:iCs/>
          <w:lang w:val="en-US"/>
        </w:rPr>
        <w:t>BMJ Open</w:t>
      </w:r>
      <w:r w:rsidRPr="002B5A50">
        <w:rPr>
          <w:rFonts w:ascii="Times New Roman" w:hAnsi="Times New Roman"/>
          <w:lang w:val="en-US"/>
        </w:rPr>
        <w:t xml:space="preserve">, 12(8), e054243. Available at: </w:t>
      </w:r>
      <w:hyperlink r:id="rId10" w:tgtFrame="_blank" w:history="1">
        <w:r w:rsidRPr="002B5A50">
          <w:rPr>
            <w:rStyle w:val="Hyperlink"/>
            <w:rFonts w:ascii="Times New Roman" w:hAnsi="Times New Roman"/>
            <w:lang w:val="en-US"/>
          </w:rPr>
          <w:t>https://doi.org/10.1136/bmjopen-2021-054243</w:t>
        </w:r>
      </w:hyperlink>
      <w:r w:rsidRPr="002B5A50">
        <w:rPr>
          <w:rFonts w:ascii="Times New Roman" w:hAnsi="Times New Roman"/>
          <w:lang w:val="en-US"/>
        </w:rPr>
        <w:t xml:space="preserve"> (Accessed: 31 July 2026).</w:t>
      </w:r>
    </w:p>
    <w:p w14:paraId="70382B77" w14:textId="77777777" w:rsidR="002B5A50" w:rsidRPr="002B5A50" w:rsidRDefault="002B5A50" w:rsidP="002B5A50">
      <w:pPr>
        <w:numPr>
          <w:ilvl w:val="0"/>
          <w:numId w:val="2"/>
        </w:numPr>
        <w:spacing w:line="360" w:lineRule="auto"/>
        <w:jc w:val="both"/>
        <w:rPr>
          <w:rFonts w:ascii="Times New Roman" w:hAnsi="Times New Roman"/>
          <w:lang w:val="en-US"/>
        </w:rPr>
      </w:pPr>
      <w:r w:rsidRPr="002B5A50">
        <w:rPr>
          <w:rFonts w:ascii="Times New Roman" w:hAnsi="Times New Roman"/>
          <w:bCs/>
          <w:lang w:val="en-US"/>
        </w:rPr>
        <w:t>NHS Leadership Academy</w:t>
      </w:r>
      <w:r w:rsidRPr="002B5A50">
        <w:rPr>
          <w:rFonts w:ascii="Times New Roman" w:hAnsi="Times New Roman"/>
          <w:lang w:val="en-US"/>
        </w:rPr>
        <w:t xml:space="preserve"> (2013) </w:t>
      </w:r>
      <w:r w:rsidRPr="002B5A50">
        <w:rPr>
          <w:rFonts w:ascii="Times New Roman" w:hAnsi="Times New Roman"/>
          <w:i/>
          <w:iCs/>
          <w:lang w:val="en-US"/>
        </w:rPr>
        <w:t xml:space="preserve">Healthcare leadership model: the nine dimensions of leadership </w:t>
      </w:r>
      <w:proofErr w:type="spellStart"/>
      <w:r w:rsidRPr="002B5A50">
        <w:rPr>
          <w:rFonts w:ascii="Times New Roman" w:hAnsi="Times New Roman"/>
          <w:i/>
          <w:iCs/>
          <w:lang w:val="en-US"/>
        </w:rPr>
        <w:t>behaviour</w:t>
      </w:r>
      <w:proofErr w:type="spellEnd"/>
      <w:r w:rsidRPr="002B5A50">
        <w:rPr>
          <w:rFonts w:ascii="Times New Roman" w:hAnsi="Times New Roman"/>
          <w:lang w:val="en-US"/>
        </w:rPr>
        <w:t xml:space="preserve">. Leeds: NHS Leadership Academy. Available at: </w:t>
      </w:r>
      <w:hyperlink r:id="rId11" w:tgtFrame="_blank" w:history="1">
        <w:r w:rsidRPr="002B5A50">
          <w:rPr>
            <w:rStyle w:val="Hyperlink"/>
            <w:rFonts w:ascii="Times New Roman" w:hAnsi="Times New Roman"/>
            <w:lang w:val="en-US"/>
          </w:rPr>
          <w:t>https://www.leadershipacademy.nhs.uk/resources/healthcare-leadership-model/</w:t>
        </w:r>
      </w:hyperlink>
      <w:r w:rsidRPr="002B5A50">
        <w:rPr>
          <w:rFonts w:ascii="Times New Roman" w:hAnsi="Times New Roman"/>
          <w:lang w:val="en-US"/>
        </w:rPr>
        <w:t xml:space="preserve"> (Accessed: 31 July 2026).</w:t>
      </w:r>
    </w:p>
    <w:p w14:paraId="35E85530" w14:textId="77777777" w:rsidR="002B5A50" w:rsidRPr="002B5A50" w:rsidRDefault="002B5A50" w:rsidP="002B5A50">
      <w:pPr>
        <w:numPr>
          <w:ilvl w:val="0"/>
          <w:numId w:val="2"/>
        </w:numPr>
        <w:spacing w:line="360" w:lineRule="auto"/>
        <w:jc w:val="both"/>
        <w:rPr>
          <w:rFonts w:ascii="Times New Roman" w:hAnsi="Times New Roman"/>
          <w:lang w:val="en-US"/>
        </w:rPr>
      </w:pPr>
      <w:r w:rsidRPr="002B5A50">
        <w:rPr>
          <w:rFonts w:ascii="Times New Roman" w:hAnsi="Times New Roman"/>
          <w:bCs/>
          <w:lang w:val="en-US"/>
        </w:rPr>
        <w:t>Porter, M.E.</w:t>
      </w:r>
      <w:r w:rsidRPr="002B5A50">
        <w:rPr>
          <w:rFonts w:ascii="Times New Roman" w:hAnsi="Times New Roman"/>
          <w:lang w:val="en-US"/>
        </w:rPr>
        <w:t xml:space="preserve"> (2010) 'What is value in health care?', </w:t>
      </w:r>
      <w:r w:rsidRPr="002B5A50">
        <w:rPr>
          <w:rFonts w:ascii="Times New Roman" w:hAnsi="Times New Roman"/>
          <w:i/>
          <w:iCs/>
          <w:lang w:val="en-US"/>
        </w:rPr>
        <w:t>The New England Journal of Medicine</w:t>
      </w:r>
      <w:r w:rsidRPr="002B5A50">
        <w:rPr>
          <w:rFonts w:ascii="Times New Roman" w:hAnsi="Times New Roman"/>
          <w:lang w:val="en-US"/>
        </w:rPr>
        <w:t xml:space="preserve">, 363(26), pp. 2477–2481. Available at: </w:t>
      </w:r>
      <w:hyperlink r:id="rId12" w:tgtFrame="_blank" w:history="1">
        <w:r w:rsidRPr="002B5A50">
          <w:rPr>
            <w:rStyle w:val="Hyperlink"/>
            <w:rFonts w:ascii="Times New Roman" w:hAnsi="Times New Roman"/>
            <w:lang w:val="en-US"/>
          </w:rPr>
          <w:t>https://doi.org/10.1056/NEJMp1011024</w:t>
        </w:r>
      </w:hyperlink>
      <w:r w:rsidRPr="002B5A50">
        <w:rPr>
          <w:rFonts w:ascii="Times New Roman" w:hAnsi="Times New Roman"/>
          <w:lang w:val="en-US"/>
        </w:rPr>
        <w:t xml:space="preserve"> (Accessed: 31 July 2026).</w:t>
      </w:r>
    </w:p>
    <w:p w14:paraId="2D18EE14" w14:textId="77777777" w:rsidR="002B5A50" w:rsidRPr="002B5A50" w:rsidRDefault="002B5A50" w:rsidP="002B5A50">
      <w:pPr>
        <w:numPr>
          <w:ilvl w:val="0"/>
          <w:numId w:val="2"/>
        </w:numPr>
        <w:spacing w:line="360" w:lineRule="auto"/>
        <w:jc w:val="both"/>
        <w:rPr>
          <w:rFonts w:ascii="Times New Roman" w:hAnsi="Times New Roman"/>
          <w:lang w:val="en-US"/>
        </w:rPr>
      </w:pPr>
      <w:r w:rsidRPr="002B5A50">
        <w:rPr>
          <w:rFonts w:ascii="Times New Roman" w:hAnsi="Times New Roman"/>
          <w:bCs/>
          <w:lang w:val="en-US"/>
        </w:rPr>
        <w:lastRenderedPageBreak/>
        <w:t>Rogers, E.M.</w:t>
      </w:r>
      <w:r w:rsidRPr="002B5A50">
        <w:rPr>
          <w:rFonts w:ascii="Times New Roman" w:hAnsi="Times New Roman"/>
          <w:lang w:val="en-US"/>
        </w:rPr>
        <w:t xml:space="preserve"> (2003) </w:t>
      </w:r>
      <w:r w:rsidRPr="002B5A50">
        <w:rPr>
          <w:rFonts w:ascii="Times New Roman" w:hAnsi="Times New Roman"/>
          <w:i/>
          <w:iCs/>
          <w:lang w:val="en-US"/>
        </w:rPr>
        <w:t>Diffusion of innovations</w:t>
      </w:r>
      <w:r w:rsidRPr="002B5A50">
        <w:rPr>
          <w:rFonts w:ascii="Times New Roman" w:hAnsi="Times New Roman"/>
          <w:lang w:val="en-US"/>
        </w:rPr>
        <w:t xml:space="preserve">. 5th </w:t>
      </w:r>
      <w:proofErr w:type="spellStart"/>
      <w:r w:rsidRPr="002B5A50">
        <w:rPr>
          <w:rFonts w:ascii="Times New Roman" w:hAnsi="Times New Roman"/>
          <w:lang w:val="en-US"/>
        </w:rPr>
        <w:t>edn</w:t>
      </w:r>
      <w:proofErr w:type="spellEnd"/>
      <w:r w:rsidRPr="002B5A50">
        <w:rPr>
          <w:rFonts w:ascii="Times New Roman" w:hAnsi="Times New Roman"/>
          <w:lang w:val="en-US"/>
        </w:rPr>
        <w:t>. New York: Free Press.</w:t>
      </w:r>
    </w:p>
    <w:p w14:paraId="30722E5D" w14:textId="77777777" w:rsidR="002B5A50" w:rsidRPr="001910DD" w:rsidRDefault="002B5A50" w:rsidP="001910DD">
      <w:pPr>
        <w:spacing w:line="360" w:lineRule="auto"/>
        <w:jc w:val="both"/>
        <w:rPr>
          <w:rFonts w:ascii="Times New Roman" w:hAnsi="Times New Roman"/>
        </w:rPr>
      </w:pPr>
    </w:p>
    <w:sectPr w:rsidR="002B5A50" w:rsidRPr="001910DD">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04A402" w14:textId="77777777" w:rsidR="009F51C7" w:rsidRDefault="009F51C7" w:rsidP="00B376D7">
      <w:pPr>
        <w:spacing w:after="0" w:line="240" w:lineRule="auto"/>
      </w:pPr>
      <w:r>
        <w:separator/>
      </w:r>
    </w:p>
  </w:endnote>
  <w:endnote w:type="continuationSeparator" w:id="0">
    <w:p w14:paraId="495D9FD8" w14:textId="77777777" w:rsidR="009F51C7" w:rsidRDefault="009F51C7" w:rsidP="00B376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altName w:val="Calibri"/>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9273419"/>
      <w:docPartObj>
        <w:docPartGallery w:val="Page Numbers (Bottom of Page)"/>
        <w:docPartUnique/>
      </w:docPartObj>
    </w:sdtPr>
    <w:sdtEndPr>
      <w:rPr>
        <w:noProof/>
      </w:rPr>
    </w:sdtEndPr>
    <w:sdtContent>
      <w:p w14:paraId="09A403EB" w14:textId="77777777" w:rsidR="00B376D7" w:rsidRDefault="00B376D7">
        <w:pPr>
          <w:pStyle w:val="Footer"/>
          <w:jc w:val="center"/>
        </w:pPr>
        <w:r>
          <w:fldChar w:fldCharType="begin"/>
        </w:r>
        <w:r>
          <w:instrText xml:space="preserve"> PAGE   \* MERGEFORMAT </w:instrText>
        </w:r>
        <w:r>
          <w:fldChar w:fldCharType="separate"/>
        </w:r>
        <w:r w:rsidR="00193EE0">
          <w:rPr>
            <w:noProof/>
          </w:rPr>
          <w:t>13</w:t>
        </w:r>
        <w:r>
          <w:rPr>
            <w:noProof/>
          </w:rPr>
          <w:fldChar w:fldCharType="end"/>
        </w:r>
      </w:p>
    </w:sdtContent>
  </w:sdt>
  <w:p w14:paraId="74371181" w14:textId="77777777" w:rsidR="00B376D7" w:rsidRDefault="00B376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31F684" w14:textId="77777777" w:rsidR="009F51C7" w:rsidRDefault="009F51C7" w:rsidP="00B376D7">
      <w:pPr>
        <w:spacing w:after="0" w:line="240" w:lineRule="auto"/>
      </w:pPr>
      <w:r>
        <w:separator/>
      </w:r>
    </w:p>
  </w:footnote>
  <w:footnote w:type="continuationSeparator" w:id="0">
    <w:p w14:paraId="3210CF0A" w14:textId="77777777" w:rsidR="009F51C7" w:rsidRDefault="009F51C7" w:rsidP="00B376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72112"/>
    <w:multiLevelType w:val="hybridMultilevel"/>
    <w:tmpl w:val="425E80D2"/>
    <w:lvl w:ilvl="0" w:tplc="B652128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737C4B"/>
    <w:multiLevelType w:val="multilevel"/>
    <w:tmpl w:val="2AF08F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1D35"/>
    <w:rsid w:val="000004AC"/>
    <w:rsid w:val="00000AC4"/>
    <w:rsid w:val="00065727"/>
    <w:rsid w:val="00073509"/>
    <w:rsid w:val="001910DD"/>
    <w:rsid w:val="00193EE0"/>
    <w:rsid w:val="00213ABB"/>
    <w:rsid w:val="002727C2"/>
    <w:rsid w:val="002B5A50"/>
    <w:rsid w:val="004A474D"/>
    <w:rsid w:val="004D6F92"/>
    <w:rsid w:val="004F03CC"/>
    <w:rsid w:val="006846DA"/>
    <w:rsid w:val="0069090B"/>
    <w:rsid w:val="008C17EB"/>
    <w:rsid w:val="00932E89"/>
    <w:rsid w:val="009F51C7"/>
    <w:rsid w:val="00A632AF"/>
    <w:rsid w:val="00AC5202"/>
    <w:rsid w:val="00B302DB"/>
    <w:rsid w:val="00B376D7"/>
    <w:rsid w:val="00B67CF6"/>
    <w:rsid w:val="00C76578"/>
    <w:rsid w:val="00C8266A"/>
    <w:rsid w:val="00D7472F"/>
    <w:rsid w:val="00F91D35"/>
    <w:rsid w:val="00FF3F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43DBC"/>
  <w15:chartTrackingRefBased/>
  <w15:docId w15:val="{69AED020-1822-4375-AED9-1324701D4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1D35"/>
    <w:pPr>
      <w:spacing w:line="278" w:lineRule="auto"/>
    </w:pPr>
    <w:rPr>
      <w:rFonts w:ascii="Aptos" w:eastAsia="Aptos" w:hAnsi="Aptos" w:cs="Times New Roman"/>
      <w:kern w:val="2"/>
      <w:sz w:val="24"/>
      <w:szCs w:val="24"/>
      <w:lang w:val="en-GB"/>
    </w:rPr>
  </w:style>
  <w:style w:type="paragraph" w:styleId="Heading1">
    <w:name w:val="heading 1"/>
    <w:basedOn w:val="Normal"/>
    <w:next w:val="Normal"/>
    <w:link w:val="Heading1Char"/>
    <w:uiPriority w:val="9"/>
    <w:qFormat/>
    <w:rsid w:val="0006572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0004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uiPriority w:val="22"/>
    <w:qFormat/>
    <w:rsid w:val="00F91D35"/>
    <w:rPr>
      <w:b/>
      <w:bCs/>
    </w:rPr>
  </w:style>
  <w:style w:type="character" w:customStyle="1" w:styleId="Heading1Char">
    <w:name w:val="Heading 1 Char"/>
    <w:basedOn w:val="DefaultParagraphFont"/>
    <w:link w:val="Heading1"/>
    <w:uiPriority w:val="9"/>
    <w:rsid w:val="00065727"/>
    <w:rPr>
      <w:rFonts w:asciiTheme="majorHAnsi" w:eastAsiaTheme="majorEastAsia" w:hAnsiTheme="majorHAnsi" w:cstheme="majorBidi"/>
      <w:color w:val="2E74B5" w:themeColor="accent1" w:themeShade="BF"/>
      <w:kern w:val="2"/>
      <w:sz w:val="32"/>
      <w:szCs w:val="32"/>
      <w:lang w:val="en-GB"/>
    </w:rPr>
  </w:style>
  <w:style w:type="paragraph" w:styleId="TOCHeading">
    <w:name w:val="TOC Heading"/>
    <w:basedOn w:val="Heading1"/>
    <w:next w:val="Normal"/>
    <w:uiPriority w:val="39"/>
    <w:unhideWhenUsed/>
    <w:qFormat/>
    <w:rsid w:val="00065727"/>
    <w:pPr>
      <w:spacing w:line="259" w:lineRule="auto"/>
      <w:outlineLvl w:val="9"/>
    </w:pPr>
    <w:rPr>
      <w:kern w:val="0"/>
      <w:lang w:val="en-US"/>
    </w:rPr>
  </w:style>
  <w:style w:type="paragraph" w:styleId="TOC2">
    <w:name w:val="toc 2"/>
    <w:basedOn w:val="Normal"/>
    <w:next w:val="Normal"/>
    <w:autoRedefine/>
    <w:uiPriority w:val="39"/>
    <w:unhideWhenUsed/>
    <w:rsid w:val="00065727"/>
    <w:pPr>
      <w:spacing w:after="100" w:line="259" w:lineRule="auto"/>
      <w:ind w:left="220"/>
    </w:pPr>
    <w:rPr>
      <w:rFonts w:asciiTheme="minorHAnsi" w:eastAsiaTheme="minorEastAsia" w:hAnsiTheme="minorHAnsi"/>
      <w:kern w:val="0"/>
      <w:sz w:val="22"/>
      <w:szCs w:val="22"/>
      <w:lang w:val="en-US"/>
    </w:rPr>
  </w:style>
  <w:style w:type="paragraph" w:styleId="TOC1">
    <w:name w:val="toc 1"/>
    <w:basedOn w:val="Normal"/>
    <w:next w:val="Normal"/>
    <w:autoRedefine/>
    <w:uiPriority w:val="39"/>
    <w:unhideWhenUsed/>
    <w:rsid w:val="00065727"/>
    <w:pPr>
      <w:spacing w:after="100" w:line="259" w:lineRule="auto"/>
    </w:pPr>
    <w:rPr>
      <w:rFonts w:asciiTheme="minorHAnsi" w:eastAsiaTheme="minorEastAsia" w:hAnsiTheme="minorHAnsi"/>
      <w:kern w:val="0"/>
      <w:sz w:val="22"/>
      <w:szCs w:val="22"/>
      <w:lang w:val="en-US"/>
    </w:rPr>
  </w:style>
  <w:style w:type="paragraph" w:styleId="TOC3">
    <w:name w:val="toc 3"/>
    <w:basedOn w:val="Normal"/>
    <w:next w:val="Normal"/>
    <w:autoRedefine/>
    <w:uiPriority w:val="39"/>
    <w:unhideWhenUsed/>
    <w:rsid w:val="00065727"/>
    <w:pPr>
      <w:spacing w:after="100" w:line="259" w:lineRule="auto"/>
      <w:ind w:left="440"/>
    </w:pPr>
    <w:rPr>
      <w:rFonts w:asciiTheme="minorHAnsi" w:eastAsiaTheme="minorEastAsia" w:hAnsiTheme="minorHAnsi"/>
      <w:kern w:val="0"/>
      <w:sz w:val="22"/>
      <w:szCs w:val="22"/>
      <w:lang w:val="en-US"/>
    </w:rPr>
  </w:style>
  <w:style w:type="paragraph" w:styleId="ListParagraph">
    <w:name w:val="List Paragraph"/>
    <w:basedOn w:val="Normal"/>
    <w:uiPriority w:val="34"/>
    <w:qFormat/>
    <w:rsid w:val="00065727"/>
    <w:pPr>
      <w:ind w:left="720"/>
      <w:contextualSpacing/>
    </w:pPr>
  </w:style>
  <w:style w:type="paragraph" w:styleId="NormalWeb">
    <w:name w:val="Normal (Web)"/>
    <w:basedOn w:val="Normal"/>
    <w:uiPriority w:val="99"/>
    <w:semiHidden/>
    <w:unhideWhenUsed/>
    <w:rsid w:val="001910DD"/>
    <w:pPr>
      <w:spacing w:before="100" w:beforeAutospacing="1" w:after="100" w:afterAutospacing="1" w:line="240" w:lineRule="auto"/>
    </w:pPr>
    <w:rPr>
      <w:rFonts w:ascii="Times New Roman" w:eastAsia="Times New Roman" w:hAnsi="Times New Roman"/>
      <w:kern w:val="0"/>
      <w:lang w:val="en-US"/>
    </w:rPr>
  </w:style>
  <w:style w:type="character" w:customStyle="1" w:styleId="Heading2Char">
    <w:name w:val="Heading 2 Char"/>
    <w:basedOn w:val="DefaultParagraphFont"/>
    <w:link w:val="Heading2"/>
    <w:uiPriority w:val="9"/>
    <w:semiHidden/>
    <w:rsid w:val="000004AC"/>
    <w:rPr>
      <w:rFonts w:asciiTheme="majorHAnsi" w:eastAsiaTheme="majorEastAsia" w:hAnsiTheme="majorHAnsi" w:cstheme="majorBidi"/>
      <w:color w:val="2E74B5" w:themeColor="accent1" w:themeShade="BF"/>
      <w:kern w:val="2"/>
      <w:sz w:val="26"/>
      <w:szCs w:val="26"/>
      <w:lang w:val="en-GB"/>
    </w:rPr>
  </w:style>
  <w:style w:type="character" w:styleId="Hyperlink">
    <w:name w:val="Hyperlink"/>
    <w:basedOn w:val="DefaultParagraphFont"/>
    <w:uiPriority w:val="99"/>
    <w:unhideWhenUsed/>
    <w:rsid w:val="002B5A50"/>
    <w:rPr>
      <w:color w:val="0563C1" w:themeColor="hyperlink"/>
      <w:u w:val="single"/>
    </w:rPr>
  </w:style>
  <w:style w:type="paragraph" w:styleId="Header">
    <w:name w:val="header"/>
    <w:basedOn w:val="Normal"/>
    <w:link w:val="HeaderChar"/>
    <w:uiPriority w:val="99"/>
    <w:unhideWhenUsed/>
    <w:rsid w:val="00B376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76D7"/>
    <w:rPr>
      <w:rFonts w:ascii="Aptos" w:eastAsia="Aptos" w:hAnsi="Aptos" w:cs="Times New Roman"/>
      <w:kern w:val="2"/>
      <w:sz w:val="24"/>
      <w:szCs w:val="24"/>
      <w:lang w:val="en-GB"/>
    </w:rPr>
  </w:style>
  <w:style w:type="paragraph" w:styleId="Footer">
    <w:name w:val="footer"/>
    <w:basedOn w:val="Normal"/>
    <w:link w:val="FooterChar"/>
    <w:uiPriority w:val="99"/>
    <w:unhideWhenUsed/>
    <w:rsid w:val="00B376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76D7"/>
    <w:rPr>
      <w:rFonts w:ascii="Aptos" w:eastAsia="Aptos" w:hAnsi="Aptos" w:cs="Times New Roman"/>
      <w:kern w:val="2"/>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7886183">
      <w:bodyDiv w:val="1"/>
      <w:marLeft w:val="0"/>
      <w:marRight w:val="0"/>
      <w:marTop w:val="0"/>
      <w:marBottom w:val="0"/>
      <w:divBdr>
        <w:top w:val="none" w:sz="0" w:space="0" w:color="auto"/>
        <w:left w:val="none" w:sz="0" w:space="0" w:color="auto"/>
        <w:bottom w:val="none" w:sz="0" w:space="0" w:color="auto"/>
        <w:right w:val="none" w:sz="0" w:space="0" w:color="auto"/>
      </w:divBdr>
    </w:div>
    <w:div w:id="875773128">
      <w:bodyDiv w:val="1"/>
      <w:marLeft w:val="0"/>
      <w:marRight w:val="0"/>
      <w:marTop w:val="0"/>
      <w:marBottom w:val="0"/>
      <w:divBdr>
        <w:top w:val="none" w:sz="0" w:space="0" w:color="auto"/>
        <w:left w:val="none" w:sz="0" w:space="0" w:color="auto"/>
        <w:bottom w:val="none" w:sz="0" w:space="0" w:color="auto"/>
        <w:right w:val="none" w:sz="0" w:space="0" w:color="auto"/>
      </w:divBdr>
    </w:div>
    <w:div w:id="912201619">
      <w:bodyDiv w:val="1"/>
      <w:marLeft w:val="0"/>
      <w:marRight w:val="0"/>
      <w:marTop w:val="0"/>
      <w:marBottom w:val="0"/>
      <w:divBdr>
        <w:top w:val="none" w:sz="0" w:space="0" w:color="auto"/>
        <w:left w:val="none" w:sz="0" w:space="0" w:color="auto"/>
        <w:bottom w:val="none" w:sz="0" w:space="0" w:color="auto"/>
        <w:right w:val="none" w:sz="0" w:space="0" w:color="auto"/>
      </w:divBdr>
    </w:div>
    <w:div w:id="1014264527">
      <w:bodyDiv w:val="1"/>
      <w:marLeft w:val="0"/>
      <w:marRight w:val="0"/>
      <w:marTop w:val="0"/>
      <w:marBottom w:val="0"/>
      <w:divBdr>
        <w:top w:val="none" w:sz="0" w:space="0" w:color="auto"/>
        <w:left w:val="none" w:sz="0" w:space="0" w:color="auto"/>
        <w:bottom w:val="none" w:sz="0" w:space="0" w:color="auto"/>
        <w:right w:val="none" w:sz="0" w:space="0" w:color="auto"/>
      </w:divBdr>
    </w:div>
    <w:div w:id="1287354304">
      <w:bodyDiv w:val="1"/>
      <w:marLeft w:val="0"/>
      <w:marRight w:val="0"/>
      <w:marTop w:val="0"/>
      <w:marBottom w:val="0"/>
      <w:divBdr>
        <w:top w:val="none" w:sz="0" w:space="0" w:color="auto"/>
        <w:left w:val="none" w:sz="0" w:space="0" w:color="auto"/>
        <w:bottom w:val="none" w:sz="0" w:space="0" w:color="auto"/>
        <w:right w:val="none" w:sz="0" w:space="0" w:color="auto"/>
      </w:divBdr>
    </w:div>
    <w:div w:id="1341006794">
      <w:bodyDiv w:val="1"/>
      <w:marLeft w:val="0"/>
      <w:marRight w:val="0"/>
      <w:marTop w:val="0"/>
      <w:marBottom w:val="0"/>
      <w:divBdr>
        <w:top w:val="none" w:sz="0" w:space="0" w:color="auto"/>
        <w:left w:val="none" w:sz="0" w:space="0" w:color="auto"/>
        <w:bottom w:val="none" w:sz="0" w:space="0" w:color="auto"/>
        <w:right w:val="none" w:sz="0" w:space="0" w:color="auto"/>
      </w:divBdr>
    </w:div>
    <w:div w:id="1537346733">
      <w:bodyDiv w:val="1"/>
      <w:marLeft w:val="0"/>
      <w:marRight w:val="0"/>
      <w:marTop w:val="0"/>
      <w:marBottom w:val="0"/>
      <w:divBdr>
        <w:top w:val="none" w:sz="0" w:space="0" w:color="auto"/>
        <w:left w:val="none" w:sz="0" w:space="0" w:color="auto"/>
        <w:bottom w:val="none" w:sz="0" w:space="0" w:color="auto"/>
        <w:right w:val="none" w:sz="0" w:space="0" w:color="auto"/>
      </w:divBdr>
    </w:div>
    <w:div w:id="1683050105">
      <w:bodyDiv w:val="1"/>
      <w:marLeft w:val="0"/>
      <w:marRight w:val="0"/>
      <w:marTop w:val="0"/>
      <w:marBottom w:val="0"/>
      <w:divBdr>
        <w:top w:val="none" w:sz="0" w:space="0" w:color="auto"/>
        <w:left w:val="none" w:sz="0" w:space="0" w:color="auto"/>
        <w:bottom w:val="none" w:sz="0" w:space="0" w:color="auto"/>
        <w:right w:val="none" w:sz="0" w:space="0" w:color="auto"/>
      </w:divBdr>
    </w:div>
    <w:div w:id="1954749225">
      <w:bodyDiv w:val="1"/>
      <w:marLeft w:val="0"/>
      <w:marRight w:val="0"/>
      <w:marTop w:val="0"/>
      <w:marBottom w:val="0"/>
      <w:divBdr>
        <w:top w:val="none" w:sz="0" w:space="0" w:color="auto"/>
        <w:left w:val="none" w:sz="0" w:space="0" w:color="auto"/>
        <w:bottom w:val="none" w:sz="0" w:space="0" w:color="auto"/>
        <w:right w:val="none" w:sz="0" w:space="0" w:color="auto"/>
      </w:divBdr>
    </w:div>
    <w:div w:id="2028604024">
      <w:bodyDiv w:val="1"/>
      <w:marLeft w:val="0"/>
      <w:marRight w:val="0"/>
      <w:marTop w:val="0"/>
      <w:marBottom w:val="0"/>
      <w:divBdr>
        <w:top w:val="none" w:sz="0" w:space="0" w:color="auto"/>
        <w:left w:val="none" w:sz="0" w:space="0" w:color="auto"/>
        <w:bottom w:val="none" w:sz="0" w:space="0" w:color="auto"/>
        <w:right w:val="none" w:sz="0" w:space="0" w:color="auto"/>
      </w:divBdr>
    </w:div>
    <w:div w:id="2029479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m/search?q=https://doi.org/10.1056/NEJMp101102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adershipacademy.nhs.uk/resources/healthcare-leadership-mode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ogle.com/search?q=https://doi.org/10.1136/bmjopen-2021-054243" TargetMode="External"/><Relationship Id="rId4" Type="http://schemas.openxmlformats.org/officeDocument/2006/relationships/settings" Target="settings.xml"/><Relationship Id="rId9" Type="http://schemas.openxmlformats.org/officeDocument/2006/relationships/hyperlink" Target="https://www.google.com/search?q=https://doi.org/10.1186/s12960-020-00486-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D7A09E4-AF93-4CF2-BB0A-EF86B98357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3078</Words>
  <Characters>17549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mohammed chowdhury</cp:lastModifiedBy>
  <cp:revision>2</cp:revision>
  <dcterms:created xsi:type="dcterms:W3CDTF">2026-07-31T10:41:00Z</dcterms:created>
  <dcterms:modified xsi:type="dcterms:W3CDTF">2026-07-31T10:41:00Z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20188523-a53e-4382-a9ff-cb82515ed1d5</vt:lpwstr>
  </property>
</Properties>
</file>