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CEA8B" w14:textId="77777777" w:rsidR="004B1C46" w:rsidRPr="008C341D" w:rsidRDefault="004B1C46" w:rsidP="004B1C46">
      <w:pPr>
        <w:spacing w:line="360" w:lineRule="auto"/>
        <w:rPr>
          <w:rFonts w:ascii="Arial" w:hAnsi="Arial" w:cs="Arial"/>
          <w:sz w:val="23"/>
          <w:szCs w:val="23"/>
        </w:rPr>
      </w:pPr>
      <w:r w:rsidRPr="008C341D">
        <w:rPr>
          <w:rFonts w:ascii="Arial" w:hAnsi="Arial" w:cs="Arial"/>
          <w:sz w:val="23"/>
          <w:szCs w:val="23"/>
        </w:rPr>
        <w:t>Name: Portia Amankonah</w:t>
      </w:r>
    </w:p>
    <w:p w14:paraId="450EC95C" w14:textId="77777777" w:rsidR="004B1C46" w:rsidRPr="008C341D" w:rsidRDefault="004B1C46" w:rsidP="004B1C46">
      <w:pPr>
        <w:spacing w:line="360" w:lineRule="auto"/>
        <w:rPr>
          <w:rFonts w:ascii="Arial" w:hAnsi="Arial" w:cs="Arial"/>
          <w:sz w:val="23"/>
          <w:szCs w:val="23"/>
        </w:rPr>
      </w:pPr>
    </w:p>
    <w:p w14:paraId="634FB9CB" w14:textId="77777777" w:rsidR="004B1C46" w:rsidRPr="008C341D" w:rsidRDefault="004B1C46" w:rsidP="004B1C46">
      <w:pPr>
        <w:spacing w:line="360" w:lineRule="auto"/>
        <w:rPr>
          <w:rFonts w:ascii="Arial" w:hAnsi="Arial" w:cs="Arial"/>
          <w:sz w:val="23"/>
          <w:szCs w:val="23"/>
        </w:rPr>
      </w:pPr>
    </w:p>
    <w:p w14:paraId="049785C1" w14:textId="77777777" w:rsidR="004B1C46" w:rsidRPr="008C341D" w:rsidRDefault="004B1C46" w:rsidP="004B1C46">
      <w:pPr>
        <w:spacing w:line="360" w:lineRule="auto"/>
        <w:rPr>
          <w:rFonts w:ascii="Arial" w:hAnsi="Arial" w:cs="Arial"/>
          <w:sz w:val="23"/>
          <w:szCs w:val="23"/>
        </w:rPr>
      </w:pPr>
    </w:p>
    <w:p w14:paraId="43F2EAE5" w14:textId="77777777" w:rsidR="004B1C46" w:rsidRPr="008C341D" w:rsidRDefault="004B1C46" w:rsidP="004B1C46">
      <w:pPr>
        <w:spacing w:line="360" w:lineRule="auto"/>
        <w:rPr>
          <w:rFonts w:ascii="Arial" w:hAnsi="Arial" w:cs="Arial"/>
          <w:sz w:val="23"/>
          <w:szCs w:val="23"/>
        </w:rPr>
      </w:pPr>
    </w:p>
    <w:p w14:paraId="592A2C5B" w14:textId="77777777" w:rsidR="004B1C46" w:rsidRPr="008C341D" w:rsidRDefault="004B1C46" w:rsidP="004B1C46">
      <w:pPr>
        <w:spacing w:line="360" w:lineRule="auto"/>
        <w:rPr>
          <w:rFonts w:ascii="Arial" w:hAnsi="Arial" w:cs="Arial"/>
          <w:sz w:val="23"/>
          <w:szCs w:val="23"/>
        </w:rPr>
      </w:pPr>
    </w:p>
    <w:p w14:paraId="41F47EBE" w14:textId="77777777" w:rsidR="004B1C46" w:rsidRPr="008C341D" w:rsidRDefault="004B1C46" w:rsidP="004B1C46">
      <w:pPr>
        <w:spacing w:line="360" w:lineRule="auto"/>
        <w:rPr>
          <w:rFonts w:ascii="Arial" w:hAnsi="Arial" w:cs="Arial"/>
          <w:sz w:val="23"/>
          <w:szCs w:val="23"/>
        </w:rPr>
      </w:pPr>
      <w:r w:rsidRPr="008C341D">
        <w:rPr>
          <w:rFonts w:ascii="Arial" w:hAnsi="Arial" w:cs="Arial"/>
          <w:sz w:val="23"/>
          <w:szCs w:val="23"/>
        </w:rPr>
        <w:t>Student number: 2426673</w:t>
      </w:r>
    </w:p>
    <w:p w14:paraId="5BAF1723" w14:textId="77777777" w:rsidR="004B1C46" w:rsidRPr="008C341D" w:rsidRDefault="004B1C46" w:rsidP="004B1C46">
      <w:pPr>
        <w:spacing w:line="360" w:lineRule="auto"/>
        <w:rPr>
          <w:rFonts w:ascii="Arial" w:hAnsi="Arial" w:cs="Arial"/>
          <w:sz w:val="23"/>
          <w:szCs w:val="23"/>
        </w:rPr>
      </w:pPr>
    </w:p>
    <w:p w14:paraId="67178AEE" w14:textId="77777777" w:rsidR="004B1C46" w:rsidRPr="008C341D" w:rsidRDefault="004B1C46" w:rsidP="004B1C46">
      <w:pPr>
        <w:spacing w:line="360" w:lineRule="auto"/>
        <w:rPr>
          <w:rFonts w:ascii="Arial" w:hAnsi="Arial" w:cs="Arial"/>
          <w:sz w:val="23"/>
          <w:szCs w:val="23"/>
        </w:rPr>
      </w:pPr>
    </w:p>
    <w:p w14:paraId="0D39B7E9" w14:textId="77777777" w:rsidR="004B1C46" w:rsidRPr="008C341D" w:rsidRDefault="004B1C46" w:rsidP="004B1C46">
      <w:pPr>
        <w:spacing w:line="360" w:lineRule="auto"/>
        <w:rPr>
          <w:rFonts w:ascii="Arial" w:hAnsi="Arial" w:cs="Arial"/>
          <w:sz w:val="23"/>
          <w:szCs w:val="23"/>
        </w:rPr>
      </w:pPr>
    </w:p>
    <w:p w14:paraId="7A512B40" w14:textId="77777777" w:rsidR="004B1C46" w:rsidRPr="008C341D" w:rsidRDefault="004B1C46" w:rsidP="004B1C46">
      <w:pPr>
        <w:spacing w:line="360" w:lineRule="auto"/>
        <w:rPr>
          <w:rFonts w:ascii="Arial" w:hAnsi="Arial" w:cs="Arial"/>
          <w:sz w:val="23"/>
          <w:szCs w:val="23"/>
        </w:rPr>
      </w:pPr>
    </w:p>
    <w:p w14:paraId="0F357717" w14:textId="77777777" w:rsidR="00A4557F" w:rsidRDefault="00A4557F" w:rsidP="004B1C46">
      <w:pPr>
        <w:spacing w:before="120" w:after="120"/>
        <w:rPr>
          <w:rFonts w:ascii="Arial" w:hAnsi="Arial" w:cs="Arial"/>
          <w:sz w:val="23"/>
          <w:szCs w:val="23"/>
        </w:rPr>
      </w:pPr>
    </w:p>
    <w:p w14:paraId="5C13C246" w14:textId="3024CF67" w:rsidR="004B1C46" w:rsidRDefault="004B1C46" w:rsidP="004B1C46">
      <w:pPr>
        <w:spacing w:before="120" w:after="120"/>
        <w:rPr>
          <w:rFonts w:ascii="Arial" w:hAnsi="Arial" w:cs="Arial"/>
          <w:sz w:val="23"/>
          <w:szCs w:val="23"/>
        </w:rPr>
      </w:pPr>
      <w:r w:rsidRPr="008C341D">
        <w:rPr>
          <w:rFonts w:ascii="Arial" w:hAnsi="Arial" w:cs="Arial"/>
          <w:sz w:val="23"/>
          <w:szCs w:val="23"/>
        </w:rPr>
        <w:t xml:space="preserve">Module: Principles of Care in Health and Social Care </w:t>
      </w:r>
    </w:p>
    <w:p w14:paraId="2313F77F" w14:textId="77777777" w:rsidR="004D6713" w:rsidRDefault="004D6713" w:rsidP="004B1C46">
      <w:pPr>
        <w:spacing w:before="120" w:after="120"/>
        <w:rPr>
          <w:rFonts w:ascii="Arial" w:hAnsi="Arial" w:cs="Arial"/>
          <w:sz w:val="23"/>
          <w:szCs w:val="23"/>
        </w:rPr>
      </w:pPr>
    </w:p>
    <w:p w14:paraId="4168DDAD" w14:textId="77777777" w:rsidR="004D6713" w:rsidRDefault="004D6713" w:rsidP="004B1C46">
      <w:pPr>
        <w:spacing w:before="120" w:after="120"/>
        <w:rPr>
          <w:rFonts w:ascii="Arial" w:hAnsi="Arial" w:cs="Arial"/>
          <w:sz w:val="23"/>
          <w:szCs w:val="23"/>
        </w:rPr>
      </w:pPr>
    </w:p>
    <w:p w14:paraId="1CF16F3B" w14:textId="77777777" w:rsidR="004D6713" w:rsidRDefault="004D6713" w:rsidP="004B1C46">
      <w:pPr>
        <w:spacing w:before="120" w:after="120"/>
        <w:rPr>
          <w:rFonts w:ascii="Arial" w:hAnsi="Arial" w:cs="Arial"/>
          <w:sz w:val="23"/>
          <w:szCs w:val="23"/>
        </w:rPr>
      </w:pPr>
    </w:p>
    <w:p w14:paraId="6F15F8E6" w14:textId="77777777" w:rsidR="004D6713" w:rsidRDefault="004D6713" w:rsidP="004B1C46">
      <w:pPr>
        <w:spacing w:before="120" w:after="120"/>
        <w:rPr>
          <w:rFonts w:ascii="Arial" w:hAnsi="Arial" w:cs="Arial"/>
          <w:sz w:val="23"/>
          <w:szCs w:val="23"/>
        </w:rPr>
      </w:pPr>
    </w:p>
    <w:p w14:paraId="7D926C6E" w14:textId="77777777" w:rsidR="004D6713" w:rsidRDefault="004D6713" w:rsidP="004B1C46">
      <w:pPr>
        <w:spacing w:before="120" w:after="120"/>
        <w:rPr>
          <w:rFonts w:ascii="Arial" w:hAnsi="Arial" w:cs="Arial"/>
          <w:sz w:val="23"/>
          <w:szCs w:val="23"/>
        </w:rPr>
      </w:pPr>
    </w:p>
    <w:p w14:paraId="19AAA32E" w14:textId="77777777" w:rsidR="004D6713" w:rsidRDefault="004D6713" w:rsidP="004B1C46">
      <w:pPr>
        <w:spacing w:before="120" w:after="120"/>
        <w:rPr>
          <w:rFonts w:ascii="Arial" w:hAnsi="Arial" w:cs="Arial"/>
          <w:sz w:val="23"/>
          <w:szCs w:val="23"/>
        </w:rPr>
      </w:pPr>
    </w:p>
    <w:p w14:paraId="186F31F9" w14:textId="77777777" w:rsidR="004D6713" w:rsidRDefault="004D6713" w:rsidP="004B1C46">
      <w:pPr>
        <w:spacing w:before="120" w:after="120"/>
        <w:rPr>
          <w:rFonts w:ascii="Arial" w:hAnsi="Arial" w:cs="Arial"/>
          <w:sz w:val="23"/>
          <w:szCs w:val="23"/>
        </w:rPr>
      </w:pPr>
    </w:p>
    <w:p w14:paraId="60E95E16" w14:textId="4242D196" w:rsidR="004D6713" w:rsidRPr="008C341D" w:rsidRDefault="004D6713" w:rsidP="004B1C46">
      <w:pPr>
        <w:spacing w:before="120" w:after="120"/>
        <w:rPr>
          <w:rFonts w:ascii="Arial" w:hAnsi="Arial" w:cs="Arial"/>
          <w:b/>
          <w:sz w:val="23"/>
          <w:szCs w:val="23"/>
          <w:lang w:eastAsia="zh-CN"/>
        </w:rPr>
      </w:pPr>
      <w:r>
        <w:rPr>
          <w:rFonts w:ascii="Arial" w:hAnsi="Arial" w:cs="Arial"/>
          <w:sz w:val="23"/>
          <w:szCs w:val="23"/>
        </w:rPr>
        <w:t>Module Code: BMHP5016</w:t>
      </w:r>
    </w:p>
    <w:p w14:paraId="7D10E14D" w14:textId="77777777" w:rsidR="004B1C46" w:rsidRPr="008C341D" w:rsidRDefault="004B1C46" w:rsidP="004B1C46">
      <w:pPr>
        <w:spacing w:line="360" w:lineRule="auto"/>
        <w:rPr>
          <w:rFonts w:ascii="Arial" w:hAnsi="Arial" w:cs="Arial"/>
          <w:sz w:val="23"/>
          <w:szCs w:val="23"/>
        </w:rPr>
      </w:pPr>
    </w:p>
    <w:p w14:paraId="0BA03A11" w14:textId="77777777" w:rsidR="004B1C46" w:rsidRPr="008C341D" w:rsidRDefault="004B1C46" w:rsidP="004B1C46">
      <w:pPr>
        <w:spacing w:line="360" w:lineRule="auto"/>
        <w:rPr>
          <w:rFonts w:ascii="Arial" w:hAnsi="Arial" w:cs="Arial"/>
          <w:sz w:val="23"/>
          <w:szCs w:val="23"/>
        </w:rPr>
      </w:pPr>
    </w:p>
    <w:p w14:paraId="1CE051A7" w14:textId="77777777" w:rsidR="004B1C46" w:rsidRPr="008C341D" w:rsidRDefault="004B1C46" w:rsidP="004B1C46">
      <w:pPr>
        <w:spacing w:line="360" w:lineRule="auto"/>
        <w:rPr>
          <w:rFonts w:ascii="Arial" w:hAnsi="Arial" w:cs="Arial"/>
          <w:sz w:val="23"/>
          <w:szCs w:val="23"/>
        </w:rPr>
      </w:pPr>
    </w:p>
    <w:p w14:paraId="64A94557" w14:textId="77777777" w:rsidR="004B1C46" w:rsidRPr="008C341D" w:rsidRDefault="004B1C46" w:rsidP="004B1C46">
      <w:pPr>
        <w:spacing w:line="360" w:lineRule="auto"/>
        <w:rPr>
          <w:rFonts w:ascii="Arial" w:hAnsi="Arial" w:cs="Arial"/>
          <w:sz w:val="23"/>
          <w:szCs w:val="23"/>
        </w:rPr>
      </w:pPr>
    </w:p>
    <w:p w14:paraId="46FE4BDD" w14:textId="77777777" w:rsidR="004B1C46" w:rsidRPr="008C341D" w:rsidRDefault="004B1C46" w:rsidP="004B1C46">
      <w:pPr>
        <w:spacing w:line="360" w:lineRule="auto"/>
        <w:rPr>
          <w:rFonts w:ascii="Arial" w:hAnsi="Arial" w:cs="Arial"/>
          <w:sz w:val="23"/>
          <w:szCs w:val="23"/>
        </w:rPr>
      </w:pPr>
      <w:r>
        <w:rPr>
          <w:rFonts w:ascii="Arial" w:hAnsi="Arial" w:cs="Arial"/>
          <w:sz w:val="23"/>
          <w:szCs w:val="23"/>
        </w:rPr>
        <w:t xml:space="preserve">Essay Title: </w:t>
      </w:r>
      <w:r w:rsidRPr="0051561B">
        <w:rPr>
          <w:rFonts w:ascii="Arial" w:hAnsi="Arial" w:cs="Arial"/>
          <w:sz w:val="23"/>
          <w:szCs w:val="23"/>
        </w:rPr>
        <w:t>Improving Outcomes in UK Maternity Services Through Person-Centred Care and Partnership Working</w:t>
      </w:r>
    </w:p>
    <w:p w14:paraId="24B1290A" w14:textId="77777777" w:rsidR="004B1C46" w:rsidRDefault="004B1C46" w:rsidP="004B1C46">
      <w:pPr>
        <w:spacing w:line="360" w:lineRule="auto"/>
        <w:rPr>
          <w:rFonts w:ascii="Arial" w:hAnsi="Arial" w:cs="Arial"/>
          <w:sz w:val="23"/>
          <w:szCs w:val="23"/>
        </w:rPr>
      </w:pPr>
    </w:p>
    <w:p w14:paraId="4B8F665D" w14:textId="77777777" w:rsidR="004B1C46" w:rsidRDefault="004B1C46" w:rsidP="005F6399"/>
    <w:p w14:paraId="39FCA267" w14:textId="77777777" w:rsidR="004B1C46" w:rsidRDefault="004B1C46" w:rsidP="005F6399"/>
    <w:p w14:paraId="0C57189F" w14:textId="77777777" w:rsidR="004B1C46" w:rsidRDefault="004B1C46" w:rsidP="005F6399"/>
    <w:p w14:paraId="54C56173" w14:textId="77777777" w:rsidR="004D6713" w:rsidRDefault="004D6713" w:rsidP="00874E6B">
      <w:pPr>
        <w:spacing w:line="360" w:lineRule="auto"/>
      </w:pPr>
    </w:p>
    <w:p w14:paraId="7C0D3AEA" w14:textId="6C56B0B1" w:rsidR="00874E6B" w:rsidRDefault="00874E6B" w:rsidP="00874E6B">
      <w:pPr>
        <w:spacing w:line="360" w:lineRule="auto"/>
        <w:rPr>
          <w:rFonts w:ascii="Arial" w:hAnsi="Arial" w:cs="Arial"/>
          <w:b/>
          <w:bCs/>
          <w:sz w:val="24"/>
          <w:szCs w:val="24"/>
        </w:rPr>
      </w:pPr>
      <w:r w:rsidRPr="009D0ACD">
        <w:rPr>
          <w:rFonts w:ascii="Arial" w:hAnsi="Arial" w:cs="Arial"/>
          <w:b/>
          <w:bCs/>
          <w:sz w:val="24"/>
          <w:szCs w:val="24"/>
        </w:rPr>
        <w:t xml:space="preserve">ABSTRACT: </w:t>
      </w:r>
    </w:p>
    <w:p w14:paraId="229A0B76" w14:textId="77777777" w:rsidR="00874E6B" w:rsidRPr="009D0ACD" w:rsidRDefault="00874E6B" w:rsidP="00874E6B">
      <w:pPr>
        <w:spacing w:line="360" w:lineRule="auto"/>
        <w:rPr>
          <w:rFonts w:ascii="Arial" w:hAnsi="Arial" w:cs="Arial"/>
          <w:b/>
          <w:bCs/>
          <w:sz w:val="24"/>
          <w:szCs w:val="24"/>
        </w:rPr>
      </w:pPr>
      <w:r w:rsidRPr="006120F6">
        <w:rPr>
          <w:rFonts w:ascii="Arial" w:hAnsi="Arial" w:cs="Arial"/>
          <w:sz w:val="23"/>
          <w:szCs w:val="23"/>
        </w:rPr>
        <w:t>This essay evaluates how person-centred care and partnership working operate within contemporary health and social care practice. It examines the ethical principles that underpin professional decision-making, including autonomy, beneficence, non-maleficence</w:t>
      </w:r>
      <w:r>
        <w:rPr>
          <w:rFonts w:ascii="Arial" w:hAnsi="Arial" w:cs="Arial"/>
          <w:sz w:val="23"/>
          <w:szCs w:val="23"/>
        </w:rPr>
        <w:t>,</w:t>
      </w:r>
      <w:r w:rsidRPr="006120F6">
        <w:rPr>
          <w:rFonts w:ascii="Arial" w:hAnsi="Arial" w:cs="Arial"/>
          <w:sz w:val="23"/>
          <w:szCs w:val="23"/>
        </w:rPr>
        <w:t xml:space="preserve"> and justice, and evaluates how these shape everyday care delivery. The analysis explores the benefits and limitations of person-centred care, alongside a critical discussion of partnership working between professionals, service users, and external agencies. Practical examples illustrate how collaborative approaches can enhance service quality, improve outcomes, and reduce inequalities. The essay also considers the challenges that restrict effective collaboration, including communication barriers, organisational pressures</w:t>
      </w:r>
      <w:r>
        <w:rPr>
          <w:rFonts w:ascii="Arial" w:hAnsi="Arial" w:cs="Arial"/>
          <w:sz w:val="23"/>
          <w:szCs w:val="23"/>
        </w:rPr>
        <w:t>,</w:t>
      </w:r>
      <w:r w:rsidRPr="006120F6">
        <w:rPr>
          <w:rFonts w:ascii="Arial" w:hAnsi="Arial" w:cs="Arial"/>
          <w:sz w:val="23"/>
          <w:szCs w:val="23"/>
        </w:rPr>
        <w:t xml:space="preserve"> and inconsistent implementation of policy frameworks. Recommendations are offered to strengthen partnership working across UK health and social care settings, supported by relevant legislation, national guidance, and theory</w:t>
      </w:r>
      <w:r w:rsidRPr="006120F6">
        <w:rPr>
          <w:rFonts w:ascii="Arial" w:hAnsi="Arial" w:cs="Arial"/>
          <w:b/>
          <w:bCs/>
          <w:sz w:val="24"/>
          <w:szCs w:val="24"/>
        </w:rPr>
        <w:t>.</w:t>
      </w:r>
    </w:p>
    <w:p w14:paraId="38AF34EB" w14:textId="77777777" w:rsidR="004B1C46" w:rsidRDefault="004B1C46" w:rsidP="005F6399"/>
    <w:p w14:paraId="429DC5F7" w14:textId="77777777" w:rsidR="004B1C46" w:rsidRDefault="004B1C46" w:rsidP="005F6399"/>
    <w:p w14:paraId="263C2A44" w14:textId="77777777" w:rsidR="004B1C46" w:rsidRDefault="004B1C46" w:rsidP="005F6399"/>
    <w:p w14:paraId="2013B205" w14:textId="77777777" w:rsidR="004B1C46" w:rsidRDefault="004B1C46" w:rsidP="005F6399"/>
    <w:p w14:paraId="7A26674A" w14:textId="77777777" w:rsidR="004B1C46" w:rsidRDefault="004B1C46" w:rsidP="005F6399"/>
    <w:p w14:paraId="1F1C3262" w14:textId="77777777" w:rsidR="004B1C46" w:rsidRDefault="004B1C46" w:rsidP="005F6399"/>
    <w:p w14:paraId="1279D627" w14:textId="77777777" w:rsidR="004B1C46" w:rsidRDefault="004B1C46" w:rsidP="005F6399"/>
    <w:p w14:paraId="53588C03" w14:textId="77777777" w:rsidR="004B1C46" w:rsidRDefault="004B1C46" w:rsidP="005F6399"/>
    <w:p w14:paraId="2F903D35" w14:textId="77777777" w:rsidR="004B1C46" w:rsidRDefault="004B1C46" w:rsidP="005F6399"/>
    <w:p w14:paraId="5E0C4548" w14:textId="77777777" w:rsidR="004B1C46" w:rsidRDefault="004B1C46" w:rsidP="005F6399"/>
    <w:p w14:paraId="56914C2E" w14:textId="77777777" w:rsidR="004B1C46" w:rsidRDefault="004B1C46" w:rsidP="005F6399"/>
    <w:p w14:paraId="50034CC8" w14:textId="77777777" w:rsidR="004B1C46" w:rsidRDefault="004B1C46" w:rsidP="005F6399"/>
    <w:p w14:paraId="4DA90BFC" w14:textId="77777777" w:rsidR="004B1C46" w:rsidRDefault="004B1C46" w:rsidP="005F6399"/>
    <w:p w14:paraId="06A9F595" w14:textId="77777777" w:rsidR="004D6713" w:rsidRDefault="004D6713" w:rsidP="00B85651"/>
    <w:p w14:paraId="07856A6B" w14:textId="413EF653" w:rsidR="006E74CE" w:rsidRPr="004D6713" w:rsidRDefault="00A8526F" w:rsidP="00B85651">
      <w:pPr>
        <w:rPr>
          <w:rFonts w:ascii="Arial" w:hAnsi="Arial" w:cs="Arial"/>
          <w:b/>
          <w:bCs/>
          <w:sz w:val="28"/>
          <w:szCs w:val="28"/>
          <w:u w:val="single"/>
        </w:rPr>
      </w:pPr>
      <w:r w:rsidRPr="00A8526F">
        <w:rPr>
          <w:rFonts w:ascii="Arial" w:hAnsi="Arial" w:cs="Arial"/>
          <w:b/>
          <w:bCs/>
          <w:sz w:val="28"/>
          <w:szCs w:val="28"/>
          <w:u w:val="single"/>
        </w:rPr>
        <w:lastRenderedPageBreak/>
        <w:t>Improving Outcomes in UK Maternity Services Through Person-Centred Care and Partnership Working</w:t>
      </w:r>
      <w:r w:rsidR="004D6713" w:rsidRPr="004D6713">
        <w:rPr>
          <w:rFonts w:ascii="Arial" w:hAnsi="Arial" w:cs="Arial"/>
          <w:b/>
          <w:bCs/>
          <w:sz w:val="28"/>
          <w:szCs w:val="28"/>
          <w:u w:val="single"/>
        </w:rPr>
        <w:t>:</w:t>
      </w:r>
    </w:p>
    <w:p w14:paraId="7134D040" w14:textId="77777777" w:rsidR="004D6713" w:rsidRDefault="004D6713" w:rsidP="00B85651">
      <w:pPr>
        <w:rPr>
          <w:rFonts w:ascii="Arial" w:hAnsi="Arial" w:cs="Arial"/>
          <w:b/>
          <w:bCs/>
          <w:sz w:val="28"/>
          <w:szCs w:val="28"/>
        </w:rPr>
      </w:pPr>
    </w:p>
    <w:p w14:paraId="4C338258" w14:textId="6F20B0C9" w:rsidR="0049543A" w:rsidRPr="0049543A" w:rsidRDefault="0049543A" w:rsidP="0049543A">
      <w:pPr>
        <w:rPr>
          <w:rFonts w:ascii="Arial" w:hAnsi="Arial" w:cs="Arial"/>
          <w:sz w:val="23"/>
          <w:szCs w:val="23"/>
        </w:rPr>
      </w:pPr>
      <w:r w:rsidRPr="0049543A">
        <w:rPr>
          <w:rFonts w:ascii="Arial" w:hAnsi="Arial" w:cs="Arial"/>
          <w:sz w:val="23"/>
          <w:szCs w:val="23"/>
        </w:rPr>
        <w:t>Person-centred care (PCC) and partnership working (PW) are central expectations across UK health and social care. They are particularly significant in maternity services, where pregnancy and childbirth are not only clinical events but deeply personal experiences shaped by emotion, identity, family life, culture, and previous encounters with healthcare (Niles et al., 2023). Good-quality maternity care depends on more than technical competence and safe procedures</w:t>
      </w:r>
      <w:r w:rsidR="00F44CD2">
        <w:rPr>
          <w:rFonts w:ascii="Arial" w:hAnsi="Arial" w:cs="Arial"/>
          <w:sz w:val="23"/>
          <w:szCs w:val="23"/>
        </w:rPr>
        <w:t xml:space="preserve">( </w:t>
      </w:r>
      <w:r w:rsidR="00F44CD2" w:rsidRPr="00F44CD2">
        <w:rPr>
          <w:rFonts w:ascii="Arial" w:hAnsi="Arial" w:cs="Arial"/>
          <w:sz w:val="23"/>
          <w:szCs w:val="23"/>
        </w:rPr>
        <w:t>Niles et al., 2023</w:t>
      </w:r>
      <w:r w:rsidRPr="0049543A">
        <w:rPr>
          <w:rFonts w:ascii="Arial" w:hAnsi="Arial" w:cs="Arial"/>
          <w:sz w:val="23"/>
          <w:szCs w:val="23"/>
        </w:rPr>
        <w:t>; it also requires that women and birthing people feel listened to, respected, and included in decisions affecting their bodies and families. PCC and PW are not optional extras; they form the foundation of safe, ethical, and effective maternity practice, providing the relational and organisational structures needed to deliver care that is both clinically sound and personally meaningful. This foundation requires balancing evidence-based practice with responsiveness to individual circumstances, acknowledging that what constitutes meaningful care may differ between women, families, and cultural contexts.</w:t>
      </w:r>
    </w:p>
    <w:p w14:paraId="6F1C417C" w14:textId="77777777" w:rsidR="0049543A" w:rsidRPr="0049543A" w:rsidRDefault="0049543A" w:rsidP="0049543A">
      <w:pPr>
        <w:rPr>
          <w:rFonts w:ascii="Arial" w:hAnsi="Arial" w:cs="Arial"/>
          <w:sz w:val="23"/>
          <w:szCs w:val="23"/>
        </w:rPr>
      </w:pPr>
      <w:r w:rsidRPr="0049543A">
        <w:rPr>
          <w:rFonts w:ascii="Arial" w:hAnsi="Arial" w:cs="Arial"/>
          <w:sz w:val="23"/>
          <w:szCs w:val="23"/>
        </w:rPr>
        <w:t xml:space="preserve">Persistent inequalities in maternity outcomes underscore the importance of this approach. NHS England data highlight that Black, Asian, and socioeconomically disadvantaged women experience disproportionately poorer outcomes, including higher maternal mortality, increased risk of complications, and lower satisfaction with care (Care Quality Commission, 2024; NHS England, 2021). These disparities are not solely the result of underlying health status. They reflect the consequences of care that is not personalised, communication that is inconsistent, and collaboration that is fragmented across professional boundaries (Knight et al., 2021; </w:t>
      </w:r>
      <w:proofErr w:type="spellStart"/>
      <w:r w:rsidRPr="0049543A">
        <w:rPr>
          <w:rFonts w:ascii="Arial" w:hAnsi="Arial" w:cs="Arial"/>
          <w:sz w:val="23"/>
          <w:szCs w:val="23"/>
        </w:rPr>
        <w:t>Montalmant</w:t>
      </w:r>
      <w:proofErr w:type="spellEnd"/>
      <w:r w:rsidRPr="0049543A">
        <w:rPr>
          <w:rFonts w:ascii="Arial" w:hAnsi="Arial" w:cs="Arial"/>
          <w:sz w:val="23"/>
          <w:szCs w:val="23"/>
        </w:rPr>
        <w:t xml:space="preserve"> &amp; Ettinger, 2024). For example, when concerns raised by a woman are not escalated promptly due to miscommunication between midwives and obstetricians, the risk of harm increases. Inequalities are compounded when professionals fail to recognise cultural or social influences on care-seeking behaviour, highlighting why PCC and PW are integral both to improving patient experience and reducing preventable harm. Furthermore, systemic inequalities are reinforced when organisational policies fail to support culturally sensitive communication or proactive risk management, underscoring the interplay between structure and practice. PCC ensures responsiveness to the individual, while PW ensures that this responsiveness is embedded across the care pathway.</w:t>
      </w:r>
    </w:p>
    <w:p w14:paraId="2A0911E2" w14:textId="77777777" w:rsidR="0049543A" w:rsidRPr="0049543A" w:rsidRDefault="0049543A" w:rsidP="0049543A">
      <w:pPr>
        <w:rPr>
          <w:rFonts w:ascii="Arial" w:hAnsi="Arial" w:cs="Arial"/>
          <w:sz w:val="23"/>
          <w:szCs w:val="23"/>
        </w:rPr>
      </w:pPr>
      <w:r w:rsidRPr="0049543A">
        <w:rPr>
          <w:rFonts w:ascii="Arial" w:hAnsi="Arial" w:cs="Arial"/>
          <w:sz w:val="23"/>
          <w:szCs w:val="23"/>
        </w:rPr>
        <w:t>PCC places the individual’s needs, preferences, and values at the centre of care. In maternity services, this involves recognising women and birthing people as active participants rather than passive recipients of treatment. Professionals must provide clear information, listen attentively, and adapt interactions to the person in front of them. For instance, a woman attending her first antenatal appointment may require detailed explanations about screening, monitoring, and birth options, but she may also need reassurance that her cultural beliefs, family expectations, or past trauma will be respected. PCC allows these factors to be discussed openly, preventing them from being ignored or minimised. Structured antenatal discussions or personalised care plans further ensure that women feel prepared and confident in making choices aligned with their values and circumstances.</w:t>
      </w:r>
    </w:p>
    <w:p w14:paraId="38FFCADE" w14:textId="77777777" w:rsidR="0049543A" w:rsidRPr="0049543A" w:rsidRDefault="0049543A" w:rsidP="0049543A">
      <w:pPr>
        <w:rPr>
          <w:rFonts w:ascii="Arial" w:hAnsi="Arial" w:cs="Arial"/>
          <w:sz w:val="23"/>
          <w:szCs w:val="23"/>
        </w:rPr>
      </w:pPr>
      <w:r w:rsidRPr="0049543A">
        <w:rPr>
          <w:rFonts w:ascii="Arial" w:hAnsi="Arial" w:cs="Arial"/>
          <w:sz w:val="23"/>
          <w:szCs w:val="23"/>
        </w:rPr>
        <w:lastRenderedPageBreak/>
        <w:t>Effective communication is a key element of PCC. When information is delivered continuously, clearly, and supportively, the emotional impact can be substantial. Women are more likely to feel informed, calm, and in control when professionals explain not only what is happening, but why it matters (Walsh et al., 2022). For example, explaining the rationale behind a scan or outlining options for labour interventions enables women to participate confidently in decision-making. PCC does not simplify complex clinical decisions but equips the individual to make informed choices safely and in alignment with their values. Effective communication also allows professionals to anticipate potential concerns or misunderstandings, providing reassurance and guidance that can reduce anxiety and facilitate smoother transitions between care stages. In this sense, PCC is both practical and relational, combining technical knowledge with human responsiveness.</w:t>
      </w:r>
    </w:p>
    <w:p w14:paraId="4816703A" w14:textId="77777777" w:rsidR="0049543A" w:rsidRPr="0049543A" w:rsidRDefault="0049543A" w:rsidP="0049543A">
      <w:pPr>
        <w:rPr>
          <w:rFonts w:ascii="Arial" w:hAnsi="Arial" w:cs="Arial"/>
          <w:sz w:val="23"/>
          <w:szCs w:val="23"/>
        </w:rPr>
      </w:pPr>
      <w:r w:rsidRPr="0049543A">
        <w:rPr>
          <w:rFonts w:ascii="Arial" w:hAnsi="Arial" w:cs="Arial"/>
          <w:sz w:val="23"/>
          <w:szCs w:val="23"/>
        </w:rPr>
        <w:t>Relational trust is central to effective maternity care. Women are more likely to feel safe when they believe their concerns will be heard and acted upon, whereas rushed or pressured communication can undermine autonomy and dignity (Dalton et al., 2021). Trust is particularly important in situations of uncertainty or urgency, such as during labour or unexpected complications. When professionals take time to listen and explain options, they reinforce the sense that the woman’s perspective matters, supporting engagement and adherence to care plans. Developing trust over time encourages women to disclose sensitive information, improving the accuracy of assessments and enhancing the effectiveness of collaborative interventions. PCC therefore strengthens both relational and clinical outcomes, illustrating the ethical and practical value of attentive, respectful interaction.</w:t>
      </w:r>
    </w:p>
    <w:p w14:paraId="1FDC4926" w14:textId="77777777" w:rsidR="0049543A" w:rsidRPr="0049543A" w:rsidRDefault="0049543A" w:rsidP="0049543A">
      <w:pPr>
        <w:rPr>
          <w:rFonts w:ascii="Arial" w:hAnsi="Arial" w:cs="Arial"/>
          <w:sz w:val="23"/>
          <w:szCs w:val="23"/>
        </w:rPr>
      </w:pPr>
      <w:r w:rsidRPr="0049543A">
        <w:rPr>
          <w:rFonts w:ascii="Arial" w:hAnsi="Arial" w:cs="Arial"/>
          <w:sz w:val="23"/>
          <w:szCs w:val="23"/>
        </w:rPr>
        <w:t>However, PCC has inherent limitations. Its quality is heavily dependent on whether staff have sufficient time, emotional capacity, and organisational support to engage meaningfully with service users. In services experiencing workforce shortages or high demand, professionals may prioritise tasks over relational engagement, limiting the scope for personalised discussion (West, Barron &amp; Reeves, 2005). A midwife may have the clinical knowledge to detect risk but may be constrained by appointment times or workload pressures, making it difficult to explore preferences, fears, or social context thoroughly. Without such space, PCC risks being reduced to superficial politeness rather than substantive engagement.</w:t>
      </w:r>
    </w:p>
    <w:p w14:paraId="60EEF5BE" w14:textId="77777777" w:rsidR="0049543A" w:rsidRPr="0049543A" w:rsidRDefault="0049543A" w:rsidP="0049543A">
      <w:pPr>
        <w:rPr>
          <w:rFonts w:ascii="Arial" w:hAnsi="Arial" w:cs="Arial"/>
          <w:sz w:val="23"/>
          <w:szCs w:val="23"/>
        </w:rPr>
      </w:pPr>
      <w:r w:rsidRPr="0049543A">
        <w:rPr>
          <w:rFonts w:ascii="Arial" w:hAnsi="Arial" w:cs="Arial"/>
          <w:sz w:val="23"/>
          <w:szCs w:val="23"/>
        </w:rPr>
        <w:t>Unconscious bias further constrains PCC. Research shows that healthcare professionals may interpret symptoms differently based on a woman’s ethnicity or social background (Joseph, Flint &amp; Raymond-Williams, 2021). In maternity settings, this can be especially harmful: some Black and Asian women report that their pain is underestimated or not acted upon promptly, delaying care and exacerbating complications (Ruben, Weaver &amp; Stein, 2025). These findings illustrate why PCC cannot rely solely on individual goodwill or professional intention; it requires organisational support, reflective practice, and systemic safeguards against unequal treatment. Without these structures, PCC remains inconsistent in practice despite its ethical appeal.</w:t>
      </w:r>
    </w:p>
    <w:p w14:paraId="4A566A0A" w14:textId="77777777" w:rsidR="0049543A" w:rsidRPr="0049543A" w:rsidRDefault="0049543A" w:rsidP="0049543A">
      <w:pPr>
        <w:rPr>
          <w:rFonts w:ascii="Arial" w:hAnsi="Arial" w:cs="Arial"/>
          <w:sz w:val="23"/>
          <w:szCs w:val="23"/>
        </w:rPr>
      </w:pPr>
      <w:r w:rsidRPr="0049543A">
        <w:rPr>
          <w:rFonts w:ascii="Arial" w:hAnsi="Arial" w:cs="Arial"/>
          <w:sz w:val="23"/>
          <w:szCs w:val="23"/>
        </w:rPr>
        <w:t xml:space="preserve">The Relationship-Centred Care model reinforces this view by highlighting that care quality is shaped not only by the individual professional-patient interaction but also by the surrounding relationships, including colleagues and organisational culture (Beach &amp; Inui, 2006). Continuity of carer exemplifies this principle in practice. Women supported by the same midwives throughout pregnancy and postnatal care experience greater </w:t>
      </w:r>
      <w:r w:rsidRPr="0049543A">
        <w:rPr>
          <w:rFonts w:ascii="Arial" w:hAnsi="Arial" w:cs="Arial"/>
          <w:sz w:val="23"/>
          <w:szCs w:val="23"/>
        </w:rPr>
        <w:lastRenderedPageBreak/>
        <w:t>familiarity, trust, and personalised guidance (Forster et al., 2016). Continuity enables professionals to understand individual needs, identify patterns, and provide reassurance grounded in genuine relational knowledge rather than procedural routine. This approach is particularly valuable for women experiencing trauma, socioeconomic disadvantage, or mistrust of services. Continuity is only feasible with adequate staffing and a supportive workplace culture; otherwise, relational work itself can become burdensome.</w:t>
      </w:r>
    </w:p>
    <w:p w14:paraId="702EF0AD" w14:textId="4A6DF51A" w:rsidR="0049543A" w:rsidRPr="0049543A" w:rsidRDefault="0049543A" w:rsidP="0049543A">
      <w:pPr>
        <w:rPr>
          <w:rFonts w:ascii="Arial" w:hAnsi="Arial" w:cs="Arial"/>
          <w:sz w:val="23"/>
          <w:szCs w:val="23"/>
        </w:rPr>
      </w:pPr>
      <w:r w:rsidRPr="0049543A">
        <w:rPr>
          <w:rFonts w:ascii="Arial" w:hAnsi="Arial" w:cs="Arial"/>
          <w:sz w:val="23"/>
          <w:szCs w:val="23"/>
        </w:rPr>
        <w:t xml:space="preserve">Ethics form the foundation of PCC, guiding decisions in situations where clinical, personal, and social considerations intersect. Principles of autonomy, beneficence, non-maleficence, justice, and dignity are not abstract ideals: they direct day-to-day interactions. Supporting autonomy means providing unbiased, understandable information to allow informed choices regarding pain relief, induction, birth mode, or emergency interventions (Begley et al., 2019). </w:t>
      </w:r>
      <w:r w:rsidR="002F5444" w:rsidRPr="002F5444">
        <w:rPr>
          <w:rFonts w:ascii="Arial" w:hAnsi="Arial" w:cs="Arial"/>
          <w:sz w:val="23"/>
          <w:szCs w:val="23"/>
        </w:rPr>
        <w:t>PCC also recognises the role of families in care, with providers holding non-instrumental responsibilities for family members while prioritising the patient’s interests (Olson, 2019)</w:t>
      </w:r>
      <w:r w:rsidR="002F5444">
        <w:rPr>
          <w:rFonts w:ascii="Arial" w:hAnsi="Arial" w:cs="Arial"/>
          <w:sz w:val="23"/>
          <w:szCs w:val="23"/>
        </w:rPr>
        <w:t xml:space="preserve">. </w:t>
      </w:r>
      <w:r w:rsidRPr="0049543A">
        <w:rPr>
          <w:rFonts w:ascii="Arial" w:hAnsi="Arial" w:cs="Arial"/>
          <w:sz w:val="23"/>
          <w:szCs w:val="23"/>
        </w:rPr>
        <w:t>Respecting autonomy enhances confidence and trust even when outcomes differ from expectations (Salinger et al., 2024; Knight et al., 2021). Justice is particularly critical in addressing persistent inequalities. Black and Asian women, as well as those in deprived areas, continue to experience poorer outcomes and more negative experiences of care (</w:t>
      </w:r>
      <w:proofErr w:type="spellStart"/>
      <w:r w:rsidRPr="0049543A">
        <w:rPr>
          <w:rFonts w:ascii="Arial" w:hAnsi="Arial" w:cs="Arial"/>
          <w:sz w:val="23"/>
          <w:szCs w:val="23"/>
        </w:rPr>
        <w:t>Montalmant</w:t>
      </w:r>
      <w:proofErr w:type="spellEnd"/>
      <w:r w:rsidRPr="0049543A">
        <w:rPr>
          <w:rFonts w:ascii="Arial" w:hAnsi="Arial" w:cs="Arial"/>
          <w:sz w:val="23"/>
          <w:szCs w:val="23"/>
        </w:rPr>
        <w:t xml:space="preserve"> &amp; Ettinger, 2024). Ethical practice requires healthcare services to actively mitigate these disparities rather than passively noting them. Justice in maternity care demands tailoring support to reduce structural and interpersonal barriers, which is achieved when PCC and PW are implemented effectively.</w:t>
      </w:r>
    </w:p>
    <w:p w14:paraId="53D3FE07" w14:textId="77777777" w:rsidR="0049543A" w:rsidRPr="0049543A" w:rsidRDefault="0049543A" w:rsidP="0049543A">
      <w:pPr>
        <w:rPr>
          <w:rFonts w:ascii="Arial" w:hAnsi="Arial" w:cs="Arial"/>
          <w:sz w:val="23"/>
          <w:szCs w:val="23"/>
        </w:rPr>
      </w:pPr>
      <w:r w:rsidRPr="0049543A">
        <w:rPr>
          <w:rFonts w:ascii="Arial" w:hAnsi="Arial" w:cs="Arial"/>
          <w:sz w:val="23"/>
          <w:szCs w:val="23"/>
        </w:rPr>
        <w:t>Partnership working operationalises these ethical principles. PW involves collaboration between professionals, organisations, service users, and families to provide consistent and coordinated care (Bhatia, 2025). In maternity services, this extends across midwives, obstetricians, GPs, anaesthetists, perinatal mental health teams, health visitors, safeguarding professionals, social care, and community organisations. Effective PW ensures that health and social needs are addressed holistically rather than in isolation. For example, a woman experiencing reduced foetal movements benefits from immediate, coordinated input from midwives, obstetricians, and sonographers. Rapid, shared decision-making not only prevents clinical deterioration but also reinforces the principles of PCC by validating the woman’s concerns.</w:t>
      </w:r>
    </w:p>
    <w:p w14:paraId="06C54304" w14:textId="77777777" w:rsidR="0049543A" w:rsidRPr="0049543A" w:rsidRDefault="0049543A" w:rsidP="0049543A">
      <w:pPr>
        <w:rPr>
          <w:rFonts w:ascii="Arial" w:hAnsi="Arial" w:cs="Arial"/>
          <w:sz w:val="23"/>
          <w:szCs w:val="23"/>
        </w:rPr>
      </w:pPr>
      <w:r w:rsidRPr="0049543A">
        <w:rPr>
          <w:rFonts w:ascii="Arial" w:hAnsi="Arial" w:cs="Arial"/>
          <w:sz w:val="23"/>
          <w:szCs w:val="23"/>
        </w:rPr>
        <w:t xml:space="preserve">However, sustaining PW faces challenges. Hierarchical structures can discourage open communication, and workload pressures may limit time for case discussions or handovers. Incompatible IT systems can prevent timely sharing of critical information, resulting in repeated assessments, missed records, or delayed interventions. Cultural competence is vital: professionals who do not understand family dynamics, beliefs, or communication styles risk misinterpreting behaviour or missing contextual cues. Reflective practice, ongoing training, and organisational learning are essential to mitigate these barriers (Batsa &amp; </w:t>
      </w:r>
      <w:proofErr w:type="spellStart"/>
      <w:r w:rsidRPr="0049543A">
        <w:rPr>
          <w:rFonts w:ascii="Arial" w:hAnsi="Arial" w:cs="Arial"/>
          <w:sz w:val="23"/>
          <w:szCs w:val="23"/>
        </w:rPr>
        <w:t>Makwan</w:t>
      </w:r>
      <w:proofErr w:type="spellEnd"/>
      <w:r w:rsidRPr="0049543A">
        <w:rPr>
          <w:rFonts w:ascii="Arial" w:hAnsi="Arial" w:cs="Arial"/>
          <w:sz w:val="23"/>
          <w:szCs w:val="23"/>
        </w:rPr>
        <w:t>, 2025). PW thus requires both interpersonal skill and effective organisational design.</w:t>
      </w:r>
    </w:p>
    <w:p w14:paraId="58A89637" w14:textId="77777777" w:rsidR="0049543A" w:rsidRPr="0049543A" w:rsidRDefault="0049543A" w:rsidP="0049543A">
      <w:pPr>
        <w:rPr>
          <w:rFonts w:ascii="Arial" w:hAnsi="Arial" w:cs="Arial"/>
          <w:sz w:val="23"/>
          <w:szCs w:val="23"/>
        </w:rPr>
      </w:pPr>
      <w:r w:rsidRPr="0049543A">
        <w:rPr>
          <w:rFonts w:ascii="Arial" w:hAnsi="Arial" w:cs="Arial"/>
          <w:sz w:val="23"/>
          <w:szCs w:val="23"/>
        </w:rPr>
        <w:t xml:space="preserve">The significance of PCC and PW becomes particularly evident in relation to maternal inequalities. Black women in the UK are nearly three times more likely to die during pregnancy or postnatally than White women, and women in deprived areas face nearly double the risk (Knight et al., 2021). These stark figures highlight that inequalities are systemic rather than incidental. Poor communication, delayed escalation of concerns, </w:t>
      </w:r>
      <w:r w:rsidRPr="0049543A">
        <w:rPr>
          <w:rFonts w:ascii="Arial" w:hAnsi="Arial" w:cs="Arial"/>
          <w:sz w:val="23"/>
          <w:szCs w:val="23"/>
        </w:rPr>
        <w:lastRenderedPageBreak/>
        <w:t>and insufficient adaptation of care to individual needs contribute directly to these outcomes. PCC and PW act as corrective strategies, addressing gaps in communication, coordination, and relational care that perpetuate unequal experiences.</w:t>
      </w:r>
    </w:p>
    <w:p w14:paraId="5697AACC" w14:textId="77777777" w:rsidR="0049543A" w:rsidRPr="0049543A" w:rsidRDefault="0049543A" w:rsidP="0049543A">
      <w:pPr>
        <w:rPr>
          <w:rFonts w:ascii="Arial" w:hAnsi="Arial" w:cs="Arial"/>
          <w:sz w:val="23"/>
          <w:szCs w:val="23"/>
        </w:rPr>
      </w:pPr>
      <w:r w:rsidRPr="0049543A">
        <w:rPr>
          <w:rFonts w:ascii="Arial" w:hAnsi="Arial" w:cs="Arial"/>
          <w:sz w:val="23"/>
          <w:szCs w:val="23"/>
        </w:rPr>
        <w:t>PCC and PW reduce inequalities by enabling concerns to be identified and acted upon promptly. PCC ensures that explanations are tailored to the woman’s understanding and context, while PW guarantees that concerns are escalated appropriately. This is critical where medical, psychological, and social risks intersect. Perinatal mental health teams can support women experiencing anxiety or trauma, safeguarding professionals can address domestic abuse, coercive control, homelessness, or substance misuse, and interpreters or cultural mediators can remove language barriers (Seale et al., 2024). Together, these interventions make care safer, more respectful, and more equitable.</w:t>
      </w:r>
    </w:p>
    <w:p w14:paraId="138046C1" w14:textId="77777777" w:rsidR="0049543A" w:rsidRPr="0049543A" w:rsidRDefault="0049543A" w:rsidP="0049543A">
      <w:pPr>
        <w:rPr>
          <w:rFonts w:ascii="Arial" w:hAnsi="Arial" w:cs="Arial"/>
          <w:sz w:val="23"/>
          <w:szCs w:val="23"/>
        </w:rPr>
      </w:pPr>
      <w:r w:rsidRPr="0049543A">
        <w:rPr>
          <w:rFonts w:ascii="Arial" w:hAnsi="Arial" w:cs="Arial"/>
          <w:sz w:val="23"/>
          <w:szCs w:val="23"/>
        </w:rPr>
        <w:t>Cultural competence is central to partnership effectiveness. Understanding beliefs, family structures, communication styles, and support systems allows professionals to engage meaningfully with women from diverse backgrounds. Evidence from Australian studies demonstrates that involving interpreters, community leaders, and faith-based support improves communication, early risk identification, and trust (Seale et al., 2024). In the UK context, culturally aware practice fosters engagement and strengthens partnerships beyond the hospital setting, extending into the wider social network of the woman. Strong partnerships enable earlier detection of social, emotional, or health risks, allowing coordinated responses that integrate clinical and social care, improving both safety and patient satisfaction.</w:t>
      </w:r>
    </w:p>
    <w:p w14:paraId="3B270A25" w14:textId="77777777" w:rsidR="0049543A" w:rsidRPr="0049543A" w:rsidRDefault="0049543A" w:rsidP="0049543A">
      <w:pPr>
        <w:rPr>
          <w:rFonts w:ascii="Arial" w:hAnsi="Arial" w:cs="Arial"/>
          <w:sz w:val="23"/>
          <w:szCs w:val="23"/>
        </w:rPr>
      </w:pPr>
      <w:r w:rsidRPr="0049543A">
        <w:rPr>
          <w:rFonts w:ascii="Arial" w:hAnsi="Arial" w:cs="Arial"/>
          <w:sz w:val="23"/>
          <w:szCs w:val="23"/>
        </w:rPr>
        <w:t>National frameworks reinforce these expectations. The Health and Social Care Act 2012 promotes patient involvement and integrated working (Department of Health and Social Care, 2012). The NHS Long Term Plan emphasises personalised care and continuity (NHS England, 2019), while Better Births (2016) provides a vision for safer, kinder, personalised maternity services (NHS England, 2016). The Equality Act 2010 mandates actions against discrimination (UK Government, 2010), and the Care Act 2014 emphasises wellbeing, prevention, and choice (UK Government, 2014). Collectively, these frameworks embed PCC and PW into national expectations, linking ethical obligations with operational guidance. Implementation relies on staffing, leadership, training, and accountability; policies alone cannot create change without practical reinforcement.</w:t>
      </w:r>
    </w:p>
    <w:p w14:paraId="63BCF179" w14:textId="77777777" w:rsidR="0049543A" w:rsidRPr="0049543A" w:rsidRDefault="0049543A" w:rsidP="0049543A">
      <w:pPr>
        <w:rPr>
          <w:rFonts w:ascii="Arial" w:hAnsi="Arial" w:cs="Arial"/>
          <w:sz w:val="23"/>
          <w:szCs w:val="23"/>
        </w:rPr>
      </w:pPr>
      <w:r w:rsidRPr="0049543A">
        <w:rPr>
          <w:rFonts w:ascii="Arial" w:hAnsi="Arial" w:cs="Arial"/>
          <w:sz w:val="23"/>
          <w:szCs w:val="23"/>
        </w:rPr>
        <w:t>To strengthen PCC and PW, maternity services should expand continuity of carer models, enhance cultural competence and unconscious-bias training, and facilitate multidisciplinary teamwork via case discussions and integrated digital systems. Partnerships with voluntary and community organisations help engage women who may distrust statutory services, and equality dashboards provide data-driven accountability for outcomes across populations. Adequate staffing is essential to allow time for relational engagement, a prerequisite for meaningful PCC (West, Barron &amp; Reeves, 2005). Together, these measures operationalise the values described in the abstract: safe, respectful, and collaborative care.</w:t>
      </w:r>
    </w:p>
    <w:p w14:paraId="6288AC76" w14:textId="77777777" w:rsidR="0049543A" w:rsidRPr="0049543A" w:rsidRDefault="0049543A" w:rsidP="0049543A">
      <w:pPr>
        <w:rPr>
          <w:rFonts w:ascii="Arial" w:hAnsi="Arial" w:cs="Arial"/>
          <w:sz w:val="23"/>
          <w:szCs w:val="23"/>
        </w:rPr>
      </w:pPr>
      <w:r w:rsidRPr="0049543A">
        <w:rPr>
          <w:rFonts w:ascii="Arial" w:hAnsi="Arial" w:cs="Arial"/>
          <w:sz w:val="23"/>
          <w:szCs w:val="23"/>
        </w:rPr>
        <w:t xml:space="preserve">In conclusion, PCC and PW are essential for delivering safe, equitable, and dignified maternity care in the UK (NHS England, 2016). They support autonomy, enhance communication, and reduce avoidable harm while addressing the persistent inequalities experienced by Black, Asian, and socioeconomically disadvantaged women (Fernandez Turienzo et al., 2021; Knight et al., 2021). Integrating cultural competence, continuity, </w:t>
      </w:r>
      <w:r w:rsidRPr="0049543A">
        <w:rPr>
          <w:rFonts w:ascii="Arial" w:hAnsi="Arial" w:cs="Arial"/>
          <w:sz w:val="23"/>
          <w:szCs w:val="23"/>
        </w:rPr>
        <w:lastRenderedPageBreak/>
        <w:t>and multidisciplinary collaboration is necessary for equitable outcomes. PCC and PW are not optional or abstract ideals; they are intertwined, practical, ethical, and organisational imperatives. Embedding them into daily practice ensures that maternity care is responsive, inclusive, and consistently high-quality, creating a system where all women and birthing people receive personalised, fair, and safe care. Sustained investment in training, continuity, and interprofessional collaboration ensures that these approaches are implemented consistently and effectively rather than sporadically. In doing so, maternity services can address historical inequities, reduce preventable harm, and deliver care that is both clinically effective and deeply respectful of the individual’s needs and values.</w:t>
      </w:r>
    </w:p>
    <w:p w14:paraId="667D50CE" w14:textId="77777777" w:rsidR="0049543A" w:rsidRPr="0049543A" w:rsidRDefault="0049543A" w:rsidP="00B85651">
      <w:pPr>
        <w:rPr>
          <w:rFonts w:ascii="Arial" w:hAnsi="Arial" w:cs="Arial"/>
          <w:sz w:val="23"/>
          <w:szCs w:val="23"/>
        </w:rPr>
      </w:pPr>
    </w:p>
    <w:p w14:paraId="35D389BD" w14:textId="77777777" w:rsidR="006E74CE" w:rsidRPr="0049543A" w:rsidRDefault="006E74CE" w:rsidP="00B85651">
      <w:pPr>
        <w:rPr>
          <w:rFonts w:ascii="Arial" w:hAnsi="Arial" w:cs="Arial"/>
          <w:sz w:val="23"/>
          <w:szCs w:val="23"/>
        </w:rPr>
      </w:pPr>
    </w:p>
    <w:p w14:paraId="38A55208" w14:textId="77777777" w:rsidR="006E74CE" w:rsidRPr="0049543A" w:rsidRDefault="006E74CE" w:rsidP="00B85651">
      <w:pPr>
        <w:rPr>
          <w:sz w:val="23"/>
          <w:szCs w:val="23"/>
        </w:rPr>
      </w:pPr>
    </w:p>
    <w:p w14:paraId="381BA950" w14:textId="77777777" w:rsidR="006E74CE" w:rsidRPr="0049543A" w:rsidRDefault="006E74CE" w:rsidP="00B85651">
      <w:pPr>
        <w:rPr>
          <w:sz w:val="23"/>
          <w:szCs w:val="23"/>
        </w:rPr>
      </w:pPr>
    </w:p>
    <w:p w14:paraId="6F89E49F" w14:textId="77777777" w:rsidR="00A8526F" w:rsidRDefault="00A8526F" w:rsidP="00B85651">
      <w:pPr>
        <w:rPr>
          <w:b/>
          <w:bCs/>
          <w:sz w:val="28"/>
          <w:szCs w:val="28"/>
        </w:rPr>
      </w:pPr>
    </w:p>
    <w:p w14:paraId="6A4EBC5E" w14:textId="77777777" w:rsidR="00A8526F" w:rsidRDefault="00A8526F" w:rsidP="00B85651">
      <w:pPr>
        <w:rPr>
          <w:b/>
          <w:bCs/>
          <w:sz w:val="28"/>
          <w:szCs w:val="28"/>
        </w:rPr>
      </w:pPr>
    </w:p>
    <w:p w14:paraId="79DE055F" w14:textId="77777777" w:rsidR="0027013A" w:rsidRDefault="0027013A" w:rsidP="00B85651">
      <w:pPr>
        <w:rPr>
          <w:b/>
          <w:bCs/>
          <w:sz w:val="28"/>
          <w:szCs w:val="28"/>
        </w:rPr>
      </w:pPr>
    </w:p>
    <w:p w14:paraId="019CF4FC" w14:textId="77777777" w:rsidR="00DE5327" w:rsidRDefault="00DE5327" w:rsidP="00B85651">
      <w:pPr>
        <w:rPr>
          <w:b/>
          <w:bCs/>
          <w:sz w:val="28"/>
          <w:szCs w:val="28"/>
        </w:rPr>
      </w:pPr>
    </w:p>
    <w:p w14:paraId="2C32B26C" w14:textId="77777777" w:rsidR="00DE5327" w:rsidRDefault="00DE5327" w:rsidP="00B85651">
      <w:pPr>
        <w:rPr>
          <w:b/>
          <w:bCs/>
          <w:sz w:val="28"/>
          <w:szCs w:val="28"/>
        </w:rPr>
      </w:pPr>
    </w:p>
    <w:p w14:paraId="2F3B9ED7" w14:textId="77777777" w:rsidR="00DE5327" w:rsidRDefault="00DE5327" w:rsidP="00B85651">
      <w:pPr>
        <w:rPr>
          <w:b/>
          <w:bCs/>
          <w:sz w:val="28"/>
          <w:szCs w:val="28"/>
        </w:rPr>
      </w:pPr>
    </w:p>
    <w:p w14:paraId="2429EC01" w14:textId="77777777" w:rsidR="00DE5327" w:rsidRDefault="00DE5327" w:rsidP="00B85651">
      <w:pPr>
        <w:rPr>
          <w:b/>
          <w:bCs/>
          <w:sz w:val="28"/>
          <w:szCs w:val="28"/>
        </w:rPr>
      </w:pPr>
    </w:p>
    <w:p w14:paraId="47953857" w14:textId="77777777" w:rsidR="00DE5327" w:rsidRDefault="00DE5327" w:rsidP="00B85651">
      <w:pPr>
        <w:rPr>
          <w:b/>
          <w:bCs/>
          <w:sz w:val="28"/>
          <w:szCs w:val="28"/>
        </w:rPr>
      </w:pPr>
    </w:p>
    <w:p w14:paraId="72424FE0" w14:textId="77777777" w:rsidR="00DE5327" w:rsidRDefault="00DE5327" w:rsidP="00B85651">
      <w:pPr>
        <w:rPr>
          <w:b/>
          <w:bCs/>
          <w:sz w:val="28"/>
          <w:szCs w:val="28"/>
        </w:rPr>
      </w:pPr>
    </w:p>
    <w:p w14:paraId="7EFF7EA2" w14:textId="77777777" w:rsidR="00DE5327" w:rsidRDefault="00DE5327" w:rsidP="00B85651">
      <w:pPr>
        <w:rPr>
          <w:b/>
          <w:bCs/>
          <w:sz w:val="28"/>
          <w:szCs w:val="28"/>
        </w:rPr>
      </w:pPr>
    </w:p>
    <w:p w14:paraId="555F8AE3" w14:textId="77777777" w:rsidR="00DE5327" w:rsidRDefault="00DE5327" w:rsidP="00B85651">
      <w:pPr>
        <w:rPr>
          <w:b/>
          <w:bCs/>
          <w:sz w:val="28"/>
          <w:szCs w:val="28"/>
        </w:rPr>
      </w:pPr>
    </w:p>
    <w:p w14:paraId="7A7C3987" w14:textId="77777777" w:rsidR="00DE5327" w:rsidRDefault="00DE5327" w:rsidP="00B85651">
      <w:pPr>
        <w:rPr>
          <w:b/>
          <w:bCs/>
          <w:sz w:val="28"/>
          <w:szCs w:val="28"/>
        </w:rPr>
      </w:pPr>
    </w:p>
    <w:p w14:paraId="49E23CBD" w14:textId="77777777" w:rsidR="00DE5327" w:rsidRDefault="00DE5327" w:rsidP="00B85651">
      <w:pPr>
        <w:rPr>
          <w:b/>
          <w:bCs/>
          <w:sz w:val="28"/>
          <w:szCs w:val="28"/>
        </w:rPr>
      </w:pPr>
    </w:p>
    <w:p w14:paraId="640E26B6" w14:textId="77777777" w:rsidR="00DE5327" w:rsidRDefault="00DE5327" w:rsidP="00B85651">
      <w:pPr>
        <w:rPr>
          <w:b/>
          <w:bCs/>
          <w:sz w:val="28"/>
          <w:szCs w:val="28"/>
        </w:rPr>
      </w:pPr>
    </w:p>
    <w:p w14:paraId="4B546179" w14:textId="77777777" w:rsidR="00DE5327" w:rsidRDefault="00DE5327" w:rsidP="00B85651">
      <w:pPr>
        <w:rPr>
          <w:b/>
          <w:bCs/>
          <w:sz w:val="28"/>
          <w:szCs w:val="28"/>
        </w:rPr>
      </w:pPr>
    </w:p>
    <w:p w14:paraId="5FED4BDF" w14:textId="77777777" w:rsidR="00DE5327" w:rsidRDefault="00DE5327" w:rsidP="00B85651">
      <w:pPr>
        <w:rPr>
          <w:b/>
          <w:bCs/>
          <w:sz w:val="28"/>
          <w:szCs w:val="28"/>
        </w:rPr>
      </w:pPr>
    </w:p>
    <w:p w14:paraId="037965BC" w14:textId="77777777" w:rsidR="002353C6" w:rsidRDefault="002353C6" w:rsidP="00B85651">
      <w:pPr>
        <w:rPr>
          <w:b/>
          <w:bCs/>
          <w:sz w:val="28"/>
          <w:szCs w:val="28"/>
        </w:rPr>
      </w:pPr>
    </w:p>
    <w:p w14:paraId="06029665" w14:textId="3AD11E04" w:rsidR="004B15B5" w:rsidRPr="002353C6" w:rsidRDefault="002353C6" w:rsidP="00B85651">
      <w:pPr>
        <w:rPr>
          <w:b/>
          <w:bCs/>
          <w:sz w:val="28"/>
          <w:szCs w:val="28"/>
          <w:u w:val="single"/>
        </w:rPr>
      </w:pPr>
      <w:r w:rsidRPr="002353C6">
        <w:rPr>
          <w:b/>
          <w:bCs/>
          <w:sz w:val="28"/>
          <w:szCs w:val="28"/>
          <w:u w:val="single"/>
        </w:rPr>
        <w:lastRenderedPageBreak/>
        <w:t>REFERENCES</w:t>
      </w:r>
      <w:r w:rsidR="004B15B5" w:rsidRPr="002353C6">
        <w:rPr>
          <w:b/>
          <w:bCs/>
          <w:sz w:val="28"/>
          <w:szCs w:val="28"/>
          <w:u w:val="single"/>
        </w:rPr>
        <w:t xml:space="preserve">: </w:t>
      </w:r>
    </w:p>
    <w:p w14:paraId="6FFC3697" w14:textId="69FF6640" w:rsidR="00B85651" w:rsidRPr="00B85651" w:rsidRDefault="00B85651" w:rsidP="00B85651">
      <w:r w:rsidRPr="00B85651">
        <w:t xml:space="preserve">Batsa, P.A. and </w:t>
      </w:r>
      <w:proofErr w:type="spellStart"/>
      <w:r w:rsidRPr="00B85651">
        <w:t>Makwan</w:t>
      </w:r>
      <w:proofErr w:type="spellEnd"/>
      <w:r w:rsidRPr="00B85651">
        <w:t xml:space="preserve">, D.K. (2025) ‘Collaboration between medical social workers and healthcare teams in patients care’, </w:t>
      </w:r>
      <w:r w:rsidRPr="00B85651">
        <w:rPr>
          <w:i/>
          <w:iCs/>
        </w:rPr>
        <w:t xml:space="preserve">Lex </w:t>
      </w:r>
      <w:proofErr w:type="spellStart"/>
      <w:r w:rsidRPr="00B85651">
        <w:rPr>
          <w:i/>
          <w:iCs/>
        </w:rPr>
        <w:t>Localis</w:t>
      </w:r>
      <w:proofErr w:type="spellEnd"/>
      <w:r w:rsidRPr="00B85651">
        <w:rPr>
          <w:i/>
          <w:iCs/>
        </w:rPr>
        <w:t xml:space="preserve"> – Journal of Local Self-Government</w:t>
      </w:r>
      <w:r w:rsidRPr="00B85651">
        <w:t xml:space="preserve">, 23(S6), pp. 6733–6743. </w:t>
      </w:r>
      <w:hyperlink r:id="rId11" w:tgtFrame="_new" w:history="1">
        <w:r w:rsidRPr="00B85651">
          <w:rPr>
            <w:rStyle w:val="Hyperlink"/>
          </w:rPr>
          <w:t>https://doi.org/10.52152/wq4e0128</w:t>
        </w:r>
      </w:hyperlink>
    </w:p>
    <w:p w14:paraId="39C7268F" w14:textId="77777777" w:rsidR="00B85651" w:rsidRPr="00F14AA5" w:rsidRDefault="00B85651" w:rsidP="00B85651">
      <w:r w:rsidRPr="00B85651">
        <w:t xml:space="preserve">Beach, M.C. and Inui, T. (2006) ‘Relationship-centred care: a constructive reframing’, </w:t>
      </w:r>
      <w:r w:rsidRPr="00B85651">
        <w:rPr>
          <w:i/>
          <w:iCs/>
        </w:rPr>
        <w:t>Journal of General Internal Medicine</w:t>
      </w:r>
      <w:r w:rsidRPr="00B85651">
        <w:t xml:space="preserve">, 21(S1), pp. </w:t>
      </w:r>
      <w:r w:rsidRPr="00B85651">
        <w:rPr>
          <w:lang w:val="nl-NL"/>
        </w:rPr>
        <w:t xml:space="preserve">S3–S8. </w:t>
      </w:r>
      <w:hyperlink r:id="rId12" w:tgtFrame="_new" w:history="1">
        <w:r w:rsidRPr="00F14AA5">
          <w:rPr>
            <w:rStyle w:val="Hyperlink"/>
          </w:rPr>
          <w:t>https://doi.org/10.1111/j.1525-1497.2006.00302.x</w:t>
        </w:r>
      </w:hyperlink>
    </w:p>
    <w:p w14:paraId="281EFE6A" w14:textId="77777777" w:rsidR="00B85651" w:rsidRPr="00B85651" w:rsidRDefault="00B85651" w:rsidP="00B85651">
      <w:r w:rsidRPr="00F14AA5">
        <w:t xml:space="preserve">Begley, K. et al. </w:t>
      </w:r>
      <w:r w:rsidRPr="00B85651">
        <w:t xml:space="preserve">(2019) ‘Shared decision-making in maternity care: acknowledging and overcoming epistemic defeaters’, </w:t>
      </w:r>
      <w:r w:rsidRPr="00B85651">
        <w:rPr>
          <w:i/>
          <w:iCs/>
        </w:rPr>
        <w:t>Journal of Evaluation in Clinical Practice</w:t>
      </w:r>
      <w:r w:rsidRPr="00B85651">
        <w:t xml:space="preserve">, 25(6), pp. 1113–1120. </w:t>
      </w:r>
      <w:hyperlink r:id="rId13" w:tgtFrame="_new" w:history="1">
        <w:r w:rsidRPr="00B85651">
          <w:rPr>
            <w:rStyle w:val="Hyperlink"/>
          </w:rPr>
          <w:t>https://doi.org/10.1111/jep.13243</w:t>
        </w:r>
      </w:hyperlink>
    </w:p>
    <w:p w14:paraId="4812E067" w14:textId="77777777" w:rsidR="00B85651" w:rsidRPr="00B85651" w:rsidRDefault="00B85651" w:rsidP="00B85651">
      <w:r w:rsidRPr="00B85651">
        <w:t xml:space="preserve">Bhatia, N. (2025) ‘Strengthening healthcare synergy: exploring the collaborative relationship between community pharmacists and nurses’, </w:t>
      </w:r>
      <w:r w:rsidRPr="00B85651">
        <w:rPr>
          <w:i/>
          <w:iCs/>
        </w:rPr>
        <w:t>Frontiers of Nursing</w:t>
      </w:r>
      <w:r w:rsidRPr="00B85651">
        <w:t xml:space="preserve">, 12(2), pp. 201–209. </w:t>
      </w:r>
      <w:hyperlink r:id="rId14" w:tgtFrame="_new" w:history="1">
        <w:r w:rsidRPr="00B85651">
          <w:rPr>
            <w:rStyle w:val="Hyperlink"/>
          </w:rPr>
          <w:t>https://doi.org/10.2478/fon-2025-0022</w:t>
        </w:r>
      </w:hyperlink>
    </w:p>
    <w:p w14:paraId="1737BC97" w14:textId="77777777" w:rsidR="00B85651" w:rsidRPr="00B85651" w:rsidRDefault="00B85651" w:rsidP="00B85651">
      <w:r w:rsidRPr="00B85651">
        <w:t xml:space="preserve">Care Quality Commission (2024) </w:t>
      </w:r>
      <w:r w:rsidRPr="00B85651">
        <w:rPr>
          <w:i/>
          <w:iCs/>
        </w:rPr>
        <w:t>National review of maternity services in England 2022 to 2024: inequalities and racism</w:t>
      </w:r>
      <w:r w:rsidRPr="00B85651">
        <w:t xml:space="preserve">. London: CQC. Available at: </w:t>
      </w:r>
      <w:hyperlink r:id="rId15" w:tgtFrame="_new" w:history="1">
        <w:r w:rsidRPr="00B85651">
          <w:rPr>
            <w:rStyle w:val="Hyperlink"/>
          </w:rPr>
          <w:t>https://www.cqc.org.uk/publications/maternity-services-2022-2024/inequalities</w:t>
        </w:r>
      </w:hyperlink>
      <w:r w:rsidRPr="00B85651">
        <w:t xml:space="preserve"> (Accessed: 19 March 2026)</w:t>
      </w:r>
    </w:p>
    <w:p w14:paraId="504AB948" w14:textId="77777777" w:rsidR="00B85651" w:rsidRPr="00B85651" w:rsidRDefault="00B85651" w:rsidP="00B85651">
      <w:r w:rsidRPr="00B85651">
        <w:rPr>
          <w:lang w:val="nl-NL"/>
        </w:rPr>
        <w:t xml:space="preserve">Dalton, E.D. et al. </w:t>
      </w:r>
      <w:r w:rsidRPr="00B85651">
        <w:t xml:space="preserve">(2021) ‘From vulnerability to disclosure: a normative approach to understanding trust in obstetric and intrapartum nurse–patient communication’, </w:t>
      </w:r>
      <w:r w:rsidRPr="00B85651">
        <w:rPr>
          <w:i/>
          <w:iCs/>
        </w:rPr>
        <w:t>Health Communication</w:t>
      </w:r>
      <w:r w:rsidRPr="00B85651">
        <w:t xml:space="preserve">, 36(5), pp. 616–629. </w:t>
      </w:r>
      <w:hyperlink r:id="rId16" w:tgtFrame="_new" w:history="1">
        <w:r w:rsidRPr="00B85651">
          <w:rPr>
            <w:rStyle w:val="Hyperlink"/>
          </w:rPr>
          <w:t>https://doi.org/10.1080/10410236.2020.1733225</w:t>
        </w:r>
      </w:hyperlink>
    </w:p>
    <w:p w14:paraId="5DB2E37C" w14:textId="77777777" w:rsidR="00B85651" w:rsidRPr="00B85651" w:rsidRDefault="00B85651" w:rsidP="00B85651">
      <w:r w:rsidRPr="00B85651">
        <w:t xml:space="preserve">Department of Health and Social Care (2012) </w:t>
      </w:r>
      <w:r w:rsidRPr="00B85651">
        <w:rPr>
          <w:i/>
          <w:iCs/>
        </w:rPr>
        <w:t>Health and Social Care Act 2012</w:t>
      </w:r>
      <w:r w:rsidRPr="00B85651">
        <w:t>. London: The Stationery Office.</w:t>
      </w:r>
    </w:p>
    <w:p w14:paraId="32CDEE34" w14:textId="77777777" w:rsidR="00B85651" w:rsidRPr="00B85651" w:rsidRDefault="00B85651" w:rsidP="00B85651">
      <w:r w:rsidRPr="00B85651">
        <w:t xml:space="preserve">Fernandez Turienzo, C., Newburn, M., Agyepong, A., </w:t>
      </w:r>
      <w:proofErr w:type="spellStart"/>
      <w:r w:rsidRPr="00B85651">
        <w:t>Buabeng</w:t>
      </w:r>
      <w:proofErr w:type="spellEnd"/>
      <w:r w:rsidRPr="00B85651">
        <w:t xml:space="preserve">, R., Dignam, A., et al. (2021) ‘Addressing inequities in maternal health among women living in communities of social disadvantage and ethnic diversity’, </w:t>
      </w:r>
      <w:r w:rsidRPr="00B85651">
        <w:rPr>
          <w:i/>
          <w:iCs/>
        </w:rPr>
        <w:t>BMC Public Health</w:t>
      </w:r>
      <w:r w:rsidRPr="00B85651">
        <w:t>, 21, pp. 1–5.</w:t>
      </w:r>
    </w:p>
    <w:p w14:paraId="213818C9" w14:textId="77777777" w:rsidR="00B85651" w:rsidRPr="00B85651" w:rsidRDefault="00B85651" w:rsidP="00B85651">
      <w:r w:rsidRPr="00B85651">
        <w:rPr>
          <w:lang w:val="nl-NL"/>
        </w:rPr>
        <w:t xml:space="preserve">Forster, D.A. et al. </w:t>
      </w:r>
      <w:r w:rsidRPr="00B85651">
        <w:t xml:space="preserve">(2016) ‘Continuity of care by a primary midwife (caseload midwifery) increases women’s satisfaction with antenatal, intrapartum and postpartum care: results from the COSMOS randomised controlled trial’, </w:t>
      </w:r>
      <w:r w:rsidRPr="00B85651">
        <w:rPr>
          <w:i/>
          <w:iCs/>
        </w:rPr>
        <w:t>BMC Pregnancy and Childbirth</w:t>
      </w:r>
      <w:r w:rsidRPr="00B85651">
        <w:t>, 16.</w:t>
      </w:r>
    </w:p>
    <w:p w14:paraId="001B8CF9" w14:textId="77777777" w:rsidR="00B85651" w:rsidRPr="00B85651" w:rsidRDefault="00B85651" w:rsidP="00B85651">
      <w:r w:rsidRPr="00B85651">
        <w:t xml:space="preserve">Joseph, O.R., Flint, S.W., Raymond-Williams, R., Awadzi, R. and Johnson, J. (2021) ‘Understanding healthcare students’ experiences of racial bias: a narrative review of the role of implicit bias and potential interventions in educational settings’, </w:t>
      </w:r>
      <w:r w:rsidRPr="00B85651">
        <w:rPr>
          <w:i/>
          <w:iCs/>
        </w:rPr>
        <w:t>International Journal of Environmental Research and Public Health</w:t>
      </w:r>
      <w:r w:rsidRPr="00B85651">
        <w:t>, 18(23), pp. 12771.</w:t>
      </w:r>
    </w:p>
    <w:p w14:paraId="3BFBD78B" w14:textId="16F8E582" w:rsidR="00B85651" w:rsidRPr="00B85651" w:rsidRDefault="00B85651" w:rsidP="00B85651">
      <w:r w:rsidRPr="00B85651">
        <w:t xml:space="preserve">Knight, M., Bunch, K., Tuffnell, D., et al. (2021) </w:t>
      </w:r>
      <w:r w:rsidRPr="00B85651">
        <w:rPr>
          <w:i/>
          <w:iCs/>
        </w:rPr>
        <w:t>Saving lives, improving mothers’ care: lessons learned to inform maternity care from the UK and Ireland Confidential Enquiries into Maternal Deaths and Morbidity 2017–19</w:t>
      </w:r>
      <w:r w:rsidRPr="00B85651">
        <w:t>. Oxford: National Perinatal Epidemiology Unit, University of Oxford.</w:t>
      </w:r>
      <w:r w:rsidR="00F14AA5">
        <w:t xml:space="preserve"> </w:t>
      </w:r>
      <w:hyperlink r:id="rId17" w:history="1">
        <w:r w:rsidR="00F14AA5" w:rsidRPr="00F14AA5">
          <w:rPr>
            <w:rStyle w:val="Hyperlink"/>
          </w:rPr>
          <w:t>npeu.ox.ac.uk/assets/downloads/mbrrace-uk/reports/maternal-report-2021/MBRRACE-UK_Maternal_Report_2021_-_FINAL_-_WEB_VERSION.pdf</w:t>
        </w:r>
      </w:hyperlink>
    </w:p>
    <w:p w14:paraId="4788B3FB" w14:textId="77777777" w:rsidR="00B85651" w:rsidRPr="00B85651" w:rsidRDefault="00B85651" w:rsidP="00B85651">
      <w:proofErr w:type="spellStart"/>
      <w:r w:rsidRPr="00B85651">
        <w:t>Montalmant</w:t>
      </w:r>
      <w:proofErr w:type="spellEnd"/>
      <w:r w:rsidRPr="00B85651">
        <w:t xml:space="preserve">, K.E. and Ettinger, A.K. (2024) ‘The racial disparities in maternal mortality and impact of structural racism and implicit racial bias on pregnant Black women: a review of the literature’, </w:t>
      </w:r>
      <w:r w:rsidRPr="00B85651">
        <w:rPr>
          <w:i/>
          <w:iCs/>
        </w:rPr>
        <w:t>Journal of Racial and Ethnic Health Disparities</w:t>
      </w:r>
      <w:r w:rsidRPr="00B85651">
        <w:t xml:space="preserve">, 11(6), pp. 3658–3677. </w:t>
      </w:r>
      <w:hyperlink r:id="rId18" w:tgtFrame="_new" w:history="1">
        <w:r w:rsidRPr="00B85651">
          <w:rPr>
            <w:rStyle w:val="Hyperlink"/>
          </w:rPr>
          <w:t>https://doi.org/10.1007/s40615-023-01816-x</w:t>
        </w:r>
      </w:hyperlink>
    </w:p>
    <w:p w14:paraId="626D8D28" w14:textId="77777777" w:rsidR="00B85651" w:rsidRPr="00B85651" w:rsidRDefault="00B85651" w:rsidP="00B85651">
      <w:r w:rsidRPr="00B85651">
        <w:lastRenderedPageBreak/>
        <w:t xml:space="preserve">Niles, P.M., Baumont, M., Malhotra, N., Stoll, K., Strauss, N., Lyndon, A. and Vedam, S. (2023) ‘Examining respect, autonomy, and mistreatment in childbirth in the US: do provider type and place of birth matter?’, </w:t>
      </w:r>
      <w:r w:rsidRPr="00B85651">
        <w:rPr>
          <w:i/>
          <w:iCs/>
        </w:rPr>
        <w:t>Reproductive Health</w:t>
      </w:r>
      <w:r w:rsidRPr="00B85651">
        <w:t>, 20, pp. 1–12.</w:t>
      </w:r>
    </w:p>
    <w:p w14:paraId="1FCD23BB" w14:textId="77777777" w:rsidR="00B85651" w:rsidRPr="00B85651" w:rsidRDefault="00B85651" w:rsidP="00B85651">
      <w:r w:rsidRPr="00B85651">
        <w:t xml:space="preserve">NHS England (2016) </w:t>
      </w:r>
      <w:r w:rsidRPr="00B85651">
        <w:rPr>
          <w:i/>
          <w:iCs/>
        </w:rPr>
        <w:t>Better Births: improving outcomes of maternity services in England – a five year forward view for maternity care</w:t>
      </w:r>
      <w:r w:rsidRPr="00B85651">
        <w:t>. London: NHS England.</w:t>
      </w:r>
    </w:p>
    <w:p w14:paraId="1BE07B80" w14:textId="77777777" w:rsidR="00B85651" w:rsidRPr="00B85651" w:rsidRDefault="00B85651" w:rsidP="00B85651">
      <w:r w:rsidRPr="00B85651">
        <w:t xml:space="preserve">NHS England (2019) </w:t>
      </w:r>
      <w:r w:rsidRPr="00B85651">
        <w:rPr>
          <w:i/>
          <w:iCs/>
        </w:rPr>
        <w:t>NHS Long Term Plan</w:t>
      </w:r>
      <w:r w:rsidRPr="00B85651">
        <w:t xml:space="preserve">. London: NHS England. Available at: </w:t>
      </w:r>
      <w:hyperlink r:id="rId19" w:tgtFrame="_new" w:history="1">
        <w:r w:rsidRPr="00B85651">
          <w:rPr>
            <w:rStyle w:val="Hyperlink"/>
          </w:rPr>
          <w:t>https://www.longtermplan.nhs.uk</w:t>
        </w:r>
      </w:hyperlink>
      <w:r w:rsidRPr="00B85651">
        <w:t xml:space="preserve"> (Accessed: 19 March 2026)</w:t>
      </w:r>
    </w:p>
    <w:p w14:paraId="0DEEAAAE" w14:textId="77777777" w:rsidR="00B85651" w:rsidRPr="00B85651" w:rsidRDefault="00B85651" w:rsidP="00B85651">
      <w:r w:rsidRPr="00B85651">
        <w:t xml:space="preserve">NHS England (2021) </w:t>
      </w:r>
      <w:r w:rsidRPr="00B85651">
        <w:rPr>
          <w:i/>
          <w:iCs/>
        </w:rPr>
        <w:t>Maternity and neonatal health inequalities dashboard</w:t>
      </w:r>
      <w:r w:rsidRPr="00B85651">
        <w:t>. London: NHS England.</w:t>
      </w:r>
    </w:p>
    <w:p w14:paraId="18168C23" w14:textId="77777777" w:rsidR="00B85651" w:rsidRPr="00B85651" w:rsidRDefault="00B85651" w:rsidP="00B85651">
      <w:r w:rsidRPr="00B85651">
        <w:t>Olson, N.W. (2019) ‘Why should medical care be family-</w:t>
      </w:r>
      <w:proofErr w:type="spellStart"/>
      <w:r w:rsidRPr="00B85651">
        <w:t>centered</w:t>
      </w:r>
      <w:proofErr w:type="spellEnd"/>
      <w:r w:rsidRPr="00B85651">
        <w:t xml:space="preserve">?: understanding ethical responsibilities for patients’ family members’, </w:t>
      </w:r>
      <w:r w:rsidRPr="00B85651">
        <w:rPr>
          <w:i/>
          <w:iCs/>
        </w:rPr>
        <w:t>Kennedy Institute of Ethics Journal</w:t>
      </w:r>
      <w:r w:rsidRPr="00B85651">
        <w:t>, 29(2), pp. 159–185.</w:t>
      </w:r>
    </w:p>
    <w:p w14:paraId="340AD3A9" w14:textId="77777777" w:rsidR="00B85651" w:rsidRPr="00B85651" w:rsidRDefault="00B85651" w:rsidP="00B85651">
      <w:r w:rsidRPr="00B85651">
        <w:t xml:space="preserve">Ruben, M.A., Weaver, A.E. and Stein, L.A.R. (2025) ‘Modern racism contributes to overall less pain management and a “one size fits all” approach’, </w:t>
      </w:r>
      <w:r w:rsidRPr="00B85651">
        <w:rPr>
          <w:i/>
          <w:iCs/>
        </w:rPr>
        <w:t>Health Psychology Report</w:t>
      </w:r>
      <w:r w:rsidRPr="00B85651">
        <w:t xml:space="preserve">, 13(3), pp. 226–235. </w:t>
      </w:r>
      <w:hyperlink r:id="rId20" w:tgtFrame="_new" w:history="1">
        <w:r w:rsidRPr="00B85651">
          <w:rPr>
            <w:rStyle w:val="Hyperlink"/>
          </w:rPr>
          <w:t>https://doi.org/10.5114/hpr/207686</w:t>
        </w:r>
      </w:hyperlink>
    </w:p>
    <w:p w14:paraId="1E66D609" w14:textId="77777777" w:rsidR="00B85651" w:rsidRPr="00B85651" w:rsidRDefault="00B85651" w:rsidP="00B85651">
      <w:r w:rsidRPr="00B85651">
        <w:t xml:space="preserve">SALINGER, A.P., Vermes, E., Waid, J.L., Wendt, A.S., Dupuis Abul, S.J.N., Kalam, K., Kader, A. and </w:t>
      </w:r>
      <w:proofErr w:type="spellStart"/>
      <w:r w:rsidRPr="00B85651">
        <w:t>Sinharoy</w:t>
      </w:r>
      <w:proofErr w:type="spellEnd"/>
      <w:r w:rsidRPr="00B85651">
        <w:t xml:space="preserve">, S.S. (2024) ‘The role of self-efficacy in women’s autonomy for health and nutrition decision-making in rural Bangladesh’, </w:t>
      </w:r>
      <w:r w:rsidRPr="00B85651">
        <w:rPr>
          <w:i/>
          <w:iCs/>
        </w:rPr>
        <w:t>BMC Public Health</w:t>
      </w:r>
      <w:r w:rsidRPr="00B85651">
        <w:t>, 24, pp. 1–15.</w:t>
      </w:r>
    </w:p>
    <w:p w14:paraId="6A2DD05D" w14:textId="77777777" w:rsidR="00B85651" w:rsidRPr="00B85651" w:rsidRDefault="00B85651" w:rsidP="00B85651">
      <w:r w:rsidRPr="00B85651">
        <w:t xml:space="preserve">Seale, H. et al. (2024) ‘“It’s no use saying it in English”: a qualitative study exploring community leaders’ perceptions of the challenges and opportunities with translating and interpreting COVID-19 related public health messaging to reach ethnic minorities in Australia’, </w:t>
      </w:r>
      <w:proofErr w:type="spellStart"/>
      <w:r w:rsidRPr="00B85651">
        <w:rPr>
          <w:i/>
          <w:iCs/>
        </w:rPr>
        <w:t>PLoS</w:t>
      </w:r>
      <w:proofErr w:type="spellEnd"/>
      <w:r w:rsidRPr="00B85651">
        <w:rPr>
          <w:i/>
          <w:iCs/>
        </w:rPr>
        <w:t xml:space="preserve"> One</w:t>
      </w:r>
      <w:r w:rsidRPr="00B85651">
        <w:t xml:space="preserve">, 19(2), p. e0284000. </w:t>
      </w:r>
      <w:hyperlink r:id="rId21" w:tgtFrame="_new" w:history="1">
        <w:r w:rsidRPr="00B85651">
          <w:rPr>
            <w:rStyle w:val="Hyperlink"/>
          </w:rPr>
          <w:t>https://doi.org/10.1371/journal.pone.0284000</w:t>
        </w:r>
      </w:hyperlink>
    </w:p>
    <w:p w14:paraId="7A9F695B" w14:textId="77777777" w:rsidR="00B85651" w:rsidRPr="00B85651" w:rsidRDefault="00B85651" w:rsidP="00B85651">
      <w:r w:rsidRPr="00B85651">
        <w:t xml:space="preserve">UK Government (2010) </w:t>
      </w:r>
      <w:r w:rsidRPr="00B85651">
        <w:rPr>
          <w:i/>
          <w:iCs/>
        </w:rPr>
        <w:t>Equality Act 2010</w:t>
      </w:r>
      <w:r w:rsidRPr="00B85651">
        <w:t>. London: The Stationery Office.</w:t>
      </w:r>
    </w:p>
    <w:p w14:paraId="5099C5A3" w14:textId="77777777" w:rsidR="00B85651" w:rsidRPr="00B85651" w:rsidRDefault="00B85651" w:rsidP="00B85651">
      <w:r w:rsidRPr="00B85651">
        <w:t xml:space="preserve">UK Government (2014) </w:t>
      </w:r>
      <w:r w:rsidRPr="00B85651">
        <w:rPr>
          <w:i/>
          <w:iCs/>
        </w:rPr>
        <w:t>Care Act 2014</w:t>
      </w:r>
      <w:r w:rsidRPr="00B85651">
        <w:t>. London: The Stationery Office.</w:t>
      </w:r>
    </w:p>
    <w:p w14:paraId="363FE88A" w14:textId="77777777" w:rsidR="00B85651" w:rsidRPr="00B85651" w:rsidRDefault="00B85651" w:rsidP="00B85651">
      <w:r w:rsidRPr="00B85651">
        <w:t xml:space="preserve">Walsh, A., </w:t>
      </w:r>
      <w:proofErr w:type="spellStart"/>
      <w:r w:rsidRPr="00B85651">
        <w:t>Bodaghkhani</w:t>
      </w:r>
      <w:proofErr w:type="spellEnd"/>
      <w:r w:rsidRPr="00B85651">
        <w:t xml:space="preserve">, E., </w:t>
      </w:r>
      <w:proofErr w:type="spellStart"/>
      <w:r w:rsidRPr="00B85651">
        <w:t>Etchegary</w:t>
      </w:r>
      <w:proofErr w:type="spellEnd"/>
      <w:r w:rsidRPr="00B85651">
        <w:t>, H. et al. (2022) ‘Patient-</w:t>
      </w:r>
      <w:proofErr w:type="spellStart"/>
      <w:r w:rsidRPr="00B85651">
        <w:t>centered</w:t>
      </w:r>
      <w:proofErr w:type="spellEnd"/>
      <w:r w:rsidRPr="00B85651">
        <w:t xml:space="preserve"> care in the emergency department: a systematic review and meta-ethnographic synthesis’, </w:t>
      </w:r>
      <w:r w:rsidRPr="00B85651">
        <w:rPr>
          <w:i/>
          <w:iCs/>
        </w:rPr>
        <w:t>International Journal of Emergency Medicine</w:t>
      </w:r>
      <w:r w:rsidRPr="00B85651">
        <w:t xml:space="preserve">, 15, 36. </w:t>
      </w:r>
      <w:hyperlink r:id="rId22" w:tgtFrame="_new" w:history="1">
        <w:r w:rsidRPr="00B85651">
          <w:rPr>
            <w:rStyle w:val="Hyperlink"/>
          </w:rPr>
          <w:t>https://doi.org/10.1186/s12245-022-00438-0</w:t>
        </w:r>
      </w:hyperlink>
    </w:p>
    <w:p w14:paraId="4CC8C64E" w14:textId="77777777" w:rsidR="00B85651" w:rsidRPr="00B85651" w:rsidRDefault="00B85651" w:rsidP="00B85651">
      <w:r w:rsidRPr="00B85651">
        <w:t xml:space="preserve">West, E., Barron, D.N. and Reeves, R. (2005) ‘Overcoming the barriers to patient-centred care: time, tools and training’, </w:t>
      </w:r>
      <w:r w:rsidRPr="00B85651">
        <w:rPr>
          <w:i/>
          <w:iCs/>
        </w:rPr>
        <w:t>Journal of Clinical Nursing</w:t>
      </w:r>
      <w:r w:rsidRPr="00B85651">
        <w:t>, 14(4), pp. 435–443.</w:t>
      </w:r>
    </w:p>
    <w:p w14:paraId="24BF42F0" w14:textId="77777777" w:rsidR="004E561C" w:rsidRDefault="004E561C"/>
    <w:sectPr w:rsidR="004E561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7928F" w14:textId="77777777" w:rsidR="005F1B6C" w:rsidRDefault="005F1B6C" w:rsidP="00DE5327">
      <w:pPr>
        <w:spacing w:after="0" w:line="240" w:lineRule="auto"/>
      </w:pPr>
      <w:r>
        <w:separator/>
      </w:r>
    </w:p>
  </w:endnote>
  <w:endnote w:type="continuationSeparator" w:id="0">
    <w:p w14:paraId="4E9EFF77" w14:textId="77777777" w:rsidR="005F1B6C" w:rsidRDefault="005F1B6C" w:rsidP="00DE5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254164"/>
      <w:docPartObj>
        <w:docPartGallery w:val="Page Numbers (Bottom of Page)"/>
        <w:docPartUnique/>
      </w:docPartObj>
    </w:sdtPr>
    <w:sdtContent>
      <w:sdt>
        <w:sdtPr>
          <w:id w:val="-1769616900"/>
          <w:docPartObj>
            <w:docPartGallery w:val="Page Numbers (Top of Page)"/>
            <w:docPartUnique/>
          </w:docPartObj>
        </w:sdtPr>
        <w:sdtContent>
          <w:p w14:paraId="0AB3C7BF" w14:textId="09E5154A" w:rsidR="00C45B48" w:rsidRDefault="00C45B48">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9B38ABF" w14:textId="77777777" w:rsidR="00C45B48" w:rsidRDefault="00C45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9C86F" w14:textId="77777777" w:rsidR="005F1B6C" w:rsidRDefault="005F1B6C" w:rsidP="00DE5327">
      <w:pPr>
        <w:spacing w:after="0" w:line="240" w:lineRule="auto"/>
      </w:pPr>
      <w:r>
        <w:separator/>
      </w:r>
    </w:p>
  </w:footnote>
  <w:footnote w:type="continuationSeparator" w:id="0">
    <w:p w14:paraId="00ACFB14" w14:textId="77777777" w:rsidR="005F1B6C" w:rsidRDefault="005F1B6C" w:rsidP="00DE5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74901"/>
    <w:multiLevelType w:val="multilevel"/>
    <w:tmpl w:val="F8FA4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414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A68"/>
    <w:rsid w:val="000E3854"/>
    <w:rsid w:val="001114D9"/>
    <w:rsid w:val="00114A12"/>
    <w:rsid w:val="002353C6"/>
    <w:rsid w:val="0027013A"/>
    <w:rsid w:val="002F5444"/>
    <w:rsid w:val="00364227"/>
    <w:rsid w:val="003737B6"/>
    <w:rsid w:val="0049543A"/>
    <w:rsid w:val="004B15B5"/>
    <w:rsid w:val="004B1C46"/>
    <w:rsid w:val="004D6713"/>
    <w:rsid w:val="004E561C"/>
    <w:rsid w:val="004E783B"/>
    <w:rsid w:val="005F1B6C"/>
    <w:rsid w:val="005F6399"/>
    <w:rsid w:val="00682D1D"/>
    <w:rsid w:val="006C3FAB"/>
    <w:rsid w:val="006E74CE"/>
    <w:rsid w:val="006F5E4B"/>
    <w:rsid w:val="00742E34"/>
    <w:rsid w:val="007A7042"/>
    <w:rsid w:val="00874E6B"/>
    <w:rsid w:val="00982CB1"/>
    <w:rsid w:val="009D09E9"/>
    <w:rsid w:val="00A4557F"/>
    <w:rsid w:val="00A55A68"/>
    <w:rsid w:val="00A8526F"/>
    <w:rsid w:val="00B31D0B"/>
    <w:rsid w:val="00B401CA"/>
    <w:rsid w:val="00B41F70"/>
    <w:rsid w:val="00B85651"/>
    <w:rsid w:val="00BC11D8"/>
    <w:rsid w:val="00C10623"/>
    <w:rsid w:val="00C45B48"/>
    <w:rsid w:val="00DC1E5E"/>
    <w:rsid w:val="00DE5327"/>
    <w:rsid w:val="00E62D31"/>
    <w:rsid w:val="00E97DE0"/>
    <w:rsid w:val="00ED3BB2"/>
    <w:rsid w:val="00F14AA5"/>
    <w:rsid w:val="00F44CD2"/>
    <w:rsid w:val="00FD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4986"/>
  <w15:chartTrackingRefBased/>
  <w15:docId w15:val="{0BDFA0EE-045C-4D68-813B-68F238FB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A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A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A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A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A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A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A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A68"/>
    <w:rPr>
      <w:rFonts w:eastAsiaTheme="majorEastAsia" w:cstheme="majorBidi"/>
      <w:color w:val="272727" w:themeColor="text1" w:themeTint="D8"/>
    </w:rPr>
  </w:style>
  <w:style w:type="paragraph" w:styleId="Title">
    <w:name w:val="Title"/>
    <w:basedOn w:val="Normal"/>
    <w:next w:val="Normal"/>
    <w:link w:val="TitleChar"/>
    <w:uiPriority w:val="10"/>
    <w:qFormat/>
    <w:rsid w:val="00A55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A68"/>
    <w:pPr>
      <w:spacing w:before="160"/>
      <w:jc w:val="center"/>
    </w:pPr>
    <w:rPr>
      <w:i/>
      <w:iCs/>
      <w:color w:val="404040" w:themeColor="text1" w:themeTint="BF"/>
    </w:rPr>
  </w:style>
  <w:style w:type="character" w:customStyle="1" w:styleId="QuoteChar">
    <w:name w:val="Quote Char"/>
    <w:basedOn w:val="DefaultParagraphFont"/>
    <w:link w:val="Quote"/>
    <w:uiPriority w:val="29"/>
    <w:rsid w:val="00A55A68"/>
    <w:rPr>
      <w:i/>
      <w:iCs/>
      <w:color w:val="404040" w:themeColor="text1" w:themeTint="BF"/>
    </w:rPr>
  </w:style>
  <w:style w:type="paragraph" w:styleId="ListParagraph">
    <w:name w:val="List Paragraph"/>
    <w:basedOn w:val="Normal"/>
    <w:uiPriority w:val="34"/>
    <w:qFormat/>
    <w:rsid w:val="00A55A68"/>
    <w:pPr>
      <w:ind w:left="720"/>
      <w:contextualSpacing/>
    </w:pPr>
  </w:style>
  <w:style w:type="character" w:styleId="IntenseEmphasis">
    <w:name w:val="Intense Emphasis"/>
    <w:basedOn w:val="DefaultParagraphFont"/>
    <w:uiPriority w:val="21"/>
    <w:qFormat/>
    <w:rsid w:val="00A55A68"/>
    <w:rPr>
      <w:i/>
      <w:iCs/>
      <w:color w:val="0F4761" w:themeColor="accent1" w:themeShade="BF"/>
    </w:rPr>
  </w:style>
  <w:style w:type="paragraph" w:styleId="IntenseQuote">
    <w:name w:val="Intense Quote"/>
    <w:basedOn w:val="Normal"/>
    <w:next w:val="Normal"/>
    <w:link w:val="IntenseQuoteChar"/>
    <w:uiPriority w:val="30"/>
    <w:qFormat/>
    <w:rsid w:val="00A55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A68"/>
    <w:rPr>
      <w:i/>
      <w:iCs/>
      <w:color w:val="0F4761" w:themeColor="accent1" w:themeShade="BF"/>
    </w:rPr>
  </w:style>
  <w:style w:type="character" w:styleId="IntenseReference">
    <w:name w:val="Intense Reference"/>
    <w:basedOn w:val="DefaultParagraphFont"/>
    <w:uiPriority w:val="32"/>
    <w:qFormat/>
    <w:rsid w:val="00A55A68"/>
    <w:rPr>
      <w:b/>
      <w:bCs/>
      <w:smallCaps/>
      <w:color w:val="0F4761" w:themeColor="accent1" w:themeShade="BF"/>
      <w:spacing w:val="5"/>
    </w:rPr>
  </w:style>
  <w:style w:type="character" w:styleId="Hyperlink">
    <w:name w:val="Hyperlink"/>
    <w:basedOn w:val="DefaultParagraphFont"/>
    <w:uiPriority w:val="99"/>
    <w:unhideWhenUsed/>
    <w:rsid w:val="004E561C"/>
    <w:rPr>
      <w:color w:val="467886" w:themeColor="hyperlink"/>
      <w:u w:val="single"/>
    </w:rPr>
  </w:style>
  <w:style w:type="character" w:styleId="UnresolvedMention">
    <w:name w:val="Unresolved Mention"/>
    <w:basedOn w:val="DefaultParagraphFont"/>
    <w:uiPriority w:val="99"/>
    <w:semiHidden/>
    <w:unhideWhenUsed/>
    <w:rsid w:val="00B85651"/>
    <w:rPr>
      <w:color w:val="605E5C"/>
      <w:shd w:val="clear" w:color="auto" w:fill="E1DFDD"/>
    </w:rPr>
  </w:style>
  <w:style w:type="paragraph" w:styleId="Header">
    <w:name w:val="header"/>
    <w:basedOn w:val="Normal"/>
    <w:link w:val="HeaderChar"/>
    <w:uiPriority w:val="99"/>
    <w:unhideWhenUsed/>
    <w:rsid w:val="00DE5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327"/>
  </w:style>
  <w:style w:type="paragraph" w:styleId="Footer">
    <w:name w:val="footer"/>
    <w:basedOn w:val="Normal"/>
    <w:link w:val="FooterChar"/>
    <w:uiPriority w:val="99"/>
    <w:unhideWhenUsed/>
    <w:rsid w:val="00DE5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11/jep.13243" TargetMode="External"/><Relationship Id="rId18" Type="http://schemas.openxmlformats.org/officeDocument/2006/relationships/hyperlink" Target="https://doi.org/10.1007/s40615-023-01816-x" TargetMode="External"/><Relationship Id="rId3" Type="http://schemas.openxmlformats.org/officeDocument/2006/relationships/customXml" Target="../customXml/item3.xml"/><Relationship Id="rId21" Type="http://schemas.openxmlformats.org/officeDocument/2006/relationships/hyperlink" Target="https://doi.org/10.1371/journal.pone.0284000" TargetMode="External"/><Relationship Id="rId7" Type="http://schemas.openxmlformats.org/officeDocument/2006/relationships/settings" Target="settings.xml"/><Relationship Id="rId12" Type="http://schemas.openxmlformats.org/officeDocument/2006/relationships/hyperlink" Target="https://doi.org/10.1111/j.1525-1497.2006.00302.x" TargetMode="External"/><Relationship Id="rId17" Type="http://schemas.openxmlformats.org/officeDocument/2006/relationships/hyperlink" Target="https://www.npeu.ox.ac.uk/assets/downloads/mbrrace-uk/reports/maternal-report-2021/MBRRACE-UK_Maternal_Report_2021_-_FINAL_-_WEB_VERSION.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80/10410236.2020.1733225" TargetMode="External"/><Relationship Id="rId20" Type="http://schemas.openxmlformats.org/officeDocument/2006/relationships/hyperlink" Target="https://doi.org/10.5114/hpr/20768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52152/wq4e0128"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qc.org.uk/publications/maternity-services-2022-2024/inequaliti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ongtermplan.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478/fon-2025-0022" TargetMode="External"/><Relationship Id="rId22" Type="http://schemas.openxmlformats.org/officeDocument/2006/relationships/hyperlink" Target="https://doi.org/10.1186/s12245-022-0043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22e223c4eb11e0b4c22a6785dc34706c">
  <xsd:schema xmlns:xsd="http://www.w3.org/2001/XMLSchema" xmlns:xs="http://www.w3.org/2001/XMLSchema" xmlns:p="http://schemas.microsoft.com/office/2006/metadata/properties" xmlns:ns3="ccfc14db-0f45-423b-b2f5-752f8f8a0ada" targetNamespace="http://schemas.microsoft.com/office/2006/metadata/properties" ma:root="true" ma:fieldsID="b2f312e64cc1afa99473b2c1bc3a418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620916-84C9-416A-BF28-84B90781D82E}">
  <ds:schemaRefs>
    <ds:schemaRef ds:uri="http://schemas.openxmlformats.org/officeDocument/2006/bibliography"/>
  </ds:schemaRefs>
</ds:datastoreItem>
</file>

<file path=customXml/itemProps2.xml><?xml version="1.0" encoding="utf-8"?>
<ds:datastoreItem xmlns:ds="http://schemas.openxmlformats.org/officeDocument/2006/customXml" ds:itemID="{6E1A14D9-46C4-4ADE-BD34-77118E605F13}">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8A5FB28A-3868-49BB-BC4A-7D8868262425}">
  <ds:schemaRefs>
    <ds:schemaRef ds:uri="http://schemas.microsoft.com/sharepoint/v3/contenttype/forms"/>
  </ds:schemaRefs>
</ds:datastoreItem>
</file>

<file path=customXml/itemProps4.xml><?xml version="1.0" encoding="utf-8"?>
<ds:datastoreItem xmlns:ds="http://schemas.openxmlformats.org/officeDocument/2006/customXml" ds:itemID="{0890EB03-7F7C-4A7D-BBE1-235236A16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3430</Words>
  <Characters>19553</Characters>
  <Application>Microsoft Office Word</Application>
  <DocSecurity>0</DocSecurity>
  <Lines>162</Lines>
  <Paragraphs>45</Paragraphs>
  <ScaleCrop>false</ScaleCrop>
  <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Amankonah (2426673)</dc:creator>
  <cp:keywords/>
  <dc:description/>
  <cp:lastModifiedBy>Portia Amankonah</cp:lastModifiedBy>
  <cp:revision>3</cp:revision>
  <dcterms:created xsi:type="dcterms:W3CDTF">2026-03-29T22:05:00Z</dcterms:created>
  <dcterms:modified xsi:type="dcterms:W3CDTF">2026-03-29T22:22:00Z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b6810e75-9602-4b08-85de-42073be583f3</vt:lpwstr>
  </property>
  <property fmtid="{D5CDD505-2E9C-101B-9397-08002B2CF9AE}" pid="3" name="ContentTypeId">
    <vt:lpwstr>0x0101007810DDF4EC27A54C9626255B384F637A</vt:lpwstr>
  </property>
</Properties>
</file>