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79392" w14:textId="24D6823B" w:rsidR="00E03A54" w:rsidRDefault="004C61C9" w:rsidP="004C61C9">
      <w:pPr>
        <w:jc w:val="center"/>
        <w:rPr>
          <w:rFonts w:cstheme="minorHAnsi"/>
          <w:color w:val="242130"/>
          <w:sz w:val="24"/>
          <w:szCs w:val="24"/>
          <w:shd w:val="clear" w:color="auto" w:fill="FFFFFF"/>
        </w:rPr>
      </w:pPr>
      <w:r w:rsidRPr="004C61C9">
        <w:rPr>
          <w:rFonts w:cstheme="minorHAnsi"/>
          <w:color w:val="242130"/>
          <w:sz w:val="24"/>
          <w:szCs w:val="24"/>
          <w:shd w:val="clear" w:color="auto" w:fill="FFFFFF"/>
        </w:rPr>
        <w:t>Business Management</w:t>
      </w:r>
    </w:p>
    <w:p w14:paraId="7363A349" w14:textId="7A102ED4" w:rsidR="004C61C9" w:rsidRPr="004C61C9" w:rsidRDefault="004C61C9" w:rsidP="004C61C9">
      <w:pPr>
        <w:jc w:val="center"/>
        <w:rPr>
          <w:rFonts w:cstheme="minorHAnsi"/>
          <w:sz w:val="24"/>
          <w:szCs w:val="24"/>
        </w:rPr>
      </w:pPr>
      <w:r>
        <w:rPr>
          <w:rFonts w:cstheme="minorHAnsi"/>
          <w:color w:val="242130"/>
          <w:sz w:val="24"/>
          <w:szCs w:val="24"/>
          <w:shd w:val="clear" w:color="auto" w:fill="FFFFFF"/>
        </w:rPr>
        <w:t xml:space="preserve">Individual Essay </w:t>
      </w:r>
    </w:p>
    <w:p w14:paraId="518EACB1" w14:textId="66A78C64" w:rsidR="00E03A54" w:rsidRDefault="00E03A54" w:rsidP="004C61C9">
      <w:pPr>
        <w:jc w:val="center"/>
        <w:rPr>
          <w:rFonts w:cstheme="minorHAnsi"/>
          <w:sz w:val="24"/>
          <w:szCs w:val="24"/>
        </w:rPr>
      </w:pPr>
      <w:r w:rsidRPr="00E03A54">
        <w:rPr>
          <w:rFonts w:cstheme="minorHAnsi"/>
          <w:noProof/>
          <w:sz w:val="24"/>
          <w:szCs w:val="24"/>
        </w:rPr>
        <mc:AlternateContent>
          <mc:Choice Requires="wps">
            <w:drawing>
              <wp:anchor distT="45720" distB="45720" distL="114300" distR="114300" simplePos="0" relativeHeight="251659264" behindDoc="0" locked="0" layoutInCell="1" allowOverlap="1" wp14:anchorId="69552C2A" wp14:editId="13366D0C">
                <wp:simplePos x="0" y="0"/>
                <wp:positionH relativeFrom="margin">
                  <wp:align>center</wp:align>
                </wp:positionH>
                <wp:positionV relativeFrom="paragraph">
                  <wp:posOffset>1979229</wp:posOffset>
                </wp:positionV>
                <wp:extent cx="2825750" cy="140462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5750" cy="1404620"/>
                        </a:xfrm>
                        <a:prstGeom prst="rect">
                          <a:avLst/>
                        </a:prstGeom>
                        <a:solidFill>
                          <a:srgbClr val="FFFFFF"/>
                        </a:solidFill>
                        <a:ln w="9525">
                          <a:solidFill>
                            <a:schemeClr val="bg1"/>
                          </a:solidFill>
                          <a:miter lim="800000"/>
                          <a:headEnd/>
                          <a:tailEnd/>
                        </a:ln>
                      </wps:spPr>
                      <wps:txbx>
                        <w:txbxContent>
                          <w:p w14:paraId="12341338" w14:textId="307B02D7" w:rsidR="00E03A54" w:rsidRPr="007704D0" w:rsidRDefault="00E03A54" w:rsidP="00E03A54">
                            <w:pPr>
                              <w:jc w:val="center"/>
                              <w:rPr>
                                <w:b/>
                                <w:bCs/>
                                <w:sz w:val="40"/>
                                <w:szCs w:val="40"/>
                              </w:rPr>
                            </w:pPr>
                            <w:r w:rsidRPr="007704D0">
                              <w:rPr>
                                <w:b/>
                                <w:bCs/>
                                <w:sz w:val="40"/>
                                <w:szCs w:val="40"/>
                              </w:rPr>
                              <w:t>Accounting Fundamental</w:t>
                            </w:r>
                          </w:p>
                          <w:p w14:paraId="06CF1B00" w14:textId="14CDDB0F" w:rsidR="00E03A54" w:rsidRPr="007704D0" w:rsidRDefault="00E03A54" w:rsidP="00E03A54">
                            <w:pPr>
                              <w:jc w:val="center"/>
                              <w:rPr>
                                <w:b/>
                                <w:bCs/>
                                <w:sz w:val="40"/>
                                <w:szCs w:val="40"/>
                              </w:rPr>
                            </w:pPr>
                            <w:r w:rsidRPr="007704D0">
                              <w:rPr>
                                <w:b/>
                                <w:bCs/>
                                <w:sz w:val="40"/>
                                <w:szCs w:val="40"/>
                              </w:rPr>
                              <w:t>Assessment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9552C2A" id="_x0000_t202" coordsize="21600,21600" o:spt="202" path="m,l,21600r21600,l21600,xe">
                <v:stroke joinstyle="miter"/>
                <v:path gradientshapeok="t" o:connecttype="rect"/>
              </v:shapetype>
              <v:shape id="Text Box 2" o:spid="_x0000_s1026" type="#_x0000_t202" style="position:absolute;left:0;text-align:left;margin-left:0;margin-top:155.85pt;width:222.5pt;height:110.6pt;z-index:25165926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" strokecolor="white [3212]">
                <v:textbox style="mso-fit-shape-to-text:t">
                  <w:txbxContent>
                    <w:p w14:paraId="12341338" w14:textId="307B02D7" w:rsidR="00E03A54" w:rsidRPr="007704D0" w:rsidRDefault="00E03A54" w:rsidP="00E03A54">
                      <w:pPr>
                        <w:jc w:val="center"/>
                        <w:rPr>
                          <w:b/>
                          <w:bCs/>
                          <w:sz w:val="40"/>
                          <w:szCs w:val="40"/>
                        </w:rPr>
                      </w:pPr>
                      <w:r w:rsidRPr="007704D0">
                        <w:rPr>
                          <w:b/>
                          <w:bCs/>
                          <w:sz w:val="40"/>
                          <w:szCs w:val="40"/>
                        </w:rPr>
                        <w:t>Accounting Fundamental</w:t>
                      </w:r>
                    </w:p>
                    <w:p w14:paraId="06CF1B00" w14:textId="14CDDB0F" w:rsidR="00E03A54" w:rsidRPr="007704D0" w:rsidRDefault="00E03A54" w:rsidP="00E03A54">
                      <w:pPr>
                        <w:jc w:val="center"/>
                        <w:rPr>
                          <w:b/>
                          <w:bCs/>
                          <w:sz w:val="40"/>
                          <w:szCs w:val="40"/>
                        </w:rPr>
                      </w:pPr>
                      <w:r w:rsidRPr="007704D0">
                        <w:rPr>
                          <w:b/>
                          <w:bCs/>
                          <w:sz w:val="40"/>
                          <w:szCs w:val="40"/>
                        </w:rPr>
                        <w:t>Assessment 1</w:t>
                      </w:r>
                    </w:p>
                  </w:txbxContent>
                </v:textbox>
                <w10:wrap type="square" anchorx="margin"/>
              </v:shape>
            </w:pict>
          </mc:Fallback>
        </mc:AlternateContent>
      </w:r>
      <w:r w:rsidRPr="00E03A54">
        <w:rPr>
          <w:rFonts w:cstheme="minorHAnsi"/>
          <w:noProof/>
          <w:sz w:val="24"/>
          <w:szCs w:val="24"/>
        </w:rPr>
        <mc:AlternateContent>
          <mc:Choice Requires="wps">
            <w:drawing>
              <wp:anchor distT="45720" distB="45720" distL="114300" distR="114300" simplePos="0" relativeHeight="251661312" behindDoc="0" locked="0" layoutInCell="1" allowOverlap="1" wp14:anchorId="213F0674" wp14:editId="61D6781B">
                <wp:simplePos x="0" y="0"/>
                <wp:positionH relativeFrom="column">
                  <wp:posOffset>-518160</wp:posOffset>
                </wp:positionH>
                <wp:positionV relativeFrom="paragraph">
                  <wp:posOffset>6313253</wp:posOffset>
                </wp:positionV>
                <wp:extent cx="3174365" cy="1404620"/>
                <wp:effectExtent l="0" t="0" r="26035" b="15875"/>
                <wp:wrapSquare wrapText="bothSides"/>
                <wp:docPr id="5568176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4365" cy="1404620"/>
                        </a:xfrm>
                        <a:prstGeom prst="rect">
                          <a:avLst/>
                        </a:prstGeom>
                        <a:solidFill>
                          <a:srgbClr val="FFFFFF"/>
                        </a:solidFill>
                        <a:ln w="9525">
                          <a:solidFill>
                            <a:schemeClr val="bg1"/>
                          </a:solidFill>
                          <a:miter lim="800000"/>
                          <a:headEnd/>
                          <a:tailEnd/>
                        </a:ln>
                      </wps:spPr>
                      <wps:txbx>
                        <w:txbxContent>
                          <w:p w14:paraId="3FA1D00D" w14:textId="74EE4A49" w:rsidR="00E03A54" w:rsidRPr="00E03A54" w:rsidRDefault="00E03A54" w:rsidP="00E855B9">
                            <w:pPr>
                              <w:spacing w:line="360" w:lineRule="auto"/>
                              <w:rPr>
                                <w:rFonts w:cstheme="minorHAnsi"/>
                                <w:sz w:val="24"/>
                                <w:szCs w:val="24"/>
                              </w:rPr>
                            </w:pPr>
                            <w:r w:rsidRPr="00E03A54">
                              <w:rPr>
                                <w:rFonts w:cstheme="minorHAnsi"/>
                                <w:sz w:val="24"/>
                                <w:szCs w:val="24"/>
                              </w:rPr>
                              <w:t>Student Name: George Iulian Chiras</w:t>
                            </w:r>
                          </w:p>
                          <w:p w14:paraId="72E42CFD" w14:textId="7B4C269F" w:rsidR="00E03A54" w:rsidRPr="00E03A54" w:rsidRDefault="00E03A54" w:rsidP="00E855B9">
                            <w:pPr>
                              <w:spacing w:line="360" w:lineRule="auto"/>
                              <w:rPr>
                                <w:rFonts w:cstheme="minorHAnsi"/>
                                <w:sz w:val="24"/>
                                <w:szCs w:val="24"/>
                              </w:rPr>
                            </w:pPr>
                            <w:r w:rsidRPr="00E03A54">
                              <w:rPr>
                                <w:rFonts w:cstheme="minorHAnsi"/>
                                <w:sz w:val="24"/>
                                <w:szCs w:val="24"/>
                              </w:rPr>
                              <w:t>Student ID Number: 2120095</w:t>
                            </w:r>
                          </w:p>
                          <w:p w14:paraId="04A8BAFC" w14:textId="40BB6A29" w:rsidR="00E855B9" w:rsidRDefault="00E03A54" w:rsidP="00E855B9">
                            <w:pPr>
                              <w:spacing w:line="360" w:lineRule="auto"/>
                              <w:rPr>
                                <w:rFonts w:cstheme="minorHAnsi"/>
                                <w:sz w:val="24"/>
                                <w:szCs w:val="24"/>
                              </w:rPr>
                            </w:pPr>
                            <w:r w:rsidRPr="00E03A54">
                              <w:rPr>
                                <w:rFonts w:cstheme="minorHAnsi"/>
                                <w:sz w:val="24"/>
                                <w:szCs w:val="24"/>
                              </w:rPr>
                              <w:t>Lecturer:</w:t>
                            </w:r>
                            <w:r w:rsidR="00FB6A09">
                              <w:rPr>
                                <w:rFonts w:cstheme="minorHAnsi"/>
                                <w:sz w:val="24"/>
                                <w:szCs w:val="24"/>
                              </w:rPr>
                              <w:t xml:space="preserve"> </w:t>
                            </w:r>
                            <w:r w:rsidR="00FB6A09" w:rsidRPr="00FB6A09">
                              <w:rPr>
                                <w:rFonts w:cstheme="minorHAnsi"/>
                                <w:sz w:val="24"/>
                                <w:szCs w:val="24"/>
                              </w:rPr>
                              <w:t>Nadeem Mirza</w:t>
                            </w:r>
                          </w:p>
                          <w:p w14:paraId="207778A8" w14:textId="29346742" w:rsidR="00E855B9" w:rsidRPr="00E03A54" w:rsidRDefault="00E855B9" w:rsidP="00E855B9">
                            <w:pPr>
                              <w:spacing w:line="360" w:lineRule="auto"/>
                              <w:rPr>
                                <w:rFonts w:cstheme="minorHAnsi"/>
                                <w:sz w:val="24"/>
                                <w:szCs w:val="24"/>
                              </w:rPr>
                            </w:pPr>
                            <w:r w:rsidRPr="00E03A54">
                              <w:rPr>
                                <w:rFonts w:cstheme="minorHAnsi"/>
                                <w:sz w:val="24"/>
                                <w:szCs w:val="24"/>
                              </w:rPr>
                              <w:t xml:space="preserve">Module Code: </w:t>
                            </w:r>
                            <w:r w:rsidR="00FB6A09" w:rsidRPr="00FB6A09">
                              <w:rPr>
                                <w:rFonts w:cstheme="minorHAnsi"/>
                                <w:sz w:val="24"/>
                                <w:szCs w:val="24"/>
                              </w:rPr>
                              <w:t>LCBB4001</w:t>
                            </w:r>
                          </w:p>
                          <w:p w14:paraId="66E65FFD" w14:textId="33309A2F" w:rsidR="00E03A54" w:rsidRPr="00E03A54" w:rsidRDefault="00E03A54" w:rsidP="00E855B9">
                            <w:pPr>
                              <w:spacing w:line="360" w:lineRule="auto"/>
                              <w:rPr>
                                <w:rFonts w:cstheme="minorHAnsi"/>
                                <w:sz w:val="24"/>
                                <w:szCs w:val="24"/>
                              </w:rPr>
                            </w:pPr>
                            <w:r w:rsidRPr="00E03A54">
                              <w:rPr>
                                <w:rFonts w:cstheme="minorHAnsi"/>
                                <w:sz w:val="24"/>
                                <w:szCs w:val="24"/>
                              </w:rPr>
                              <w:t>University of Wales Trinity Saint David</w:t>
                            </w:r>
                          </w:p>
                          <w:p w14:paraId="71CC31E3" w14:textId="14ED8F00" w:rsidR="00E03A54" w:rsidRPr="00E03A54" w:rsidRDefault="00E03A54" w:rsidP="00E855B9">
                            <w:pPr>
                              <w:spacing w:line="360" w:lineRule="auto"/>
                              <w:rPr>
                                <w:rFonts w:cstheme="minorHAnsi"/>
                                <w:sz w:val="24"/>
                                <w:szCs w:val="24"/>
                              </w:rPr>
                            </w:pPr>
                            <w:r w:rsidRPr="00E03A54">
                              <w:rPr>
                                <w:rFonts w:cstheme="minorHAnsi"/>
                                <w:sz w:val="24"/>
                                <w:szCs w:val="24"/>
                              </w:rPr>
                              <w:t>Date:</w:t>
                            </w:r>
                            <w:r w:rsidR="00D00627">
                              <w:rPr>
                                <w:rFonts w:cstheme="minorHAnsi"/>
                                <w:sz w:val="24"/>
                                <w:szCs w:val="24"/>
                              </w:rPr>
                              <w:t xml:space="preserve"> 2</w:t>
                            </w:r>
                            <w:r w:rsidR="00D43ACE">
                              <w:rPr>
                                <w:rFonts w:cstheme="minorHAnsi"/>
                                <w:sz w:val="24"/>
                                <w:szCs w:val="24"/>
                              </w:rPr>
                              <w:t>2</w:t>
                            </w:r>
                            <w:r w:rsidR="00D00627">
                              <w:rPr>
                                <w:rFonts w:cstheme="minorHAnsi"/>
                                <w:sz w:val="24"/>
                                <w:szCs w:val="24"/>
                              </w:rPr>
                              <w:t>/12/2023</w:t>
                            </w:r>
                          </w:p>
                          <w:p w14:paraId="01320E45" w14:textId="77777777" w:rsidR="00E03A54" w:rsidRDefault="00E03A54"/>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13F0674" id="_x0000_s1027" type="#_x0000_t202" style="position:absolute;left:0;text-align:left;margin-left:-40.8pt;margin-top:497.1pt;width:249.9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" strokecolor="white [3212]">
                <v:textbox style="mso-fit-shape-to-text:t">
                  <w:txbxContent>
                    <w:p w14:paraId="3FA1D00D" w14:textId="74EE4A49" w:rsidR="00E03A54" w:rsidRPr="00E03A54" w:rsidRDefault="00E03A54" w:rsidP="00E855B9">
                      <w:pPr>
                        <w:spacing w:line="360" w:lineRule="auto"/>
                        <w:rPr>
                          <w:rFonts w:cstheme="minorHAnsi"/>
                          <w:sz w:val="24"/>
                          <w:szCs w:val="24"/>
                        </w:rPr>
                      </w:pPr>
                      <w:r w:rsidRPr="00E03A54">
                        <w:rPr>
                          <w:rFonts w:cstheme="minorHAnsi"/>
                          <w:sz w:val="24"/>
                          <w:szCs w:val="24"/>
                        </w:rPr>
                        <w:t>Student Name: George Iulian Chiras</w:t>
                      </w:r>
                    </w:p>
                    <w:p w14:paraId="72E42CFD" w14:textId="7B4C269F" w:rsidR="00E03A54" w:rsidRPr="00E03A54" w:rsidRDefault="00E03A54" w:rsidP="00E855B9">
                      <w:pPr>
                        <w:spacing w:line="360" w:lineRule="auto"/>
                        <w:rPr>
                          <w:rFonts w:cstheme="minorHAnsi"/>
                          <w:sz w:val="24"/>
                          <w:szCs w:val="24"/>
                        </w:rPr>
                      </w:pPr>
                      <w:r w:rsidRPr="00E03A54">
                        <w:rPr>
                          <w:rFonts w:cstheme="minorHAnsi"/>
                          <w:sz w:val="24"/>
                          <w:szCs w:val="24"/>
                        </w:rPr>
                        <w:t>Student ID Number: 2120095</w:t>
                      </w:r>
                    </w:p>
                    <w:p w14:paraId="04A8BAFC" w14:textId="40BB6A29" w:rsidR="00E855B9" w:rsidRDefault="00E03A54" w:rsidP="00E855B9">
                      <w:pPr>
                        <w:spacing w:line="360" w:lineRule="auto"/>
                        <w:rPr>
                          <w:rFonts w:cstheme="minorHAnsi"/>
                          <w:sz w:val="24"/>
                          <w:szCs w:val="24"/>
                        </w:rPr>
                      </w:pPr>
                      <w:r w:rsidRPr="00E03A54">
                        <w:rPr>
                          <w:rFonts w:cstheme="minorHAnsi"/>
                          <w:sz w:val="24"/>
                          <w:szCs w:val="24"/>
                        </w:rPr>
                        <w:t>Lecturer:</w:t>
                      </w:r>
                      <w:r w:rsidR="00FB6A09">
                        <w:rPr>
                          <w:rFonts w:cstheme="minorHAnsi"/>
                          <w:sz w:val="24"/>
                          <w:szCs w:val="24"/>
                        </w:rPr>
                        <w:t xml:space="preserve"> </w:t>
                      </w:r>
                      <w:r w:rsidR="00FB6A09" w:rsidRPr="00FB6A09">
                        <w:rPr>
                          <w:rFonts w:cstheme="minorHAnsi"/>
                          <w:sz w:val="24"/>
                          <w:szCs w:val="24"/>
                        </w:rPr>
                        <w:t>Nadeem Mirza</w:t>
                      </w:r>
                    </w:p>
                    <w:p w14:paraId="207778A8" w14:textId="29346742" w:rsidR="00E855B9" w:rsidRPr="00E03A54" w:rsidRDefault="00E855B9" w:rsidP="00E855B9">
                      <w:pPr>
                        <w:spacing w:line="360" w:lineRule="auto"/>
                        <w:rPr>
                          <w:rFonts w:cstheme="minorHAnsi"/>
                          <w:sz w:val="24"/>
                          <w:szCs w:val="24"/>
                        </w:rPr>
                      </w:pPr>
                      <w:r w:rsidRPr="00E03A54">
                        <w:rPr>
                          <w:rFonts w:cstheme="minorHAnsi"/>
                          <w:sz w:val="24"/>
                          <w:szCs w:val="24"/>
                        </w:rPr>
                        <w:t xml:space="preserve">Module Code: </w:t>
                      </w:r>
                      <w:r w:rsidR="00FB6A09" w:rsidRPr="00FB6A09">
                        <w:rPr>
                          <w:rFonts w:cstheme="minorHAnsi"/>
                          <w:sz w:val="24"/>
                          <w:szCs w:val="24"/>
                        </w:rPr>
                        <w:t>LCBB4001</w:t>
                      </w:r>
                    </w:p>
                    <w:p w14:paraId="66E65FFD" w14:textId="33309A2F" w:rsidR="00E03A54" w:rsidRPr="00E03A54" w:rsidRDefault="00E03A54" w:rsidP="00E855B9">
                      <w:pPr>
                        <w:spacing w:line="360" w:lineRule="auto"/>
                        <w:rPr>
                          <w:rFonts w:cstheme="minorHAnsi"/>
                          <w:sz w:val="24"/>
                          <w:szCs w:val="24"/>
                        </w:rPr>
                      </w:pPr>
                      <w:r w:rsidRPr="00E03A54">
                        <w:rPr>
                          <w:rFonts w:cstheme="minorHAnsi"/>
                          <w:sz w:val="24"/>
                          <w:szCs w:val="24"/>
                        </w:rPr>
                        <w:t>University of Wales Trinity Saint David</w:t>
                      </w:r>
                    </w:p>
                    <w:p w14:paraId="71CC31E3" w14:textId="14ED8F00" w:rsidR="00E03A54" w:rsidRPr="00E03A54" w:rsidRDefault="00E03A54" w:rsidP="00E855B9">
                      <w:pPr>
                        <w:spacing w:line="360" w:lineRule="auto"/>
                        <w:rPr>
                          <w:rFonts w:cstheme="minorHAnsi"/>
                          <w:sz w:val="24"/>
                          <w:szCs w:val="24"/>
                        </w:rPr>
                      </w:pPr>
                      <w:r w:rsidRPr="00E03A54">
                        <w:rPr>
                          <w:rFonts w:cstheme="minorHAnsi"/>
                          <w:sz w:val="24"/>
                          <w:szCs w:val="24"/>
                        </w:rPr>
                        <w:t>Date:</w:t>
                      </w:r>
                      <w:r w:rsidR="00D00627">
                        <w:rPr>
                          <w:rFonts w:cstheme="minorHAnsi"/>
                          <w:sz w:val="24"/>
                          <w:szCs w:val="24"/>
                        </w:rPr>
                        <w:t xml:space="preserve"> </w:t>
                      </w:r>
                      <w:r w:rsidR="00D00627">
                        <w:rPr>
                          <w:rFonts w:cstheme="minorHAnsi"/>
                          <w:sz w:val="24"/>
                          <w:szCs w:val="24"/>
                        </w:rPr>
                        <w:t>2</w:t>
                      </w:r>
                      <w:r w:rsidR="00D43ACE">
                        <w:rPr>
                          <w:rFonts w:cstheme="minorHAnsi"/>
                          <w:sz w:val="24"/>
                          <w:szCs w:val="24"/>
                        </w:rPr>
                        <w:t>2</w:t>
                      </w:r>
                      <w:r w:rsidR="00D00627">
                        <w:rPr>
                          <w:rFonts w:cstheme="minorHAnsi"/>
                          <w:sz w:val="24"/>
                          <w:szCs w:val="24"/>
                        </w:rPr>
                        <w:t>/12/2023</w:t>
                      </w:r>
                    </w:p>
                    <w:p w14:paraId="01320E45" w14:textId="77777777" w:rsidR="00E03A54" w:rsidRDefault="00E03A54"/>
                  </w:txbxContent>
                </v:textbox>
                <w10:wrap type="square"/>
              </v:shape>
            </w:pict>
          </mc:Fallback>
        </mc:AlternateContent>
      </w:r>
      <w:r>
        <w:rPr>
          <w:rFonts w:cstheme="minorHAnsi"/>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1498848251"/>
        <w:docPartObj>
          <w:docPartGallery w:val="Table of Contents"/>
          <w:docPartUnique/>
        </w:docPartObj>
      </w:sdtPr>
      <w:sdtEndPr>
        <w:rPr>
          <w:b/>
          <w:bCs/>
          <w:noProof/>
        </w:rPr>
      </w:sdtEndPr>
      <w:sdtContent>
        <w:p w14:paraId="0A9BF7BA" w14:textId="6805416B" w:rsidR="00E03A54" w:rsidRDefault="00E03A54">
          <w:pPr>
            <w:pStyle w:val="TOCHeading"/>
          </w:pPr>
          <w:r>
            <w:t>Table of Contents</w:t>
          </w:r>
        </w:p>
        <w:p w14:paraId="0363683C" w14:textId="27683842" w:rsidR="004C61C9" w:rsidRDefault="00E03A54">
          <w:pPr>
            <w:pStyle w:val="TOC1"/>
            <w:rPr>
              <w:rFonts w:eastAsiaTheme="minorEastAsia" w:cstheme="minorBidi"/>
              <w:sz w:val="22"/>
              <w:szCs w:val="22"/>
              <w:lang w:eastAsia="en-GB"/>
            </w:rPr>
          </w:pPr>
          <w:r>
            <w:fldChar w:fldCharType="begin"/>
          </w:r>
          <w:r>
            <w:instrText xml:space="preserve"> TOC \o "1-3" \h \z \u </w:instrText>
          </w:r>
          <w:r>
            <w:fldChar w:fldCharType="separate"/>
          </w:r>
          <w:hyperlink w:anchor="_Toc153829267" w:history="1">
            <w:r w:rsidR="004C61C9" w:rsidRPr="00722D6A">
              <w:rPr>
                <w:rStyle w:val="Hyperlink"/>
              </w:rPr>
              <w:t>Introduction</w:t>
            </w:r>
            <w:r w:rsidR="004C61C9">
              <w:rPr>
                <w:webHidden/>
              </w:rPr>
              <w:tab/>
            </w:r>
            <w:r w:rsidR="004C61C9">
              <w:rPr>
                <w:webHidden/>
              </w:rPr>
              <w:fldChar w:fldCharType="begin"/>
            </w:r>
            <w:r w:rsidR="004C61C9">
              <w:rPr>
                <w:webHidden/>
              </w:rPr>
              <w:instrText xml:space="preserve"> PAGEREF _Toc153829267 \h </w:instrText>
            </w:r>
            <w:r w:rsidR="004C61C9">
              <w:rPr>
                <w:webHidden/>
              </w:rPr>
            </w:r>
            <w:r w:rsidR="004C61C9">
              <w:rPr>
                <w:webHidden/>
              </w:rPr>
              <w:fldChar w:fldCharType="separate"/>
            </w:r>
            <w:r w:rsidR="004C61C9">
              <w:rPr>
                <w:webHidden/>
              </w:rPr>
              <w:t>3</w:t>
            </w:r>
            <w:r w:rsidR="004C61C9">
              <w:rPr>
                <w:webHidden/>
              </w:rPr>
              <w:fldChar w:fldCharType="end"/>
            </w:r>
          </w:hyperlink>
        </w:p>
        <w:p w14:paraId="17A2705C" w14:textId="2E9187C5" w:rsidR="004C61C9" w:rsidRDefault="00000000">
          <w:pPr>
            <w:pStyle w:val="TOC1"/>
            <w:rPr>
              <w:rFonts w:eastAsiaTheme="minorEastAsia" w:cstheme="minorBidi"/>
              <w:sz w:val="22"/>
              <w:szCs w:val="22"/>
              <w:lang w:eastAsia="en-GB"/>
            </w:rPr>
          </w:pPr>
          <w:hyperlink w:anchor="_Toc153829268" w:history="1">
            <w:r w:rsidR="004C61C9" w:rsidRPr="00722D6A">
              <w:rPr>
                <w:rStyle w:val="Hyperlink"/>
              </w:rPr>
              <w:t>Common Misunderstandings in Accounting</w:t>
            </w:r>
            <w:r w:rsidR="004C61C9">
              <w:rPr>
                <w:webHidden/>
              </w:rPr>
              <w:tab/>
            </w:r>
            <w:r w:rsidR="004C61C9">
              <w:rPr>
                <w:webHidden/>
              </w:rPr>
              <w:fldChar w:fldCharType="begin"/>
            </w:r>
            <w:r w:rsidR="004C61C9">
              <w:rPr>
                <w:webHidden/>
              </w:rPr>
              <w:instrText xml:space="preserve"> PAGEREF _Toc153829268 \h </w:instrText>
            </w:r>
            <w:r w:rsidR="004C61C9">
              <w:rPr>
                <w:webHidden/>
              </w:rPr>
            </w:r>
            <w:r w:rsidR="004C61C9">
              <w:rPr>
                <w:webHidden/>
              </w:rPr>
              <w:fldChar w:fldCharType="separate"/>
            </w:r>
            <w:r w:rsidR="004C61C9">
              <w:rPr>
                <w:webHidden/>
              </w:rPr>
              <w:t>3</w:t>
            </w:r>
            <w:r w:rsidR="004C61C9">
              <w:rPr>
                <w:webHidden/>
              </w:rPr>
              <w:fldChar w:fldCharType="end"/>
            </w:r>
          </w:hyperlink>
        </w:p>
        <w:p w14:paraId="4DBD337E" w14:textId="74EF8376" w:rsidR="004C61C9" w:rsidRDefault="00000000">
          <w:pPr>
            <w:pStyle w:val="TOC2"/>
            <w:rPr>
              <w:rFonts w:eastAsiaTheme="minorEastAsia" w:cstheme="minorBidi"/>
              <w:sz w:val="22"/>
              <w:szCs w:val="22"/>
              <w:lang w:eastAsia="en-GB"/>
            </w:rPr>
          </w:pPr>
          <w:hyperlink w:anchor="_Toc153829269" w:history="1">
            <w:r w:rsidR="004C61C9" w:rsidRPr="00722D6A">
              <w:rPr>
                <w:rStyle w:val="Hyperlink"/>
              </w:rPr>
              <w:t>Confused non-current assets definition</w:t>
            </w:r>
            <w:r w:rsidR="004C61C9">
              <w:rPr>
                <w:webHidden/>
              </w:rPr>
              <w:tab/>
            </w:r>
            <w:r w:rsidR="004C61C9">
              <w:rPr>
                <w:webHidden/>
              </w:rPr>
              <w:fldChar w:fldCharType="begin"/>
            </w:r>
            <w:r w:rsidR="004C61C9">
              <w:rPr>
                <w:webHidden/>
              </w:rPr>
              <w:instrText xml:space="preserve"> PAGEREF _Toc153829269 \h </w:instrText>
            </w:r>
            <w:r w:rsidR="004C61C9">
              <w:rPr>
                <w:webHidden/>
              </w:rPr>
            </w:r>
            <w:r w:rsidR="004C61C9">
              <w:rPr>
                <w:webHidden/>
              </w:rPr>
              <w:fldChar w:fldCharType="separate"/>
            </w:r>
            <w:r w:rsidR="004C61C9">
              <w:rPr>
                <w:webHidden/>
              </w:rPr>
              <w:t>3</w:t>
            </w:r>
            <w:r w:rsidR="004C61C9">
              <w:rPr>
                <w:webHidden/>
              </w:rPr>
              <w:fldChar w:fldCharType="end"/>
            </w:r>
          </w:hyperlink>
        </w:p>
        <w:p w14:paraId="6E6D39D8" w14:textId="7593FE66" w:rsidR="004C61C9" w:rsidRDefault="00000000">
          <w:pPr>
            <w:pStyle w:val="TOC2"/>
            <w:rPr>
              <w:rFonts w:eastAsiaTheme="minorEastAsia" w:cstheme="minorBidi"/>
              <w:sz w:val="22"/>
              <w:szCs w:val="22"/>
              <w:lang w:eastAsia="en-GB"/>
            </w:rPr>
          </w:pPr>
          <w:hyperlink w:anchor="_Toc153829270" w:history="1">
            <w:r w:rsidR="004C61C9" w:rsidRPr="00722D6A">
              <w:rPr>
                <w:rStyle w:val="Hyperlink"/>
              </w:rPr>
              <w:t>Perception of inadequate regulation</w:t>
            </w:r>
            <w:r w:rsidR="004C61C9">
              <w:rPr>
                <w:webHidden/>
              </w:rPr>
              <w:tab/>
            </w:r>
            <w:r w:rsidR="004C61C9">
              <w:rPr>
                <w:webHidden/>
              </w:rPr>
              <w:fldChar w:fldCharType="begin"/>
            </w:r>
            <w:r w:rsidR="004C61C9">
              <w:rPr>
                <w:webHidden/>
              </w:rPr>
              <w:instrText xml:space="preserve"> PAGEREF _Toc153829270 \h </w:instrText>
            </w:r>
            <w:r w:rsidR="004C61C9">
              <w:rPr>
                <w:webHidden/>
              </w:rPr>
            </w:r>
            <w:r w:rsidR="004C61C9">
              <w:rPr>
                <w:webHidden/>
              </w:rPr>
              <w:fldChar w:fldCharType="separate"/>
            </w:r>
            <w:r w:rsidR="004C61C9">
              <w:rPr>
                <w:webHidden/>
              </w:rPr>
              <w:t>3</w:t>
            </w:r>
            <w:r w:rsidR="004C61C9">
              <w:rPr>
                <w:webHidden/>
              </w:rPr>
              <w:fldChar w:fldCharType="end"/>
            </w:r>
          </w:hyperlink>
        </w:p>
        <w:p w14:paraId="6F5101D6" w14:textId="044FA633" w:rsidR="004C61C9" w:rsidRDefault="00000000">
          <w:pPr>
            <w:pStyle w:val="TOC2"/>
            <w:rPr>
              <w:rFonts w:eastAsiaTheme="minorEastAsia" w:cstheme="minorBidi"/>
              <w:sz w:val="22"/>
              <w:szCs w:val="22"/>
              <w:lang w:eastAsia="en-GB"/>
            </w:rPr>
          </w:pPr>
          <w:hyperlink w:anchor="_Toc153829271" w:history="1">
            <w:r w:rsidR="004C61C9" w:rsidRPr="00722D6A">
              <w:rPr>
                <w:rStyle w:val="Hyperlink"/>
              </w:rPr>
              <w:t>Prepayments and accruals omission misconception</w:t>
            </w:r>
            <w:r w:rsidR="004C61C9">
              <w:rPr>
                <w:webHidden/>
              </w:rPr>
              <w:tab/>
            </w:r>
            <w:r w:rsidR="004C61C9">
              <w:rPr>
                <w:webHidden/>
              </w:rPr>
              <w:fldChar w:fldCharType="begin"/>
            </w:r>
            <w:r w:rsidR="004C61C9">
              <w:rPr>
                <w:webHidden/>
              </w:rPr>
              <w:instrText xml:space="preserve"> PAGEREF _Toc153829271 \h </w:instrText>
            </w:r>
            <w:r w:rsidR="004C61C9">
              <w:rPr>
                <w:webHidden/>
              </w:rPr>
            </w:r>
            <w:r w:rsidR="004C61C9">
              <w:rPr>
                <w:webHidden/>
              </w:rPr>
              <w:fldChar w:fldCharType="separate"/>
            </w:r>
            <w:r w:rsidR="004C61C9">
              <w:rPr>
                <w:webHidden/>
              </w:rPr>
              <w:t>4</w:t>
            </w:r>
            <w:r w:rsidR="004C61C9">
              <w:rPr>
                <w:webHidden/>
              </w:rPr>
              <w:fldChar w:fldCharType="end"/>
            </w:r>
          </w:hyperlink>
        </w:p>
        <w:p w14:paraId="11C05E04" w14:textId="693412BE" w:rsidR="004C61C9" w:rsidRDefault="00000000">
          <w:pPr>
            <w:pStyle w:val="TOC2"/>
            <w:rPr>
              <w:rFonts w:eastAsiaTheme="minorEastAsia" w:cstheme="minorBidi"/>
              <w:sz w:val="22"/>
              <w:szCs w:val="22"/>
              <w:lang w:eastAsia="en-GB"/>
            </w:rPr>
          </w:pPr>
          <w:hyperlink w:anchor="_Toc153829272" w:history="1">
            <w:r w:rsidR="004C61C9" w:rsidRPr="00722D6A">
              <w:rPr>
                <w:rStyle w:val="Hyperlink"/>
              </w:rPr>
              <w:t>Contrary to Financial Account Regulation</w:t>
            </w:r>
            <w:r w:rsidR="004C61C9">
              <w:rPr>
                <w:webHidden/>
              </w:rPr>
              <w:tab/>
            </w:r>
            <w:r w:rsidR="004C61C9">
              <w:rPr>
                <w:webHidden/>
              </w:rPr>
              <w:fldChar w:fldCharType="begin"/>
            </w:r>
            <w:r w:rsidR="004C61C9">
              <w:rPr>
                <w:webHidden/>
              </w:rPr>
              <w:instrText xml:space="preserve"> PAGEREF _Toc153829272 \h </w:instrText>
            </w:r>
            <w:r w:rsidR="004C61C9">
              <w:rPr>
                <w:webHidden/>
              </w:rPr>
            </w:r>
            <w:r w:rsidR="004C61C9">
              <w:rPr>
                <w:webHidden/>
              </w:rPr>
              <w:fldChar w:fldCharType="separate"/>
            </w:r>
            <w:r w:rsidR="004C61C9">
              <w:rPr>
                <w:webHidden/>
              </w:rPr>
              <w:t>4</w:t>
            </w:r>
            <w:r w:rsidR="004C61C9">
              <w:rPr>
                <w:webHidden/>
              </w:rPr>
              <w:fldChar w:fldCharType="end"/>
            </w:r>
          </w:hyperlink>
        </w:p>
        <w:p w14:paraId="1BE368E4" w14:textId="1FBCFEB9" w:rsidR="004C61C9" w:rsidRDefault="00000000">
          <w:pPr>
            <w:pStyle w:val="TOC2"/>
            <w:rPr>
              <w:rFonts w:eastAsiaTheme="minorEastAsia" w:cstheme="minorBidi"/>
              <w:sz w:val="22"/>
              <w:szCs w:val="22"/>
              <w:lang w:eastAsia="en-GB"/>
            </w:rPr>
          </w:pPr>
          <w:hyperlink w:anchor="_Toc153829273" w:history="1">
            <w:r w:rsidR="004C61C9" w:rsidRPr="00722D6A">
              <w:rPr>
                <w:rStyle w:val="Hyperlink"/>
              </w:rPr>
              <w:t>T-account balance and trial balance confusing importance</w:t>
            </w:r>
            <w:r w:rsidR="004C61C9">
              <w:rPr>
                <w:webHidden/>
              </w:rPr>
              <w:tab/>
            </w:r>
            <w:r w:rsidR="004C61C9">
              <w:rPr>
                <w:webHidden/>
              </w:rPr>
              <w:fldChar w:fldCharType="begin"/>
            </w:r>
            <w:r w:rsidR="004C61C9">
              <w:rPr>
                <w:webHidden/>
              </w:rPr>
              <w:instrText xml:space="preserve"> PAGEREF _Toc153829273 \h </w:instrText>
            </w:r>
            <w:r w:rsidR="004C61C9">
              <w:rPr>
                <w:webHidden/>
              </w:rPr>
            </w:r>
            <w:r w:rsidR="004C61C9">
              <w:rPr>
                <w:webHidden/>
              </w:rPr>
              <w:fldChar w:fldCharType="separate"/>
            </w:r>
            <w:r w:rsidR="004C61C9">
              <w:rPr>
                <w:webHidden/>
              </w:rPr>
              <w:t>4</w:t>
            </w:r>
            <w:r w:rsidR="004C61C9">
              <w:rPr>
                <w:webHidden/>
              </w:rPr>
              <w:fldChar w:fldCharType="end"/>
            </w:r>
          </w:hyperlink>
        </w:p>
        <w:p w14:paraId="7E3BB775" w14:textId="6DFCF2CC" w:rsidR="004C61C9" w:rsidRDefault="00000000">
          <w:pPr>
            <w:pStyle w:val="TOC1"/>
            <w:rPr>
              <w:rFonts w:eastAsiaTheme="minorEastAsia" w:cstheme="minorBidi"/>
              <w:sz w:val="22"/>
              <w:szCs w:val="22"/>
              <w:lang w:eastAsia="en-GB"/>
            </w:rPr>
          </w:pPr>
          <w:hyperlink w:anchor="_Toc153829274" w:history="1">
            <w:r w:rsidR="004C61C9" w:rsidRPr="00722D6A">
              <w:rPr>
                <w:rStyle w:val="Hyperlink"/>
              </w:rPr>
              <w:t>Wales plc 2022 Income Statement</w:t>
            </w:r>
            <w:r w:rsidR="004C61C9">
              <w:rPr>
                <w:webHidden/>
              </w:rPr>
              <w:tab/>
            </w:r>
            <w:r w:rsidR="004C61C9">
              <w:rPr>
                <w:webHidden/>
              </w:rPr>
              <w:fldChar w:fldCharType="begin"/>
            </w:r>
            <w:r w:rsidR="004C61C9">
              <w:rPr>
                <w:webHidden/>
              </w:rPr>
              <w:instrText xml:space="preserve"> PAGEREF _Toc153829274 \h </w:instrText>
            </w:r>
            <w:r w:rsidR="004C61C9">
              <w:rPr>
                <w:webHidden/>
              </w:rPr>
            </w:r>
            <w:r w:rsidR="004C61C9">
              <w:rPr>
                <w:webHidden/>
              </w:rPr>
              <w:fldChar w:fldCharType="separate"/>
            </w:r>
            <w:r w:rsidR="004C61C9">
              <w:rPr>
                <w:webHidden/>
              </w:rPr>
              <w:t>5</w:t>
            </w:r>
            <w:r w:rsidR="004C61C9">
              <w:rPr>
                <w:webHidden/>
              </w:rPr>
              <w:fldChar w:fldCharType="end"/>
            </w:r>
          </w:hyperlink>
        </w:p>
        <w:p w14:paraId="53FA1264" w14:textId="4571C3DB" w:rsidR="004C61C9" w:rsidRDefault="00000000">
          <w:pPr>
            <w:pStyle w:val="TOC2"/>
            <w:rPr>
              <w:rFonts w:eastAsiaTheme="minorEastAsia" w:cstheme="minorBidi"/>
              <w:sz w:val="22"/>
              <w:szCs w:val="22"/>
              <w:lang w:eastAsia="en-GB"/>
            </w:rPr>
          </w:pPr>
          <w:hyperlink w:anchor="_Toc153829275" w:history="1">
            <w:r w:rsidR="004C61C9" w:rsidRPr="00722D6A">
              <w:rPr>
                <w:rStyle w:val="Hyperlink"/>
              </w:rPr>
              <w:t>Unrecorded depreciation, payroll, tax, sales commission, and business deal for the year 2022.</w:t>
            </w:r>
            <w:r w:rsidR="004C61C9">
              <w:rPr>
                <w:webHidden/>
              </w:rPr>
              <w:tab/>
            </w:r>
            <w:r w:rsidR="004C61C9">
              <w:rPr>
                <w:webHidden/>
              </w:rPr>
              <w:fldChar w:fldCharType="begin"/>
            </w:r>
            <w:r w:rsidR="004C61C9">
              <w:rPr>
                <w:webHidden/>
              </w:rPr>
              <w:instrText xml:space="preserve"> PAGEREF _Toc153829275 \h </w:instrText>
            </w:r>
            <w:r w:rsidR="004C61C9">
              <w:rPr>
                <w:webHidden/>
              </w:rPr>
            </w:r>
            <w:r w:rsidR="004C61C9">
              <w:rPr>
                <w:webHidden/>
              </w:rPr>
              <w:fldChar w:fldCharType="separate"/>
            </w:r>
            <w:r w:rsidR="004C61C9">
              <w:rPr>
                <w:webHidden/>
              </w:rPr>
              <w:t>5</w:t>
            </w:r>
            <w:r w:rsidR="004C61C9">
              <w:rPr>
                <w:webHidden/>
              </w:rPr>
              <w:fldChar w:fldCharType="end"/>
            </w:r>
          </w:hyperlink>
        </w:p>
        <w:p w14:paraId="3BA06F27" w14:textId="64DADD7F" w:rsidR="004C61C9" w:rsidRDefault="00000000">
          <w:pPr>
            <w:pStyle w:val="TOC1"/>
            <w:rPr>
              <w:rFonts w:eastAsiaTheme="minorEastAsia" w:cstheme="minorBidi"/>
              <w:sz w:val="22"/>
              <w:szCs w:val="22"/>
              <w:lang w:eastAsia="en-GB"/>
            </w:rPr>
          </w:pPr>
          <w:hyperlink w:anchor="_Toc153829276" w:history="1">
            <w:r w:rsidR="004C61C9" w:rsidRPr="00722D6A">
              <w:rPr>
                <w:rStyle w:val="Hyperlink"/>
              </w:rPr>
              <w:t>Comparative Ratio Calculation: Sweets plc (2022 and 2021)</w:t>
            </w:r>
            <w:r w:rsidR="004C61C9">
              <w:rPr>
                <w:webHidden/>
              </w:rPr>
              <w:tab/>
            </w:r>
            <w:r w:rsidR="004C61C9">
              <w:rPr>
                <w:webHidden/>
              </w:rPr>
              <w:fldChar w:fldCharType="begin"/>
            </w:r>
            <w:r w:rsidR="004C61C9">
              <w:rPr>
                <w:webHidden/>
              </w:rPr>
              <w:instrText xml:space="preserve"> PAGEREF _Toc153829276 \h </w:instrText>
            </w:r>
            <w:r w:rsidR="004C61C9">
              <w:rPr>
                <w:webHidden/>
              </w:rPr>
            </w:r>
            <w:r w:rsidR="004C61C9">
              <w:rPr>
                <w:webHidden/>
              </w:rPr>
              <w:fldChar w:fldCharType="separate"/>
            </w:r>
            <w:r w:rsidR="004C61C9">
              <w:rPr>
                <w:webHidden/>
              </w:rPr>
              <w:t>5</w:t>
            </w:r>
            <w:r w:rsidR="004C61C9">
              <w:rPr>
                <w:webHidden/>
              </w:rPr>
              <w:fldChar w:fldCharType="end"/>
            </w:r>
          </w:hyperlink>
        </w:p>
        <w:p w14:paraId="14D5096E" w14:textId="527D1AC8" w:rsidR="004C61C9" w:rsidRDefault="00000000">
          <w:pPr>
            <w:pStyle w:val="TOC2"/>
            <w:rPr>
              <w:rFonts w:eastAsiaTheme="minorEastAsia" w:cstheme="minorBidi"/>
              <w:sz w:val="22"/>
              <w:szCs w:val="22"/>
              <w:lang w:eastAsia="en-GB"/>
            </w:rPr>
          </w:pPr>
          <w:hyperlink w:anchor="_Toc153829277" w:history="1">
            <w:r w:rsidR="004C61C9" w:rsidRPr="00722D6A">
              <w:rPr>
                <w:rStyle w:val="Hyperlink"/>
              </w:rPr>
              <w:t>The Profit and Loss statement</w:t>
            </w:r>
            <w:r w:rsidR="004C61C9">
              <w:rPr>
                <w:webHidden/>
              </w:rPr>
              <w:tab/>
            </w:r>
            <w:r w:rsidR="004C61C9">
              <w:rPr>
                <w:webHidden/>
              </w:rPr>
              <w:fldChar w:fldCharType="begin"/>
            </w:r>
            <w:r w:rsidR="004C61C9">
              <w:rPr>
                <w:webHidden/>
              </w:rPr>
              <w:instrText xml:space="preserve"> PAGEREF _Toc153829277 \h </w:instrText>
            </w:r>
            <w:r w:rsidR="004C61C9">
              <w:rPr>
                <w:webHidden/>
              </w:rPr>
            </w:r>
            <w:r w:rsidR="004C61C9">
              <w:rPr>
                <w:webHidden/>
              </w:rPr>
              <w:fldChar w:fldCharType="separate"/>
            </w:r>
            <w:r w:rsidR="004C61C9">
              <w:rPr>
                <w:webHidden/>
              </w:rPr>
              <w:t>5</w:t>
            </w:r>
            <w:r w:rsidR="004C61C9">
              <w:rPr>
                <w:webHidden/>
              </w:rPr>
              <w:fldChar w:fldCharType="end"/>
            </w:r>
          </w:hyperlink>
        </w:p>
        <w:p w14:paraId="4BD787C5" w14:textId="04C39E97" w:rsidR="004C61C9" w:rsidRDefault="00000000">
          <w:pPr>
            <w:pStyle w:val="TOC1"/>
            <w:rPr>
              <w:rFonts w:eastAsiaTheme="minorEastAsia" w:cstheme="minorBidi"/>
              <w:sz w:val="22"/>
              <w:szCs w:val="22"/>
              <w:lang w:eastAsia="en-GB"/>
            </w:rPr>
          </w:pPr>
          <w:hyperlink w:anchor="_Toc153829278" w:history="1">
            <w:r w:rsidR="004C61C9" w:rsidRPr="00722D6A">
              <w:rPr>
                <w:rStyle w:val="Hyperlink"/>
              </w:rPr>
              <w:t>Statement of Financial Position for Sweet plc as of December 31, 2022, and December 31, 2021</w:t>
            </w:r>
            <w:r w:rsidR="004C61C9">
              <w:rPr>
                <w:webHidden/>
              </w:rPr>
              <w:tab/>
            </w:r>
            <w:r w:rsidR="004C61C9">
              <w:rPr>
                <w:webHidden/>
              </w:rPr>
              <w:fldChar w:fldCharType="begin"/>
            </w:r>
            <w:r w:rsidR="004C61C9">
              <w:rPr>
                <w:webHidden/>
              </w:rPr>
              <w:instrText xml:space="preserve"> PAGEREF _Toc153829278 \h </w:instrText>
            </w:r>
            <w:r w:rsidR="004C61C9">
              <w:rPr>
                <w:webHidden/>
              </w:rPr>
            </w:r>
            <w:r w:rsidR="004C61C9">
              <w:rPr>
                <w:webHidden/>
              </w:rPr>
              <w:fldChar w:fldCharType="separate"/>
            </w:r>
            <w:r w:rsidR="004C61C9">
              <w:rPr>
                <w:webHidden/>
              </w:rPr>
              <w:t>6</w:t>
            </w:r>
            <w:r w:rsidR="004C61C9">
              <w:rPr>
                <w:webHidden/>
              </w:rPr>
              <w:fldChar w:fldCharType="end"/>
            </w:r>
          </w:hyperlink>
        </w:p>
        <w:p w14:paraId="26805CFF" w14:textId="63AEE891" w:rsidR="004C61C9" w:rsidRDefault="00000000">
          <w:pPr>
            <w:pStyle w:val="TOC2"/>
            <w:rPr>
              <w:rFonts w:eastAsiaTheme="minorEastAsia" w:cstheme="minorBidi"/>
              <w:sz w:val="22"/>
              <w:szCs w:val="22"/>
              <w:lang w:eastAsia="en-GB"/>
            </w:rPr>
          </w:pPr>
          <w:hyperlink w:anchor="_Toc153829279" w:history="1">
            <w:r w:rsidR="004C61C9" w:rsidRPr="00722D6A">
              <w:rPr>
                <w:rStyle w:val="Hyperlink"/>
              </w:rPr>
              <w:t>ROCE</w:t>
            </w:r>
            <w:r w:rsidR="004C61C9">
              <w:rPr>
                <w:webHidden/>
              </w:rPr>
              <w:tab/>
            </w:r>
            <w:r w:rsidR="004C61C9">
              <w:rPr>
                <w:webHidden/>
              </w:rPr>
              <w:fldChar w:fldCharType="begin"/>
            </w:r>
            <w:r w:rsidR="004C61C9">
              <w:rPr>
                <w:webHidden/>
              </w:rPr>
              <w:instrText xml:space="preserve"> PAGEREF _Toc153829279 \h </w:instrText>
            </w:r>
            <w:r w:rsidR="004C61C9">
              <w:rPr>
                <w:webHidden/>
              </w:rPr>
            </w:r>
            <w:r w:rsidR="004C61C9">
              <w:rPr>
                <w:webHidden/>
              </w:rPr>
              <w:fldChar w:fldCharType="separate"/>
            </w:r>
            <w:r w:rsidR="004C61C9">
              <w:rPr>
                <w:webHidden/>
              </w:rPr>
              <w:t>6</w:t>
            </w:r>
            <w:r w:rsidR="004C61C9">
              <w:rPr>
                <w:webHidden/>
              </w:rPr>
              <w:fldChar w:fldCharType="end"/>
            </w:r>
          </w:hyperlink>
        </w:p>
        <w:p w14:paraId="257C609B" w14:textId="4A078D3C" w:rsidR="004C61C9" w:rsidRDefault="00000000">
          <w:pPr>
            <w:pStyle w:val="TOC2"/>
            <w:rPr>
              <w:rFonts w:eastAsiaTheme="minorEastAsia" w:cstheme="minorBidi"/>
              <w:sz w:val="22"/>
              <w:szCs w:val="22"/>
              <w:lang w:eastAsia="en-GB"/>
            </w:rPr>
          </w:pPr>
          <w:hyperlink w:anchor="_Toc153829280" w:history="1">
            <w:r w:rsidR="004C61C9" w:rsidRPr="00722D6A">
              <w:rPr>
                <w:rStyle w:val="Hyperlink"/>
              </w:rPr>
              <w:t>ROE</w:t>
            </w:r>
            <w:r w:rsidR="004C61C9">
              <w:rPr>
                <w:webHidden/>
              </w:rPr>
              <w:tab/>
            </w:r>
            <w:r w:rsidR="004C61C9">
              <w:rPr>
                <w:webHidden/>
              </w:rPr>
              <w:fldChar w:fldCharType="begin"/>
            </w:r>
            <w:r w:rsidR="004C61C9">
              <w:rPr>
                <w:webHidden/>
              </w:rPr>
              <w:instrText xml:space="preserve"> PAGEREF _Toc153829280 \h </w:instrText>
            </w:r>
            <w:r w:rsidR="004C61C9">
              <w:rPr>
                <w:webHidden/>
              </w:rPr>
            </w:r>
            <w:r w:rsidR="004C61C9">
              <w:rPr>
                <w:webHidden/>
              </w:rPr>
              <w:fldChar w:fldCharType="separate"/>
            </w:r>
            <w:r w:rsidR="004C61C9">
              <w:rPr>
                <w:webHidden/>
              </w:rPr>
              <w:t>6</w:t>
            </w:r>
            <w:r w:rsidR="004C61C9">
              <w:rPr>
                <w:webHidden/>
              </w:rPr>
              <w:fldChar w:fldCharType="end"/>
            </w:r>
          </w:hyperlink>
        </w:p>
        <w:p w14:paraId="2F92D61A" w14:textId="33B8E267" w:rsidR="004C61C9" w:rsidRDefault="00000000">
          <w:pPr>
            <w:pStyle w:val="TOC2"/>
            <w:rPr>
              <w:rFonts w:eastAsiaTheme="minorEastAsia" w:cstheme="minorBidi"/>
              <w:sz w:val="22"/>
              <w:szCs w:val="22"/>
              <w:lang w:eastAsia="en-GB"/>
            </w:rPr>
          </w:pPr>
          <w:hyperlink w:anchor="_Toc153829281" w:history="1">
            <w:r w:rsidR="004C61C9" w:rsidRPr="00722D6A">
              <w:rPr>
                <w:rStyle w:val="Hyperlink"/>
              </w:rPr>
              <w:t>Earnings per share</w:t>
            </w:r>
            <w:r w:rsidR="004C61C9">
              <w:rPr>
                <w:webHidden/>
              </w:rPr>
              <w:tab/>
            </w:r>
            <w:r w:rsidR="004C61C9">
              <w:rPr>
                <w:webHidden/>
              </w:rPr>
              <w:fldChar w:fldCharType="begin"/>
            </w:r>
            <w:r w:rsidR="004C61C9">
              <w:rPr>
                <w:webHidden/>
              </w:rPr>
              <w:instrText xml:space="preserve"> PAGEREF _Toc153829281 \h </w:instrText>
            </w:r>
            <w:r w:rsidR="004C61C9">
              <w:rPr>
                <w:webHidden/>
              </w:rPr>
            </w:r>
            <w:r w:rsidR="004C61C9">
              <w:rPr>
                <w:webHidden/>
              </w:rPr>
              <w:fldChar w:fldCharType="separate"/>
            </w:r>
            <w:r w:rsidR="004C61C9">
              <w:rPr>
                <w:webHidden/>
              </w:rPr>
              <w:t>7</w:t>
            </w:r>
            <w:r w:rsidR="004C61C9">
              <w:rPr>
                <w:webHidden/>
              </w:rPr>
              <w:fldChar w:fldCharType="end"/>
            </w:r>
          </w:hyperlink>
        </w:p>
        <w:p w14:paraId="2F2C7B56" w14:textId="2307C160" w:rsidR="004C61C9" w:rsidRDefault="00000000">
          <w:pPr>
            <w:pStyle w:val="TOC2"/>
            <w:rPr>
              <w:rFonts w:eastAsiaTheme="minorEastAsia" w:cstheme="minorBidi"/>
              <w:sz w:val="22"/>
              <w:szCs w:val="22"/>
              <w:lang w:eastAsia="en-GB"/>
            </w:rPr>
          </w:pPr>
          <w:hyperlink w:anchor="_Toc153829282" w:history="1">
            <w:r w:rsidR="004C61C9" w:rsidRPr="00722D6A">
              <w:rPr>
                <w:rStyle w:val="Hyperlink"/>
              </w:rPr>
              <w:t>Net profit margin</w:t>
            </w:r>
            <w:r w:rsidR="004C61C9">
              <w:rPr>
                <w:webHidden/>
              </w:rPr>
              <w:tab/>
            </w:r>
            <w:r w:rsidR="004C61C9">
              <w:rPr>
                <w:webHidden/>
              </w:rPr>
              <w:fldChar w:fldCharType="begin"/>
            </w:r>
            <w:r w:rsidR="004C61C9">
              <w:rPr>
                <w:webHidden/>
              </w:rPr>
              <w:instrText xml:space="preserve"> PAGEREF _Toc153829282 \h </w:instrText>
            </w:r>
            <w:r w:rsidR="004C61C9">
              <w:rPr>
                <w:webHidden/>
              </w:rPr>
            </w:r>
            <w:r w:rsidR="004C61C9">
              <w:rPr>
                <w:webHidden/>
              </w:rPr>
              <w:fldChar w:fldCharType="separate"/>
            </w:r>
            <w:r w:rsidR="004C61C9">
              <w:rPr>
                <w:webHidden/>
              </w:rPr>
              <w:t>7</w:t>
            </w:r>
            <w:r w:rsidR="004C61C9">
              <w:rPr>
                <w:webHidden/>
              </w:rPr>
              <w:fldChar w:fldCharType="end"/>
            </w:r>
          </w:hyperlink>
        </w:p>
        <w:p w14:paraId="58846E8D" w14:textId="0FFB4606" w:rsidR="004C61C9" w:rsidRDefault="00000000">
          <w:pPr>
            <w:pStyle w:val="TOC2"/>
            <w:rPr>
              <w:rFonts w:eastAsiaTheme="minorEastAsia" w:cstheme="minorBidi"/>
              <w:sz w:val="22"/>
              <w:szCs w:val="22"/>
              <w:lang w:eastAsia="en-GB"/>
            </w:rPr>
          </w:pPr>
          <w:hyperlink w:anchor="_Toc153829283" w:history="1">
            <w:r w:rsidR="004C61C9" w:rsidRPr="00722D6A">
              <w:rPr>
                <w:rStyle w:val="Hyperlink"/>
              </w:rPr>
              <w:t>Asset turnover</w:t>
            </w:r>
            <w:r w:rsidR="004C61C9">
              <w:rPr>
                <w:webHidden/>
              </w:rPr>
              <w:tab/>
            </w:r>
            <w:r w:rsidR="004C61C9">
              <w:rPr>
                <w:webHidden/>
              </w:rPr>
              <w:fldChar w:fldCharType="begin"/>
            </w:r>
            <w:r w:rsidR="004C61C9">
              <w:rPr>
                <w:webHidden/>
              </w:rPr>
              <w:instrText xml:space="preserve"> PAGEREF _Toc153829283 \h </w:instrText>
            </w:r>
            <w:r w:rsidR="004C61C9">
              <w:rPr>
                <w:webHidden/>
              </w:rPr>
            </w:r>
            <w:r w:rsidR="004C61C9">
              <w:rPr>
                <w:webHidden/>
              </w:rPr>
              <w:fldChar w:fldCharType="separate"/>
            </w:r>
            <w:r w:rsidR="004C61C9">
              <w:rPr>
                <w:webHidden/>
              </w:rPr>
              <w:t>8</w:t>
            </w:r>
            <w:r w:rsidR="004C61C9">
              <w:rPr>
                <w:webHidden/>
              </w:rPr>
              <w:fldChar w:fldCharType="end"/>
            </w:r>
          </w:hyperlink>
        </w:p>
        <w:p w14:paraId="6B920F08" w14:textId="6E079D86" w:rsidR="004C61C9" w:rsidRDefault="00000000">
          <w:pPr>
            <w:pStyle w:val="TOC2"/>
            <w:rPr>
              <w:rFonts w:eastAsiaTheme="minorEastAsia" w:cstheme="minorBidi"/>
              <w:sz w:val="22"/>
              <w:szCs w:val="22"/>
              <w:lang w:eastAsia="en-GB"/>
            </w:rPr>
          </w:pPr>
          <w:hyperlink w:anchor="_Toc153829284" w:history="1">
            <w:r w:rsidR="004C61C9" w:rsidRPr="00722D6A">
              <w:rPr>
                <w:rStyle w:val="Hyperlink"/>
              </w:rPr>
              <w:t>Stock holding days</w:t>
            </w:r>
            <w:r w:rsidR="004C61C9">
              <w:rPr>
                <w:webHidden/>
              </w:rPr>
              <w:tab/>
            </w:r>
            <w:r w:rsidR="004C61C9">
              <w:rPr>
                <w:webHidden/>
              </w:rPr>
              <w:fldChar w:fldCharType="begin"/>
            </w:r>
            <w:r w:rsidR="004C61C9">
              <w:rPr>
                <w:webHidden/>
              </w:rPr>
              <w:instrText xml:space="preserve"> PAGEREF _Toc153829284 \h </w:instrText>
            </w:r>
            <w:r w:rsidR="004C61C9">
              <w:rPr>
                <w:webHidden/>
              </w:rPr>
            </w:r>
            <w:r w:rsidR="004C61C9">
              <w:rPr>
                <w:webHidden/>
              </w:rPr>
              <w:fldChar w:fldCharType="separate"/>
            </w:r>
            <w:r w:rsidR="004C61C9">
              <w:rPr>
                <w:webHidden/>
              </w:rPr>
              <w:t>8</w:t>
            </w:r>
            <w:r w:rsidR="004C61C9">
              <w:rPr>
                <w:webHidden/>
              </w:rPr>
              <w:fldChar w:fldCharType="end"/>
            </w:r>
          </w:hyperlink>
        </w:p>
        <w:p w14:paraId="5D5790C1" w14:textId="023E64D0" w:rsidR="004C61C9" w:rsidRDefault="00000000">
          <w:pPr>
            <w:pStyle w:val="TOC2"/>
            <w:rPr>
              <w:rFonts w:eastAsiaTheme="minorEastAsia" w:cstheme="minorBidi"/>
              <w:sz w:val="22"/>
              <w:szCs w:val="22"/>
              <w:lang w:eastAsia="en-GB"/>
            </w:rPr>
          </w:pPr>
          <w:hyperlink w:anchor="_Toc153829285" w:history="1">
            <w:r w:rsidR="004C61C9" w:rsidRPr="00722D6A">
              <w:rPr>
                <w:rStyle w:val="Hyperlink"/>
              </w:rPr>
              <w:t>Debtors collection period</w:t>
            </w:r>
            <w:r w:rsidR="004C61C9">
              <w:rPr>
                <w:webHidden/>
              </w:rPr>
              <w:tab/>
            </w:r>
            <w:r w:rsidR="004C61C9">
              <w:rPr>
                <w:webHidden/>
              </w:rPr>
              <w:fldChar w:fldCharType="begin"/>
            </w:r>
            <w:r w:rsidR="004C61C9">
              <w:rPr>
                <w:webHidden/>
              </w:rPr>
              <w:instrText xml:space="preserve"> PAGEREF _Toc153829285 \h </w:instrText>
            </w:r>
            <w:r w:rsidR="004C61C9">
              <w:rPr>
                <w:webHidden/>
              </w:rPr>
            </w:r>
            <w:r w:rsidR="004C61C9">
              <w:rPr>
                <w:webHidden/>
              </w:rPr>
              <w:fldChar w:fldCharType="separate"/>
            </w:r>
            <w:r w:rsidR="004C61C9">
              <w:rPr>
                <w:webHidden/>
              </w:rPr>
              <w:t>8</w:t>
            </w:r>
            <w:r w:rsidR="004C61C9">
              <w:rPr>
                <w:webHidden/>
              </w:rPr>
              <w:fldChar w:fldCharType="end"/>
            </w:r>
          </w:hyperlink>
        </w:p>
        <w:p w14:paraId="035916DB" w14:textId="4D074519" w:rsidR="004C61C9" w:rsidRDefault="00000000">
          <w:pPr>
            <w:pStyle w:val="TOC2"/>
            <w:rPr>
              <w:rFonts w:eastAsiaTheme="minorEastAsia" w:cstheme="minorBidi"/>
              <w:sz w:val="22"/>
              <w:szCs w:val="22"/>
              <w:lang w:eastAsia="en-GB"/>
            </w:rPr>
          </w:pPr>
          <w:hyperlink w:anchor="_Toc153829286" w:history="1">
            <w:r w:rsidR="004C61C9" w:rsidRPr="00722D6A">
              <w:rPr>
                <w:rStyle w:val="Hyperlink"/>
              </w:rPr>
              <w:t>Current ratio</w:t>
            </w:r>
            <w:r w:rsidR="004C61C9">
              <w:rPr>
                <w:webHidden/>
              </w:rPr>
              <w:tab/>
            </w:r>
            <w:r w:rsidR="004C61C9">
              <w:rPr>
                <w:webHidden/>
              </w:rPr>
              <w:fldChar w:fldCharType="begin"/>
            </w:r>
            <w:r w:rsidR="004C61C9">
              <w:rPr>
                <w:webHidden/>
              </w:rPr>
              <w:instrText xml:space="preserve"> PAGEREF _Toc153829286 \h </w:instrText>
            </w:r>
            <w:r w:rsidR="004C61C9">
              <w:rPr>
                <w:webHidden/>
              </w:rPr>
            </w:r>
            <w:r w:rsidR="004C61C9">
              <w:rPr>
                <w:webHidden/>
              </w:rPr>
              <w:fldChar w:fldCharType="separate"/>
            </w:r>
            <w:r w:rsidR="004C61C9">
              <w:rPr>
                <w:webHidden/>
              </w:rPr>
              <w:t>9</w:t>
            </w:r>
            <w:r w:rsidR="004C61C9">
              <w:rPr>
                <w:webHidden/>
              </w:rPr>
              <w:fldChar w:fldCharType="end"/>
            </w:r>
          </w:hyperlink>
        </w:p>
        <w:p w14:paraId="0BCE81C4" w14:textId="0C80F1F0" w:rsidR="004C61C9" w:rsidRDefault="00000000">
          <w:pPr>
            <w:pStyle w:val="TOC2"/>
            <w:rPr>
              <w:rFonts w:eastAsiaTheme="minorEastAsia" w:cstheme="minorBidi"/>
              <w:sz w:val="22"/>
              <w:szCs w:val="22"/>
              <w:lang w:eastAsia="en-GB"/>
            </w:rPr>
          </w:pPr>
          <w:hyperlink w:anchor="_Toc153829287" w:history="1">
            <w:r w:rsidR="004C61C9" w:rsidRPr="00722D6A">
              <w:rPr>
                <w:rStyle w:val="Hyperlink"/>
              </w:rPr>
              <w:t>Gearing ratio</w:t>
            </w:r>
            <w:r w:rsidR="004C61C9">
              <w:rPr>
                <w:webHidden/>
              </w:rPr>
              <w:tab/>
            </w:r>
            <w:r w:rsidR="004C61C9">
              <w:rPr>
                <w:webHidden/>
              </w:rPr>
              <w:fldChar w:fldCharType="begin"/>
            </w:r>
            <w:r w:rsidR="004C61C9">
              <w:rPr>
                <w:webHidden/>
              </w:rPr>
              <w:instrText xml:space="preserve"> PAGEREF _Toc153829287 \h </w:instrText>
            </w:r>
            <w:r w:rsidR="004C61C9">
              <w:rPr>
                <w:webHidden/>
              </w:rPr>
            </w:r>
            <w:r w:rsidR="004C61C9">
              <w:rPr>
                <w:webHidden/>
              </w:rPr>
              <w:fldChar w:fldCharType="separate"/>
            </w:r>
            <w:r w:rsidR="004C61C9">
              <w:rPr>
                <w:webHidden/>
              </w:rPr>
              <w:t>9</w:t>
            </w:r>
            <w:r w:rsidR="004C61C9">
              <w:rPr>
                <w:webHidden/>
              </w:rPr>
              <w:fldChar w:fldCharType="end"/>
            </w:r>
          </w:hyperlink>
        </w:p>
        <w:p w14:paraId="0C54E425" w14:textId="38A4080C" w:rsidR="004C61C9" w:rsidRDefault="00000000">
          <w:pPr>
            <w:pStyle w:val="TOC2"/>
            <w:rPr>
              <w:rFonts w:eastAsiaTheme="minorEastAsia" w:cstheme="minorBidi"/>
              <w:sz w:val="22"/>
              <w:szCs w:val="22"/>
              <w:lang w:eastAsia="en-GB"/>
            </w:rPr>
          </w:pPr>
          <w:hyperlink w:anchor="_Toc153829288" w:history="1">
            <w:r w:rsidR="004C61C9" w:rsidRPr="00722D6A">
              <w:rPr>
                <w:rStyle w:val="Hyperlink"/>
              </w:rPr>
              <w:t>Interest cover</w:t>
            </w:r>
            <w:r w:rsidR="004C61C9">
              <w:rPr>
                <w:webHidden/>
              </w:rPr>
              <w:tab/>
            </w:r>
            <w:r w:rsidR="004C61C9">
              <w:rPr>
                <w:webHidden/>
              </w:rPr>
              <w:fldChar w:fldCharType="begin"/>
            </w:r>
            <w:r w:rsidR="004C61C9">
              <w:rPr>
                <w:webHidden/>
              </w:rPr>
              <w:instrText xml:space="preserve"> PAGEREF _Toc153829288 \h </w:instrText>
            </w:r>
            <w:r w:rsidR="004C61C9">
              <w:rPr>
                <w:webHidden/>
              </w:rPr>
            </w:r>
            <w:r w:rsidR="004C61C9">
              <w:rPr>
                <w:webHidden/>
              </w:rPr>
              <w:fldChar w:fldCharType="separate"/>
            </w:r>
            <w:r w:rsidR="004C61C9">
              <w:rPr>
                <w:webHidden/>
              </w:rPr>
              <w:t>9</w:t>
            </w:r>
            <w:r w:rsidR="004C61C9">
              <w:rPr>
                <w:webHidden/>
              </w:rPr>
              <w:fldChar w:fldCharType="end"/>
            </w:r>
          </w:hyperlink>
        </w:p>
        <w:p w14:paraId="2FC10BCD" w14:textId="4563A463" w:rsidR="004C61C9" w:rsidRDefault="00000000">
          <w:pPr>
            <w:pStyle w:val="TOC1"/>
            <w:rPr>
              <w:rFonts w:eastAsiaTheme="minorEastAsia" w:cstheme="minorBidi"/>
              <w:sz w:val="22"/>
              <w:szCs w:val="22"/>
              <w:lang w:eastAsia="en-GB"/>
            </w:rPr>
          </w:pPr>
          <w:hyperlink w:anchor="_Toc153829289" w:history="1">
            <w:r w:rsidR="004C61C9" w:rsidRPr="00722D6A">
              <w:rPr>
                <w:rStyle w:val="Hyperlink"/>
              </w:rPr>
              <w:t>Analysing Sweets plc's Financials using Ratios and Statements</w:t>
            </w:r>
            <w:r w:rsidR="004C61C9">
              <w:rPr>
                <w:webHidden/>
              </w:rPr>
              <w:tab/>
            </w:r>
            <w:r w:rsidR="004C61C9">
              <w:rPr>
                <w:webHidden/>
              </w:rPr>
              <w:fldChar w:fldCharType="begin"/>
            </w:r>
            <w:r w:rsidR="004C61C9">
              <w:rPr>
                <w:webHidden/>
              </w:rPr>
              <w:instrText xml:space="preserve"> PAGEREF _Toc153829289 \h </w:instrText>
            </w:r>
            <w:r w:rsidR="004C61C9">
              <w:rPr>
                <w:webHidden/>
              </w:rPr>
            </w:r>
            <w:r w:rsidR="004C61C9">
              <w:rPr>
                <w:webHidden/>
              </w:rPr>
              <w:fldChar w:fldCharType="separate"/>
            </w:r>
            <w:r w:rsidR="004C61C9">
              <w:rPr>
                <w:webHidden/>
              </w:rPr>
              <w:t>10</w:t>
            </w:r>
            <w:r w:rsidR="004C61C9">
              <w:rPr>
                <w:webHidden/>
              </w:rPr>
              <w:fldChar w:fldCharType="end"/>
            </w:r>
          </w:hyperlink>
        </w:p>
        <w:p w14:paraId="1BEE7F55" w14:textId="01BFB6EA" w:rsidR="004C61C9" w:rsidRDefault="00000000">
          <w:pPr>
            <w:pStyle w:val="TOC1"/>
            <w:rPr>
              <w:rFonts w:eastAsiaTheme="minorEastAsia" w:cstheme="minorBidi"/>
              <w:sz w:val="22"/>
              <w:szCs w:val="22"/>
              <w:lang w:eastAsia="en-GB"/>
            </w:rPr>
          </w:pPr>
          <w:hyperlink w:anchor="_Toc153829290" w:history="1">
            <w:r w:rsidR="004C61C9" w:rsidRPr="00722D6A">
              <w:rPr>
                <w:rStyle w:val="Hyperlink"/>
              </w:rPr>
              <w:t>References</w:t>
            </w:r>
            <w:r w:rsidR="004C61C9">
              <w:rPr>
                <w:webHidden/>
              </w:rPr>
              <w:tab/>
            </w:r>
            <w:r w:rsidR="004C61C9">
              <w:rPr>
                <w:webHidden/>
              </w:rPr>
              <w:fldChar w:fldCharType="begin"/>
            </w:r>
            <w:r w:rsidR="004C61C9">
              <w:rPr>
                <w:webHidden/>
              </w:rPr>
              <w:instrText xml:space="preserve"> PAGEREF _Toc153829290 \h </w:instrText>
            </w:r>
            <w:r w:rsidR="004C61C9">
              <w:rPr>
                <w:webHidden/>
              </w:rPr>
            </w:r>
            <w:r w:rsidR="004C61C9">
              <w:rPr>
                <w:webHidden/>
              </w:rPr>
              <w:fldChar w:fldCharType="separate"/>
            </w:r>
            <w:r w:rsidR="004C61C9">
              <w:rPr>
                <w:webHidden/>
              </w:rPr>
              <w:t>11</w:t>
            </w:r>
            <w:r w:rsidR="004C61C9">
              <w:rPr>
                <w:webHidden/>
              </w:rPr>
              <w:fldChar w:fldCharType="end"/>
            </w:r>
          </w:hyperlink>
        </w:p>
        <w:p w14:paraId="1C7B547E" w14:textId="27979AC6" w:rsidR="00E03A54" w:rsidRDefault="00E03A54">
          <w:r>
            <w:rPr>
              <w:b/>
              <w:bCs/>
              <w:noProof/>
            </w:rPr>
            <w:fldChar w:fldCharType="end"/>
          </w:r>
        </w:p>
      </w:sdtContent>
    </w:sdt>
    <w:p w14:paraId="5B9BAD3B" w14:textId="788DBD50" w:rsidR="00E03A54" w:rsidRDefault="00E03A54">
      <w:pPr>
        <w:rPr>
          <w:rFonts w:cstheme="minorHAnsi"/>
          <w:sz w:val="24"/>
          <w:szCs w:val="24"/>
        </w:rPr>
      </w:pPr>
    </w:p>
    <w:p w14:paraId="70A491CF" w14:textId="77777777" w:rsidR="00E03A54" w:rsidRDefault="00E03A54">
      <w:pPr>
        <w:rPr>
          <w:rFonts w:cstheme="minorHAnsi"/>
          <w:sz w:val="24"/>
          <w:szCs w:val="24"/>
        </w:rPr>
      </w:pPr>
      <w:r>
        <w:rPr>
          <w:rFonts w:cstheme="minorHAnsi"/>
          <w:sz w:val="24"/>
          <w:szCs w:val="24"/>
        </w:rPr>
        <w:br w:type="page"/>
      </w:r>
    </w:p>
    <w:p w14:paraId="3615ACAA" w14:textId="451B7B9D" w:rsidR="00A0628F" w:rsidRPr="00A30DA3" w:rsidRDefault="00E03A54" w:rsidP="00A30DA3">
      <w:pPr>
        <w:pStyle w:val="Heading1"/>
        <w:spacing w:before="0" w:line="360" w:lineRule="auto"/>
        <w:jc w:val="both"/>
        <w:rPr>
          <w:rFonts w:asciiTheme="minorHAnsi" w:hAnsiTheme="minorHAnsi" w:cstheme="minorHAnsi"/>
          <w:sz w:val="24"/>
          <w:szCs w:val="24"/>
        </w:rPr>
      </w:pPr>
      <w:bookmarkStart w:id="0" w:name="_Toc153829267"/>
      <w:r w:rsidRPr="00A30DA3">
        <w:rPr>
          <w:rFonts w:asciiTheme="minorHAnsi" w:hAnsiTheme="minorHAnsi" w:cstheme="minorHAnsi"/>
          <w:sz w:val="24"/>
          <w:szCs w:val="24"/>
        </w:rPr>
        <w:lastRenderedPageBreak/>
        <w:t>Introduction</w:t>
      </w:r>
      <w:bookmarkEnd w:id="0"/>
    </w:p>
    <w:p w14:paraId="184BC7AB" w14:textId="03DA660F" w:rsidR="00A30DA3" w:rsidRPr="00A30DA3" w:rsidRDefault="00A30DA3" w:rsidP="00A30DA3">
      <w:pPr>
        <w:spacing w:line="360" w:lineRule="auto"/>
        <w:jc w:val="both"/>
        <w:rPr>
          <w:rFonts w:cstheme="minorHAnsi"/>
          <w:sz w:val="24"/>
          <w:szCs w:val="24"/>
        </w:rPr>
      </w:pPr>
      <w:r w:rsidRPr="00A30DA3">
        <w:rPr>
          <w:rFonts w:cstheme="minorHAnsi"/>
          <w:sz w:val="24"/>
          <w:szCs w:val="24"/>
        </w:rPr>
        <w:t xml:space="preserve">This analysis focuses on understanding accounting principles and discussing various accounting situations. It addresses topics such as the complexity of financial statements and the need for regulatory supervision. Accounting concepts are </w:t>
      </w:r>
      <w:proofErr w:type="gramStart"/>
      <w:r w:rsidRPr="00A30DA3">
        <w:rPr>
          <w:rFonts w:cstheme="minorHAnsi"/>
          <w:sz w:val="24"/>
          <w:szCs w:val="24"/>
        </w:rPr>
        <w:t>defined</w:t>
      </w:r>
      <w:proofErr w:type="gramEnd"/>
      <w:r w:rsidRPr="00A30DA3">
        <w:rPr>
          <w:rFonts w:cstheme="minorHAnsi"/>
          <w:sz w:val="24"/>
          <w:szCs w:val="24"/>
        </w:rPr>
        <w:t xml:space="preserve"> and misunderstandings are addressed. The next section will discuss the fiscal year ending December 31, 2022, and its important balances, highlighting the new era in Wales plc's financial landscape. Factors like equipment depreciation, unpaid salaries, projected corporation tax, and pending transactions are considered to provide a detailed picture of the company's financial status. The final piece will discuss how to use </w:t>
      </w:r>
      <w:proofErr w:type="gramStart"/>
      <w:r w:rsidRPr="00A30DA3">
        <w:rPr>
          <w:rFonts w:cstheme="minorHAnsi"/>
          <w:sz w:val="24"/>
          <w:szCs w:val="24"/>
        </w:rPr>
        <w:t>Sweets</w:t>
      </w:r>
      <w:proofErr w:type="gramEnd"/>
      <w:r w:rsidRPr="00A30DA3">
        <w:rPr>
          <w:rFonts w:cstheme="minorHAnsi"/>
          <w:sz w:val="24"/>
          <w:szCs w:val="24"/>
        </w:rPr>
        <w:t xml:space="preserve"> plc's financial data to calculate important ratios, such as net profit margin, earnings per share, return on equity, return on capital employed, and earnings per share. This analysis helps fill in gaps in understanding </w:t>
      </w:r>
      <w:proofErr w:type="gramStart"/>
      <w:r w:rsidRPr="00A30DA3">
        <w:rPr>
          <w:rFonts w:cstheme="minorHAnsi"/>
          <w:sz w:val="24"/>
          <w:szCs w:val="24"/>
        </w:rPr>
        <w:t>Sweets</w:t>
      </w:r>
      <w:proofErr w:type="gramEnd"/>
      <w:r w:rsidRPr="00A30DA3">
        <w:rPr>
          <w:rFonts w:cstheme="minorHAnsi"/>
          <w:sz w:val="24"/>
          <w:szCs w:val="24"/>
        </w:rPr>
        <w:t xml:space="preserve"> plc's financial health and future prospects.</w:t>
      </w:r>
    </w:p>
    <w:p w14:paraId="6E6E0BBD" w14:textId="7B48DFDB" w:rsidR="00E82652" w:rsidRDefault="007966C3" w:rsidP="005A0C3E">
      <w:pPr>
        <w:pStyle w:val="Heading1"/>
        <w:spacing w:before="0"/>
        <w:rPr>
          <w:rFonts w:asciiTheme="minorHAnsi" w:hAnsiTheme="minorHAnsi" w:cstheme="minorHAnsi"/>
          <w:sz w:val="24"/>
          <w:szCs w:val="24"/>
        </w:rPr>
      </w:pPr>
      <w:bookmarkStart w:id="1" w:name="_Toc153829268"/>
      <w:r w:rsidRPr="005A0C3E">
        <w:rPr>
          <w:rFonts w:asciiTheme="minorHAnsi" w:hAnsiTheme="minorHAnsi" w:cstheme="minorHAnsi"/>
          <w:sz w:val="24"/>
          <w:szCs w:val="24"/>
        </w:rPr>
        <w:t>Common Misunderstandings in Accounting</w:t>
      </w:r>
      <w:bookmarkEnd w:id="1"/>
    </w:p>
    <w:p w14:paraId="0047C919" w14:textId="52980014" w:rsidR="002C3D2A" w:rsidRPr="002C3D2A" w:rsidRDefault="002C3D2A" w:rsidP="002C3D2A">
      <w:pPr>
        <w:spacing w:line="360" w:lineRule="auto"/>
        <w:jc w:val="both"/>
        <w:rPr>
          <w:rFonts w:cstheme="minorHAnsi"/>
          <w:sz w:val="24"/>
          <w:szCs w:val="24"/>
        </w:rPr>
      </w:pPr>
      <w:r w:rsidRPr="009C2B69">
        <w:rPr>
          <w:rFonts w:cstheme="minorHAnsi"/>
          <w:sz w:val="24"/>
          <w:szCs w:val="24"/>
        </w:rPr>
        <w:t xml:space="preserve">The belief that the statement of financial position only represents cash transactions occurring during an accounting period. To correct this misunderstanding effectively, it is important to highlight that the statement </w:t>
      </w:r>
      <w:proofErr w:type="gramStart"/>
      <w:r w:rsidRPr="009C2B69">
        <w:rPr>
          <w:rFonts w:cstheme="minorHAnsi"/>
          <w:sz w:val="24"/>
          <w:szCs w:val="24"/>
        </w:rPr>
        <w:t>takes into account</w:t>
      </w:r>
      <w:proofErr w:type="gramEnd"/>
      <w:r w:rsidRPr="009C2B69">
        <w:rPr>
          <w:rFonts w:cstheme="minorHAnsi"/>
          <w:sz w:val="24"/>
          <w:szCs w:val="24"/>
        </w:rPr>
        <w:t xml:space="preserve"> a wider perspective of a company's financial standing, which includes its assets, liabilities, and equity</w:t>
      </w:r>
      <w:r w:rsidR="00C46ED9">
        <w:rPr>
          <w:rFonts w:cstheme="minorHAnsi"/>
          <w:sz w:val="24"/>
          <w:szCs w:val="24"/>
        </w:rPr>
        <w:t xml:space="preserve"> </w:t>
      </w:r>
      <w:r w:rsidR="00C46ED9" w:rsidRPr="00C46ED9">
        <w:rPr>
          <w:rFonts w:cstheme="minorHAnsi"/>
          <w:sz w:val="24"/>
          <w:szCs w:val="24"/>
        </w:rPr>
        <w:t>(Granlund &amp; Lilien, 2023)</w:t>
      </w:r>
      <w:r w:rsidRPr="009C2B69">
        <w:rPr>
          <w:rFonts w:cstheme="minorHAnsi"/>
          <w:sz w:val="24"/>
          <w:szCs w:val="24"/>
        </w:rPr>
        <w:t>. Promote continued learning by suggesting pertinent resources to enhance comprehension.</w:t>
      </w:r>
    </w:p>
    <w:p w14:paraId="30AF0F82" w14:textId="2705D5FA" w:rsidR="00E82652" w:rsidRDefault="007966C3" w:rsidP="009C2B69">
      <w:pPr>
        <w:pStyle w:val="Heading2"/>
        <w:spacing w:before="0" w:line="360" w:lineRule="auto"/>
        <w:jc w:val="both"/>
        <w:rPr>
          <w:rFonts w:asciiTheme="minorHAnsi" w:hAnsiTheme="minorHAnsi" w:cstheme="minorHAnsi"/>
          <w:sz w:val="24"/>
          <w:szCs w:val="24"/>
        </w:rPr>
      </w:pPr>
      <w:bookmarkStart w:id="2" w:name="_Toc153829269"/>
      <w:r w:rsidRPr="009C2B69">
        <w:rPr>
          <w:rFonts w:asciiTheme="minorHAnsi" w:hAnsiTheme="minorHAnsi" w:cstheme="minorHAnsi"/>
          <w:sz w:val="24"/>
          <w:szCs w:val="24"/>
        </w:rPr>
        <w:t xml:space="preserve">Confused non-current assets </w:t>
      </w:r>
      <w:proofErr w:type="gramStart"/>
      <w:r w:rsidRPr="009C2B69">
        <w:rPr>
          <w:rFonts w:asciiTheme="minorHAnsi" w:hAnsiTheme="minorHAnsi" w:cstheme="minorHAnsi"/>
          <w:sz w:val="24"/>
          <w:szCs w:val="24"/>
        </w:rPr>
        <w:t>definition</w:t>
      </w:r>
      <w:bookmarkEnd w:id="2"/>
      <w:proofErr w:type="gramEnd"/>
    </w:p>
    <w:p w14:paraId="07EE963C" w14:textId="038D3151" w:rsidR="002C3D2A" w:rsidRPr="002C3D2A" w:rsidRDefault="002C3D2A" w:rsidP="002C3D2A">
      <w:pPr>
        <w:spacing w:after="0" w:line="360" w:lineRule="auto"/>
        <w:jc w:val="both"/>
        <w:rPr>
          <w:rFonts w:cstheme="minorHAnsi"/>
          <w:sz w:val="24"/>
          <w:szCs w:val="24"/>
        </w:rPr>
      </w:pPr>
      <w:r w:rsidRPr="002C3D2A">
        <w:rPr>
          <w:rFonts w:cstheme="minorHAnsi"/>
          <w:sz w:val="24"/>
          <w:szCs w:val="24"/>
        </w:rPr>
        <w:t xml:space="preserve">Non-current assets are fixed and cannot be easily moved or converted into cash. </w:t>
      </w:r>
      <w:proofErr w:type="gramStart"/>
      <w:r w:rsidRPr="002C3D2A">
        <w:rPr>
          <w:rFonts w:cstheme="minorHAnsi"/>
          <w:sz w:val="24"/>
          <w:szCs w:val="24"/>
        </w:rPr>
        <w:t>In order to</w:t>
      </w:r>
      <w:proofErr w:type="gramEnd"/>
      <w:r w:rsidRPr="002C3D2A">
        <w:rPr>
          <w:rFonts w:cstheme="minorHAnsi"/>
          <w:sz w:val="24"/>
          <w:szCs w:val="24"/>
        </w:rPr>
        <w:t xml:space="preserve"> provide a constructive resolution, it is important to specify that although some non-current assets, such as buildings, are fixed and cannot be moved, others, such as vehicles or equipment, have the ability to be relocated. Emphasise the variety of non-current assets and clarify that their categorization is determined by the company's intended use rather than their inherent ability to move</w:t>
      </w:r>
      <w:r w:rsidR="00B840AF">
        <w:rPr>
          <w:rFonts w:cstheme="minorHAnsi"/>
          <w:sz w:val="24"/>
          <w:szCs w:val="24"/>
        </w:rPr>
        <w:t xml:space="preserve"> </w:t>
      </w:r>
      <w:r w:rsidR="00B840AF" w:rsidRPr="00B840AF">
        <w:rPr>
          <w:rFonts w:cstheme="minorHAnsi"/>
          <w:sz w:val="24"/>
          <w:szCs w:val="24"/>
        </w:rPr>
        <w:t>(Skinner, 2023)</w:t>
      </w:r>
      <w:r w:rsidRPr="002C3D2A">
        <w:rPr>
          <w:rFonts w:cstheme="minorHAnsi"/>
          <w:sz w:val="24"/>
          <w:szCs w:val="24"/>
        </w:rPr>
        <w:t>. Promote a comprehensive comprehension of accounting principles, highlighting the fluidity of long-term assets in many corporate scenarios. This methodology encourages a more precise and all-encompassing understanding of accounting concepts.</w:t>
      </w:r>
    </w:p>
    <w:p w14:paraId="70633135" w14:textId="79B3C8C0" w:rsidR="00E82652" w:rsidRDefault="007966C3" w:rsidP="005A0C3E">
      <w:pPr>
        <w:pStyle w:val="Heading2"/>
        <w:spacing w:before="0" w:line="360" w:lineRule="auto"/>
        <w:rPr>
          <w:rFonts w:asciiTheme="minorHAnsi" w:hAnsiTheme="minorHAnsi" w:cstheme="minorHAnsi"/>
          <w:sz w:val="24"/>
          <w:szCs w:val="24"/>
        </w:rPr>
      </w:pPr>
      <w:bookmarkStart w:id="3" w:name="_Toc153829270"/>
      <w:r w:rsidRPr="007966C3">
        <w:rPr>
          <w:rFonts w:asciiTheme="minorHAnsi" w:hAnsiTheme="minorHAnsi" w:cstheme="minorHAnsi"/>
          <w:sz w:val="24"/>
          <w:szCs w:val="24"/>
        </w:rPr>
        <w:t>Perception of inadequate regulation</w:t>
      </w:r>
      <w:bookmarkEnd w:id="3"/>
    </w:p>
    <w:p w14:paraId="0484FC86" w14:textId="1A594E0E" w:rsidR="002C3D2A" w:rsidRPr="002C3D2A" w:rsidRDefault="002C3D2A" w:rsidP="00AB6CA5">
      <w:pPr>
        <w:spacing w:after="0" w:line="360" w:lineRule="auto"/>
        <w:jc w:val="both"/>
        <w:rPr>
          <w:rFonts w:cstheme="minorHAnsi"/>
          <w:sz w:val="24"/>
          <w:szCs w:val="24"/>
        </w:rPr>
      </w:pPr>
      <w:r w:rsidRPr="002C3D2A">
        <w:rPr>
          <w:rFonts w:cstheme="minorHAnsi"/>
          <w:sz w:val="24"/>
          <w:szCs w:val="24"/>
        </w:rPr>
        <w:t xml:space="preserve">In fact, businesses need to share financial information with everyone who has an interest in them, such as present and future owners, debtors, and the public at large. Building trust, </w:t>
      </w:r>
      <w:r w:rsidRPr="002C3D2A">
        <w:rPr>
          <w:rFonts w:cstheme="minorHAnsi"/>
          <w:sz w:val="24"/>
          <w:szCs w:val="24"/>
        </w:rPr>
        <w:lastRenderedPageBreak/>
        <w:t xml:space="preserve">getting partners, and keeping a good image are all helped by this. </w:t>
      </w:r>
      <w:proofErr w:type="gramStart"/>
      <w:r w:rsidRPr="002C3D2A">
        <w:rPr>
          <w:rFonts w:cstheme="minorHAnsi"/>
          <w:sz w:val="24"/>
          <w:szCs w:val="24"/>
        </w:rPr>
        <w:t>As a way to</w:t>
      </w:r>
      <w:proofErr w:type="gramEnd"/>
      <w:r w:rsidRPr="002C3D2A">
        <w:rPr>
          <w:rFonts w:cstheme="minorHAnsi"/>
          <w:sz w:val="24"/>
          <w:szCs w:val="24"/>
        </w:rPr>
        <w:t xml:space="preserve"> help the person get a better understanding of their role in financial communication, could suggest that they look into modern accounting practices and corporate governance principles that stress how important it is for all stakeholders to have open and easy access to financial information</w:t>
      </w:r>
      <w:r w:rsidR="008B2D8E">
        <w:rPr>
          <w:rFonts w:cstheme="minorHAnsi"/>
          <w:sz w:val="24"/>
          <w:szCs w:val="24"/>
        </w:rPr>
        <w:t xml:space="preserve"> </w:t>
      </w:r>
      <w:r w:rsidR="008B2D8E" w:rsidRPr="008B2D8E">
        <w:rPr>
          <w:rFonts w:cstheme="minorHAnsi"/>
          <w:sz w:val="24"/>
          <w:szCs w:val="24"/>
        </w:rPr>
        <w:t>(Kramer &amp; Spiceland, 2023</w:t>
      </w:r>
      <w:r w:rsidR="008B2D8E">
        <w:rPr>
          <w:rFonts w:cstheme="minorHAnsi"/>
          <w:sz w:val="24"/>
          <w:szCs w:val="24"/>
        </w:rPr>
        <w:t>)</w:t>
      </w:r>
      <w:r w:rsidRPr="002C3D2A">
        <w:rPr>
          <w:rFonts w:cstheme="minorHAnsi"/>
          <w:sz w:val="24"/>
          <w:szCs w:val="24"/>
        </w:rPr>
        <w:t>.</w:t>
      </w:r>
    </w:p>
    <w:p w14:paraId="2CF36F02" w14:textId="63C5633F" w:rsidR="007966C3" w:rsidRPr="00A30DA3" w:rsidRDefault="007966C3" w:rsidP="00A30DA3">
      <w:pPr>
        <w:pStyle w:val="Heading2"/>
        <w:spacing w:before="0" w:line="360" w:lineRule="auto"/>
        <w:jc w:val="both"/>
        <w:rPr>
          <w:rFonts w:asciiTheme="minorHAnsi" w:hAnsiTheme="minorHAnsi" w:cstheme="minorHAnsi"/>
          <w:sz w:val="24"/>
          <w:szCs w:val="24"/>
        </w:rPr>
      </w:pPr>
      <w:bookmarkStart w:id="4" w:name="_Toc153829271"/>
      <w:r w:rsidRPr="00A30DA3">
        <w:rPr>
          <w:rFonts w:asciiTheme="minorHAnsi" w:hAnsiTheme="minorHAnsi" w:cstheme="minorHAnsi"/>
          <w:sz w:val="24"/>
          <w:szCs w:val="24"/>
        </w:rPr>
        <w:t>Prepayments and accruals omission misconception</w:t>
      </w:r>
      <w:bookmarkEnd w:id="4"/>
    </w:p>
    <w:p w14:paraId="457D0D6A" w14:textId="3A9D4BD8" w:rsidR="00A30DA3" w:rsidRPr="00A30DA3" w:rsidRDefault="00A30DA3" w:rsidP="00A30DA3">
      <w:pPr>
        <w:spacing w:line="360" w:lineRule="auto"/>
        <w:jc w:val="both"/>
        <w:rPr>
          <w:sz w:val="24"/>
          <w:szCs w:val="24"/>
        </w:rPr>
      </w:pPr>
      <w:r w:rsidRPr="00A30DA3">
        <w:rPr>
          <w:sz w:val="24"/>
          <w:szCs w:val="24"/>
        </w:rPr>
        <w:t>To dispel the misconception that prepayments and accruals are not included in financial statements, it is essential to provide instructional materials or references that emphasize their inclusion. This can be found in accounting textbooks, authoritative standards, or educational articles. Using concrete illustrations or case studies can also enhance understanding. Further research on existing accounting literature or seeking clarification from accounting specialists can help dispel the fallacy and improve comprehension of financial reporting ideas</w:t>
      </w:r>
      <w:r w:rsidR="008B2D8E">
        <w:rPr>
          <w:sz w:val="24"/>
          <w:szCs w:val="24"/>
        </w:rPr>
        <w:t xml:space="preserve"> </w:t>
      </w:r>
      <w:r w:rsidR="008B2D8E" w:rsidRPr="008B2D8E">
        <w:rPr>
          <w:sz w:val="24"/>
          <w:szCs w:val="24"/>
        </w:rPr>
        <w:t>(Granlund &amp; Lilien, 2019)</w:t>
      </w:r>
      <w:r w:rsidRPr="00A30DA3">
        <w:rPr>
          <w:sz w:val="24"/>
          <w:szCs w:val="24"/>
        </w:rPr>
        <w:t>.</w:t>
      </w:r>
    </w:p>
    <w:p w14:paraId="68B169F0" w14:textId="00AE6070" w:rsidR="00AB6CA5" w:rsidRPr="00AB6CA5" w:rsidRDefault="00AB6CA5" w:rsidP="00AB6CA5">
      <w:pPr>
        <w:pStyle w:val="Heading2"/>
        <w:rPr>
          <w:rFonts w:asciiTheme="minorHAnsi" w:hAnsiTheme="minorHAnsi" w:cstheme="minorHAnsi"/>
          <w:sz w:val="24"/>
          <w:szCs w:val="24"/>
        </w:rPr>
      </w:pPr>
      <w:bookmarkStart w:id="5" w:name="_Toc153829272"/>
      <w:r w:rsidRPr="00AB6CA5">
        <w:rPr>
          <w:rFonts w:asciiTheme="minorHAnsi" w:hAnsiTheme="minorHAnsi" w:cstheme="minorHAnsi"/>
          <w:sz w:val="24"/>
          <w:szCs w:val="24"/>
        </w:rPr>
        <w:t>Contrary to Financial Account Regulation</w:t>
      </w:r>
      <w:bookmarkEnd w:id="5"/>
    </w:p>
    <w:p w14:paraId="09267977" w14:textId="77C7AE17" w:rsidR="0020503E" w:rsidRPr="0020503E" w:rsidRDefault="0020503E" w:rsidP="0020503E">
      <w:pPr>
        <w:spacing w:after="0" w:line="360" w:lineRule="auto"/>
        <w:jc w:val="both"/>
        <w:rPr>
          <w:rFonts w:cstheme="minorHAnsi"/>
          <w:sz w:val="24"/>
          <w:szCs w:val="24"/>
        </w:rPr>
      </w:pPr>
      <w:r w:rsidRPr="0020503E">
        <w:rPr>
          <w:rFonts w:cstheme="minorHAnsi"/>
          <w:sz w:val="24"/>
          <w:szCs w:val="24"/>
        </w:rPr>
        <w:t>Financial rules are crucial for maintaining transparency, accountability, and reliability in financial reporting. They protect stakeholders, investors, and the public by implementing uniform reporting methods, deterring fraudulent activities, and promoting trust in financial markets</w:t>
      </w:r>
      <w:r w:rsidR="0095770F">
        <w:rPr>
          <w:rFonts w:cstheme="minorHAnsi"/>
          <w:sz w:val="24"/>
          <w:szCs w:val="24"/>
        </w:rPr>
        <w:t xml:space="preserve"> </w:t>
      </w:r>
      <w:r w:rsidR="0095770F" w:rsidRPr="0095770F">
        <w:rPr>
          <w:rFonts w:cstheme="minorHAnsi"/>
          <w:sz w:val="24"/>
          <w:szCs w:val="24"/>
        </w:rPr>
        <w:t>(Chari &amp; Griffin, 2023)</w:t>
      </w:r>
      <w:r w:rsidRPr="0020503E">
        <w:rPr>
          <w:rFonts w:cstheme="minorHAnsi"/>
          <w:sz w:val="24"/>
          <w:szCs w:val="24"/>
        </w:rPr>
        <w:t>. Without adequate regulation, financial mismanagement, inaccurate information dissemination, and unethical behaviour can occur. To foster a more informed debate, it</w:t>
      </w:r>
      <w:r w:rsidR="009C0822">
        <w:rPr>
          <w:rFonts w:cstheme="minorHAnsi"/>
          <w:sz w:val="24"/>
          <w:szCs w:val="24"/>
        </w:rPr>
        <w:t xml:space="preserve"> i</w:t>
      </w:r>
      <w:r w:rsidRPr="0020503E">
        <w:rPr>
          <w:rFonts w:cstheme="minorHAnsi"/>
          <w:sz w:val="24"/>
          <w:szCs w:val="24"/>
        </w:rPr>
        <w:t>s essential to engage in constructive conversations, discuss the reasons behind their perspectives, and consider the positive effects of financial laws</w:t>
      </w:r>
      <w:r w:rsidR="009C0822">
        <w:rPr>
          <w:rFonts w:cstheme="minorHAnsi"/>
          <w:sz w:val="24"/>
          <w:szCs w:val="24"/>
        </w:rPr>
        <w:t xml:space="preserve"> </w:t>
      </w:r>
      <w:r w:rsidR="009C0822" w:rsidRPr="009C0822">
        <w:rPr>
          <w:rFonts w:cstheme="minorHAnsi"/>
          <w:sz w:val="24"/>
          <w:szCs w:val="24"/>
        </w:rPr>
        <w:t>(Granlund &amp; Lilien, 2022)</w:t>
      </w:r>
      <w:r w:rsidRPr="0020503E">
        <w:rPr>
          <w:rFonts w:cstheme="minorHAnsi"/>
          <w:sz w:val="24"/>
          <w:szCs w:val="24"/>
        </w:rPr>
        <w:t>. Addressing specific cases where regulation has proven beneficial can further enhance the discourse.</w:t>
      </w:r>
    </w:p>
    <w:p w14:paraId="52A08730" w14:textId="1B15A41E" w:rsidR="0020503E" w:rsidRPr="0020503E" w:rsidRDefault="007966C3" w:rsidP="0020503E">
      <w:pPr>
        <w:pStyle w:val="Heading2"/>
        <w:spacing w:before="0" w:line="360" w:lineRule="auto"/>
        <w:jc w:val="both"/>
        <w:rPr>
          <w:rFonts w:asciiTheme="minorHAnsi" w:hAnsiTheme="minorHAnsi" w:cstheme="minorHAnsi"/>
          <w:sz w:val="24"/>
          <w:szCs w:val="24"/>
        </w:rPr>
      </w:pPr>
      <w:bookmarkStart w:id="6" w:name="_Toc153829273"/>
      <w:r w:rsidRPr="00186548">
        <w:rPr>
          <w:rFonts w:asciiTheme="minorHAnsi" w:hAnsiTheme="minorHAnsi" w:cstheme="minorHAnsi"/>
          <w:sz w:val="24"/>
          <w:szCs w:val="24"/>
        </w:rPr>
        <w:t>T-account balance and trial balance confusing importance</w:t>
      </w:r>
      <w:bookmarkEnd w:id="6"/>
    </w:p>
    <w:p w14:paraId="39FCBBF7" w14:textId="2AC0CC6F" w:rsidR="0020503E" w:rsidRPr="0020503E" w:rsidRDefault="0020503E" w:rsidP="0020503E">
      <w:pPr>
        <w:spacing w:line="360" w:lineRule="auto"/>
        <w:jc w:val="both"/>
        <w:rPr>
          <w:rFonts w:cstheme="minorHAnsi"/>
          <w:sz w:val="24"/>
          <w:szCs w:val="24"/>
        </w:rPr>
      </w:pPr>
      <w:r w:rsidRPr="0020503E">
        <w:rPr>
          <w:rFonts w:cstheme="minorHAnsi"/>
          <w:sz w:val="24"/>
          <w:szCs w:val="24"/>
        </w:rPr>
        <w:t>Balance ledger (T) accounts and trial balance are crucial in financial reporting for precision, comprehensiveness, and dependability. T accounts provide a log of transactions, consolidating debit and credit entries, ensuring transparency and traceability</w:t>
      </w:r>
      <w:r w:rsidR="00FB6A09">
        <w:rPr>
          <w:rFonts w:cstheme="minorHAnsi"/>
          <w:sz w:val="24"/>
          <w:szCs w:val="24"/>
        </w:rPr>
        <w:t xml:space="preserve"> </w:t>
      </w:r>
      <w:r w:rsidR="00FB6A09" w:rsidRPr="00FB6A09">
        <w:rPr>
          <w:rFonts w:cstheme="minorHAnsi"/>
          <w:sz w:val="24"/>
          <w:szCs w:val="24"/>
        </w:rPr>
        <w:t>(Harrison,</w:t>
      </w:r>
      <w:r w:rsidR="00FB6A09">
        <w:rPr>
          <w:rFonts w:cstheme="minorHAnsi"/>
          <w:sz w:val="24"/>
          <w:szCs w:val="24"/>
        </w:rPr>
        <w:t xml:space="preserve"> W.</w:t>
      </w:r>
      <w:r w:rsidR="00FB6A09" w:rsidRPr="00FB6A09">
        <w:rPr>
          <w:rFonts w:cstheme="minorHAnsi"/>
          <w:sz w:val="24"/>
          <w:szCs w:val="24"/>
        </w:rPr>
        <w:t xml:space="preserve"> 2023)</w:t>
      </w:r>
      <w:r w:rsidRPr="0020503E">
        <w:rPr>
          <w:rFonts w:cstheme="minorHAnsi"/>
          <w:sz w:val="24"/>
          <w:szCs w:val="24"/>
        </w:rPr>
        <w:t>. Trial balance consolidates balances from all ledger accounts, ensuring debits and credits are equal. Both accounts are essential for the accuracy and reliability of financial information provided to stakeholders.</w:t>
      </w:r>
    </w:p>
    <w:p w14:paraId="0040E225" w14:textId="1A368E45" w:rsidR="00095840" w:rsidRDefault="00E82652" w:rsidP="00CF0A36">
      <w:pPr>
        <w:pStyle w:val="Heading1"/>
        <w:spacing w:before="0"/>
        <w:rPr>
          <w:rFonts w:asciiTheme="minorHAnsi" w:hAnsiTheme="minorHAnsi" w:cstheme="minorHAnsi"/>
          <w:sz w:val="24"/>
          <w:szCs w:val="24"/>
        </w:rPr>
      </w:pPr>
      <w:bookmarkStart w:id="7" w:name="_Toc153829274"/>
      <w:r w:rsidRPr="00E82652">
        <w:rPr>
          <w:rFonts w:asciiTheme="minorHAnsi" w:hAnsiTheme="minorHAnsi" w:cstheme="minorHAnsi"/>
          <w:sz w:val="24"/>
          <w:szCs w:val="24"/>
        </w:rPr>
        <w:lastRenderedPageBreak/>
        <w:t>Wales plc 2022 Income Statement</w:t>
      </w:r>
      <w:bookmarkEnd w:id="7"/>
    </w:p>
    <w:p w14:paraId="187F8AA4" w14:textId="42635B37" w:rsidR="006937FB" w:rsidRPr="0020503E" w:rsidRDefault="00CF0A36" w:rsidP="0020503E">
      <w:pPr>
        <w:spacing w:after="0" w:line="360" w:lineRule="auto"/>
        <w:jc w:val="both"/>
        <w:rPr>
          <w:rFonts w:cstheme="minorHAnsi"/>
          <w:sz w:val="24"/>
          <w:szCs w:val="24"/>
        </w:rPr>
      </w:pPr>
      <w:r w:rsidRPr="0020503E">
        <w:rPr>
          <w:rFonts w:cstheme="minorHAnsi"/>
          <w:sz w:val="24"/>
          <w:szCs w:val="24"/>
        </w:rPr>
        <w:t xml:space="preserve">The financial information for Wales plc for the fiscal year ending on December 31, </w:t>
      </w:r>
      <w:proofErr w:type="gramStart"/>
      <w:r w:rsidRPr="0020503E">
        <w:rPr>
          <w:rFonts w:cstheme="minorHAnsi"/>
          <w:sz w:val="24"/>
          <w:szCs w:val="24"/>
        </w:rPr>
        <w:t>2022</w:t>
      </w:r>
      <w:proofErr w:type="gramEnd"/>
      <w:r w:rsidRPr="0020503E">
        <w:rPr>
          <w:rFonts w:cstheme="minorHAnsi"/>
          <w:sz w:val="24"/>
          <w:szCs w:val="24"/>
        </w:rPr>
        <w:t xml:space="preserve"> is shown in British Pounds (£). The numbers contain essential financial indicators according to figure 1.</w:t>
      </w:r>
    </w:p>
    <w:p w14:paraId="3B9C9191" w14:textId="144C90C5" w:rsidR="00CF0A36" w:rsidRDefault="00F86435" w:rsidP="00CF0A36">
      <w:pPr>
        <w:rPr>
          <w:b/>
          <w:bCs/>
        </w:rPr>
      </w:pPr>
      <w:r w:rsidRPr="00F86435">
        <w:rPr>
          <w:b/>
          <w:bCs/>
        </w:rPr>
        <w:t>Wales plc. Balance Sheet</w:t>
      </w:r>
      <w:r>
        <w:rPr>
          <w:b/>
          <w:bCs/>
        </w:rPr>
        <w:t xml:space="preserve"> as of 31</w:t>
      </w:r>
      <w:r w:rsidRPr="00F86435">
        <w:rPr>
          <w:b/>
          <w:bCs/>
          <w:vertAlign w:val="superscript"/>
        </w:rPr>
        <w:t>st</w:t>
      </w:r>
      <w:r>
        <w:rPr>
          <w:b/>
          <w:bCs/>
        </w:rPr>
        <w:t xml:space="preserve"> December 2022 (£)</w:t>
      </w:r>
    </w:p>
    <w:tbl>
      <w:tblPr>
        <w:tblStyle w:val="TableGrid"/>
        <w:tblW w:w="931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77"/>
        <w:gridCol w:w="4936"/>
      </w:tblGrid>
      <w:tr w:rsidR="00F86435" w14:paraId="6029A406" w14:textId="77777777" w:rsidTr="005555E0">
        <w:trPr>
          <w:trHeight w:val="291"/>
        </w:trPr>
        <w:tc>
          <w:tcPr>
            <w:tcW w:w="9313" w:type="dxa"/>
            <w:gridSpan w:val="2"/>
          </w:tcPr>
          <w:p w14:paraId="25D10E98" w14:textId="1658AEA3" w:rsidR="00F86435" w:rsidRPr="00F86435" w:rsidRDefault="00F86435" w:rsidP="0088399D">
            <w:pPr>
              <w:rPr>
                <w:b/>
                <w:bCs/>
                <w:sz w:val="24"/>
                <w:szCs w:val="24"/>
              </w:rPr>
            </w:pPr>
            <w:r w:rsidRPr="00F86435">
              <w:rPr>
                <w:b/>
                <w:bCs/>
                <w:sz w:val="24"/>
                <w:szCs w:val="24"/>
              </w:rPr>
              <w:t>Assets</w:t>
            </w:r>
          </w:p>
        </w:tc>
      </w:tr>
      <w:tr w:rsidR="00F86435" w14:paraId="1DA6F365" w14:textId="77777777" w:rsidTr="005555E0">
        <w:trPr>
          <w:trHeight w:val="304"/>
        </w:trPr>
        <w:tc>
          <w:tcPr>
            <w:tcW w:w="4377" w:type="dxa"/>
          </w:tcPr>
          <w:p w14:paraId="38866CF8" w14:textId="3E890578" w:rsidR="00F86435" w:rsidRPr="00F86435" w:rsidRDefault="00F86435" w:rsidP="00CF0A36">
            <w:pPr>
              <w:rPr>
                <w:sz w:val="24"/>
                <w:szCs w:val="24"/>
              </w:rPr>
            </w:pPr>
            <w:r w:rsidRPr="00F86435">
              <w:rPr>
                <w:b/>
                <w:bCs/>
                <w:sz w:val="24"/>
                <w:szCs w:val="24"/>
              </w:rPr>
              <w:t>Variable Costs</w:t>
            </w:r>
            <w:r>
              <w:rPr>
                <w:b/>
                <w:bCs/>
                <w:sz w:val="24"/>
                <w:szCs w:val="24"/>
              </w:rPr>
              <w:t xml:space="preserve">        (Current Assets)                    </w:t>
            </w:r>
          </w:p>
        </w:tc>
        <w:tc>
          <w:tcPr>
            <w:tcW w:w="4936" w:type="dxa"/>
          </w:tcPr>
          <w:p w14:paraId="180F4A6D" w14:textId="1F87D89B" w:rsidR="00F86435" w:rsidRPr="00F86435" w:rsidRDefault="00F86435" w:rsidP="00CF0A36">
            <w:pPr>
              <w:rPr>
                <w:b/>
                <w:bCs/>
                <w:sz w:val="24"/>
                <w:szCs w:val="24"/>
              </w:rPr>
            </w:pPr>
            <w:r w:rsidRPr="00F86435">
              <w:rPr>
                <w:b/>
                <w:bCs/>
                <w:sz w:val="24"/>
                <w:szCs w:val="24"/>
              </w:rPr>
              <w:t>Fixed Costs</w:t>
            </w:r>
            <w:r>
              <w:rPr>
                <w:b/>
                <w:bCs/>
                <w:sz w:val="24"/>
                <w:szCs w:val="24"/>
              </w:rPr>
              <w:t xml:space="preserve">       </w:t>
            </w:r>
            <w:proofErr w:type="gramStart"/>
            <w:r>
              <w:rPr>
                <w:b/>
                <w:bCs/>
                <w:sz w:val="24"/>
                <w:szCs w:val="24"/>
              </w:rPr>
              <w:t xml:space="preserve"> </w:t>
            </w:r>
            <w:r w:rsidR="005555E0">
              <w:rPr>
                <w:b/>
                <w:bCs/>
                <w:sz w:val="24"/>
                <w:szCs w:val="24"/>
              </w:rPr>
              <w:t xml:space="preserve">  (</w:t>
            </w:r>
            <w:proofErr w:type="gramEnd"/>
            <w:r>
              <w:rPr>
                <w:b/>
                <w:bCs/>
                <w:sz w:val="24"/>
                <w:szCs w:val="24"/>
              </w:rPr>
              <w:t>Non-Current Assets)</w:t>
            </w:r>
          </w:p>
        </w:tc>
      </w:tr>
      <w:tr w:rsidR="00F86435" w14:paraId="64D6717A" w14:textId="77777777" w:rsidTr="005555E0">
        <w:trPr>
          <w:trHeight w:val="291"/>
        </w:trPr>
        <w:tc>
          <w:tcPr>
            <w:tcW w:w="4377" w:type="dxa"/>
          </w:tcPr>
          <w:p w14:paraId="28D41B39" w14:textId="4659BEBE" w:rsidR="00F86435" w:rsidRPr="00F86435" w:rsidRDefault="00F86435" w:rsidP="00CF0A36">
            <w:pPr>
              <w:rPr>
                <w:sz w:val="24"/>
                <w:szCs w:val="24"/>
              </w:rPr>
            </w:pPr>
            <w:r w:rsidRPr="00F86435">
              <w:rPr>
                <w:sz w:val="24"/>
                <w:szCs w:val="24"/>
              </w:rPr>
              <w:t>Sales (Revenue)</w:t>
            </w:r>
            <w:r>
              <w:rPr>
                <w:sz w:val="24"/>
                <w:szCs w:val="24"/>
              </w:rPr>
              <w:t xml:space="preserve">                              £900,000</w:t>
            </w:r>
          </w:p>
        </w:tc>
        <w:tc>
          <w:tcPr>
            <w:tcW w:w="4936" w:type="dxa"/>
          </w:tcPr>
          <w:p w14:paraId="6C250FA7" w14:textId="545A7734" w:rsidR="00F86435" w:rsidRPr="00F86435" w:rsidRDefault="00F86435" w:rsidP="00CF0A36">
            <w:pPr>
              <w:rPr>
                <w:sz w:val="24"/>
                <w:szCs w:val="24"/>
              </w:rPr>
            </w:pPr>
            <w:r>
              <w:rPr>
                <w:sz w:val="24"/>
                <w:szCs w:val="24"/>
              </w:rPr>
              <w:t>Equipment                                       £650,000</w:t>
            </w:r>
          </w:p>
        </w:tc>
      </w:tr>
      <w:tr w:rsidR="00F86435" w14:paraId="41442823" w14:textId="77777777" w:rsidTr="005555E0">
        <w:trPr>
          <w:trHeight w:val="304"/>
        </w:trPr>
        <w:tc>
          <w:tcPr>
            <w:tcW w:w="4377" w:type="dxa"/>
          </w:tcPr>
          <w:p w14:paraId="11CC403F" w14:textId="68DDBAC4" w:rsidR="00F86435" w:rsidRDefault="00F86435" w:rsidP="00CF0A36">
            <w:pPr>
              <w:rPr>
                <w:b/>
                <w:bCs/>
              </w:rPr>
            </w:pPr>
            <w:r w:rsidRPr="00F86435">
              <w:rPr>
                <w:sz w:val="24"/>
                <w:szCs w:val="24"/>
              </w:rPr>
              <w:t>Costs Of Sales</w:t>
            </w:r>
            <w:r>
              <w:rPr>
                <w:sz w:val="24"/>
                <w:szCs w:val="24"/>
              </w:rPr>
              <w:t xml:space="preserve">                                  £578,650</w:t>
            </w:r>
          </w:p>
        </w:tc>
        <w:tc>
          <w:tcPr>
            <w:tcW w:w="4936" w:type="dxa"/>
          </w:tcPr>
          <w:p w14:paraId="63C96C14" w14:textId="6A7F8D5A" w:rsidR="00F86435" w:rsidRPr="00F86435" w:rsidRDefault="00F86435" w:rsidP="00CF0A36">
            <w:pPr>
              <w:rPr>
                <w:sz w:val="24"/>
                <w:szCs w:val="24"/>
              </w:rPr>
            </w:pPr>
            <w:r w:rsidRPr="00F86435">
              <w:rPr>
                <w:sz w:val="24"/>
                <w:szCs w:val="24"/>
              </w:rPr>
              <w:t xml:space="preserve">Depreciation </w:t>
            </w:r>
            <w:r>
              <w:rPr>
                <w:sz w:val="24"/>
                <w:szCs w:val="24"/>
              </w:rPr>
              <w:t xml:space="preserve">                                   </w:t>
            </w:r>
            <w:r w:rsidRPr="00F86435">
              <w:rPr>
                <w:sz w:val="24"/>
                <w:szCs w:val="24"/>
              </w:rPr>
              <w:t>£130,000</w:t>
            </w:r>
          </w:p>
        </w:tc>
      </w:tr>
      <w:tr w:rsidR="0088399D" w14:paraId="11F2448B" w14:textId="77777777" w:rsidTr="005555E0">
        <w:trPr>
          <w:trHeight w:val="291"/>
        </w:trPr>
        <w:tc>
          <w:tcPr>
            <w:tcW w:w="4377" w:type="dxa"/>
          </w:tcPr>
          <w:p w14:paraId="29E73BA1" w14:textId="6AB99825" w:rsidR="0088399D" w:rsidRPr="0088399D" w:rsidRDefault="0088399D" w:rsidP="0088399D">
            <w:pPr>
              <w:rPr>
                <w:b/>
                <w:bCs/>
                <w:sz w:val="24"/>
                <w:szCs w:val="24"/>
              </w:rPr>
            </w:pPr>
            <w:r w:rsidRPr="0088399D">
              <w:rPr>
                <w:b/>
                <w:bCs/>
                <w:sz w:val="24"/>
                <w:szCs w:val="24"/>
              </w:rPr>
              <w:t>Liabilities</w:t>
            </w:r>
          </w:p>
        </w:tc>
        <w:tc>
          <w:tcPr>
            <w:tcW w:w="4936" w:type="dxa"/>
          </w:tcPr>
          <w:p w14:paraId="26E74943" w14:textId="112FEBA8" w:rsidR="0088399D" w:rsidRPr="00F86435" w:rsidRDefault="0088399D" w:rsidP="00CF0A36">
            <w:pPr>
              <w:rPr>
                <w:sz w:val="24"/>
                <w:szCs w:val="24"/>
              </w:rPr>
            </w:pPr>
          </w:p>
        </w:tc>
      </w:tr>
      <w:tr w:rsidR="0088399D" w14:paraId="364271A6" w14:textId="77777777" w:rsidTr="005555E0">
        <w:trPr>
          <w:trHeight w:val="1480"/>
        </w:trPr>
        <w:tc>
          <w:tcPr>
            <w:tcW w:w="4377" w:type="dxa"/>
          </w:tcPr>
          <w:p w14:paraId="57FADED5" w14:textId="77777777" w:rsidR="0088399D" w:rsidRDefault="0088399D" w:rsidP="00CF0A36">
            <w:pPr>
              <w:rPr>
                <w:sz w:val="24"/>
                <w:szCs w:val="24"/>
              </w:rPr>
            </w:pPr>
            <w:r>
              <w:rPr>
                <w:sz w:val="24"/>
                <w:szCs w:val="24"/>
              </w:rPr>
              <w:t>4% Debentures       (Long-Term) £100,000</w:t>
            </w:r>
          </w:p>
          <w:p w14:paraId="66E4A17C" w14:textId="77777777" w:rsidR="005555E0" w:rsidRDefault="005555E0" w:rsidP="00CF0A36">
            <w:pPr>
              <w:rPr>
                <w:sz w:val="24"/>
                <w:szCs w:val="24"/>
              </w:rPr>
            </w:pPr>
            <w:r>
              <w:rPr>
                <w:sz w:val="24"/>
                <w:szCs w:val="24"/>
              </w:rPr>
              <w:t>Interest paid                                   £2000</w:t>
            </w:r>
          </w:p>
          <w:p w14:paraId="66B63FAB" w14:textId="77777777" w:rsidR="005555E0" w:rsidRDefault="005555E0" w:rsidP="00CF0A36">
            <w:pPr>
              <w:rPr>
                <w:b/>
                <w:bCs/>
                <w:sz w:val="24"/>
                <w:szCs w:val="24"/>
              </w:rPr>
            </w:pPr>
            <w:r>
              <w:rPr>
                <w:b/>
                <w:bCs/>
                <w:sz w:val="24"/>
                <w:szCs w:val="24"/>
              </w:rPr>
              <w:t>Current Liability</w:t>
            </w:r>
          </w:p>
          <w:p w14:paraId="08E496DE" w14:textId="77777777" w:rsidR="005555E0" w:rsidRDefault="005555E0" w:rsidP="00CF0A36">
            <w:pPr>
              <w:rPr>
                <w:sz w:val="24"/>
                <w:szCs w:val="24"/>
              </w:rPr>
            </w:pPr>
            <w:r>
              <w:rPr>
                <w:sz w:val="24"/>
                <w:szCs w:val="24"/>
              </w:rPr>
              <w:t>Administrative expenses               £160,000</w:t>
            </w:r>
          </w:p>
          <w:p w14:paraId="41730C31" w14:textId="0E3C4583" w:rsidR="005555E0" w:rsidRPr="005555E0" w:rsidRDefault="005555E0" w:rsidP="00CF0A36">
            <w:pPr>
              <w:rPr>
                <w:sz w:val="24"/>
                <w:szCs w:val="24"/>
              </w:rPr>
            </w:pPr>
            <w:r>
              <w:rPr>
                <w:sz w:val="24"/>
                <w:szCs w:val="24"/>
              </w:rPr>
              <w:t>Distribution Costs                           £28,000</w:t>
            </w:r>
          </w:p>
        </w:tc>
        <w:tc>
          <w:tcPr>
            <w:tcW w:w="4936" w:type="dxa"/>
          </w:tcPr>
          <w:p w14:paraId="75A78266" w14:textId="77777777" w:rsidR="0088399D" w:rsidRPr="00F86435" w:rsidRDefault="0088399D" w:rsidP="00CF0A36">
            <w:pPr>
              <w:rPr>
                <w:sz w:val="24"/>
                <w:szCs w:val="24"/>
              </w:rPr>
            </w:pPr>
          </w:p>
        </w:tc>
      </w:tr>
      <w:tr w:rsidR="0088399D" w14:paraId="7B0D10EB" w14:textId="77777777" w:rsidTr="005555E0">
        <w:trPr>
          <w:trHeight w:val="291"/>
        </w:trPr>
        <w:tc>
          <w:tcPr>
            <w:tcW w:w="4377" w:type="dxa"/>
          </w:tcPr>
          <w:p w14:paraId="267E717B" w14:textId="5D8313C5" w:rsidR="0088399D" w:rsidRPr="0088399D" w:rsidRDefault="0088399D" w:rsidP="00CF0A36">
            <w:pPr>
              <w:rPr>
                <w:b/>
                <w:bCs/>
                <w:sz w:val="24"/>
                <w:szCs w:val="24"/>
              </w:rPr>
            </w:pPr>
            <w:r>
              <w:rPr>
                <w:b/>
                <w:bCs/>
                <w:sz w:val="24"/>
                <w:szCs w:val="24"/>
              </w:rPr>
              <w:t>Equity</w:t>
            </w:r>
          </w:p>
        </w:tc>
        <w:tc>
          <w:tcPr>
            <w:tcW w:w="4936" w:type="dxa"/>
          </w:tcPr>
          <w:p w14:paraId="5BD44FFA" w14:textId="77777777" w:rsidR="0088399D" w:rsidRPr="00F86435" w:rsidRDefault="0088399D" w:rsidP="00CF0A36">
            <w:pPr>
              <w:rPr>
                <w:sz w:val="24"/>
                <w:szCs w:val="24"/>
              </w:rPr>
            </w:pPr>
          </w:p>
        </w:tc>
      </w:tr>
      <w:tr w:rsidR="0088399D" w14:paraId="205BA9AA" w14:textId="77777777" w:rsidTr="005555E0">
        <w:trPr>
          <w:trHeight w:val="304"/>
        </w:trPr>
        <w:tc>
          <w:tcPr>
            <w:tcW w:w="4377" w:type="dxa"/>
          </w:tcPr>
          <w:p w14:paraId="3F4F052D" w14:textId="57F97380" w:rsidR="0088399D" w:rsidRDefault="0088399D" w:rsidP="00CF0A36">
            <w:pPr>
              <w:rPr>
                <w:sz w:val="24"/>
                <w:szCs w:val="24"/>
              </w:rPr>
            </w:pPr>
            <w:r>
              <w:rPr>
                <w:sz w:val="24"/>
                <w:szCs w:val="24"/>
              </w:rPr>
              <w:t>Directors’ Remuneration               £5000</w:t>
            </w:r>
          </w:p>
        </w:tc>
        <w:tc>
          <w:tcPr>
            <w:tcW w:w="4936" w:type="dxa"/>
          </w:tcPr>
          <w:p w14:paraId="55866849" w14:textId="77777777" w:rsidR="0088399D" w:rsidRPr="00F86435" w:rsidRDefault="0088399D" w:rsidP="00CF0A36">
            <w:pPr>
              <w:rPr>
                <w:sz w:val="24"/>
                <w:szCs w:val="24"/>
              </w:rPr>
            </w:pPr>
          </w:p>
        </w:tc>
      </w:tr>
    </w:tbl>
    <w:p w14:paraId="25CF2B15" w14:textId="29646E77" w:rsidR="00F86435" w:rsidRPr="005555E0" w:rsidRDefault="005555E0" w:rsidP="005555E0">
      <w:pPr>
        <w:jc w:val="right"/>
        <w:rPr>
          <w:sz w:val="24"/>
          <w:szCs w:val="24"/>
        </w:rPr>
      </w:pPr>
      <w:r w:rsidRPr="005555E0">
        <w:rPr>
          <w:sz w:val="24"/>
          <w:szCs w:val="24"/>
        </w:rPr>
        <w:t>Figure 1</w:t>
      </w:r>
      <w:r w:rsidRPr="005555E0">
        <w:rPr>
          <w:sz w:val="24"/>
          <w:szCs w:val="24"/>
        </w:rPr>
        <w:tab/>
      </w:r>
      <w:r w:rsidRPr="005555E0">
        <w:rPr>
          <w:sz w:val="24"/>
          <w:szCs w:val="24"/>
        </w:rPr>
        <w:tab/>
      </w:r>
    </w:p>
    <w:p w14:paraId="1D4D0358" w14:textId="07FE1C5F" w:rsidR="002C3D2A" w:rsidRDefault="002C3D2A" w:rsidP="002C3D2A">
      <w:pPr>
        <w:pStyle w:val="Heading2"/>
        <w:rPr>
          <w:rFonts w:asciiTheme="minorHAnsi" w:hAnsiTheme="minorHAnsi" w:cstheme="minorHAnsi"/>
          <w:sz w:val="24"/>
          <w:szCs w:val="24"/>
        </w:rPr>
      </w:pPr>
      <w:bookmarkStart w:id="8" w:name="_Toc153829275"/>
      <w:r w:rsidRPr="002C3D2A">
        <w:rPr>
          <w:rFonts w:asciiTheme="minorHAnsi" w:hAnsiTheme="minorHAnsi" w:cstheme="minorHAnsi"/>
          <w:sz w:val="24"/>
          <w:szCs w:val="24"/>
        </w:rPr>
        <w:t>Unrecorded depreciation, payroll, tax, sales commission, and business deal for the year 2022.</w:t>
      </w:r>
      <w:bookmarkEnd w:id="8"/>
    </w:p>
    <w:p w14:paraId="5B7BAA87" w14:textId="3096C7CE" w:rsidR="00095840" w:rsidRPr="00095840" w:rsidRDefault="0020503E" w:rsidP="00095840">
      <w:pPr>
        <w:spacing w:after="0" w:line="360" w:lineRule="auto"/>
        <w:jc w:val="both"/>
        <w:rPr>
          <w:rFonts w:cstheme="minorHAnsi"/>
          <w:sz w:val="24"/>
          <w:szCs w:val="24"/>
        </w:rPr>
      </w:pPr>
      <w:r w:rsidRPr="0020503E">
        <w:rPr>
          <w:rFonts w:cstheme="minorHAnsi"/>
          <w:sz w:val="24"/>
          <w:szCs w:val="24"/>
        </w:rPr>
        <w:t>Wales plc had a revenue of £900,000, with sales expenditure of £578,650, and gross profit of £321,350. Operating expenditures were £193,000, including £160,000 in administrative expenses, £5,000 in directors' remuneration, and £28,000 in distribution charges. The net income generated by typical company operations is £128,350, calculated by deducting operating expenditures from gross profit. The financial expenditures were £2,000. The profit before tax is £126,350, calculated by subtracting operating profit from the given amount. The estimated corporate tax expense is £15,000. The ultimate net profit for the year is £111,350, calculated by subtracting expected tax from profit before tax.</w:t>
      </w:r>
    </w:p>
    <w:p w14:paraId="07856A43" w14:textId="3EC0BC02" w:rsidR="00E855B9" w:rsidRDefault="00E855B9" w:rsidP="00E855B9">
      <w:pPr>
        <w:pStyle w:val="Heading1"/>
        <w:spacing w:before="0"/>
        <w:rPr>
          <w:rFonts w:asciiTheme="minorHAnsi" w:hAnsiTheme="minorHAnsi" w:cstheme="minorHAnsi"/>
          <w:sz w:val="24"/>
          <w:szCs w:val="24"/>
        </w:rPr>
      </w:pPr>
      <w:bookmarkStart w:id="9" w:name="_Toc153829276"/>
      <w:r w:rsidRPr="00E855B9">
        <w:rPr>
          <w:rFonts w:asciiTheme="minorHAnsi" w:hAnsiTheme="minorHAnsi" w:cstheme="minorHAnsi"/>
          <w:sz w:val="24"/>
          <w:szCs w:val="24"/>
        </w:rPr>
        <w:t>Comparative Ratio Calculation: Sweets plc (2022 and 2021)</w:t>
      </w:r>
      <w:bookmarkEnd w:id="9"/>
      <w:r w:rsidR="00255AC8">
        <w:rPr>
          <w:rFonts w:asciiTheme="minorHAnsi" w:hAnsiTheme="minorHAnsi" w:cstheme="minorHAnsi"/>
          <w:sz w:val="24"/>
          <w:szCs w:val="24"/>
        </w:rPr>
        <w:t xml:space="preserve"> </w:t>
      </w:r>
    </w:p>
    <w:p w14:paraId="64027F6B" w14:textId="6FF66754" w:rsidR="0020503E" w:rsidRDefault="00053391" w:rsidP="00053391">
      <w:pPr>
        <w:spacing w:after="0" w:line="360" w:lineRule="auto"/>
        <w:jc w:val="both"/>
      </w:pPr>
      <w:r w:rsidRPr="00053391">
        <w:rPr>
          <w:rFonts w:cstheme="minorHAnsi"/>
          <w:sz w:val="24"/>
          <w:szCs w:val="24"/>
        </w:rPr>
        <w:t xml:space="preserve">Ratio computations are a potent instrument for financial analysis, providing a full perspective on a company's financial performance. Through comprehending the many ratios and their ramifications, </w:t>
      </w:r>
      <w:proofErr w:type="gramStart"/>
      <w:r w:rsidRPr="00053391">
        <w:rPr>
          <w:rFonts w:cstheme="minorHAnsi"/>
          <w:sz w:val="24"/>
          <w:szCs w:val="24"/>
        </w:rPr>
        <w:t>Sweets</w:t>
      </w:r>
      <w:proofErr w:type="gramEnd"/>
      <w:r w:rsidRPr="00053391">
        <w:rPr>
          <w:rFonts w:cstheme="minorHAnsi"/>
          <w:sz w:val="24"/>
          <w:szCs w:val="24"/>
        </w:rPr>
        <w:t xml:space="preserve"> plc may create well-informed selections, pinpoint places for improvement, and communicate proficiently with stakeholders.</w:t>
      </w:r>
      <w:r w:rsidR="00255AC8" w:rsidRPr="00255AC8">
        <w:t xml:space="preserve"> </w:t>
      </w:r>
    </w:p>
    <w:p w14:paraId="0ED0D6E2" w14:textId="77777777" w:rsidR="002A637B" w:rsidRDefault="00255AC8" w:rsidP="00053391">
      <w:pPr>
        <w:spacing w:after="0" w:line="360" w:lineRule="auto"/>
        <w:jc w:val="both"/>
        <w:rPr>
          <w:rStyle w:val="Heading2Char"/>
          <w:rFonts w:asciiTheme="minorHAnsi" w:hAnsiTheme="minorHAnsi" w:cstheme="minorHAnsi"/>
          <w:sz w:val="24"/>
          <w:szCs w:val="24"/>
        </w:rPr>
      </w:pPr>
      <w:bookmarkStart w:id="10" w:name="_Toc153829277"/>
      <w:r w:rsidRPr="002A637B">
        <w:rPr>
          <w:rStyle w:val="Heading2Char"/>
          <w:rFonts w:asciiTheme="minorHAnsi" w:hAnsiTheme="minorHAnsi" w:cstheme="minorHAnsi"/>
          <w:sz w:val="24"/>
          <w:szCs w:val="24"/>
        </w:rPr>
        <w:t>The Profit and Loss statement</w:t>
      </w:r>
      <w:bookmarkEnd w:id="10"/>
    </w:p>
    <w:p w14:paraId="61268EC3" w14:textId="50B75492" w:rsidR="002A637B" w:rsidRDefault="002A637B" w:rsidP="00053391">
      <w:pPr>
        <w:spacing w:after="0" w:line="360" w:lineRule="auto"/>
        <w:jc w:val="both"/>
        <w:rPr>
          <w:rFonts w:cstheme="minorHAnsi"/>
          <w:sz w:val="24"/>
          <w:szCs w:val="24"/>
        </w:rPr>
      </w:pPr>
      <w:r w:rsidRPr="002A637B">
        <w:rPr>
          <w:rFonts w:cstheme="minorHAnsi"/>
          <w:sz w:val="24"/>
          <w:szCs w:val="24"/>
        </w:rPr>
        <w:t xml:space="preserve">Sweet plc reported a revenue increase from £6,441 million in 2021 to £6,738 million in 2022, with a rise in gross profit from £3,345 million to £3,503 million and operating profit from £699 </w:t>
      </w:r>
      <w:r w:rsidRPr="002A637B">
        <w:rPr>
          <w:rFonts w:cstheme="minorHAnsi"/>
          <w:sz w:val="24"/>
          <w:szCs w:val="24"/>
        </w:rPr>
        <w:lastRenderedPageBreak/>
        <w:t>million to £805 million. Factors affecting the bottom line include Profit/Loss on Sale of Fixed Assets and Investment Income. Despite an increase in interest payable, the Profit Before Taxation grew from £539 million to £620 million, and after taxation, the final Profit for the Year rose from £366 million to £431 million.</w:t>
      </w:r>
    </w:p>
    <w:p w14:paraId="02EA2B97" w14:textId="72A31138" w:rsidR="002A637B" w:rsidRPr="00E645F3" w:rsidRDefault="002A637B" w:rsidP="00E645F3">
      <w:pPr>
        <w:pStyle w:val="Heading1"/>
        <w:spacing w:before="0" w:line="360" w:lineRule="auto"/>
        <w:rPr>
          <w:rFonts w:asciiTheme="minorHAnsi" w:hAnsiTheme="minorHAnsi" w:cstheme="minorHAnsi"/>
          <w:sz w:val="24"/>
          <w:szCs w:val="24"/>
        </w:rPr>
      </w:pPr>
      <w:bookmarkStart w:id="11" w:name="_Toc153829278"/>
      <w:r w:rsidRPr="00E645F3">
        <w:rPr>
          <w:rFonts w:asciiTheme="minorHAnsi" w:hAnsiTheme="minorHAnsi" w:cstheme="minorHAnsi"/>
          <w:sz w:val="24"/>
          <w:szCs w:val="24"/>
        </w:rPr>
        <w:t>Statement of Financial Position for Sweet plc as of December 31, 2022, and December 31, 2021</w:t>
      </w:r>
      <w:bookmarkEnd w:id="11"/>
    </w:p>
    <w:p w14:paraId="2FF3409C" w14:textId="5E5F5678" w:rsidR="002A637B" w:rsidRPr="007750E9" w:rsidRDefault="007750E9" w:rsidP="007750E9">
      <w:pPr>
        <w:spacing w:after="0" w:line="360" w:lineRule="auto"/>
        <w:jc w:val="both"/>
        <w:rPr>
          <w:rFonts w:cstheme="minorHAnsi"/>
          <w:sz w:val="24"/>
          <w:szCs w:val="24"/>
        </w:rPr>
      </w:pPr>
      <w:r w:rsidRPr="007750E9">
        <w:rPr>
          <w:rFonts w:cstheme="minorHAnsi"/>
          <w:sz w:val="24"/>
          <w:szCs w:val="24"/>
        </w:rPr>
        <w:t xml:space="preserve">In 2022, Sweet plc's financial </w:t>
      </w:r>
      <w:proofErr w:type="gramStart"/>
      <w:r w:rsidRPr="007750E9">
        <w:rPr>
          <w:rFonts w:cstheme="minorHAnsi"/>
          <w:sz w:val="24"/>
          <w:szCs w:val="24"/>
        </w:rPr>
        <w:t>status,  Non</w:t>
      </w:r>
      <w:proofErr w:type="gramEnd"/>
      <w:r w:rsidRPr="007750E9">
        <w:rPr>
          <w:rFonts w:cstheme="minorHAnsi"/>
          <w:sz w:val="24"/>
          <w:szCs w:val="24"/>
        </w:rPr>
        <w:t>-Current Assets are £7,433 million, including Intangible Assets, Property, Plant and Equipment, and Investments, while Current Assets are £2,303 million. Total Assets are £9,736 million, with Current Liabilities of £2,511 million and Non-Current Liabilities of £4,137 million. Net Assets are £3,088 million, and equity components include Ordinary Share Capital, Share Premium, and Retained Profits.</w:t>
      </w:r>
    </w:p>
    <w:p w14:paraId="45838F83" w14:textId="63255D58" w:rsidR="00E855B9" w:rsidRDefault="00E855B9" w:rsidP="00963AEA">
      <w:pPr>
        <w:pStyle w:val="Heading2"/>
        <w:spacing w:before="0"/>
        <w:jc w:val="both"/>
        <w:rPr>
          <w:rFonts w:asciiTheme="minorHAnsi" w:hAnsiTheme="minorHAnsi" w:cstheme="minorHAnsi"/>
          <w:sz w:val="24"/>
          <w:szCs w:val="24"/>
        </w:rPr>
      </w:pPr>
      <w:bookmarkStart w:id="12" w:name="_Toc153829279"/>
      <w:r w:rsidRPr="00E855B9">
        <w:rPr>
          <w:rFonts w:asciiTheme="minorHAnsi" w:hAnsiTheme="minorHAnsi" w:cstheme="minorHAnsi"/>
          <w:sz w:val="24"/>
          <w:szCs w:val="24"/>
        </w:rPr>
        <w:t>ROCE</w:t>
      </w:r>
      <w:bookmarkEnd w:id="12"/>
    </w:p>
    <w:p w14:paraId="6A10532B" w14:textId="05E8E68A" w:rsidR="003E5C62" w:rsidRPr="003E5C62" w:rsidRDefault="003E5C62" w:rsidP="00963AEA">
      <w:pPr>
        <w:spacing w:after="0" w:line="360" w:lineRule="auto"/>
        <w:jc w:val="both"/>
        <w:rPr>
          <w:sz w:val="24"/>
          <w:szCs w:val="24"/>
        </w:rPr>
      </w:pPr>
      <w:r w:rsidRPr="003E5C62">
        <w:rPr>
          <w:sz w:val="24"/>
          <w:szCs w:val="24"/>
        </w:rPr>
        <w:t xml:space="preserve">ROCE is a crucial metric for </w:t>
      </w:r>
      <w:proofErr w:type="gramStart"/>
      <w:r w:rsidRPr="003E5C62">
        <w:rPr>
          <w:sz w:val="24"/>
          <w:szCs w:val="24"/>
        </w:rPr>
        <w:t>Sweet</w:t>
      </w:r>
      <w:proofErr w:type="gramEnd"/>
      <w:r w:rsidRPr="003E5C62">
        <w:rPr>
          <w:sz w:val="24"/>
          <w:szCs w:val="24"/>
        </w:rPr>
        <w:t xml:space="preserve"> plc, providing stakeholders with a means to evaluate the company's financial well-being, effectiveness, and overall appeal as an investment.</w:t>
      </w:r>
    </w:p>
    <w:p w14:paraId="3A488716" w14:textId="3FD1E794" w:rsidR="0090530F" w:rsidRDefault="0090530F" w:rsidP="00963AEA">
      <w:pPr>
        <w:spacing w:after="0" w:line="360" w:lineRule="auto"/>
        <w:jc w:val="both"/>
        <w:rPr>
          <w:rFonts w:cstheme="minorHAnsi"/>
          <w:b/>
          <w:bCs/>
          <w:sz w:val="24"/>
          <w:szCs w:val="24"/>
        </w:rPr>
      </w:pPr>
      <w:r w:rsidRPr="0090530F">
        <w:rPr>
          <w:rFonts w:cstheme="minorHAnsi"/>
          <w:b/>
          <w:bCs/>
          <w:sz w:val="24"/>
          <w:szCs w:val="24"/>
        </w:rPr>
        <w:t>ROCE for 2022</w:t>
      </w:r>
      <w:r>
        <w:rPr>
          <w:rFonts w:cstheme="minorHAnsi"/>
          <w:b/>
          <w:bCs/>
          <w:sz w:val="24"/>
          <w:szCs w:val="24"/>
        </w:rPr>
        <w:t>:</w:t>
      </w:r>
    </w:p>
    <w:p w14:paraId="13ABD3BA" w14:textId="62B72AF3" w:rsidR="0090530F" w:rsidRDefault="0090530F" w:rsidP="00963AEA">
      <w:pPr>
        <w:spacing w:after="0" w:line="360" w:lineRule="auto"/>
        <w:jc w:val="both"/>
        <w:rPr>
          <w:rFonts w:cstheme="minorHAnsi"/>
          <w:sz w:val="24"/>
          <w:szCs w:val="24"/>
        </w:rPr>
      </w:pPr>
      <w:r>
        <w:rPr>
          <w:rFonts w:cstheme="minorHAnsi"/>
          <w:sz w:val="24"/>
          <w:szCs w:val="24"/>
        </w:rPr>
        <w:t>Operati</w:t>
      </w:r>
      <w:r w:rsidR="00214913">
        <w:rPr>
          <w:rFonts w:cstheme="minorHAnsi"/>
          <w:sz w:val="24"/>
          <w:szCs w:val="24"/>
        </w:rPr>
        <w:t>ng</w:t>
      </w:r>
      <w:r>
        <w:rPr>
          <w:rFonts w:cstheme="minorHAnsi"/>
          <w:sz w:val="24"/>
          <w:szCs w:val="24"/>
        </w:rPr>
        <w:t xml:space="preserve"> Profit = £805 million</w:t>
      </w:r>
    </w:p>
    <w:p w14:paraId="5FF05ED2" w14:textId="62198CD2" w:rsidR="00D05680" w:rsidRDefault="00F67FDE" w:rsidP="00963AEA">
      <w:pPr>
        <w:spacing w:after="0" w:line="360" w:lineRule="auto"/>
        <w:jc w:val="both"/>
        <w:rPr>
          <w:rFonts w:cstheme="minorHAnsi"/>
          <w:sz w:val="24"/>
          <w:szCs w:val="24"/>
        </w:rPr>
      </w:pPr>
      <w:r>
        <w:rPr>
          <w:rFonts w:cstheme="minorHAnsi"/>
          <w:sz w:val="24"/>
          <w:szCs w:val="24"/>
        </w:rPr>
        <w:t xml:space="preserve">Capital employed= </w:t>
      </w:r>
      <w:r w:rsidR="00D00627">
        <w:rPr>
          <w:rFonts w:cstheme="minorHAnsi"/>
          <w:sz w:val="24"/>
          <w:szCs w:val="24"/>
        </w:rPr>
        <w:t>Total Assets</w:t>
      </w:r>
      <w:r>
        <w:rPr>
          <w:rFonts w:cstheme="minorHAnsi"/>
          <w:sz w:val="24"/>
          <w:szCs w:val="24"/>
        </w:rPr>
        <w:t xml:space="preserve"> £9,736</w:t>
      </w:r>
      <w:r w:rsidR="00D05680">
        <w:rPr>
          <w:rFonts w:cstheme="minorHAnsi"/>
          <w:sz w:val="24"/>
          <w:szCs w:val="24"/>
        </w:rPr>
        <w:t>m</w:t>
      </w:r>
      <w:r w:rsidR="00D00627">
        <w:rPr>
          <w:rFonts w:cstheme="minorHAnsi"/>
          <w:sz w:val="24"/>
          <w:szCs w:val="24"/>
        </w:rPr>
        <w:t xml:space="preserve"> </w:t>
      </w:r>
      <w:r w:rsidR="00255003">
        <w:rPr>
          <w:rFonts w:cstheme="minorHAnsi"/>
          <w:sz w:val="24"/>
          <w:szCs w:val="24"/>
        </w:rPr>
        <w:t xml:space="preserve">- </w:t>
      </w:r>
      <w:r w:rsidR="00D05680">
        <w:rPr>
          <w:rFonts w:cstheme="minorHAnsi"/>
          <w:sz w:val="24"/>
          <w:szCs w:val="24"/>
        </w:rPr>
        <w:t>Current Liabilities £2,511m</w:t>
      </w:r>
      <w:r w:rsidR="00D00627">
        <w:rPr>
          <w:rFonts w:cstheme="minorHAnsi"/>
          <w:sz w:val="24"/>
          <w:szCs w:val="24"/>
        </w:rPr>
        <w:t xml:space="preserve"> =</w:t>
      </w:r>
      <w:r w:rsidR="00D05680">
        <w:rPr>
          <w:rFonts w:cstheme="minorHAnsi"/>
          <w:sz w:val="24"/>
          <w:szCs w:val="24"/>
        </w:rPr>
        <w:t xml:space="preserve"> £7,225m</w:t>
      </w:r>
    </w:p>
    <w:p w14:paraId="75D7E814" w14:textId="60A301D7" w:rsidR="00F67FDE" w:rsidRDefault="00D05680" w:rsidP="00963AEA">
      <w:pPr>
        <w:spacing w:after="0" w:line="360" w:lineRule="auto"/>
        <w:jc w:val="both"/>
        <w:rPr>
          <w:rFonts w:cstheme="minorHAnsi"/>
          <w:sz w:val="24"/>
          <w:szCs w:val="24"/>
        </w:rPr>
      </w:pPr>
      <w:r>
        <w:rPr>
          <w:rFonts w:cstheme="minorHAnsi"/>
          <w:sz w:val="24"/>
          <w:szCs w:val="24"/>
        </w:rPr>
        <w:t>ROCE =</w:t>
      </w:r>
      <w:r w:rsidR="00D00627">
        <w:rPr>
          <w:rFonts w:cstheme="minorHAnsi"/>
          <w:sz w:val="24"/>
          <w:szCs w:val="24"/>
        </w:rPr>
        <w:t xml:space="preserve"> </w:t>
      </w:r>
      <w:r>
        <w:rPr>
          <w:rFonts w:cstheme="minorHAnsi"/>
          <w:sz w:val="24"/>
          <w:szCs w:val="24"/>
        </w:rPr>
        <w:t>(</w:t>
      </w:r>
      <w:r w:rsidR="00FD5EE5">
        <w:rPr>
          <w:rFonts w:cstheme="minorHAnsi"/>
          <w:sz w:val="24"/>
          <w:szCs w:val="24"/>
        </w:rPr>
        <w:t>Operation Profit</w:t>
      </w:r>
      <w:r>
        <w:rPr>
          <w:rFonts w:cstheme="minorHAnsi"/>
          <w:sz w:val="24"/>
          <w:szCs w:val="24"/>
        </w:rPr>
        <w:t xml:space="preserve"> £</w:t>
      </w:r>
      <w:r w:rsidR="00FD5EE5">
        <w:rPr>
          <w:rFonts w:cstheme="minorHAnsi"/>
          <w:sz w:val="24"/>
          <w:szCs w:val="24"/>
        </w:rPr>
        <w:t>802</w:t>
      </w:r>
      <w:r>
        <w:rPr>
          <w:rFonts w:cstheme="minorHAnsi"/>
          <w:sz w:val="24"/>
          <w:szCs w:val="24"/>
        </w:rPr>
        <w:t>m /Capital Employed £7,225m) x 100 =</w:t>
      </w:r>
      <w:r w:rsidR="00214913">
        <w:rPr>
          <w:rFonts w:cstheme="minorHAnsi"/>
          <w:sz w:val="24"/>
          <w:szCs w:val="24"/>
        </w:rPr>
        <w:t xml:space="preserve"> approximately </w:t>
      </w:r>
      <w:r w:rsidR="00214913" w:rsidRPr="00214913">
        <w:rPr>
          <w:rFonts w:cstheme="minorHAnsi"/>
          <w:sz w:val="24"/>
          <w:szCs w:val="24"/>
        </w:rPr>
        <w:t>11.14</w:t>
      </w:r>
      <w:r w:rsidR="00963AEA">
        <w:rPr>
          <w:rFonts w:cstheme="minorHAnsi"/>
          <w:sz w:val="24"/>
          <w:szCs w:val="24"/>
        </w:rPr>
        <w:t>%</w:t>
      </w:r>
    </w:p>
    <w:p w14:paraId="0B548E81" w14:textId="70971D7A" w:rsidR="00306803" w:rsidRDefault="00214913" w:rsidP="00963AEA">
      <w:pPr>
        <w:spacing w:after="0" w:line="360" w:lineRule="auto"/>
        <w:jc w:val="both"/>
        <w:rPr>
          <w:rFonts w:cstheme="minorHAnsi"/>
          <w:b/>
          <w:bCs/>
          <w:sz w:val="24"/>
          <w:szCs w:val="24"/>
        </w:rPr>
      </w:pPr>
      <w:r>
        <w:rPr>
          <w:rFonts w:cstheme="minorHAnsi"/>
          <w:b/>
          <w:bCs/>
          <w:sz w:val="24"/>
          <w:szCs w:val="24"/>
        </w:rPr>
        <w:t>ROCE for 2021</w:t>
      </w:r>
    </w:p>
    <w:p w14:paraId="5634B4B0" w14:textId="7AF37BF9" w:rsidR="00214913" w:rsidRDefault="00214913" w:rsidP="00963AEA">
      <w:pPr>
        <w:spacing w:after="0" w:line="360" w:lineRule="auto"/>
        <w:jc w:val="both"/>
        <w:rPr>
          <w:rFonts w:cstheme="minorHAnsi"/>
          <w:sz w:val="24"/>
          <w:szCs w:val="24"/>
        </w:rPr>
      </w:pPr>
      <w:r>
        <w:rPr>
          <w:rFonts w:cstheme="minorHAnsi"/>
          <w:sz w:val="24"/>
          <w:szCs w:val="24"/>
        </w:rPr>
        <w:t>Operating Profit = £699m</w:t>
      </w:r>
    </w:p>
    <w:p w14:paraId="04F44063" w14:textId="52CCFDA9" w:rsidR="00214913" w:rsidRDefault="00214913" w:rsidP="00963AEA">
      <w:pPr>
        <w:spacing w:after="0" w:line="360" w:lineRule="auto"/>
        <w:jc w:val="both"/>
        <w:rPr>
          <w:rFonts w:cstheme="minorHAnsi"/>
          <w:sz w:val="24"/>
          <w:szCs w:val="24"/>
        </w:rPr>
      </w:pPr>
      <w:r>
        <w:rPr>
          <w:rFonts w:cstheme="minorHAnsi"/>
          <w:sz w:val="24"/>
          <w:szCs w:val="24"/>
        </w:rPr>
        <w:t>Capital Employed = Total Assets £</w:t>
      </w:r>
      <w:r w:rsidR="00255003">
        <w:rPr>
          <w:rFonts w:cstheme="minorHAnsi"/>
          <w:sz w:val="24"/>
          <w:szCs w:val="24"/>
        </w:rPr>
        <w:t>10,087m - Current Liabilities £ 3,046= £7,041</w:t>
      </w:r>
    </w:p>
    <w:p w14:paraId="3FA2CA5E" w14:textId="226484DD" w:rsidR="00255003" w:rsidRDefault="00255003" w:rsidP="00963AEA">
      <w:pPr>
        <w:spacing w:after="0" w:line="360" w:lineRule="auto"/>
        <w:jc w:val="both"/>
        <w:rPr>
          <w:rFonts w:cstheme="minorHAnsi"/>
          <w:sz w:val="24"/>
          <w:szCs w:val="24"/>
        </w:rPr>
      </w:pPr>
      <w:r>
        <w:rPr>
          <w:rFonts w:cstheme="minorHAnsi"/>
          <w:sz w:val="24"/>
          <w:szCs w:val="24"/>
        </w:rPr>
        <w:t>ROCE = (Operating Profit £699m/Capital Employed £7,041) x 100 = approximately 9.92</w:t>
      </w:r>
      <w:r w:rsidR="00963AEA">
        <w:rPr>
          <w:rFonts w:cstheme="minorHAnsi"/>
          <w:sz w:val="24"/>
          <w:szCs w:val="24"/>
        </w:rPr>
        <w:t>%</w:t>
      </w:r>
    </w:p>
    <w:p w14:paraId="2567A09C" w14:textId="5AE6F2BB" w:rsidR="0020503E" w:rsidRPr="00214913" w:rsidRDefault="003E5C62" w:rsidP="00963AEA">
      <w:pPr>
        <w:spacing w:after="0" w:line="360" w:lineRule="auto"/>
        <w:jc w:val="both"/>
        <w:rPr>
          <w:rFonts w:cstheme="minorHAnsi"/>
          <w:sz w:val="24"/>
          <w:szCs w:val="24"/>
        </w:rPr>
      </w:pPr>
      <w:r w:rsidRPr="003E5C62">
        <w:rPr>
          <w:rFonts w:cstheme="minorHAnsi"/>
          <w:sz w:val="24"/>
          <w:szCs w:val="24"/>
        </w:rPr>
        <w:t>Sweet plc's 2022 and 2021 Return on Capital Employed (ROCE) were 11.14% and 9.92% respectively, indicating effective capital use and profitability. The constant rise in ROCE demonstrates successful capital management, enhancing the company's resilience and potential for long-term success.</w:t>
      </w:r>
    </w:p>
    <w:p w14:paraId="0C08E95A" w14:textId="3381EE7C" w:rsidR="00E855B9" w:rsidRPr="00E645F3" w:rsidRDefault="00E855B9" w:rsidP="00E645F3">
      <w:pPr>
        <w:pStyle w:val="Heading2"/>
        <w:spacing w:before="0" w:line="360" w:lineRule="auto"/>
        <w:jc w:val="both"/>
        <w:rPr>
          <w:rFonts w:asciiTheme="minorHAnsi" w:hAnsiTheme="minorHAnsi" w:cstheme="minorHAnsi"/>
          <w:sz w:val="24"/>
          <w:szCs w:val="24"/>
        </w:rPr>
      </w:pPr>
      <w:bookmarkStart w:id="13" w:name="_Toc153829280"/>
      <w:r w:rsidRPr="00E645F3">
        <w:rPr>
          <w:rFonts w:asciiTheme="minorHAnsi" w:hAnsiTheme="minorHAnsi" w:cstheme="minorHAnsi"/>
          <w:sz w:val="24"/>
          <w:szCs w:val="24"/>
        </w:rPr>
        <w:t>ROE</w:t>
      </w:r>
      <w:bookmarkEnd w:id="13"/>
    </w:p>
    <w:p w14:paraId="3245C9FC" w14:textId="205EE9B6" w:rsidR="00306803" w:rsidRPr="00E645F3" w:rsidRDefault="00306803" w:rsidP="006937FB">
      <w:pPr>
        <w:spacing w:after="0" w:line="360" w:lineRule="auto"/>
        <w:jc w:val="both"/>
        <w:rPr>
          <w:sz w:val="24"/>
          <w:szCs w:val="24"/>
        </w:rPr>
      </w:pPr>
      <w:r w:rsidRPr="00E645F3">
        <w:rPr>
          <w:sz w:val="24"/>
          <w:szCs w:val="24"/>
        </w:rPr>
        <w:t xml:space="preserve">Calculating the return on equity (ROE) for </w:t>
      </w:r>
      <w:proofErr w:type="gramStart"/>
      <w:r w:rsidRPr="00E645F3">
        <w:rPr>
          <w:sz w:val="24"/>
          <w:szCs w:val="24"/>
        </w:rPr>
        <w:t>Sweet</w:t>
      </w:r>
      <w:proofErr w:type="gramEnd"/>
      <w:r w:rsidRPr="00E645F3">
        <w:rPr>
          <w:sz w:val="24"/>
          <w:szCs w:val="24"/>
        </w:rPr>
        <w:t xml:space="preserve"> plc is crucial for evaluating its financial well-being, profitability, and the efficiency of its management in creating value for shareholders. It functions as a helpful measure for investors, analysts, and firm executives in formulating informed judgements and strategic strategies.</w:t>
      </w:r>
    </w:p>
    <w:p w14:paraId="525E7623" w14:textId="3B03F495" w:rsidR="003E5C62" w:rsidRPr="00E645F3" w:rsidRDefault="00C44235" w:rsidP="006937FB">
      <w:pPr>
        <w:spacing w:after="0" w:line="360" w:lineRule="auto"/>
        <w:jc w:val="both"/>
        <w:rPr>
          <w:b/>
          <w:bCs/>
          <w:sz w:val="24"/>
          <w:szCs w:val="24"/>
        </w:rPr>
      </w:pPr>
      <w:r w:rsidRPr="00E645F3">
        <w:rPr>
          <w:b/>
          <w:bCs/>
          <w:sz w:val="24"/>
          <w:szCs w:val="24"/>
        </w:rPr>
        <w:t>ROE for 2022</w:t>
      </w:r>
    </w:p>
    <w:p w14:paraId="00BB29FC" w14:textId="77777777" w:rsidR="00E93C9D" w:rsidRPr="00E645F3" w:rsidRDefault="00E93C9D" w:rsidP="00E645F3">
      <w:pPr>
        <w:spacing w:after="0" w:line="360" w:lineRule="auto"/>
        <w:jc w:val="both"/>
        <w:rPr>
          <w:sz w:val="24"/>
          <w:szCs w:val="24"/>
        </w:rPr>
      </w:pPr>
      <w:r w:rsidRPr="00E645F3">
        <w:rPr>
          <w:sz w:val="24"/>
          <w:szCs w:val="24"/>
        </w:rPr>
        <w:lastRenderedPageBreak/>
        <w:t>Net Income= Profit of the year £431m – Dividend Paid £255m= £176m</w:t>
      </w:r>
    </w:p>
    <w:p w14:paraId="495C9B54" w14:textId="0F21BD83" w:rsidR="00C44235" w:rsidRPr="00E645F3" w:rsidRDefault="00C44235" w:rsidP="00E645F3">
      <w:pPr>
        <w:spacing w:after="0" w:line="360" w:lineRule="auto"/>
        <w:jc w:val="both"/>
        <w:rPr>
          <w:sz w:val="24"/>
          <w:szCs w:val="24"/>
        </w:rPr>
      </w:pPr>
      <w:r w:rsidRPr="00E645F3">
        <w:rPr>
          <w:sz w:val="24"/>
          <w:szCs w:val="24"/>
        </w:rPr>
        <w:t>Av</w:t>
      </w:r>
      <w:r w:rsidR="00963AEA" w:rsidRPr="00E645F3">
        <w:rPr>
          <w:sz w:val="24"/>
          <w:szCs w:val="24"/>
        </w:rPr>
        <w:t>g.</w:t>
      </w:r>
      <w:r w:rsidRPr="00E645F3">
        <w:rPr>
          <w:sz w:val="24"/>
          <w:szCs w:val="24"/>
        </w:rPr>
        <w:t xml:space="preserve"> Shareholders' Equity = (Opening Equity £2,912m + Closing Equity£3,088m) / 2 = £3,000m</w:t>
      </w:r>
    </w:p>
    <w:p w14:paraId="6DEA8B91" w14:textId="1C722BE9" w:rsidR="00C44235" w:rsidRPr="00E645F3" w:rsidRDefault="00C44235" w:rsidP="00E645F3">
      <w:pPr>
        <w:spacing w:after="0" w:line="360" w:lineRule="auto"/>
        <w:jc w:val="both"/>
        <w:rPr>
          <w:sz w:val="24"/>
          <w:szCs w:val="24"/>
        </w:rPr>
      </w:pPr>
      <w:r w:rsidRPr="00E645F3">
        <w:rPr>
          <w:sz w:val="24"/>
          <w:szCs w:val="24"/>
        </w:rPr>
        <w:t>ROE = (Net Income</w:t>
      </w:r>
      <w:r w:rsidR="00963AEA" w:rsidRPr="00E645F3">
        <w:rPr>
          <w:sz w:val="24"/>
          <w:szCs w:val="24"/>
        </w:rPr>
        <w:t xml:space="preserve"> £176m/ Avg. Shareholders’ Equity £3000m) x 100 = approximately 5.87%</w:t>
      </w:r>
    </w:p>
    <w:p w14:paraId="12470343" w14:textId="052CB1AD" w:rsidR="00963AEA" w:rsidRPr="00E645F3" w:rsidRDefault="00963AEA" w:rsidP="00E645F3">
      <w:pPr>
        <w:spacing w:after="0" w:line="360" w:lineRule="auto"/>
        <w:jc w:val="both"/>
        <w:rPr>
          <w:b/>
          <w:bCs/>
          <w:sz w:val="24"/>
          <w:szCs w:val="24"/>
        </w:rPr>
      </w:pPr>
      <w:r w:rsidRPr="00E645F3">
        <w:rPr>
          <w:b/>
          <w:bCs/>
          <w:sz w:val="24"/>
          <w:szCs w:val="24"/>
        </w:rPr>
        <w:t>ROE for 2021</w:t>
      </w:r>
    </w:p>
    <w:p w14:paraId="3DD9569B" w14:textId="534488D7" w:rsidR="00E93C9D" w:rsidRPr="00E645F3" w:rsidRDefault="00E93C9D" w:rsidP="00E645F3">
      <w:pPr>
        <w:spacing w:after="0" w:line="360" w:lineRule="auto"/>
        <w:jc w:val="both"/>
        <w:rPr>
          <w:sz w:val="24"/>
          <w:szCs w:val="24"/>
        </w:rPr>
      </w:pPr>
      <w:r w:rsidRPr="00E645F3">
        <w:rPr>
          <w:sz w:val="24"/>
          <w:szCs w:val="24"/>
        </w:rPr>
        <w:t>Net Income = Profit of the year £366m – Dividend Paid £242= £124m</w:t>
      </w:r>
    </w:p>
    <w:p w14:paraId="1E49B44F" w14:textId="13F21D93" w:rsidR="00E93C9D" w:rsidRPr="00E645F3" w:rsidRDefault="00E93C9D" w:rsidP="00E645F3">
      <w:pPr>
        <w:spacing w:after="0" w:line="360" w:lineRule="auto"/>
        <w:jc w:val="both"/>
        <w:rPr>
          <w:sz w:val="24"/>
          <w:szCs w:val="24"/>
        </w:rPr>
      </w:pPr>
      <w:r w:rsidRPr="00E645F3">
        <w:rPr>
          <w:sz w:val="24"/>
          <w:szCs w:val="24"/>
        </w:rPr>
        <w:t>Avg. Shareholders’ Equity= (Opening Equity £2,912 + Closing Equity £2,912)/2= £2,912m</w:t>
      </w:r>
    </w:p>
    <w:p w14:paraId="2C1A6731" w14:textId="714E5DC8" w:rsidR="00E93C9D" w:rsidRPr="00E645F3" w:rsidRDefault="00E93C9D" w:rsidP="00E645F3">
      <w:pPr>
        <w:spacing w:after="0" w:line="360" w:lineRule="auto"/>
        <w:jc w:val="both"/>
        <w:rPr>
          <w:sz w:val="24"/>
          <w:szCs w:val="24"/>
        </w:rPr>
      </w:pPr>
      <w:r w:rsidRPr="00E645F3">
        <w:rPr>
          <w:sz w:val="24"/>
          <w:szCs w:val="24"/>
        </w:rPr>
        <w:t>ROE= (Net Income £124m/ Avg. Shareholders’</w:t>
      </w:r>
      <w:r w:rsidR="00306803" w:rsidRPr="00E645F3">
        <w:rPr>
          <w:sz w:val="24"/>
          <w:szCs w:val="24"/>
        </w:rPr>
        <w:t xml:space="preserve"> Equity £2,912m) x 100= approximately 4,26%</w:t>
      </w:r>
    </w:p>
    <w:p w14:paraId="2121C9DD" w14:textId="3A3CAC2B" w:rsidR="00306803" w:rsidRPr="00306803" w:rsidRDefault="00306803" w:rsidP="006937FB">
      <w:pPr>
        <w:spacing w:after="0" w:line="360" w:lineRule="auto"/>
        <w:jc w:val="both"/>
        <w:rPr>
          <w:sz w:val="24"/>
          <w:szCs w:val="24"/>
        </w:rPr>
      </w:pPr>
      <w:r w:rsidRPr="00E645F3">
        <w:rPr>
          <w:sz w:val="24"/>
          <w:szCs w:val="24"/>
        </w:rPr>
        <w:t xml:space="preserve">Sweet plc's 2022 net income was £431 million, with a dividend of £255 million and remaining profits of £176 million available to shareholders. The average shareholders' equity was £3,000 million, resulting in a 5.87% Return on Equity. In 2021, the net income was £366 million, with a dividend of £242 million, resulting in a net income of £124 million and a 4.26% Return on Equity. These figures demonstrate </w:t>
      </w:r>
      <w:proofErr w:type="gramStart"/>
      <w:r w:rsidRPr="00E645F3">
        <w:rPr>
          <w:sz w:val="24"/>
          <w:szCs w:val="24"/>
        </w:rPr>
        <w:t>Sweet</w:t>
      </w:r>
      <w:proofErr w:type="gramEnd"/>
      <w:r w:rsidRPr="00E645F3">
        <w:rPr>
          <w:sz w:val="24"/>
          <w:szCs w:val="24"/>
        </w:rPr>
        <w:t xml:space="preserve"> plc's commitment to shareholder value and long-term financial stability.</w:t>
      </w:r>
    </w:p>
    <w:p w14:paraId="372A8E98" w14:textId="4803FFE3" w:rsidR="00E855B9" w:rsidRDefault="00E855B9" w:rsidP="00E855B9">
      <w:pPr>
        <w:pStyle w:val="Heading2"/>
        <w:rPr>
          <w:rFonts w:asciiTheme="minorHAnsi" w:hAnsiTheme="minorHAnsi" w:cstheme="minorHAnsi"/>
          <w:sz w:val="24"/>
          <w:szCs w:val="24"/>
        </w:rPr>
      </w:pPr>
      <w:bookmarkStart w:id="14" w:name="_Toc153829281"/>
      <w:r w:rsidRPr="00E855B9">
        <w:rPr>
          <w:rFonts w:asciiTheme="minorHAnsi" w:hAnsiTheme="minorHAnsi" w:cstheme="minorHAnsi"/>
          <w:sz w:val="24"/>
          <w:szCs w:val="24"/>
        </w:rPr>
        <w:t>Earnings per share</w:t>
      </w:r>
      <w:bookmarkEnd w:id="14"/>
    </w:p>
    <w:p w14:paraId="0372D63D" w14:textId="295D5405" w:rsidR="00201CF8" w:rsidRPr="00201CF8" w:rsidRDefault="00201CF8" w:rsidP="00201CF8">
      <w:pPr>
        <w:spacing w:after="0" w:line="360" w:lineRule="auto"/>
        <w:jc w:val="both"/>
        <w:rPr>
          <w:sz w:val="24"/>
          <w:szCs w:val="24"/>
        </w:rPr>
      </w:pPr>
      <w:r w:rsidRPr="00201CF8">
        <w:rPr>
          <w:sz w:val="24"/>
          <w:szCs w:val="24"/>
        </w:rPr>
        <w:t xml:space="preserve">Sweet plc reported a net income of £431 million in fiscal year 2022, after a dividend payment of £255 million. The remaining profits amounted to a net income accessible for shareholders of £176 million. The calculation of Earnings Per Share (EPS) for 2022 was based on the Weighted Average Number of Shares, which was 1,536 shares, and the average share price of £5.12. The EPS for 2022 was £114.58, indicating the company's ability to generate profits for each outstanding share. In 2021, the EPS was £82.67, demonstrating </w:t>
      </w:r>
      <w:proofErr w:type="gramStart"/>
      <w:r w:rsidRPr="00201CF8">
        <w:rPr>
          <w:sz w:val="24"/>
          <w:szCs w:val="24"/>
        </w:rPr>
        <w:t>Sweet</w:t>
      </w:r>
      <w:proofErr w:type="gramEnd"/>
      <w:r w:rsidRPr="00201CF8">
        <w:rPr>
          <w:sz w:val="24"/>
          <w:szCs w:val="24"/>
        </w:rPr>
        <w:t xml:space="preserve"> plc's commitment to enhancing shareholder value.</w:t>
      </w:r>
    </w:p>
    <w:p w14:paraId="12720014" w14:textId="40BC14E7" w:rsidR="00E645F3" w:rsidRDefault="00BB0440" w:rsidP="00BB0440">
      <w:pPr>
        <w:rPr>
          <w:sz w:val="24"/>
          <w:szCs w:val="24"/>
        </w:rPr>
      </w:pPr>
      <w:r w:rsidRPr="00BB0440">
        <w:rPr>
          <w:sz w:val="24"/>
          <w:szCs w:val="24"/>
        </w:rPr>
        <w:t>Net Income=£431m−£255m=£176m</w:t>
      </w:r>
    </w:p>
    <w:p w14:paraId="164E5436" w14:textId="70407187" w:rsidR="00BB0440" w:rsidRDefault="00BB0440" w:rsidP="00BB0440">
      <w:pPr>
        <w:rPr>
          <w:sz w:val="24"/>
          <w:szCs w:val="24"/>
        </w:rPr>
      </w:pPr>
      <w:r w:rsidRPr="00BB0440">
        <w:rPr>
          <w:sz w:val="24"/>
          <w:szCs w:val="24"/>
        </w:rPr>
        <w:t xml:space="preserve">Weighted Average Number of Shares= </w:t>
      </w:r>
      <w:r>
        <w:rPr>
          <w:sz w:val="24"/>
          <w:szCs w:val="24"/>
        </w:rPr>
        <w:t xml:space="preserve">(300 + £300/2) x £5.12 = 1,536 </w:t>
      </w:r>
    </w:p>
    <w:p w14:paraId="6AD94015" w14:textId="55D7229F" w:rsidR="00BB0440" w:rsidRPr="00BB0440" w:rsidRDefault="00BB0440" w:rsidP="00BB0440">
      <w:pPr>
        <w:rPr>
          <w:sz w:val="24"/>
          <w:szCs w:val="24"/>
        </w:rPr>
      </w:pPr>
      <w:r>
        <w:rPr>
          <w:sz w:val="24"/>
          <w:szCs w:val="24"/>
        </w:rPr>
        <w:t xml:space="preserve">ESP= Net income £176m/ Avg. Number of Shares 1,536= </w:t>
      </w:r>
      <w:r w:rsidR="00201CF8">
        <w:rPr>
          <w:sz w:val="24"/>
          <w:szCs w:val="24"/>
        </w:rPr>
        <w:t>£</w:t>
      </w:r>
      <w:r>
        <w:rPr>
          <w:sz w:val="24"/>
          <w:szCs w:val="24"/>
        </w:rPr>
        <w:t>114.58</w:t>
      </w:r>
    </w:p>
    <w:p w14:paraId="6C4BC175" w14:textId="4A905A30" w:rsidR="00E855B9" w:rsidRDefault="00E855B9" w:rsidP="00E855B9">
      <w:pPr>
        <w:pStyle w:val="Heading2"/>
        <w:rPr>
          <w:rFonts w:asciiTheme="minorHAnsi" w:hAnsiTheme="minorHAnsi" w:cstheme="minorHAnsi"/>
          <w:sz w:val="24"/>
          <w:szCs w:val="24"/>
        </w:rPr>
      </w:pPr>
      <w:bookmarkStart w:id="15" w:name="_Toc153829282"/>
      <w:r w:rsidRPr="00E855B9">
        <w:rPr>
          <w:rFonts w:asciiTheme="minorHAnsi" w:hAnsiTheme="minorHAnsi" w:cstheme="minorHAnsi"/>
          <w:sz w:val="24"/>
          <w:szCs w:val="24"/>
        </w:rPr>
        <w:t>Net profit margin</w:t>
      </w:r>
      <w:bookmarkEnd w:id="15"/>
    </w:p>
    <w:p w14:paraId="10A2513C" w14:textId="3478238E" w:rsidR="00201CF8" w:rsidRPr="00DE1842" w:rsidRDefault="00DE1842" w:rsidP="00DE1842">
      <w:pPr>
        <w:spacing w:after="0" w:line="360" w:lineRule="auto"/>
        <w:rPr>
          <w:rFonts w:cstheme="minorHAnsi"/>
          <w:b/>
          <w:bCs/>
          <w:sz w:val="24"/>
          <w:szCs w:val="24"/>
        </w:rPr>
      </w:pPr>
      <w:r w:rsidRPr="00DE1842">
        <w:rPr>
          <w:rFonts w:cstheme="minorHAnsi"/>
          <w:b/>
          <w:bCs/>
          <w:sz w:val="24"/>
          <w:szCs w:val="24"/>
        </w:rPr>
        <w:t>Net Profit Margin for 2022</w:t>
      </w:r>
    </w:p>
    <w:p w14:paraId="0526E6B8" w14:textId="5712A5D4" w:rsidR="00DE1842" w:rsidRPr="00DE1842" w:rsidRDefault="00DE1842" w:rsidP="00DE1842">
      <w:pPr>
        <w:spacing w:after="0" w:line="360" w:lineRule="auto"/>
        <w:rPr>
          <w:rFonts w:cstheme="minorHAnsi"/>
          <w:sz w:val="24"/>
          <w:szCs w:val="24"/>
        </w:rPr>
      </w:pPr>
      <w:r w:rsidRPr="00DE1842">
        <w:rPr>
          <w:rFonts w:cstheme="minorHAnsi"/>
          <w:sz w:val="24"/>
          <w:szCs w:val="24"/>
        </w:rPr>
        <w:t>(Net Income £431m/Revenue £6,738m) x 100 = 6.39%</w:t>
      </w:r>
    </w:p>
    <w:p w14:paraId="7D867406" w14:textId="549E39B5" w:rsidR="00DE1842" w:rsidRPr="00DE1842" w:rsidRDefault="00DE1842" w:rsidP="00DE1842">
      <w:pPr>
        <w:spacing w:after="0" w:line="360" w:lineRule="auto"/>
        <w:rPr>
          <w:rFonts w:cstheme="minorHAnsi"/>
          <w:b/>
          <w:bCs/>
          <w:sz w:val="24"/>
          <w:szCs w:val="24"/>
        </w:rPr>
      </w:pPr>
      <w:r w:rsidRPr="00DE1842">
        <w:rPr>
          <w:rFonts w:cstheme="minorHAnsi"/>
          <w:b/>
          <w:bCs/>
          <w:sz w:val="24"/>
          <w:szCs w:val="24"/>
        </w:rPr>
        <w:t>Net Profit Margin for 2021</w:t>
      </w:r>
    </w:p>
    <w:p w14:paraId="2F75E8D0" w14:textId="6284AB36" w:rsidR="00DE1842" w:rsidRPr="00DE1842" w:rsidRDefault="00DE1842" w:rsidP="00DE1842">
      <w:pPr>
        <w:spacing w:after="0" w:line="360" w:lineRule="auto"/>
        <w:rPr>
          <w:rFonts w:cstheme="minorHAnsi"/>
          <w:sz w:val="24"/>
          <w:szCs w:val="24"/>
        </w:rPr>
      </w:pPr>
      <w:r w:rsidRPr="00DE1842">
        <w:rPr>
          <w:rFonts w:cstheme="minorHAnsi"/>
          <w:sz w:val="24"/>
          <w:szCs w:val="24"/>
        </w:rPr>
        <w:t>(Net Income £366m/ Revenue £6,411m) x 100 = 5.70%</w:t>
      </w:r>
    </w:p>
    <w:p w14:paraId="255ADD21" w14:textId="09B27B51" w:rsidR="006937FB" w:rsidRPr="00DE1842" w:rsidRDefault="00DE1842" w:rsidP="00DE1842">
      <w:pPr>
        <w:spacing w:after="0" w:line="360" w:lineRule="auto"/>
        <w:rPr>
          <w:rFonts w:cstheme="minorHAnsi"/>
          <w:sz w:val="24"/>
          <w:szCs w:val="24"/>
        </w:rPr>
      </w:pPr>
      <w:r w:rsidRPr="00DE1842">
        <w:rPr>
          <w:rFonts w:cstheme="minorHAnsi"/>
          <w:sz w:val="24"/>
          <w:szCs w:val="24"/>
        </w:rPr>
        <w:t xml:space="preserve">In 2022, Sweet plc's Net Profit Margin was 6.39%, calculated by dividing its Net Income of £431 million by its total Revenue of £6,738 million. In 2021, the Net Profit Margin was at </w:t>
      </w:r>
      <w:r w:rsidRPr="00DE1842">
        <w:rPr>
          <w:rFonts w:cstheme="minorHAnsi"/>
          <w:sz w:val="24"/>
          <w:szCs w:val="24"/>
        </w:rPr>
        <w:lastRenderedPageBreak/>
        <w:t>5.70%, with Net Income amounting to £366 million and Revenue reaching £6,411 million. These data assess the company's profitability relative to its total sales for each corresponding year.</w:t>
      </w:r>
    </w:p>
    <w:p w14:paraId="0711718F" w14:textId="77777777" w:rsidR="00E855B9" w:rsidRDefault="00E855B9" w:rsidP="00E855B9">
      <w:pPr>
        <w:pStyle w:val="Heading2"/>
        <w:rPr>
          <w:rFonts w:asciiTheme="minorHAnsi" w:hAnsiTheme="minorHAnsi" w:cstheme="minorHAnsi"/>
          <w:sz w:val="24"/>
          <w:szCs w:val="24"/>
        </w:rPr>
      </w:pPr>
      <w:bookmarkStart w:id="16" w:name="_Toc153829283"/>
      <w:r w:rsidRPr="00E855B9">
        <w:rPr>
          <w:rFonts w:asciiTheme="minorHAnsi" w:hAnsiTheme="minorHAnsi" w:cstheme="minorHAnsi"/>
          <w:sz w:val="24"/>
          <w:szCs w:val="24"/>
        </w:rPr>
        <w:t>Asset turnover</w:t>
      </w:r>
      <w:bookmarkEnd w:id="16"/>
    </w:p>
    <w:p w14:paraId="11C7C5CC" w14:textId="14A4B251" w:rsidR="0020503E" w:rsidRPr="00854823" w:rsidRDefault="006472DB" w:rsidP="00854823">
      <w:pPr>
        <w:spacing w:after="0" w:line="360" w:lineRule="auto"/>
        <w:jc w:val="both"/>
        <w:rPr>
          <w:b/>
          <w:bCs/>
          <w:sz w:val="24"/>
          <w:szCs w:val="24"/>
        </w:rPr>
      </w:pPr>
      <w:r w:rsidRPr="00854823">
        <w:rPr>
          <w:b/>
          <w:bCs/>
          <w:sz w:val="24"/>
          <w:szCs w:val="24"/>
        </w:rPr>
        <w:t>Asset Turnover for 2022</w:t>
      </w:r>
    </w:p>
    <w:p w14:paraId="3D5413DC" w14:textId="29EDD76A" w:rsidR="006472DB" w:rsidRPr="00854823" w:rsidRDefault="006472DB" w:rsidP="00854823">
      <w:pPr>
        <w:spacing w:after="0" w:line="360" w:lineRule="auto"/>
        <w:jc w:val="both"/>
        <w:rPr>
          <w:sz w:val="24"/>
          <w:szCs w:val="24"/>
        </w:rPr>
      </w:pPr>
      <w:r w:rsidRPr="00854823">
        <w:rPr>
          <w:sz w:val="24"/>
          <w:szCs w:val="24"/>
        </w:rPr>
        <w:t>Revenue £6,738/Net Assets £3,088m = Asset Turnover 2.18 times</w:t>
      </w:r>
    </w:p>
    <w:p w14:paraId="08C340A2" w14:textId="56800962" w:rsidR="006472DB" w:rsidRPr="00854823" w:rsidRDefault="006472DB" w:rsidP="00854823">
      <w:pPr>
        <w:spacing w:after="0" w:line="360" w:lineRule="auto"/>
        <w:jc w:val="both"/>
        <w:rPr>
          <w:b/>
          <w:bCs/>
          <w:sz w:val="24"/>
          <w:szCs w:val="24"/>
        </w:rPr>
      </w:pPr>
      <w:r w:rsidRPr="00854823">
        <w:rPr>
          <w:b/>
          <w:bCs/>
          <w:sz w:val="24"/>
          <w:szCs w:val="24"/>
        </w:rPr>
        <w:t>Asset Turnover for 2021</w:t>
      </w:r>
    </w:p>
    <w:p w14:paraId="33612E0F" w14:textId="60BFDDD0" w:rsidR="006472DB" w:rsidRPr="00854823" w:rsidRDefault="006472DB" w:rsidP="00854823">
      <w:pPr>
        <w:spacing w:after="0" w:line="360" w:lineRule="auto"/>
        <w:jc w:val="both"/>
        <w:rPr>
          <w:sz w:val="24"/>
          <w:szCs w:val="24"/>
        </w:rPr>
      </w:pPr>
      <w:r w:rsidRPr="00854823">
        <w:rPr>
          <w:sz w:val="24"/>
          <w:szCs w:val="24"/>
        </w:rPr>
        <w:t>Revenue £6,441m/Net Assets £2,912m = Asset Turnover 2.21 times</w:t>
      </w:r>
    </w:p>
    <w:p w14:paraId="311A8630" w14:textId="085543DF" w:rsidR="00854823" w:rsidRPr="00854823" w:rsidRDefault="00854823" w:rsidP="00854823">
      <w:pPr>
        <w:spacing w:after="0" w:line="360" w:lineRule="auto"/>
        <w:jc w:val="both"/>
        <w:rPr>
          <w:sz w:val="24"/>
          <w:szCs w:val="24"/>
        </w:rPr>
      </w:pPr>
      <w:r w:rsidRPr="00854823">
        <w:rPr>
          <w:sz w:val="24"/>
          <w:szCs w:val="24"/>
        </w:rPr>
        <w:t>In 2022, Sweet plc had a strong performance in Asset Turnover, with a revenue that was 2.18 times its net assets of £3,088 million. In 2021, the company's Asset Turnover was 2.21 times, with sales of £6,441 million and net assets of £2,912 million.</w:t>
      </w:r>
    </w:p>
    <w:p w14:paraId="668FF8BF" w14:textId="433E218A" w:rsidR="00E855B9" w:rsidRDefault="00E855B9" w:rsidP="00E855B9">
      <w:pPr>
        <w:pStyle w:val="Heading2"/>
        <w:rPr>
          <w:rFonts w:asciiTheme="minorHAnsi" w:hAnsiTheme="minorHAnsi" w:cstheme="minorHAnsi"/>
          <w:sz w:val="24"/>
          <w:szCs w:val="24"/>
        </w:rPr>
      </w:pPr>
      <w:bookmarkStart w:id="17" w:name="_Toc153829284"/>
      <w:r w:rsidRPr="00E855B9">
        <w:rPr>
          <w:rFonts w:asciiTheme="minorHAnsi" w:hAnsiTheme="minorHAnsi" w:cstheme="minorHAnsi"/>
          <w:sz w:val="24"/>
          <w:szCs w:val="24"/>
        </w:rPr>
        <w:t xml:space="preserve">Stock holding </w:t>
      </w:r>
      <w:proofErr w:type="gramStart"/>
      <w:r w:rsidRPr="00E855B9">
        <w:rPr>
          <w:rFonts w:asciiTheme="minorHAnsi" w:hAnsiTheme="minorHAnsi" w:cstheme="minorHAnsi"/>
          <w:sz w:val="24"/>
          <w:szCs w:val="24"/>
        </w:rPr>
        <w:t>days</w:t>
      </w:r>
      <w:bookmarkEnd w:id="17"/>
      <w:proofErr w:type="gramEnd"/>
    </w:p>
    <w:p w14:paraId="7C29B365" w14:textId="10FE5B4F" w:rsidR="00854823" w:rsidRPr="004E7316" w:rsidRDefault="00854823" w:rsidP="004E7316">
      <w:pPr>
        <w:spacing w:after="0" w:line="360" w:lineRule="auto"/>
        <w:jc w:val="both"/>
        <w:rPr>
          <w:b/>
          <w:bCs/>
          <w:sz w:val="24"/>
          <w:szCs w:val="24"/>
        </w:rPr>
      </w:pPr>
      <w:r w:rsidRPr="004E7316">
        <w:rPr>
          <w:b/>
          <w:bCs/>
          <w:sz w:val="24"/>
          <w:szCs w:val="24"/>
        </w:rPr>
        <w:t>Stock Holdings Days for 2022</w:t>
      </w:r>
    </w:p>
    <w:p w14:paraId="1DC5A05E" w14:textId="14D22B9C" w:rsidR="00854823" w:rsidRPr="004E7316" w:rsidRDefault="00854823" w:rsidP="004E7316">
      <w:pPr>
        <w:spacing w:after="0" w:line="360" w:lineRule="auto"/>
        <w:jc w:val="both"/>
        <w:rPr>
          <w:sz w:val="24"/>
          <w:szCs w:val="24"/>
        </w:rPr>
      </w:pPr>
      <w:r w:rsidRPr="004E7316">
        <w:rPr>
          <w:sz w:val="24"/>
          <w:szCs w:val="24"/>
        </w:rPr>
        <w:t>(Inventory £708m/Cost of Sales £3,235m) x 365 days = 79.89 days</w:t>
      </w:r>
    </w:p>
    <w:p w14:paraId="69F9C9B3" w14:textId="7819B00A" w:rsidR="00854823" w:rsidRPr="004E7316" w:rsidRDefault="00854823" w:rsidP="004E7316">
      <w:pPr>
        <w:spacing w:after="0" w:line="360" w:lineRule="auto"/>
        <w:jc w:val="both"/>
        <w:rPr>
          <w:b/>
          <w:bCs/>
          <w:sz w:val="24"/>
          <w:szCs w:val="24"/>
        </w:rPr>
      </w:pPr>
      <w:r w:rsidRPr="004E7316">
        <w:rPr>
          <w:b/>
          <w:bCs/>
          <w:sz w:val="24"/>
          <w:szCs w:val="24"/>
        </w:rPr>
        <w:t>Stock Holding Days for 2021</w:t>
      </w:r>
    </w:p>
    <w:p w14:paraId="2915BA1D" w14:textId="6F6BEADE" w:rsidR="00854823" w:rsidRPr="004E7316" w:rsidRDefault="00854823" w:rsidP="004E7316">
      <w:pPr>
        <w:spacing w:after="0" w:line="360" w:lineRule="auto"/>
        <w:jc w:val="both"/>
        <w:rPr>
          <w:sz w:val="24"/>
          <w:szCs w:val="24"/>
        </w:rPr>
      </w:pPr>
      <w:r w:rsidRPr="004E7316">
        <w:rPr>
          <w:sz w:val="24"/>
          <w:szCs w:val="24"/>
        </w:rPr>
        <w:t>(</w:t>
      </w:r>
      <w:r w:rsidR="004E7316" w:rsidRPr="004E7316">
        <w:rPr>
          <w:sz w:val="24"/>
          <w:szCs w:val="24"/>
        </w:rPr>
        <w:t>I</w:t>
      </w:r>
      <w:r w:rsidRPr="004E7316">
        <w:rPr>
          <w:sz w:val="24"/>
          <w:szCs w:val="24"/>
        </w:rPr>
        <w:t>nventory £</w:t>
      </w:r>
      <w:r w:rsidR="004E7316" w:rsidRPr="004E7316">
        <w:rPr>
          <w:sz w:val="24"/>
          <w:szCs w:val="24"/>
        </w:rPr>
        <w:t>659m/Cost of Sales £3,096m) x 365 = 77.69 days</w:t>
      </w:r>
    </w:p>
    <w:p w14:paraId="3DA46811" w14:textId="575B4DC3" w:rsidR="00A30DA3" w:rsidRPr="004E7316" w:rsidRDefault="004E7316" w:rsidP="004E7316">
      <w:pPr>
        <w:spacing w:after="0" w:line="360" w:lineRule="auto"/>
        <w:jc w:val="both"/>
        <w:rPr>
          <w:sz w:val="24"/>
          <w:szCs w:val="24"/>
        </w:rPr>
      </w:pPr>
      <w:r w:rsidRPr="004E7316">
        <w:rPr>
          <w:sz w:val="24"/>
          <w:szCs w:val="24"/>
        </w:rPr>
        <w:t>The stock holding days for 2022 were calculated by dividing the inventory value of £708 million by the cost of sales of £3,235 million, resulting in an estimated value of 79.89 days. This is slightly higher than the 2021 calculations, which yielded 77.69 days. The increase in stock holding days from 2021 to 2022 may indicate a slight increase in inventory turnover, suggesting potential changes in inventory management. Tracking this measurement is crucial for maximizing working capital and ensuring effective inventory control.</w:t>
      </w:r>
    </w:p>
    <w:p w14:paraId="42EF2D9C" w14:textId="29AA4E78" w:rsidR="00E855B9" w:rsidRPr="00A30DA3" w:rsidRDefault="004E7316" w:rsidP="00A30DA3">
      <w:pPr>
        <w:pStyle w:val="Heading2"/>
        <w:spacing w:before="0" w:line="360" w:lineRule="auto"/>
        <w:rPr>
          <w:rFonts w:asciiTheme="minorHAnsi" w:hAnsiTheme="minorHAnsi" w:cstheme="minorHAnsi"/>
          <w:sz w:val="24"/>
          <w:szCs w:val="24"/>
        </w:rPr>
      </w:pPr>
      <w:bookmarkStart w:id="18" w:name="_Toc153829285"/>
      <w:proofErr w:type="gramStart"/>
      <w:r w:rsidRPr="00A30DA3">
        <w:rPr>
          <w:rFonts w:asciiTheme="minorHAnsi" w:hAnsiTheme="minorHAnsi" w:cstheme="minorHAnsi"/>
          <w:sz w:val="24"/>
          <w:szCs w:val="24"/>
        </w:rPr>
        <w:t>Debtors</w:t>
      </w:r>
      <w:proofErr w:type="gramEnd"/>
      <w:r w:rsidR="00E855B9" w:rsidRPr="00A30DA3">
        <w:rPr>
          <w:rFonts w:asciiTheme="minorHAnsi" w:hAnsiTheme="minorHAnsi" w:cstheme="minorHAnsi"/>
          <w:sz w:val="24"/>
          <w:szCs w:val="24"/>
        </w:rPr>
        <w:t xml:space="preserve"> collection period</w:t>
      </w:r>
      <w:bookmarkEnd w:id="18"/>
    </w:p>
    <w:p w14:paraId="3D073CBA" w14:textId="5232C88B" w:rsidR="004E7316" w:rsidRPr="00A30DA3" w:rsidRDefault="004E7316" w:rsidP="00A30DA3">
      <w:pPr>
        <w:spacing w:after="0" w:line="360" w:lineRule="auto"/>
        <w:rPr>
          <w:rFonts w:cstheme="minorHAnsi"/>
          <w:b/>
          <w:bCs/>
          <w:sz w:val="24"/>
          <w:szCs w:val="24"/>
        </w:rPr>
      </w:pPr>
      <w:r w:rsidRPr="00A30DA3">
        <w:rPr>
          <w:rFonts w:cstheme="minorHAnsi"/>
          <w:b/>
          <w:bCs/>
          <w:sz w:val="24"/>
          <w:szCs w:val="24"/>
        </w:rPr>
        <w:t>For 2022</w:t>
      </w:r>
    </w:p>
    <w:p w14:paraId="38BECFBD" w14:textId="2F7B239E" w:rsidR="004E7316" w:rsidRPr="00A30DA3" w:rsidRDefault="004E7316" w:rsidP="00A30DA3">
      <w:pPr>
        <w:spacing w:after="0" w:line="360" w:lineRule="auto"/>
        <w:rPr>
          <w:rFonts w:cstheme="minorHAnsi"/>
          <w:sz w:val="24"/>
          <w:szCs w:val="24"/>
        </w:rPr>
      </w:pPr>
      <w:r w:rsidRPr="00A30DA3">
        <w:rPr>
          <w:rFonts w:cstheme="minorHAnsi"/>
          <w:sz w:val="24"/>
          <w:szCs w:val="24"/>
        </w:rPr>
        <w:t>(Trade receivable £1,249m/Revenue £6,738) x 3</w:t>
      </w:r>
      <w:r w:rsidR="00A30DA3" w:rsidRPr="00A30DA3">
        <w:rPr>
          <w:rFonts w:cstheme="minorHAnsi"/>
          <w:sz w:val="24"/>
          <w:szCs w:val="24"/>
        </w:rPr>
        <w:t xml:space="preserve">65 days = 67.65 days </w:t>
      </w:r>
    </w:p>
    <w:p w14:paraId="2132BF71" w14:textId="12DEFA7C" w:rsidR="00A30DA3" w:rsidRPr="00A30DA3" w:rsidRDefault="00A30DA3" w:rsidP="00A30DA3">
      <w:pPr>
        <w:spacing w:after="0" w:line="360" w:lineRule="auto"/>
        <w:rPr>
          <w:rFonts w:cstheme="minorHAnsi"/>
          <w:b/>
          <w:bCs/>
          <w:sz w:val="24"/>
          <w:szCs w:val="24"/>
        </w:rPr>
      </w:pPr>
      <w:r w:rsidRPr="00A30DA3">
        <w:rPr>
          <w:rFonts w:cstheme="minorHAnsi"/>
          <w:b/>
          <w:bCs/>
          <w:sz w:val="24"/>
          <w:szCs w:val="24"/>
        </w:rPr>
        <w:t>For 2021</w:t>
      </w:r>
    </w:p>
    <w:p w14:paraId="12397CAE" w14:textId="0D1BC098" w:rsidR="00A30DA3" w:rsidRPr="00A30DA3" w:rsidRDefault="00A30DA3" w:rsidP="00A30DA3">
      <w:pPr>
        <w:spacing w:after="0" w:line="360" w:lineRule="auto"/>
        <w:rPr>
          <w:rFonts w:cstheme="minorHAnsi"/>
          <w:sz w:val="24"/>
          <w:szCs w:val="24"/>
        </w:rPr>
      </w:pPr>
      <w:r w:rsidRPr="00A30DA3">
        <w:rPr>
          <w:rFonts w:cstheme="minorHAnsi"/>
          <w:sz w:val="24"/>
          <w:szCs w:val="24"/>
        </w:rPr>
        <w:t xml:space="preserve">(Trade </w:t>
      </w:r>
      <w:proofErr w:type="gramStart"/>
      <w:r w:rsidRPr="00A30DA3">
        <w:rPr>
          <w:rFonts w:cstheme="minorHAnsi"/>
          <w:sz w:val="24"/>
          <w:szCs w:val="24"/>
        </w:rPr>
        <w:t>receivable  £</w:t>
      </w:r>
      <w:proofErr w:type="gramEnd"/>
      <w:r w:rsidRPr="00A30DA3">
        <w:rPr>
          <w:rFonts w:cstheme="minorHAnsi"/>
          <w:sz w:val="24"/>
          <w:szCs w:val="24"/>
        </w:rPr>
        <w:t>1,287m/Revenue £6,441m) x 365 days = 72.93 days</w:t>
      </w:r>
    </w:p>
    <w:p w14:paraId="55BFD366" w14:textId="1F318B86" w:rsidR="006937FB" w:rsidRPr="00A30DA3" w:rsidRDefault="00A30DA3" w:rsidP="00A30DA3">
      <w:pPr>
        <w:spacing w:after="0" w:line="360" w:lineRule="auto"/>
        <w:rPr>
          <w:rFonts w:cstheme="minorHAnsi"/>
          <w:sz w:val="24"/>
          <w:szCs w:val="24"/>
        </w:rPr>
      </w:pPr>
      <w:r w:rsidRPr="00A30DA3">
        <w:rPr>
          <w:rFonts w:cstheme="minorHAnsi"/>
          <w:sz w:val="24"/>
          <w:szCs w:val="24"/>
        </w:rPr>
        <w:t>Sweet plc's Debtors Collection Period has improved significantly in 2022, with a shorter time of 2.25 months, compared to the previous year's 2.42 months. This indicates improved efficiency in collecting outstanding payments, boosting cash flow and liquidity. This short Debtors Collection Period also signifies efficient credit management and increased working capital, indicating the company's financial stability.</w:t>
      </w:r>
    </w:p>
    <w:p w14:paraId="5F42AD2E" w14:textId="1C6DFF7D" w:rsidR="00E855B9" w:rsidRDefault="00E855B9" w:rsidP="00E707FC">
      <w:pPr>
        <w:pStyle w:val="Heading2"/>
        <w:spacing w:before="0" w:line="360" w:lineRule="auto"/>
        <w:jc w:val="both"/>
        <w:rPr>
          <w:rFonts w:asciiTheme="minorHAnsi" w:hAnsiTheme="minorHAnsi" w:cstheme="minorHAnsi"/>
          <w:sz w:val="24"/>
          <w:szCs w:val="24"/>
        </w:rPr>
      </w:pPr>
      <w:bookmarkStart w:id="19" w:name="_Toc153829286"/>
      <w:r w:rsidRPr="00E855B9">
        <w:rPr>
          <w:rFonts w:asciiTheme="minorHAnsi" w:hAnsiTheme="minorHAnsi" w:cstheme="minorHAnsi"/>
          <w:sz w:val="24"/>
          <w:szCs w:val="24"/>
        </w:rPr>
        <w:lastRenderedPageBreak/>
        <w:t>Current ratio</w:t>
      </w:r>
      <w:bookmarkEnd w:id="19"/>
    </w:p>
    <w:p w14:paraId="1AD8DE22" w14:textId="55D086CE" w:rsidR="00A30DA3" w:rsidRPr="006937FB" w:rsidRDefault="00E707FC" w:rsidP="006937FB">
      <w:pPr>
        <w:spacing w:after="0" w:line="360" w:lineRule="auto"/>
        <w:jc w:val="both"/>
        <w:rPr>
          <w:b/>
          <w:bCs/>
          <w:sz w:val="24"/>
          <w:szCs w:val="24"/>
        </w:rPr>
      </w:pPr>
      <w:r w:rsidRPr="006937FB">
        <w:rPr>
          <w:b/>
          <w:bCs/>
          <w:sz w:val="24"/>
          <w:szCs w:val="24"/>
        </w:rPr>
        <w:t>For 2022</w:t>
      </w:r>
    </w:p>
    <w:p w14:paraId="48B461D7" w14:textId="6844B31C" w:rsidR="00E707FC" w:rsidRPr="006937FB" w:rsidRDefault="00E707FC" w:rsidP="006937FB">
      <w:pPr>
        <w:spacing w:after="0" w:line="360" w:lineRule="auto"/>
        <w:jc w:val="both"/>
        <w:rPr>
          <w:sz w:val="24"/>
          <w:szCs w:val="24"/>
        </w:rPr>
      </w:pPr>
      <w:r w:rsidRPr="006937FB">
        <w:rPr>
          <w:sz w:val="24"/>
          <w:szCs w:val="24"/>
        </w:rPr>
        <w:t>Current Assets £2,303m/Current Liabilities £2,511m = approximately 0.92%</w:t>
      </w:r>
    </w:p>
    <w:p w14:paraId="1E34A833" w14:textId="7D270BE0" w:rsidR="00E707FC" w:rsidRPr="006937FB" w:rsidRDefault="00E707FC" w:rsidP="006937FB">
      <w:pPr>
        <w:spacing w:after="0" w:line="360" w:lineRule="auto"/>
        <w:jc w:val="both"/>
        <w:rPr>
          <w:b/>
          <w:bCs/>
          <w:sz w:val="24"/>
          <w:szCs w:val="24"/>
        </w:rPr>
      </w:pPr>
      <w:r w:rsidRPr="006937FB">
        <w:rPr>
          <w:b/>
          <w:bCs/>
          <w:sz w:val="24"/>
          <w:szCs w:val="24"/>
        </w:rPr>
        <w:t>For 2021</w:t>
      </w:r>
    </w:p>
    <w:p w14:paraId="2FC7B609" w14:textId="532248CB" w:rsidR="00E707FC" w:rsidRPr="006937FB" w:rsidRDefault="00E707FC" w:rsidP="006937FB">
      <w:pPr>
        <w:spacing w:after="0" w:line="360" w:lineRule="auto"/>
        <w:jc w:val="both"/>
        <w:rPr>
          <w:sz w:val="24"/>
          <w:szCs w:val="24"/>
        </w:rPr>
      </w:pPr>
      <w:r w:rsidRPr="006937FB">
        <w:rPr>
          <w:sz w:val="24"/>
          <w:szCs w:val="24"/>
        </w:rPr>
        <w:t>Current Assets £659m/Current liabilities £3,046m = approximately 0.22%</w:t>
      </w:r>
    </w:p>
    <w:p w14:paraId="77B7357F" w14:textId="77777777" w:rsidR="006937FB" w:rsidRPr="006937FB" w:rsidRDefault="006937FB" w:rsidP="006937FB">
      <w:pPr>
        <w:spacing w:after="0" w:line="360" w:lineRule="auto"/>
        <w:jc w:val="both"/>
        <w:rPr>
          <w:sz w:val="24"/>
          <w:szCs w:val="24"/>
        </w:rPr>
      </w:pPr>
      <w:r w:rsidRPr="006937FB">
        <w:rPr>
          <w:sz w:val="24"/>
          <w:szCs w:val="24"/>
        </w:rPr>
        <w:t>Sweet plc's current ratio is 0.92, with current assets of £659 million and liabilities of £3,046 million. This ratio is lower than its 2021 ratio of 0.22%, suggesting a reduced ability to meet immediate financial commitments. A higher ratio indicates improved liquidity and ease in fulfilling short-term obligations, while a smaller ratio may indicate difficulties in fulfilling urgent financial obligations.</w:t>
      </w:r>
    </w:p>
    <w:p w14:paraId="78EADE80" w14:textId="6F219DFF" w:rsidR="00E855B9" w:rsidRDefault="00E855B9" w:rsidP="006937FB">
      <w:pPr>
        <w:pStyle w:val="Heading2"/>
        <w:rPr>
          <w:rFonts w:asciiTheme="minorHAnsi" w:hAnsiTheme="minorHAnsi" w:cstheme="minorHAnsi"/>
          <w:sz w:val="24"/>
          <w:szCs w:val="24"/>
        </w:rPr>
      </w:pPr>
      <w:bookmarkStart w:id="20" w:name="_Toc153829287"/>
      <w:r w:rsidRPr="00E855B9">
        <w:rPr>
          <w:rFonts w:asciiTheme="minorHAnsi" w:hAnsiTheme="minorHAnsi" w:cstheme="minorHAnsi"/>
          <w:sz w:val="24"/>
          <w:szCs w:val="24"/>
        </w:rPr>
        <w:t>Gearing ratio</w:t>
      </w:r>
      <w:bookmarkEnd w:id="20"/>
    </w:p>
    <w:p w14:paraId="67A458D6" w14:textId="2F45E9FB" w:rsidR="006937FB" w:rsidRDefault="00824213" w:rsidP="00824213">
      <w:pPr>
        <w:spacing w:after="0" w:line="360" w:lineRule="auto"/>
        <w:jc w:val="both"/>
        <w:rPr>
          <w:b/>
          <w:bCs/>
          <w:sz w:val="24"/>
          <w:szCs w:val="24"/>
        </w:rPr>
      </w:pPr>
      <w:r>
        <w:rPr>
          <w:b/>
          <w:bCs/>
          <w:sz w:val="24"/>
          <w:szCs w:val="24"/>
        </w:rPr>
        <w:t>For 2022</w:t>
      </w:r>
    </w:p>
    <w:p w14:paraId="08E2474A" w14:textId="3984F942" w:rsidR="00824213" w:rsidRDefault="00824213" w:rsidP="00824213">
      <w:pPr>
        <w:spacing w:after="0" w:line="360" w:lineRule="auto"/>
        <w:jc w:val="both"/>
        <w:rPr>
          <w:sz w:val="24"/>
          <w:szCs w:val="24"/>
        </w:rPr>
      </w:pPr>
      <w:r>
        <w:rPr>
          <w:sz w:val="24"/>
          <w:szCs w:val="24"/>
        </w:rPr>
        <w:t>(Long Term Depts £4,137</w:t>
      </w:r>
      <w:r w:rsidR="00BE60C1">
        <w:rPr>
          <w:sz w:val="24"/>
          <w:szCs w:val="24"/>
        </w:rPr>
        <w:t>m</w:t>
      </w:r>
      <w:r>
        <w:rPr>
          <w:sz w:val="24"/>
          <w:szCs w:val="24"/>
        </w:rPr>
        <w:t xml:space="preserve">/Long </w:t>
      </w:r>
      <w:r w:rsidR="00BE60C1">
        <w:rPr>
          <w:sz w:val="24"/>
          <w:szCs w:val="24"/>
        </w:rPr>
        <w:t>Term Dept £4,137m + Equity £3,088m) x 100% = 57.25%</w:t>
      </w:r>
    </w:p>
    <w:p w14:paraId="6CD66352" w14:textId="59CA0FEB" w:rsidR="00BE60C1" w:rsidRDefault="00BE60C1" w:rsidP="00824213">
      <w:pPr>
        <w:spacing w:after="0" w:line="360" w:lineRule="auto"/>
        <w:jc w:val="both"/>
        <w:rPr>
          <w:b/>
          <w:bCs/>
          <w:sz w:val="24"/>
          <w:szCs w:val="24"/>
        </w:rPr>
      </w:pPr>
      <w:r>
        <w:rPr>
          <w:b/>
          <w:bCs/>
          <w:sz w:val="24"/>
          <w:szCs w:val="24"/>
        </w:rPr>
        <w:t>For 2021</w:t>
      </w:r>
    </w:p>
    <w:p w14:paraId="3B374EAE" w14:textId="001C367F" w:rsidR="00E458ED" w:rsidRDefault="00E458ED" w:rsidP="00824213">
      <w:pPr>
        <w:spacing w:after="0" w:line="360" w:lineRule="auto"/>
        <w:jc w:val="both"/>
        <w:rPr>
          <w:sz w:val="24"/>
          <w:szCs w:val="24"/>
        </w:rPr>
      </w:pPr>
      <w:r>
        <w:rPr>
          <w:sz w:val="24"/>
          <w:szCs w:val="24"/>
        </w:rPr>
        <w:t>(Long Term Depts £4,129m/ Long Term Depts £4,129m + Equity £2,912m) x 100% = 58.64%</w:t>
      </w:r>
    </w:p>
    <w:p w14:paraId="7D39EA06" w14:textId="17A85165" w:rsidR="00E458ED" w:rsidRPr="00606554" w:rsidRDefault="00E458ED" w:rsidP="00606554">
      <w:pPr>
        <w:spacing w:after="0" w:line="360" w:lineRule="auto"/>
        <w:jc w:val="both"/>
        <w:rPr>
          <w:sz w:val="24"/>
          <w:szCs w:val="24"/>
        </w:rPr>
      </w:pPr>
      <w:r w:rsidRPr="00E458ED">
        <w:rPr>
          <w:sz w:val="24"/>
          <w:szCs w:val="24"/>
        </w:rPr>
        <w:t xml:space="preserve">The gearing ratio of </w:t>
      </w:r>
      <w:proofErr w:type="gramStart"/>
      <w:r w:rsidRPr="00E458ED">
        <w:rPr>
          <w:sz w:val="24"/>
          <w:szCs w:val="24"/>
        </w:rPr>
        <w:t>Sweet</w:t>
      </w:r>
      <w:proofErr w:type="gramEnd"/>
      <w:r w:rsidRPr="00E458ED">
        <w:rPr>
          <w:sz w:val="24"/>
          <w:szCs w:val="24"/>
        </w:rPr>
        <w:t xml:space="preserve"> plc in fiscal year 2022 was at 57.25%, suggesting a moderate dependence on long-term indebtedness for both operational and investment purposes. The current ratio surpasses the 58.64% figure seen in 2021, suggesting a small rise in dependence on long-term debt. The alteration in the gearing ratio offers valuable information on the company's financial risk and its capacity to fulfil debt commitments, as it signifies a moderate </w:t>
      </w:r>
      <w:r w:rsidRPr="00606554">
        <w:rPr>
          <w:sz w:val="24"/>
          <w:szCs w:val="24"/>
        </w:rPr>
        <w:t>dependence on debt for both operations and investment.</w:t>
      </w:r>
    </w:p>
    <w:p w14:paraId="79696921" w14:textId="3B464C85" w:rsidR="00E855B9" w:rsidRPr="00606554" w:rsidRDefault="00E855B9" w:rsidP="00606554">
      <w:pPr>
        <w:pStyle w:val="Heading2"/>
        <w:spacing w:line="360" w:lineRule="auto"/>
        <w:jc w:val="both"/>
        <w:rPr>
          <w:rFonts w:asciiTheme="minorHAnsi" w:hAnsiTheme="minorHAnsi" w:cstheme="minorHAnsi"/>
          <w:sz w:val="24"/>
          <w:szCs w:val="24"/>
        </w:rPr>
      </w:pPr>
      <w:bookmarkStart w:id="21" w:name="_Toc153829288"/>
      <w:r w:rsidRPr="00606554">
        <w:rPr>
          <w:rFonts w:asciiTheme="minorHAnsi" w:hAnsiTheme="minorHAnsi" w:cstheme="minorHAnsi"/>
          <w:sz w:val="24"/>
          <w:szCs w:val="24"/>
        </w:rPr>
        <w:t>Interest cover</w:t>
      </w:r>
      <w:bookmarkEnd w:id="21"/>
    </w:p>
    <w:p w14:paraId="5B9DDDA7" w14:textId="02D2AE15" w:rsidR="00E458ED" w:rsidRPr="00606554" w:rsidRDefault="00606554" w:rsidP="00606554">
      <w:pPr>
        <w:spacing w:after="0" w:line="360" w:lineRule="auto"/>
        <w:jc w:val="both"/>
        <w:rPr>
          <w:b/>
          <w:bCs/>
          <w:sz w:val="24"/>
          <w:szCs w:val="24"/>
        </w:rPr>
      </w:pPr>
      <w:r w:rsidRPr="00606554">
        <w:rPr>
          <w:b/>
          <w:bCs/>
          <w:sz w:val="24"/>
          <w:szCs w:val="24"/>
        </w:rPr>
        <w:t>For 2022</w:t>
      </w:r>
    </w:p>
    <w:p w14:paraId="5B7C6C6A" w14:textId="6AF73D7D" w:rsidR="00606554" w:rsidRPr="00606554" w:rsidRDefault="00606554" w:rsidP="00606554">
      <w:pPr>
        <w:spacing w:after="0" w:line="360" w:lineRule="auto"/>
        <w:jc w:val="both"/>
        <w:rPr>
          <w:sz w:val="24"/>
          <w:szCs w:val="24"/>
        </w:rPr>
      </w:pPr>
      <w:r w:rsidRPr="00606554">
        <w:rPr>
          <w:sz w:val="24"/>
          <w:szCs w:val="24"/>
        </w:rPr>
        <w:t>Operating Profit £805m/ Interest Payable £226 = 3.56 times</w:t>
      </w:r>
    </w:p>
    <w:p w14:paraId="30CF0137" w14:textId="4C12DF09" w:rsidR="00606554" w:rsidRPr="00606554" w:rsidRDefault="00606554" w:rsidP="00606554">
      <w:pPr>
        <w:spacing w:after="0" w:line="360" w:lineRule="auto"/>
        <w:jc w:val="both"/>
        <w:rPr>
          <w:b/>
          <w:bCs/>
          <w:sz w:val="24"/>
          <w:szCs w:val="24"/>
        </w:rPr>
      </w:pPr>
      <w:r w:rsidRPr="00606554">
        <w:rPr>
          <w:b/>
          <w:bCs/>
          <w:sz w:val="24"/>
          <w:szCs w:val="24"/>
        </w:rPr>
        <w:t>For 2021</w:t>
      </w:r>
    </w:p>
    <w:p w14:paraId="14738B07" w14:textId="0A3D5B58" w:rsidR="00606554" w:rsidRPr="00606554" w:rsidRDefault="00606554" w:rsidP="00606554">
      <w:pPr>
        <w:spacing w:after="0" w:line="360" w:lineRule="auto"/>
        <w:jc w:val="both"/>
        <w:rPr>
          <w:sz w:val="24"/>
          <w:szCs w:val="24"/>
        </w:rPr>
      </w:pPr>
      <w:r w:rsidRPr="00606554">
        <w:rPr>
          <w:sz w:val="24"/>
          <w:szCs w:val="24"/>
        </w:rPr>
        <w:t>Operating Profit £699m/ interest Payable £181m = 3.86 times</w:t>
      </w:r>
    </w:p>
    <w:p w14:paraId="21CB747C" w14:textId="17C318CF" w:rsidR="00606554" w:rsidRPr="00606554" w:rsidRDefault="00606554" w:rsidP="00606554">
      <w:pPr>
        <w:spacing w:after="0" w:line="360" w:lineRule="auto"/>
        <w:jc w:val="both"/>
        <w:rPr>
          <w:sz w:val="24"/>
          <w:szCs w:val="24"/>
        </w:rPr>
      </w:pPr>
      <w:r w:rsidRPr="00606554">
        <w:rPr>
          <w:sz w:val="24"/>
          <w:szCs w:val="24"/>
        </w:rPr>
        <w:t>Sweet plc's interest cover ratio in 2022 was 3.56, indicating a robust ability to meet interest obligations. In 2021, it was 3.86 times, indicating a more robust ability to satisfy interest commitments. This indicates a state of financial stability. Monitoring fluctuations in the ratio over time provides valuable insights into the organization's financial well-being and its debt management proficiency. This indicates a strong ability to meet interest obligations.</w:t>
      </w:r>
    </w:p>
    <w:p w14:paraId="66DA2AAD" w14:textId="657894EB" w:rsidR="00E855B9" w:rsidRDefault="00E855B9" w:rsidP="00E855B9">
      <w:pPr>
        <w:pStyle w:val="Heading1"/>
        <w:spacing w:before="0"/>
        <w:rPr>
          <w:rFonts w:asciiTheme="minorHAnsi" w:hAnsiTheme="minorHAnsi" w:cstheme="minorHAnsi"/>
          <w:sz w:val="24"/>
          <w:szCs w:val="24"/>
        </w:rPr>
      </w:pPr>
      <w:bookmarkStart w:id="22" w:name="_Toc153829289"/>
      <w:r w:rsidRPr="00E855B9">
        <w:rPr>
          <w:rFonts w:asciiTheme="minorHAnsi" w:hAnsiTheme="minorHAnsi" w:cstheme="minorHAnsi"/>
          <w:sz w:val="24"/>
          <w:szCs w:val="24"/>
        </w:rPr>
        <w:lastRenderedPageBreak/>
        <w:t>Analysing Sweets plc's Financials using Ratios and Statements</w:t>
      </w:r>
      <w:bookmarkEnd w:id="22"/>
    </w:p>
    <w:p w14:paraId="67E674E3" w14:textId="1A393E45" w:rsidR="00C46ED9" w:rsidRPr="00C46ED9" w:rsidRDefault="00C46ED9" w:rsidP="00C46ED9">
      <w:pPr>
        <w:spacing w:line="360" w:lineRule="auto"/>
        <w:jc w:val="both"/>
        <w:rPr>
          <w:sz w:val="24"/>
          <w:szCs w:val="24"/>
        </w:rPr>
      </w:pPr>
      <w:r w:rsidRPr="00C46ED9">
        <w:rPr>
          <w:sz w:val="24"/>
          <w:szCs w:val="24"/>
        </w:rPr>
        <w:t xml:space="preserve">Sweets plc's financial statements show a significant increase in revenue, gross profit, and operating profit, with a positive Net Profit Margin. The Return on Capital Employed rose from 9.92% to 11.14%, indicating improved capital utilization. The Return on Equity (ROE) increased from 4.26% to 5.87%, indicating a commitment to shareholder value. Profits per share (EPS) surged from £82.67 to £114.58. The Asset Turnover ratio declined, while stock holding days increased. The Current Ratio rose from 0.22% to 0.92%, improving the company's short-term financial standing. The Gearing Ratio decreased slightly to 57.25%. The Interest Cover remained high at 3.56 times, demonstrating a capacity to fulfil interest commitments. Overall, </w:t>
      </w:r>
      <w:proofErr w:type="gramStart"/>
      <w:r w:rsidRPr="00C46ED9">
        <w:rPr>
          <w:sz w:val="24"/>
          <w:szCs w:val="24"/>
        </w:rPr>
        <w:t>Sweets</w:t>
      </w:r>
      <w:proofErr w:type="gramEnd"/>
      <w:r w:rsidRPr="00C46ED9">
        <w:rPr>
          <w:sz w:val="24"/>
          <w:szCs w:val="24"/>
        </w:rPr>
        <w:t xml:space="preserve"> plc's financial statements show favourable patterns in profitability, efficiency, and financial well-being. It is recommended to continue monitoring important ratios to maintain long-term financial stability.</w:t>
      </w:r>
    </w:p>
    <w:p w14:paraId="662A8924" w14:textId="77777777" w:rsidR="00F772B6" w:rsidRPr="00F772B6" w:rsidRDefault="00F772B6" w:rsidP="00F772B6"/>
    <w:p w14:paraId="514CCAE5" w14:textId="77777777" w:rsidR="00606554" w:rsidRDefault="00606554" w:rsidP="00606554"/>
    <w:p w14:paraId="1C8C400C" w14:textId="77777777" w:rsidR="009C0822" w:rsidRDefault="009C0822" w:rsidP="00606554"/>
    <w:p w14:paraId="4E21A9F6" w14:textId="77777777" w:rsidR="009C0822" w:rsidRDefault="009C0822" w:rsidP="00606554"/>
    <w:p w14:paraId="6F5FC61F" w14:textId="77777777" w:rsidR="009C0822" w:rsidRDefault="009C0822" w:rsidP="00606554"/>
    <w:p w14:paraId="6D9D18A6" w14:textId="77777777" w:rsidR="009C0822" w:rsidRDefault="009C0822" w:rsidP="00606554"/>
    <w:p w14:paraId="33571F83" w14:textId="77777777" w:rsidR="009C0822" w:rsidRDefault="009C0822" w:rsidP="00606554"/>
    <w:p w14:paraId="2FA36083" w14:textId="77777777" w:rsidR="009C0822" w:rsidRDefault="009C0822" w:rsidP="00606554"/>
    <w:p w14:paraId="03DA139F" w14:textId="77777777" w:rsidR="009C0822" w:rsidRDefault="009C0822" w:rsidP="00606554"/>
    <w:p w14:paraId="6467220A" w14:textId="77777777" w:rsidR="009C0822" w:rsidRDefault="009C0822" w:rsidP="00606554"/>
    <w:p w14:paraId="5FC00B98" w14:textId="77777777" w:rsidR="009C0822" w:rsidRDefault="009C0822" w:rsidP="00606554"/>
    <w:p w14:paraId="18C14D82" w14:textId="77777777" w:rsidR="009C0822" w:rsidRDefault="009C0822" w:rsidP="00606554"/>
    <w:p w14:paraId="1DEA20E9" w14:textId="77777777" w:rsidR="009C0822" w:rsidRDefault="009C0822" w:rsidP="00606554"/>
    <w:p w14:paraId="7D13168C" w14:textId="77777777" w:rsidR="009C0822" w:rsidRDefault="009C0822" w:rsidP="00606554"/>
    <w:p w14:paraId="4167FF04" w14:textId="77777777" w:rsidR="009C0822" w:rsidRDefault="009C0822" w:rsidP="00606554"/>
    <w:p w14:paraId="7051D067" w14:textId="77777777" w:rsidR="009C0822" w:rsidRDefault="009C0822" w:rsidP="00606554"/>
    <w:p w14:paraId="6AD47231" w14:textId="77777777" w:rsidR="009C0822" w:rsidRDefault="009C0822" w:rsidP="00606554"/>
    <w:p w14:paraId="708CDB8C" w14:textId="77777777" w:rsidR="009C0822" w:rsidRPr="00606554" w:rsidRDefault="009C0822" w:rsidP="00606554"/>
    <w:p w14:paraId="0F918F86" w14:textId="7DBA6790" w:rsidR="00E855B9" w:rsidRPr="00E855B9" w:rsidRDefault="00E855B9" w:rsidP="00E855B9">
      <w:pPr>
        <w:pStyle w:val="Heading1"/>
        <w:spacing w:before="0"/>
        <w:rPr>
          <w:rFonts w:asciiTheme="minorHAnsi" w:hAnsiTheme="minorHAnsi" w:cstheme="minorHAnsi"/>
          <w:sz w:val="24"/>
          <w:szCs w:val="24"/>
        </w:rPr>
      </w:pPr>
      <w:bookmarkStart w:id="23" w:name="_Toc153829290"/>
      <w:r>
        <w:rPr>
          <w:rFonts w:asciiTheme="minorHAnsi" w:hAnsiTheme="minorHAnsi" w:cstheme="minorHAnsi"/>
          <w:sz w:val="24"/>
          <w:szCs w:val="24"/>
        </w:rPr>
        <w:lastRenderedPageBreak/>
        <w:t>References</w:t>
      </w:r>
      <w:bookmarkEnd w:id="23"/>
    </w:p>
    <w:p w14:paraId="21178CB5" w14:textId="5224949A" w:rsidR="00FB6A09" w:rsidRDefault="00FB6A09" w:rsidP="00FB6A09">
      <w:pPr>
        <w:jc w:val="both"/>
      </w:pPr>
      <w:r>
        <w:t xml:space="preserve">Chari, A., Griffin, P. (2023), The Effect of Financial Reporting Regulation on Corporate Misconduct and Investor Protection, </w:t>
      </w:r>
      <w:r w:rsidRPr="00FB6A09">
        <w:rPr>
          <w:i/>
          <w:iCs/>
        </w:rPr>
        <w:t>Journal of Accounting and Economics</w:t>
      </w:r>
      <w:r>
        <w:t>, 76(2), 1-26.</w:t>
      </w:r>
    </w:p>
    <w:p w14:paraId="376151F2" w14:textId="7579E1CB" w:rsidR="00FB6A09" w:rsidRDefault="00FB6A09" w:rsidP="00FB6A09">
      <w:pPr>
        <w:jc w:val="both"/>
      </w:pPr>
      <w:r>
        <w:t>Granlund, M., &amp; Lilien, S. (2019). The Use of Prepayments and Accruals in Financial Reporting,</w:t>
      </w:r>
      <w:r w:rsidRPr="00FB6A09">
        <w:rPr>
          <w:i/>
          <w:iCs/>
        </w:rPr>
        <w:t xml:space="preserve"> Journal of Accounting Education</w:t>
      </w:r>
      <w:r>
        <w:t>, 47, 1-15.</w:t>
      </w:r>
    </w:p>
    <w:p w14:paraId="0956E1DC" w14:textId="07AC178E" w:rsidR="00FB6A09" w:rsidRDefault="00FB6A09" w:rsidP="00FB6A09">
      <w:pPr>
        <w:jc w:val="both"/>
      </w:pPr>
      <w:r>
        <w:t xml:space="preserve">Granlund, M., &amp; Lilien, S. (2022), Accounting for Financial Instruments, </w:t>
      </w:r>
      <w:r w:rsidRPr="00FB6A09">
        <w:rPr>
          <w:i/>
          <w:iCs/>
        </w:rPr>
        <w:t>A Global Perspective</w:t>
      </w:r>
      <w:r>
        <w:t>, Routledge, Chapter 7, Page 157.</w:t>
      </w:r>
    </w:p>
    <w:p w14:paraId="18B9B621" w14:textId="3C9D42AD" w:rsidR="00FB6A09" w:rsidRDefault="00FB6A09" w:rsidP="00FB6A09">
      <w:pPr>
        <w:jc w:val="both"/>
      </w:pPr>
      <w:r>
        <w:t xml:space="preserve">Granlund, M., et al. (2023). Understanding the Statement of Financial Position, </w:t>
      </w:r>
      <w:r w:rsidRPr="00FB6A09">
        <w:rPr>
          <w:i/>
          <w:iCs/>
        </w:rPr>
        <w:t>Journal of Accounting Education</w:t>
      </w:r>
      <w:r>
        <w:t>, 49, 1-15.</w:t>
      </w:r>
    </w:p>
    <w:p w14:paraId="5EC8F72D" w14:textId="51D6791A" w:rsidR="00FB6A09" w:rsidRDefault="00FB6A09" w:rsidP="00FB6A09">
      <w:pPr>
        <w:jc w:val="both"/>
      </w:pPr>
      <w:r>
        <w:t>Harrison, W., et al. (2023), Advanced Financial Accounting, 12th Edition, McGraw-Hill Education, Inc., Chapter 3, Page 92.</w:t>
      </w:r>
    </w:p>
    <w:p w14:paraId="6F374F77" w14:textId="2FD0E726" w:rsidR="00FB6A09" w:rsidRDefault="00FB6A09" w:rsidP="00FB6A09">
      <w:pPr>
        <w:jc w:val="both"/>
      </w:pPr>
      <w:r>
        <w:t xml:space="preserve">Kramer, R., Spiceland, W. (2023), Corporate Financial Reporting, </w:t>
      </w:r>
      <w:r w:rsidRPr="00FB6A09">
        <w:rPr>
          <w:i/>
          <w:iCs/>
        </w:rPr>
        <w:t>A Global Perspective</w:t>
      </w:r>
      <w:r>
        <w:t>, 8th Edition, McGraw-Hill Education, Inc., Chapter 2, Page 28.</w:t>
      </w:r>
    </w:p>
    <w:p w14:paraId="3CBD9A97" w14:textId="368F91B5" w:rsidR="009C0822" w:rsidRPr="00E82652" w:rsidRDefault="00FB6A09" w:rsidP="00FB6A09">
      <w:pPr>
        <w:jc w:val="both"/>
      </w:pPr>
      <w:r>
        <w:t xml:space="preserve">Skinner, J. (2023), The Classification of Non-Current Assets, </w:t>
      </w:r>
      <w:r w:rsidRPr="00FB6A09">
        <w:rPr>
          <w:i/>
          <w:iCs/>
        </w:rPr>
        <w:t>A Conceptual Approach</w:t>
      </w:r>
      <w:r>
        <w:t xml:space="preserve">, </w:t>
      </w:r>
      <w:r w:rsidRPr="00FB6A09">
        <w:rPr>
          <w:i/>
          <w:iCs/>
        </w:rPr>
        <w:t>Journal of Accounting Research</w:t>
      </w:r>
      <w:r>
        <w:t>, 51, 1-33.</w:t>
      </w:r>
    </w:p>
    <w:sectPr w:rsidR="009C0822" w:rsidRPr="00E8265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BC87BA" w14:textId="77777777" w:rsidR="00B7532B" w:rsidRDefault="00B7532B" w:rsidP="00E03A54">
      <w:pPr>
        <w:spacing w:after="0" w:line="240" w:lineRule="auto"/>
      </w:pPr>
      <w:r>
        <w:separator/>
      </w:r>
    </w:p>
  </w:endnote>
  <w:endnote w:type="continuationSeparator" w:id="0">
    <w:p w14:paraId="2E1A9852" w14:textId="77777777" w:rsidR="00B7532B" w:rsidRDefault="00B7532B" w:rsidP="00E03A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eastAsiaTheme="minorEastAsia" w:cs="Times New Roman"/>
      </w:rPr>
      <w:id w:val="-1215033695"/>
      <w:docPartObj>
        <w:docPartGallery w:val="Page Numbers (Bottom of Page)"/>
        <w:docPartUnique/>
      </w:docPartObj>
    </w:sdtPr>
    <w:sdtEndPr>
      <w:rPr>
        <w:rFonts w:asciiTheme="majorHAnsi" w:eastAsiaTheme="majorEastAsia" w:hAnsiTheme="majorHAnsi" w:cstheme="majorBidi"/>
        <w:noProof/>
        <w:color w:val="4472C4" w:themeColor="accent1"/>
        <w:sz w:val="40"/>
        <w:szCs w:val="40"/>
      </w:rPr>
    </w:sdtEndPr>
    <w:sdtContent>
      <w:p w14:paraId="0D7BD78C" w14:textId="645CEBB0" w:rsidR="00E03A54" w:rsidRDefault="00E03A54">
        <w:pPr>
          <w:pStyle w:val="Footer"/>
          <w:jc w:val="center"/>
          <w:rPr>
            <w:rFonts w:asciiTheme="majorHAnsi" w:eastAsiaTheme="majorEastAsia" w:hAnsiTheme="majorHAnsi" w:cstheme="majorBidi"/>
            <w:color w:val="4472C4" w:themeColor="accent1"/>
            <w:sz w:val="40"/>
            <w:szCs w:val="40"/>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4472C4" w:themeColor="accent1"/>
            <w:sz w:val="40"/>
            <w:szCs w:val="40"/>
          </w:rPr>
          <w:t>2</w:t>
        </w:r>
        <w:r>
          <w:rPr>
            <w:rFonts w:asciiTheme="majorHAnsi" w:eastAsiaTheme="majorEastAsia" w:hAnsiTheme="majorHAnsi" w:cstheme="majorBidi"/>
            <w:noProof/>
            <w:color w:val="4472C4" w:themeColor="accent1"/>
            <w:sz w:val="40"/>
            <w:szCs w:val="40"/>
          </w:rPr>
          <w:fldChar w:fldCharType="end"/>
        </w:r>
      </w:p>
    </w:sdtContent>
  </w:sdt>
  <w:p w14:paraId="14FA4D7A" w14:textId="77777777" w:rsidR="00E03A54" w:rsidRDefault="00E03A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98B395" w14:textId="77777777" w:rsidR="00B7532B" w:rsidRDefault="00B7532B" w:rsidP="00E03A54">
      <w:pPr>
        <w:spacing w:after="0" w:line="240" w:lineRule="auto"/>
      </w:pPr>
      <w:r>
        <w:separator/>
      </w:r>
    </w:p>
  </w:footnote>
  <w:footnote w:type="continuationSeparator" w:id="0">
    <w:p w14:paraId="42A70943" w14:textId="77777777" w:rsidR="00B7532B" w:rsidRDefault="00B7532B" w:rsidP="00E03A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ED7342" w14:textId="31959CC2" w:rsidR="007704D0" w:rsidRDefault="007704D0">
    <w:pPr>
      <w:pStyle w:val="Header"/>
    </w:pPr>
    <w:r>
      <w:rPr>
        <w:noProof/>
      </w:rPr>
      <w:drawing>
        <wp:inline distT="0" distB="0" distL="0" distR="0" wp14:anchorId="53AB9B63" wp14:editId="797507CB">
          <wp:extent cx="2860523" cy="546265"/>
          <wp:effectExtent l="0" t="0" r="0" b="6350"/>
          <wp:docPr id="1420011875" name="Picture 2" descr="A logo for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011875" name="Picture 2" descr="A logo for a university&#10;&#10;Description automatically generated"/>
                  <pic:cNvPicPr>
                    <a:picLocks noChangeAspect="1" noChangeArrowheads="1"/>
                  </pic:cNvPicPr>
                </pic:nvPicPr>
                <pic:blipFill rotWithShape="1">
                  <a:blip r:embed="rId1">
                    <a:extLst>
                      <a:ext uri="{28A0092B-C50C-407E-A947-70E740481C1C}">
                        <a14:useLocalDpi xmlns:a14="http://schemas.microsoft.com/office/drawing/2010/main" val="0"/>
                      </a:ext>
                    </a:extLst>
                  </a:blip>
                  <a:srcRect l="5469" t="36568" r="391" b="38685"/>
                  <a:stretch/>
                </pic:blipFill>
                <pic:spPr bwMode="auto">
                  <a:xfrm>
                    <a:off x="0" y="0"/>
                    <a:ext cx="2872230" cy="548501"/>
                  </a:xfrm>
                  <a:prstGeom prst="rect">
                    <a:avLst/>
                  </a:prstGeom>
                  <a:noFill/>
                  <a:ln>
                    <a:noFill/>
                  </a:ln>
                  <a:extLst>
                    <a:ext uri="{53640926-AAD7-44D8-BBD7-CCE9431645EC}">
                      <a14:shadowObscured xmlns:a14="http://schemas.microsoft.com/office/drawing/2010/main"/>
                    </a:ext>
                  </a:extLst>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E00ED1"/>
    <w:multiLevelType w:val="hybridMultilevel"/>
    <w:tmpl w:val="56AA1FE6"/>
    <w:lvl w:ilvl="0" w:tplc="E0DAB0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D954FB"/>
    <w:multiLevelType w:val="multilevel"/>
    <w:tmpl w:val="B48A8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12143627">
    <w:abstractNumId w:val="1"/>
  </w:num>
  <w:num w:numId="2" w16cid:durableId="69230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A54"/>
    <w:rsid w:val="00044F7C"/>
    <w:rsid w:val="00053391"/>
    <w:rsid w:val="00095840"/>
    <w:rsid w:val="00116F2E"/>
    <w:rsid w:val="0011705F"/>
    <w:rsid w:val="00186548"/>
    <w:rsid w:val="00201CF8"/>
    <w:rsid w:val="0020503E"/>
    <w:rsid w:val="00214913"/>
    <w:rsid w:val="00255003"/>
    <w:rsid w:val="00255AC8"/>
    <w:rsid w:val="002A637B"/>
    <w:rsid w:val="002C3D2A"/>
    <w:rsid w:val="00305BF2"/>
    <w:rsid w:val="00306803"/>
    <w:rsid w:val="00345CB8"/>
    <w:rsid w:val="003E5C62"/>
    <w:rsid w:val="00482731"/>
    <w:rsid w:val="004C61C9"/>
    <w:rsid w:val="004E7316"/>
    <w:rsid w:val="005555E0"/>
    <w:rsid w:val="005A0C3E"/>
    <w:rsid w:val="00606554"/>
    <w:rsid w:val="006472DB"/>
    <w:rsid w:val="006937FB"/>
    <w:rsid w:val="007704D0"/>
    <w:rsid w:val="007750E9"/>
    <w:rsid w:val="00791325"/>
    <w:rsid w:val="007966C3"/>
    <w:rsid w:val="007D53E8"/>
    <w:rsid w:val="00824213"/>
    <w:rsid w:val="00854823"/>
    <w:rsid w:val="0088399D"/>
    <w:rsid w:val="008B2D8E"/>
    <w:rsid w:val="0090530F"/>
    <w:rsid w:val="0095770F"/>
    <w:rsid w:val="00963AEA"/>
    <w:rsid w:val="009C0822"/>
    <w:rsid w:val="009C2B69"/>
    <w:rsid w:val="00A0628F"/>
    <w:rsid w:val="00A30DA3"/>
    <w:rsid w:val="00A47287"/>
    <w:rsid w:val="00AB1D19"/>
    <w:rsid w:val="00AB6CA5"/>
    <w:rsid w:val="00B026BC"/>
    <w:rsid w:val="00B40B16"/>
    <w:rsid w:val="00B7532B"/>
    <w:rsid w:val="00B840AF"/>
    <w:rsid w:val="00BA69FE"/>
    <w:rsid w:val="00BB0440"/>
    <w:rsid w:val="00BE60C1"/>
    <w:rsid w:val="00C44235"/>
    <w:rsid w:val="00C46ED9"/>
    <w:rsid w:val="00C71B36"/>
    <w:rsid w:val="00CF0A36"/>
    <w:rsid w:val="00D00627"/>
    <w:rsid w:val="00D05680"/>
    <w:rsid w:val="00D43ACE"/>
    <w:rsid w:val="00D77D7B"/>
    <w:rsid w:val="00DE1842"/>
    <w:rsid w:val="00E03A54"/>
    <w:rsid w:val="00E458ED"/>
    <w:rsid w:val="00E645F3"/>
    <w:rsid w:val="00E707FC"/>
    <w:rsid w:val="00E82652"/>
    <w:rsid w:val="00E855B9"/>
    <w:rsid w:val="00E90DAE"/>
    <w:rsid w:val="00E93C9D"/>
    <w:rsid w:val="00F67FDE"/>
    <w:rsid w:val="00F772B6"/>
    <w:rsid w:val="00F86435"/>
    <w:rsid w:val="00FB6A09"/>
    <w:rsid w:val="00FC2BE6"/>
    <w:rsid w:val="00FD5EE5"/>
    <w:rsid w:val="00FE1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6486C"/>
  <w15:chartTrackingRefBased/>
  <w15:docId w15:val="{A8197A6D-5E4B-4DB1-A40B-29D14AEF5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A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26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3A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A54"/>
  </w:style>
  <w:style w:type="paragraph" w:styleId="Footer">
    <w:name w:val="footer"/>
    <w:basedOn w:val="Normal"/>
    <w:link w:val="FooterChar"/>
    <w:uiPriority w:val="99"/>
    <w:unhideWhenUsed/>
    <w:rsid w:val="00E03A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A54"/>
  </w:style>
  <w:style w:type="character" w:customStyle="1" w:styleId="Heading1Char">
    <w:name w:val="Heading 1 Char"/>
    <w:basedOn w:val="DefaultParagraphFont"/>
    <w:link w:val="Heading1"/>
    <w:uiPriority w:val="9"/>
    <w:rsid w:val="00E03A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03A54"/>
    <w:pPr>
      <w:outlineLvl w:val="9"/>
    </w:pPr>
    <w:rPr>
      <w:kern w:val="0"/>
      <w:lang w:val="en-US"/>
      <w14:ligatures w14:val="none"/>
    </w:rPr>
  </w:style>
  <w:style w:type="paragraph" w:styleId="TOC1">
    <w:name w:val="toc 1"/>
    <w:basedOn w:val="Normal"/>
    <w:next w:val="Normal"/>
    <w:autoRedefine/>
    <w:uiPriority w:val="39"/>
    <w:unhideWhenUsed/>
    <w:rsid w:val="005A0C3E"/>
    <w:pPr>
      <w:tabs>
        <w:tab w:val="right" w:leader="dot" w:pos="9016"/>
      </w:tabs>
      <w:spacing w:after="100"/>
    </w:pPr>
    <w:rPr>
      <w:rFonts w:cstheme="minorHAnsi"/>
      <w:noProof/>
      <w:sz w:val="24"/>
      <w:szCs w:val="24"/>
    </w:rPr>
  </w:style>
  <w:style w:type="character" w:styleId="Hyperlink">
    <w:name w:val="Hyperlink"/>
    <w:basedOn w:val="DefaultParagraphFont"/>
    <w:uiPriority w:val="99"/>
    <w:unhideWhenUsed/>
    <w:rsid w:val="00E03A54"/>
    <w:rPr>
      <w:color w:val="0563C1" w:themeColor="hyperlink"/>
      <w:u w:val="single"/>
    </w:rPr>
  </w:style>
  <w:style w:type="character" w:customStyle="1" w:styleId="Heading2Char">
    <w:name w:val="Heading 2 Char"/>
    <w:basedOn w:val="DefaultParagraphFont"/>
    <w:link w:val="Heading2"/>
    <w:uiPriority w:val="9"/>
    <w:rsid w:val="00E8265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966C3"/>
    <w:pPr>
      <w:tabs>
        <w:tab w:val="right" w:leader="dot" w:pos="9016"/>
      </w:tabs>
      <w:spacing w:after="100"/>
      <w:ind w:left="220"/>
    </w:pPr>
    <w:rPr>
      <w:rFonts w:cstheme="minorHAnsi"/>
      <w:noProof/>
      <w:sz w:val="24"/>
      <w:szCs w:val="24"/>
    </w:rPr>
  </w:style>
  <w:style w:type="table" w:styleId="TableGrid">
    <w:name w:val="Table Grid"/>
    <w:basedOn w:val="TableNormal"/>
    <w:uiPriority w:val="39"/>
    <w:rsid w:val="00F864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124001">
      <w:bodyDiv w:val="1"/>
      <w:marLeft w:val="0"/>
      <w:marRight w:val="0"/>
      <w:marTop w:val="0"/>
      <w:marBottom w:val="0"/>
      <w:divBdr>
        <w:top w:val="none" w:sz="0" w:space="0" w:color="auto"/>
        <w:left w:val="none" w:sz="0" w:space="0" w:color="auto"/>
        <w:bottom w:val="none" w:sz="0" w:space="0" w:color="auto"/>
        <w:right w:val="none" w:sz="0" w:space="0" w:color="auto"/>
      </w:divBdr>
    </w:div>
    <w:div w:id="1068380295">
      <w:bodyDiv w:val="1"/>
      <w:marLeft w:val="0"/>
      <w:marRight w:val="0"/>
      <w:marTop w:val="0"/>
      <w:marBottom w:val="0"/>
      <w:divBdr>
        <w:top w:val="none" w:sz="0" w:space="0" w:color="auto"/>
        <w:left w:val="none" w:sz="0" w:space="0" w:color="auto"/>
        <w:bottom w:val="none" w:sz="0" w:space="0" w:color="auto"/>
        <w:right w:val="none" w:sz="0" w:space="0" w:color="auto"/>
      </w:divBdr>
    </w:div>
    <w:div w:id="1199705771">
      <w:bodyDiv w:val="1"/>
      <w:marLeft w:val="0"/>
      <w:marRight w:val="0"/>
      <w:marTop w:val="0"/>
      <w:marBottom w:val="0"/>
      <w:divBdr>
        <w:top w:val="none" w:sz="0" w:space="0" w:color="auto"/>
        <w:left w:val="none" w:sz="0" w:space="0" w:color="auto"/>
        <w:bottom w:val="none" w:sz="0" w:space="0" w:color="auto"/>
        <w:right w:val="none" w:sz="0" w:space="0" w:color="auto"/>
      </w:divBdr>
    </w:div>
    <w:div w:id="1417360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5E1810-E2E2-4549-8668-258F3430C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2928</Words>
  <Characters>16694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Iulian Chiras (2120095)</dc:creator>
  <cp:keywords/>
  <dc:description/>
  <cp:lastModifiedBy>George Iulian Chiras (2120095)</cp:lastModifiedBy>
  <cp:revision>4</cp:revision>
  <dcterms:created xsi:type="dcterms:W3CDTF">2023-12-18T22:04:00Z</dcterms:created>
  <dcterms:modified xsi:type="dcterms:W3CDTF">2023-12-19T18:26:00Z</dcterms:modified>
</cp:coreProperties>
</file>