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F4408" w14:textId="6CD55A36" w:rsidR="00780C47" w:rsidRPr="00780C47" w:rsidRDefault="00DD1075" w:rsidP="00780C47">
      <w:pPr>
        <w:spacing w:line="360" w:lineRule="auto"/>
        <w:jc w:val="both"/>
        <w:rPr>
          <w:rFonts w:ascii="Times New Roman" w:hAnsi="Times New Roman" w:cs="Times New Roman"/>
          <w:b/>
          <w:bCs/>
          <w:sz w:val="24"/>
          <w:szCs w:val="24"/>
        </w:rPr>
      </w:pPr>
      <w:r w:rsidRPr="00780C47">
        <w:rPr>
          <w:rFonts w:ascii="Times New Roman" w:hAnsi="Times New Roman" w:cs="Times New Roman"/>
          <w:b/>
          <w:bCs/>
          <w:sz w:val="24"/>
          <w:szCs w:val="24"/>
        </w:rPr>
        <w:t>NAME: AINAA ADIBAH BINTI MD SHAH</w:t>
      </w:r>
    </w:p>
    <w:p w14:paraId="4E893E59" w14:textId="2BB1C307" w:rsidR="00780C47" w:rsidRDefault="00DD1075" w:rsidP="00780C47">
      <w:pPr>
        <w:spacing w:line="360" w:lineRule="auto"/>
        <w:jc w:val="both"/>
        <w:rPr>
          <w:rFonts w:ascii="Times New Roman" w:hAnsi="Times New Roman" w:cs="Times New Roman"/>
          <w:b/>
          <w:bCs/>
          <w:sz w:val="24"/>
          <w:szCs w:val="24"/>
        </w:rPr>
      </w:pPr>
      <w:r w:rsidRPr="00780C47">
        <w:rPr>
          <w:rFonts w:ascii="Times New Roman" w:hAnsi="Times New Roman" w:cs="Times New Roman"/>
          <w:b/>
          <w:bCs/>
          <w:sz w:val="24"/>
          <w:szCs w:val="24"/>
        </w:rPr>
        <w:t>STUDENT ID: 2118677</w:t>
      </w:r>
    </w:p>
    <w:p w14:paraId="27CED658" w14:textId="619EF0A4" w:rsidR="00107062" w:rsidRPr="00780C47" w:rsidRDefault="00107062" w:rsidP="00780C4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Contract Law Assignment 2</w:t>
      </w:r>
      <w:r w:rsidR="00F63AAB">
        <w:rPr>
          <w:rFonts w:ascii="Times New Roman" w:hAnsi="Times New Roman" w:cs="Times New Roman"/>
          <w:b/>
          <w:bCs/>
          <w:sz w:val="24"/>
          <w:szCs w:val="24"/>
        </w:rPr>
        <w:t xml:space="preserve"> – Consumer Rights Act 2015</w:t>
      </w:r>
    </w:p>
    <w:p w14:paraId="6EE8BC53" w14:textId="326D6B11" w:rsidR="004D6427" w:rsidRDefault="002C2848" w:rsidP="002A1DEC">
      <w:pPr>
        <w:spacing w:line="360" w:lineRule="auto"/>
        <w:ind w:firstLine="720"/>
        <w:jc w:val="both"/>
        <w:rPr>
          <w:rFonts w:ascii="Times New Roman" w:hAnsi="Times New Roman" w:cs="Times New Roman"/>
          <w:sz w:val="24"/>
          <w:szCs w:val="24"/>
        </w:rPr>
      </w:pPr>
      <w:r w:rsidRPr="002C2848">
        <w:rPr>
          <w:rFonts w:ascii="Times New Roman" w:hAnsi="Times New Roman" w:cs="Times New Roman"/>
          <w:sz w:val="24"/>
          <w:szCs w:val="24"/>
        </w:rPr>
        <w:t xml:space="preserve">Consumer Rights Act of 2015 </w:t>
      </w:r>
      <w:r w:rsidR="00F70B4F">
        <w:rPr>
          <w:rFonts w:ascii="Times New Roman" w:hAnsi="Times New Roman" w:cs="Times New Roman"/>
          <w:sz w:val="24"/>
          <w:szCs w:val="24"/>
        </w:rPr>
        <w:t>intends</w:t>
      </w:r>
      <w:r w:rsidRPr="002C2848">
        <w:rPr>
          <w:rFonts w:ascii="Times New Roman" w:hAnsi="Times New Roman" w:cs="Times New Roman"/>
          <w:sz w:val="24"/>
          <w:szCs w:val="24"/>
        </w:rPr>
        <w:t xml:space="preserve"> to </w:t>
      </w:r>
      <w:r w:rsidR="00F70B4F">
        <w:rPr>
          <w:rFonts w:ascii="Times New Roman" w:hAnsi="Times New Roman" w:cs="Times New Roman"/>
          <w:sz w:val="24"/>
          <w:szCs w:val="24"/>
        </w:rPr>
        <w:t>consolidate</w:t>
      </w:r>
      <w:r w:rsidRPr="002C2848">
        <w:rPr>
          <w:rFonts w:ascii="Times New Roman" w:hAnsi="Times New Roman" w:cs="Times New Roman"/>
          <w:sz w:val="24"/>
          <w:szCs w:val="24"/>
        </w:rPr>
        <w:t xml:space="preserve"> </w:t>
      </w:r>
      <w:r w:rsidR="00F70B4F">
        <w:rPr>
          <w:rFonts w:ascii="Times New Roman" w:hAnsi="Times New Roman" w:cs="Times New Roman"/>
          <w:sz w:val="24"/>
          <w:szCs w:val="24"/>
        </w:rPr>
        <w:t xml:space="preserve">core </w:t>
      </w:r>
      <w:r w:rsidRPr="002C2848">
        <w:rPr>
          <w:rFonts w:ascii="Times New Roman" w:hAnsi="Times New Roman" w:cs="Times New Roman"/>
          <w:sz w:val="24"/>
          <w:szCs w:val="24"/>
        </w:rPr>
        <w:t xml:space="preserve">consumer rights such as contracts for </w:t>
      </w:r>
      <w:r w:rsidR="00F70B4F">
        <w:rPr>
          <w:rFonts w:ascii="Times New Roman" w:hAnsi="Times New Roman" w:cs="Times New Roman"/>
          <w:sz w:val="24"/>
          <w:szCs w:val="24"/>
        </w:rPr>
        <w:t>goods</w:t>
      </w:r>
      <w:r w:rsidRPr="002C2848">
        <w:rPr>
          <w:rFonts w:ascii="Times New Roman" w:hAnsi="Times New Roman" w:cs="Times New Roman"/>
          <w:sz w:val="24"/>
          <w:szCs w:val="24"/>
        </w:rPr>
        <w:t xml:space="preserve">, services, and digital content, as well as the </w:t>
      </w:r>
      <w:r w:rsidR="00F70B4F">
        <w:rPr>
          <w:rFonts w:ascii="Times New Roman" w:hAnsi="Times New Roman" w:cs="Times New Roman"/>
          <w:sz w:val="24"/>
          <w:szCs w:val="24"/>
        </w:rPr>
        <w:t>regulations controlling unjust circumstances in consumer rights, into a single location</w:t>
      </w:r>
      <w:r>
        <w:rPr>
          <w:rFonts w:ascii="Times New Roman" w:hAnsi="Times New Roman" w:cs="Times New Roman"/>
          <w:sz w:val="24"/>
          <w:szCs w:val="24"/>
        </w:rPr>
        <w:t xml:space="preserve"> </w:t>
      </w:r>
      <w:r w:rsidR="0021019C">
        <w:rPr>
          <w:rFonts w:ascii="Times New Roman" w:hAnsi="Times New Roman" w:cs="Times New Roman"/>
          <w:sz w:val="24"/>
          <w:szCs w:val="24"/>
        </w:rPr>
        <w:t>(</w:t>
      </w:r>
      <w:proofErr w:type="spellStart"/>
      <w:r w:rsidR="0021019C">
        <w:rPr>
          <w:rFonts w:ascii="Times New Roman" w:hAnsi="Times New Roman" w:cs="Times New Roman"/>
          <w:sz w:val="24"/>
          <w:szCs w:val="24"/>
        </w:rPr>
        <w:t>Emmery</w:t>
      </w:r>
      <w:proofErr w:type="spellEnd"/>
      <w:r w:rsidR="0021019C">
        <w:rPr>
          <w:rFonts w:ascii="Times New Roman" w:hAnsi="Times New Roman" w:cs="Times New Roman"/>
          <w:sz w:val="24"/>
          <w:szCs w:val="24"/>
        </w:rPr>
        <w:t>, 2015)</w:t>
      </w:r>
      <w:r w:rsidR="00880200">
        <w:rPr>
          <w:rFonts w:ascii="Times New Roman" w:hAnsi="Times New Roman" w:cs="Times New Roman"/>
          <w:sz w:val="24"/>
          <w:szCs w:val="24"/>
        </w:rPr>
        <w:t xml:space="preserve">. </w:t>
      </w:r>
      <w:r w:rsidR="008E373A" w:rsidRPr="008E373A">
        <w:rPr>
          <w:rFonts w:ascii="Times New Roman" w:hAnsi="Times New Roman" w:cs="Times New Roman"/>
          <w:sz w:val="24"/>
          <w:szCs w:val="24"/>
        </w:rPr>
        <w:t>Consumer Rights Act of 2015 extends to anyone who has received products or services and has benefitted personally or professionally from them. Any firm that claims that an individual is not a customer must prove this</w:t>
      </w:r>
      <w:r w:rsidR="0021019C">
        <w:rPr>
          <w:rFonts w:ascii="Times New Roman" w:hAnsi="Times New Roman" w:cs="Times New Roman"/>
          <w:sz w:val="24"/>
          <w:szCs w:val="24"/>
        </w:rPr>
        <w:t xml:space="preserve"> (Wrench and Farrant, 2017).</w:t>
      </w:r>
      <w:r w:rsidR="00880200">
        <w:rPr>
          <w:rFonts w:ascii="Times New Roman" w:hAnsi="Times New Roman" w:cs="Times New Roman"/>
          <w:sz w:val="24"/>
          <w:szCs w:val="24"/>
        </w:rPr>
        <w:t xml:space="preserve"> </w:t>
      </w:r>
      <w:r w:rsidR="00AC4CA3">
        <w:rPr>
          <w:rFonts w:ascii="Times New Roman" w:hAnsi="Times New Roman" w:cs="Times New Roman"/>
          <w:sz w:val="24"/>
          <w:szCs w:val="24"/>
        </w:rPr>
        <w:t xml:space="preserve">The </w:t>
      </w:r>
      <w:r w:rsidR="00F74FA2">
        <w:rPr>
          <w:rFonts w:ascii="Times New Roman" w:hAnsi="Times New Roman" w:cs="Times New Roman"/>
          <w:sz w:val="24"/>
          <w:szCs w:val="24"/>
        </w:rPr>
        <w:t>Law</w:t>
      </w:r>
      <w:r w:rsidR="00AC4CA3">
        <w:rPr>
          <w:rFonts w:ascii="Times New Roman" w:hAnsi="Times New Roman" w:cs="Times New Roman"/>
          <w:sz w:val="24"/>
          <w:szCs w:val="24"/>
        </w:rPr>
        <w:t xml:space="preserve"> came into force on </w:t>
      </w:r>
      <w:r w:rsidR="00BC0E6E">
        <w:rPr>
          <w:rFonts w:ascii="Times New Roman" w:hAnsi="Times New Roman" w:cs="Times New Roman"/>
          <w:sz w:val="24"/>
          <w:szCs w:val="24"/>
        </w:rPr>
        <w:t xml:space="preserve">the </w:t>
      </w:r>
      <w:r w:rsidR="00AC4CA3">
        <w:rPr>
          <w:rFonts w:ascii="Times New Roman" w:hAnsi="Times New Roman" w:cs="Times New Roman"/>
          <w:sz w:val="24"/>
          <w:szCs w:val="24"/>
        </w:rPr>
        <w:t>1</w:t>
      </w:r>
      <w:r w:rsidR="00AC4CA3" w:rsidRPr="00AC4CA3">
        <w:rPr>
          <w:rFonts w:ascii="Times New Roman" w:hAnsi="Times New Roman" w:cs="Times New Roman"/>
          <w:sz w:val="24"/>
          <w:szCs w:val="24"/>
          <w:vertAlign w:val="superscript"/>
        </w:rPr>
        <w:t>st</w:t>
      </w:r>
      <w:r w:rsidR="00AC4CA3">
        <w:rPr>
          <w:rFonts w:ascii="Times New Roman" w:hAnsi="Times New Roman" w:cs="Times New Roman"/>
          <w:sz w:val="24"/>
          <w:szCs w:val="24"/>
        </w:rPr>
        <w:t xml:space="preserve"> of October 2015. </w:t>
      </w:r>
      <w:r w:rsidR="008E373A" w:rsidRPr="008E373A">
        <w:rPr>
          <w:rFonts w:ascii="Times New Roman" w:hAnsi="Times New Roman" w:cs="Times New Roman"/>
          <w:sz w:val="24"/>
          <w:szCs w:val="24"/>
        </w:rPr>
        <w:t xml:space="preserve">The act is significant because it unifies </w:t>
      </w:r>
      <w:r w:rsidR="00285747">
        <w:rPr>
          <w:rFonts w:ascii="Times New Roman" w:hAnsi="Times New Roman" w:cs="Times New Roman"/>
          <w:sz w:val="24"/>
          <w:szCs w:val="24"/>
        </w:rPr>
        <w:t>ongoing</w:t>
      </w:r>
      <w:r w:rsidR="008E373A" w:rsidRPr="008E373A">
        <w:rPr>
          <w:rFonts w:ascii="Times New Roman" w:hAnsi="Times New Roman" w:cs="Times New Roman"/>
          <w:sz w:val="24"/>
          <w:szCs w:val="24"/>
        </w:rPr>
        <w:t xml:space="preserve"> consumer law that was previously divided across many statutes and </w:t>
      </w:r>
      <w:r w:rsidR="0038181D">
        <w:rPr>
          <w:rFonts w:ascii="Times New Roman" w:hAnsi="Times New Roman" w:cs="Times New Roman"/>
          <w:sz w:val="24"/>
          <w:szCs w:val="24"/>
        </w:rPr>
        <w:t>legislations</w:t>
      </w:r>
      <w:r w:rsidR="008E373A" w:rsidRPr="008E373A">
        <w:rPr>
          <w:rFonts w:ascii="Times New Roman" w:hAnsi="Times New Roman" w:cs="Times New Roman"/>
          <w:sz w:val="24"/>
          <w:szCs w:val="24"/>
        </w:rPr>
        <w:t>. It expands consumer rights in particular and dramatic ways, enhances regulatory monitoring of company actions that affect consumers, and significantly expands consumer redress rights</w:t>
      </w:r>
      <w:r w:rsidR="00DC16A1">
        <w:rPr>
          <w:rFonts w:ascii="Times New Roman" w:hAnsi="Times New Roman" w:cs="Times New Roman"/>
          <w:sz w:val="24"/>
          <w:szCs w:val="24"/>
        </w:rPr>
        <w:t xml:space="preserve"> (Suleman, n.d.). </w:t>
      </w:r>
      <w:r w:rsidR="008E373A" w:rsidRPr="008E373A">
        <w:rPr>
          <w:rFonts w:ascii="Times New Roman" w:hAnsi="Times New Roman" w:cs="Times New Roman"/>
          <w:sz w:val="24"/>
          <w:szCs w:val="24"/>
        </w:rPr>
        <w:t>The CRA (2015) protects consumers from unfair contract terms and notifications, which is one of the main reasons for its existence. The Act also aimed to keep consumers' rights up to date in the ever-changing digital environment</w:t>
      </w:r>
      <w:r w:rsidR="002A1DEC">
        <w:rPr>
          <w:rFonts w:ascii="Times New Roman" w:hAnsi="Times New Roman" w:cs="Times New Roman"/>
          <w:sz w:val="24"/>
          <w:szCs w:val="24"/>
        </w:rPr>
        <w:t xml:space="preserve"> (Wrench and Farrant</w:t>
      </w:r>
      <w:r w:rsidR="0021019C">
        <w:rPr>
          <w:rFonts w:ascii="Times New Roman" w:hAnsi="Times New Roman" w:cs="Times New Roman"/>
          <w:sz w:val="24"/>
          <w:szCs w:val="24"/>
        </w:rPr>
        <w:t>, 2017</w:t>
      </w:r>
      <w:r w:rsidR="002A1DEC">
        <w:rPr>
          <w:rFonts w:ascii="Times New Roman" w:hAnsi="Times New Roman" w:cs="Times New Roman"/>
          <w:sz w:val="24"/>
          <w:szCs w:val="24"/>
        </w:rPr>
        <w:t xml:space="preserve">). </w:t>
      </w:r>
      <w:r w:rsidR="008E373A" w:rsidRPr="008E373A">
        <w:rPr>
          <w:rFonts w:ascii="Times New Roman" w:hAnsi="Times New Roman" w:cs="Times New Roman"/>
          <w:sz w:val="24"/>
          <w:szCs w:val="24"/>
        </w:rPr>
        <w:t xml:space="preserve">Furthermore, if a contract term or consumer notice caused a major imbalance in the parties' contractual rights and responsibilities, to the disadvantage of the consumer, </w:t>
      </w:r>
      <w:r w:rsidR="004D4E0F">
        <w:rPr>
          <w:rFonts w:ascii="Times New Roman" w:hAnsi="Times New Roman" w:cs="Times New Roman"/>
          <w:sz w:val="24"/>
          <w:szCs w:val="24"/>
        </w:rPr>
        <w:t>the term condition or notice would be void.</w:t>
      </w:r>
    </w:p>
    <w:p w14:paraId="44C970DA" w14:textId="63DF0BA2" w:rsidR="00DA7768" w:rsidRDefault="007C32A4" w:rsidP="002A1DEC">
      <w:pPr>
        <w:spacing w:line="360" w:lineRule="auto"/>
        <w:ind w:firstLine="720"/>
        <w:jc w:val="both"/>
        <w:rPr>
          <w:rFonts w:ascii="Times New Roman" w:hAnsi="Times New Roman" w:cs="Times New Roman"/>
          <w:sz w:val="24"/>
          <w:szCs w:val="24"/>
        </w:rPr>
      </w:pPr>
      <w:r w:rsidRPr="007C32A4">
        <w:rPr>
          <w:rFonts w:ascii="Times New Roman" w:hAnsi="Times New Roman" w:cs="Times New Roman"/>
          <w:sz w:val="24"/>
          <w:szCs w:val="24"/>
        </w:rPr>
        <w:t xml:space="preserve">The </w:t>
      </w:r>
      <w:r w:rsidR="00A35986">
        <w:rPr>
          <w:rFonts w:ascii="Times New Roman" w:hAnsi="Times New Roman" w:cs="Times New Roman"/>
          <w:sz w:val="24"/>
          <w:szCs w:val="24"/>
        </w:rPr>
        <w:t xml:space="preserve">Consumer Rights </w:t>
      </w:r>
      <w:r w:rsidRPr="007C32A4">
        <w:rPr>
          <w:rFonts w:ascii="Times New Roman" w:hAnsi="Times New Roman" w:cs="Times New Roman"/>
          <w:sz w:val="24"/>
          <w:szCs w:val="24"/>
        </w:rPr>
        <w:t xml:space="preserve">Act </w:t>
      </w:r>
      <w:r w:rsidR="00A35986">
        <w:rPr>
          <w:rFonts w:ascii="Times New Roman" w:hAnsi="Times New Roman" w:cs="Times New Roman"/>
          <w:sz w:val="24"/>
          <w:szCs w:val="24"/>
        </w:rPr>
        <w:t xml:space="preserve">(2015) </w:t>
      </w:r>
      <w:r w:rsidRPr="007C32A4">
        <w:rPr>
          <w:rFonts w:ascii="Times New Roman" w:hAnsi="Times New Roman" w:cs="Times New Roman"/>
          <w:sz w:val="24"/>
          <w:szCs w:val="24"/>
        </w:rPr>
        <w:t xml:space="preserve">is part of the </w:t>
      </w:r>
      <w:r w:rsidR="00CE0A5B">
        <w:rPr>
          <w:rFonts w:ascii="Times New Roman" w:hAnsi="Times New Roman" w:cs="Times New Roman"/>
          <w:sz w:val="24"/>
          <w:szCs w:val="24"/>
        </w:rPr>
        <w:t>G</w:t>
      </w:r>
      <w:r w:rsidRPr="007C32A4">
        <w:rPr>
          <w:rFonts w:ascii="Times New Roman" w:hAnsi="Times New Roman" w:cs="Times New Roman"/>
          <w:sz w:val="24"/>
          <w:szCs w:val="24"/>
        </w:rPr>
        <w:t>overnment's consumer landscape transformation, which aims to make it easier for consumers to comprehend and exercise key rights including the right to clear and accurate information before making a purchase and the right to get what they purchased.</w:t>
      </w:r>
      <w:r w:rsidR="00782ECE">
        <w:rPr>
          <w:rFonts w:ascii="Times New Roman" w:hAnsi="Times New Roman" w:cs="Times New Roman"/>
          <w:sz w:val="24"/>
          <w:szCs w:val="24"/>
        </w:rPr>
        <w:t xml:space="preserve"> </w:t>
      </w:r>
      <w:r w:rsidR="008E373A" w:rsidRPr="008E373A">
        <w:rPr>
          <w:rFonts w:ascii="Times New Roman" w:hAnsi="Times New Roman" w:cs="Times New Roman"/>
          <w:sz w:val="24"/>
          <w:szCs w:val="24"/>
        </w:rPr>
        <w:t>The right to have goods and digital material that are fit for purpose and services done with reasonable care and competence, as well as the right to have flaws in what the consumer buys fixed for free or to get a refund or replacement.</w:t>
      </w:r>
      <w:r w:rsidR="008E373A">
        <w:rPr>
          <w:rFonts w:ascii="Times New Roman" w:hAnsi="Times New Roman" w:cs="Times New Roman"/>
          <w:sz w:val="24"/>
          <w:szCs w:val="24"/>
        </w:rPr>
        <w:t xml:space="preserve"> Not only that</w:t>
      </w:r>
      <w:r w:rsidR="008E373A" w:rsidRPr="008E373A">
        <w:rPr>
          <w:rFonts w:ascii="Times New Roman" w:hAnsi="Times New Roman" w:cs="Times New Roman"/>
          <w:sz w:val="24"/>
          <w:szCs w:val="24"/>
        </w:rPr>
        <w:t>, consumer acts seek to protect consumers from damage, promote trading standards, and give restitution in cases where harm or loss has occurred. However, the strategies used to attain these very straightforward goals are diverse and dispersed. Consumer protection and improved trade standards have historically been accomplished largely via the creation and enforcement of regulatory offences</w:t>
      </w:r>
      <w:r w:rsidR="008E373A">
        <w:rPr>
          <w:rFonts w:ascii="Times New Roman" w:hAnsi="Times New Roman" w:cs="Times New Roman"/>
          <w:sz w:val="24"/>
          <w:szCs w:val="24"/>
        </w:rPr>
        <w:t xml:space="preserve"> </w:t>
      </w:r>
      <w:r w:rsidR="007E189E">
        <w:rPr>
          <w:rFonts w:ascii="Times New Roman" w:hAnsi="Times New Roman" w:cs="Times New Roman"/>
          <w:sz w:val="24"/>
          <w:szCs w:val="24"/>
        </w:rPr>
        <w:t xml:space="preserve">(Cartwright, 2016). </w:t>
      </w:r>
      <w:r w:rsidR="00231E3E" w:rsidRPr="00231E3E">
        <w:rPr>
          <w:rFonts w:ascii="Times New Roman" w:hAnsi="Times New Roman" w:cs="Times New Roman"/>
          <w:sz w:val="24"/>
          <w:szCs w:val="24"/>
        </w:rPr>
        <w:t>Part 1 deals with consumer contracts for commodities, digital content, and services; Part 2 deals with unfair conditions; and Part 3 deals with various provisions, including significant forces</w:t>
      </w:r>
      <w:r w:rsidR="00231E3E">
        <w:rPr>
          <w:rFonts w:ascii="Times New Roman" w:hAnsi="Times New Roman" w:cs="Times New Roman"/>
          <w:sz w:val="24"/>
          <w:szCs w:val="24"/>
        </w:rPr>
        <w:t xml:space="preserve"> </w:t>
      </w:r>
      <w:r w:rsidR="00A7226A">
        <w:rPr>
          <w:rFonts w:ascii="Times New Roman" w:hAnsi="Times New Roman" w:cs="Times New Roman"/>
          <w:sz w:val="24"/>
          <w:szCs w:val="24"/>
        </w:rPr>
        <w:t xml:space="preserve">(Suleman, n.d.). </w:t>
      </w:r>
      <w:r w:rsidR="001C3A43" w:rsidRPr="001C3A43">
        <w:rPr>
          <w:rFonts w:ascii="Times New Roman" w:hAnsi="Times New Roman" w:cs="Times New Roman"/>
          <w:sz w:val="24"/>
          <w:szCs w:val="24"/>
        </w:rPr>
        <w:t xml:space="preserve">Moreover, the Unfair </w:t>
      </w:r>
      <w:r w:rsidR="001C3A43" w:rsidRPr="001C3A43">
        <w:rPr>
          <w:rFonts w:ascii="Times New Roman" w:hAnsi="Times New Roman" w:cs="Times New Roman"/>
          <w:sz w:val="24"/>
          <w:szCs w:val="24"/>
        </w:rPr>
        <w:lastRenderedPageBreak/>
        <w:t xml:space="preserve">Contract Terms Act of 1977 applies exclusively to responsibility emerging in the course of a business and regard to liability arising towards other enterprises. As a result, it does not give full protection against unjust terms. Meanwhile, </w:t>
      </w:r>
      <w:r w:rsidR="007A0555" w:rsidRPr="007A0555">
        <w:rPr>
          <w:rFonts w:ascii="Times New Roman" w:hAnsi="Times New Roman" w:cs="Times New Roman"/>
          <w:sz w:val="24"/>
          <w:szCs w:val="24"/>
        </w:rPr>
        <w:t>The Unfair Terms in Consumer Contracts Regulations and the Unfair Contract Terms Act regarding consumer contracts and notifications are repealed and replaced by the Consumer Rights Act of 2015.</w:t>
      </w:r>
      <w:r w:rsidR="007A0555">
        <w:rPr>
          <w:rFonts w:ascii="Times New Roman" w:hAnsi="Times New Roman" w:cs="Times New Roman"/>
          <w:sz w:val="24"/>
          <w:szCs w:val="24"/>
        </w:rPr>
        <w:t xml:space="preserve"> </w:t>
      </w:r>
      <w:r w:rsidR="001C3A43" w:rsidRPr="001C3A43">
        <w:rPr>
          <w:rFonts w:ascii="Times New Roman" w:hAnsi="Times New Roman" w:cs="Times New Roman"/>
          <w:sz w:val="24"/>
          <w:szCs w:val="24"/>
        </w:rPr>
        <w:t xml:space="preserve">The Consumer Rights Act is </w:t>
      </w:r>
      <w:r w:rsidR="002B404C">
        <w:rPr>
          <w:rFonts w:ascii="Times New Roman" w:hAnsi="Times New Roman" w:cs="Times New Roman"/>
          <w:sz w:val="24"/>
          <w:szCs w:val="24"/>
        </w:rPr>
        <w:t>transparent</w:t>
      </w:r>
      <w:r w:rsidR="001C3A43" w:rsidRPr="001C3A43">
        <w:rPr>
          <w:rFonts w:ascii="Times New Roman" w:hAnsi="Times New Roman" w:cs="Times New Roman"/>
          <w:sz w:val="24"/>
          <w:szCs w:val="24"/>
        </w:rPr>
        <w:t xml:space="preserve"> in presenting the terms and legislation to the consumer, whereas the Unfair Terms Act 1977 explanation was long and not very </w:t>
      </w:r>
      <w:r w:rsidR="002D7593">
        <w:rPr>
          <w:rFonts w:ascii="Times New Roman" w:hAnsi="Times New Roman" w:cs="Times New Roman"/>
          <w:sz w:val="24"/>
          <w:szCs w:val="24"/>
        </w:rPr>
        <w:t>understandable</w:t>
      </w:r>
      <w:r w:rsidR="001C3A43" w:rsidRPr="001C3A43">
        <w:rPr>
          <w:rFonts w:ascii="Times New Roman" w:hAnsi="Times New Roman" w:cs="Times New Roman"/>
          <w:sz w:val="24"/>
          <w:szCs w:val="24"/>
        </w:rPr>
        <w:t>, which might lead to confusion regarding the regulation. The Consumer Rights Act of 2015 is easier to understand than the Unfair Terms Act of 1977.</w:t>
      </w:r>
      <w:r w:rsidR="00471AE0">
        <w:rPr>
          <w:rFonts w:ascii="Times New Roman" w:hAnsi="Times New Roman" w:cs="Times New Roman"/>
          <w:sz w:val="24"/>
          <w:szCs w:val="24"/>
        </w:rPr>
        <w:t xml:space="preserve"> </w:t>
      </w:r>
      <w:r w:rsidR="005129AD">
        <w:rPr>
          <w:rFonts w:ascii="Times New Roman" w:hAnsi="Times New Roman" w:cs="Times New Roman"/>
          <w:sz w:val="24"/>
          <w:szCs w:val="24"/>
        </w:rPr>
        <w:t xml:space="preserve"> </w:t>
      </w:r>
    </w:p>
    <w:p w14:paraId="31A202EB" w14:textId="49EDEE83" w:rsidR="00DB50A5" w:rsidRDefault="00E444FE" w:rsidP="009B7765">
      <w:pPr>
        <w:spacing w:line="360" w:lineRule="auto"/>
        <w:ind w:firstLine="720"/>
        <w:jc w:val="both"/>
        <w:rPr>
          <w:rFonts w:ascii="Times New Roman" w:hAnsi="Times New Roman" w:cs="Times New Roman"/>
          <w:sz w:val="24"/>
          <w:szCs w:val="24"/>
        </w:rPr>
      </w:pPr>
      <w:r w:rsidRPr="00E444FE">
        <w:rPr>
          <w:rFonts w:ascii="Times New Roman" w:hAnsi="Times New Roman" w:cs="Times New Roman"/>
          <w:sz w:val="24"/>
          <w:szCs w:val="24"/>
        </w:rPr>
        <w:t xml:space="preserve">Part 1 of the CRA (2015) applies whenever a trader and a customer enter into a contract for the merchant to provide products, digital information, or services. It applies regardless of whether the contract is written or oral. </w:t>
      </w:r>
      <w:r w:rsidR="00AF7AE7">
        <w:rPr>
          <w:rFonts w:ascii="Times New Roman" w:hAnsi="Times New Roman" w:cs="Times New Roman"/>
          <w:sz w:val="24"/>
          <w:szCs w:val="24"/>
        </w:rPr>
        <w:t>Interchangeable</w:t>
      </w:r>
      <w:r w:rsidRPr="00E444FE">
        <w:rPr>
          <w:rFonts w:ascii="Times New Roman" w:hAnsi="Times New Roman" w:cs="Times New Roman"/>
          <w:sz w:val="24"/>
          <w:szCs w:val="24"/>
        </w:rPr>
        <w:t xml:space="preserve"> to the </w:t>
      </w:r>
      <w:r w:rsidR="00681937">
        <w:rPr>
          <w:rFonts w:ascii="Times New Roman" w:hAnsi="Times New Roman" w:cs="Times New Roman"/>
          <w:sz w:val="24"/>
          <w:szCs w:val="24"/>
        </w:rPr>
        <w:t>implied</w:t>
      </w:r>
      <w:r w:rsidRPr="00E444FE">
        <w:rPr>
          <w:rFonts w:ascii="Times New Roman" w:hAnsi="Times New Roman" w:cs="Times New Roman"/>
          <w:sz w:val="24"/>
          <w:szCs w:val="24"/>
        </w:rPr>
        <w:t xml:space="preserve"> requirements that existed under the Sales of Goods Act, goods must fulfil a specified standard (1979).</w:t>
      </w:r>
      <w:r>
        <w:rPr>
          <w:rFonts w:ascii="Times New Roman" w:hAnsi="Times New Roman" w:cs="Times New Roman"/>
          <w:sz w:val="24"/>
          <w:szCs w:val="24"/>
        </w:rPr>
        <w:t xml:space="preserve"> </w:t>
      </w:r>
      <w:r w:rsidRPr="00E444FE">
        <w:rPr>
          <w:rFonts w:ascii="Times New Roman" w:hAnsi="Times New Roman" w:cs="Times New Roman"/>
          <w:sz w:val="24"/>
          <w:szCs w:val="24"/>
        </w:rPr>
        <w:t xml:space="preserve">A consumer's rights </w:t>
      </w:r>
      <w:r w:rsidR="00154ED0">
        <w:rPr>
          <w:rFonts w:ascii="Times New Roman" w:hAnsi="Times New Roman" w:cs="Times New Roman"/>
          <w:sz w:val="24"/>
          <w:szCs w:val="24"/>
        </w:rPr>
        <w:t>about</w:t>
      </w:r>
      <w:r w:rsidRPr="00E444FE">
        <w:rPr>
          <w:rFonts w:ascii="Times New Roman" w:hAnsi="Times New Roman" w:cs="Times New Roman"/>
          <w:sz w:val="24"/>
          <w:szCs w:val="24"/>
        </w:rPr>
        <w:t xml:space="preserve"> products are comparable to prior legislation in that the items must adhere to the description supplied, be of adequate quality, and </w:t>
      </w:r>
      <w:r>
        <w:rPr>
          <w:rFonts w:ascii="Times New Roman" w:hAnsi="Times New Roman" w:cs="Times New Roman"/>
          <w:sz w:val="24"/>
          <w:szCs w:val="24"/>
        </w:rPr>
        <w:t xml:space="preserve">be </w:t>
      </w:r>
      <w:r w:rsidRPr="00E444FE">
        <w:rPr>
          <w:rFonts w:ascii="Times New Roman" w:hAnsi="Times New Roman" w:cs="Times New Roman"/>
          <w:sz w:val="24"/>
          <w:szCs w:val="24"/>
        </w:rPr>
        <w:t xml:space="preserve">suitable for </w:t>
      </w:r>
      <w:r>
        <w:rPr>
          <w:rFonts w:ascii="Times New Roman" w:hAnsi="Times New Roman" w:cs="Times New Roman"/>
          <w:sz w:val="24"/>
          <w:szCs w:val="24"/>
        </w:rPr>
        <w:t xml:space="preserve">their </w:t>
      </w:r>
      <w:r w:rsidR="00D05738">
        <w:rPr>
          <w:rFonts w:ascii="Times New Roman" w:hAnsi="Times New Roman" w:cs="Times New Roman"/>
          <w:sz w:val="24"/>
          <w:szCs w:val="24"/>
        </w:rPr>
        <w:t>intention</w:t>
      </w:r>
      <w:r>
        <w:rPr>
          <w:rFonts w:ascii="Times New Roman" w:hAnsi="Times New Roman" w:cs="Times New Roman"/>
          <w:sz w:val="24"/>
          <w:szCs w:val="24"/>
        </w:rPr>
        <w:t xml:space="preserve"> </w:t>
      </w:r>
      <w:r w:rsidR="005964B7" w:rsidRPr="00E444FE">
        <w:rPr>
          <w:rFonts w:ascii="Times New Roman" w:hAnsi="Times New Roman" w:cs="Times New Roman"/>
          <w:sz w:val="24"/>
          <w:szCs w:val="24"/>
        </w:rPr>
        <w:t>(</w:t>
      </w:r>
      <w:proofErr w:type="spellStart"/>
      <w:r w:rsidR="005964B7" w:rsidRPr="00E444FE">
        <w:rPr>
          <w:rFonts w:ascii="Times New Roman" w:hAnsi="Times New Roman" w:cs="Times New Roman"/>
          <w:sz w:val="24"/>
          <w:szCs w:val="24"/>
        </w:rPr>
        <w:t>Emmery</w:t>
      </w:r>
      <w:proofErr w:type="spellEnd"/>
      <w:r w:rsidR="005964B7" w:rsidRPr="00E444FE">
        <w:rPr>
          <w:rFonts w:ascii="Times New Roman" w:hAnsi="Times New Roman" w:cs="Times New Roman"/>
          <w:sz w:val="24"/>
          <w:szCs w:val="24"/>
        </w:rPr>
        <w:t>, 2015).</w:t>
      </w:r>
      <w:r w:rsidR="00CC3738" w:rsidRPr="00E444FE">
        <w:rPr>
          <w:rFonts w:ascii="Times New Roman" w:hAnsi="Times New Roman" w:cs="Times New Roman"/>
          <w:sz w:val="24"/>
          <w:szCs w:val="24"/>
        </w:rPr>
        <w:t xml:space="preserve"> </w:t>
      </w:r>
      <w:r w:rsidRPr="00E444FE">
        <w:rPr>
          <w:rFonts w:ascii="Times New Roman" w:hAnsi="Times New Roman" w:cs="Times New Roman"/>
          <w:sz w:val="24"/>
          <w:szCs w:val="24"/>
        </w:rPr>
        <w:t xml:space="preserve">All things provided under a consumer contract must be of appropriate quality, suitable for </w:t>
      </w:r>
      <w:r>
        <w:rPr>
          <w:rFonts w:ascii="Times New Roman" w:hAnsi="Times New Roman" w:cs="Times New Roman"/>
          <w:sz w:val="24"/>
          <w:szCs w:val="24"/>
        </w:rPr>
        <w:t xml:space="preserve">the </w:t>
      </w:r>
      <w:r w:rsidRPr="00E444FE">
        <w:rPr>
          <w:rFonts w:ascii="Times New Roman" w:hAnsi="Times New Roman" w:cs="Times New Roman"/>
          <w:sz w:val="24"/>
          <w:szCs w:val="24"/>
        </w:rPr>
        <w:t xml:space="preserve">purpose, match the </w:t>
      </w:r>
      <w:r w:rsidR="006A58DF">
        <w:rPr>
          <w:rFonts w:ascii="Times New Roman" w:hAnsi="Times New Roman" w:cs="Times New Roman"/>
          <w:sz w:val="24"/>
          <w:szCs w:val="24"/>
        </w:rPr>
        <w:t>representation</w:t>
      </w:r>
      <w:r w:rsidRPr="00E444FE">
        <w:rPr>
          <w:rFonts w:ascii="Times New Roman" w:hAnsi="Times New Roman" w:cs="Times New Roman"/>
          <w:sz w:val="24"/>
          <w:szCs w:val="24"/>
        </w:rPr>
        <w:t>, sample, or model, and be correctly installed, according to the CRA (2015).</w:t>
      </w:r>
      <w:r w:rsidR="00CC3738">
        <w:rPr>
          <w:rFonts w:ascii="Times New Roman" w:hAnsi="Times New Roman" w:cs="Times New Roman"/>
          <w:sz w:val="24"/>
          <w:szCs w:val="24"/>
        </w:rPr>
        <w:t xml:space="preserve"> </w:t>
      </w:r>
      <w:r w:rsidRPr="00E444FE">
        <w:rPr>
          <w:rFonts w:ascii="Times New Roman" w:hAnsi="Times New Roman" w:cs="Times New Roman"/>
          <w:sz w:val="24"/>
          <w:szCs w:val="24"/>
        </w:rPr>
        <w:t>Some of the CRA's 'new' provisions appear to be just extensions of rights previously available under the SGA</w:t>
      </w:r>
      <w:r w:rsidR="00FC4612">
        <w:rPr>
          <w:rFonts w:ascii="Times New Roman" w:hAnsi="Times New Roman" w:cs="Times New Roman"/>
          <w:sz w:val="24"/>
          <w:szCs w:val="24"/>
        </w:rPr>
        <w:t xml:space="preserve"> (1979)</w:t>
      </w:r>
      <w:r w:rsidRPr="00E444FE">
        <w:rPr>
          <w:rFonts w:ascii="Times New Roman" w:hAnsi="Times New Roman" w:cs="Times New Roman"/>
          <w:sz w:val="24"/>
          <w:szCs w:val="24"/>
        </w:rPr>
        <w:t xml:space="preserve">. </w:t>
      </w:r>
      <w:r w:rsidR="00AE1DBD" w:rsidRPr="00AE1DBD">
        <w:rPr>
          <w:rFonts w:ascii="Times New Roman" w:hAnsi="Times New Roman" w:cs="Times New Roman"/>
          <w:sz w:val="24"/>
          <w:szCs w:val="24"/>
        </w:rPr>
        <w:t>According to the CRA</w:t>
      </w:r>
      <w:r w:rsidR="00AE1DBD">
        <w:rPr>
          <w:rFonts w:ascii="Times New Roman" w:hAnsi="Times New Roman" w:cs="Times New Roman"/>
          <w:sz w:val="24"/>
          <w:szCs w:val="24"/>
        </w:rPr>
        <w:t xml:space="preserve"> (2015)</w:t>
      </w:r>
      <w:r w:rsidR="00AE1DBD" w:rsidRPr="00AE1DBD">
        <w:rPr>
          <w:rFonts w:ascii="Times New Roman" w:hAnsi="Times New Roman" w:cs="Times New Roman"/>
          <w:sz w:val="24"/>
          <w:szCs w:val="24"/>
        </w:rPr>
        <w:t>, when things are sold based on a model, such as a television or a car in a showroom, the products must match the design.</w:t>
      </w:r>
      <w:r w:rsidR="00AE1DBD">
        <w:rPr>
          <w:rFonts w:ascii="Times New Roman" w:hAnsi="Times New Roman" w:cs="Times New Roman"/>
          <w:sz w:val="24"/>
          <w:szCs w:val="24"/>
        </w:rPr>
        <w:t xml:space="preserve"> </w:t>
      </w:r>
      <w:r w:rsidRPr="00E444FE">
        <w:rPr>
          <w:rFonts w:ascii="Times New Roman" w:hAnsi="Times New Roman" w:cs="Times New Roman"/>
          <w:sz w:val="24"/>
          <w:szCs w:val="24"/>
        </w:rPr>
        <w:t xml:space="preserve">This </w:t>
      </w:r>
      <w:r w:rsidR="00BD67E0">
        <w:rPr>
          <w:rFonts w:ascii="Times New Roman" w:hAnsi="Times New Roman" w:cs="Times New Roman"/>
          <w:sz w:val="24"/>
          <w:szCs w:val="24"/>
        </w:rPr>
        <w:t>emerges</w:t>
      </w:r>
      <w:r w:rsidRPr="00E444FE">
        <w:rPr>
          <w:rFonts w:ascii="Times New Roman" w:hAnsi="Times New Roman" w:cs="Times New Roman"/>
          <w:sz w:val="24"/>
          <w:szCs w:val="24"/>
        </w:rPr>
        <w:t xml:space="preserve"> to be a simple reflection of the SGA's similar longstanding rule of sale by </w:t>
      </w:r>
      <w:r w:rsidR="00BD67E0">
        <w:rPr>
          <w:rFonts w:ascii="Times New Roman" w:hAnsi="Times New Roman" w:cs="Times New Roman"/>
          <w:sz w:val="24"/>
          <w:szCs w:val="24"/>
        </w:rPr>
        <w:t>illustrative</w:t>
      </w:r>
      <w:r w:rsidR="009C4D22">
        <w:rPr>
          <w:rFonts w:ascii="Times New Roman" w:hAnsi="Times New Roman" w:cs="Times New Roman"/>
          <w:sz w:val="24"/>
          <w:szCs w:val="24"/>
        </w:rPr>
        <w:t xml:space="preserve"> (Wimbledon and Smith, 2022)</w:t>
      </w:r>
      <w:r w:rsidRPr="00E444FE">
        <w:rPr>
          <w:rFonts w:ascii="Times New Roman" w:hAnsi="Times New Roman" w:cs="Times New Roman"/>
          <w:sz w:val="24"/>
          <w:szCs w:val="24"/>
        </w:rPr>
        <w:t>.</w:t>
      </w:r>
    </w:p>
    <w:p w14:paraId="3C570A5D" w14:textId="7ECC35E3" w:rsidR="00944405" w:rsidRDefault="00772D2A" w:rsidP="00E95AEA">
      <w:pPr>
        <w:spacing w:line="360" w:lineRule="auto"/>
        <w:ind w:firstLine="720"/>
        <w:jc w:val="both"/>
        <w:rPr>
          <w:rFonts w:ascii="Times New Roman" w:hAnsi="Times New Roman" w:cs="Times New Roman"/>
          <w:sz w:val="24"/>
          <w:szCs w:val="24"/>
        </w:rPr>
      </w:pPr>
      <w:r w:rsidRPr="00772D2A">
        <w:rPr>
          <w:rFonts w:ascii="Times New Roman" w:hAnsi="Times New Roman" w:cs="Times New Roman"/>
          <w:sz w:val="24"/>
          <w:szCs w:val="24"/>
        </w:rPr>
        <w:t xml:space="preserve">According to Emery (2015), the Act currently gives </w:t>
      </w:r>
      <w:r>
        <w:rPr>
          <w:rFonts w:ascii="Times New Roman" w:hAnsi="Times New Roman" w:cs="Times New Roman"/>
          <w:sz w:val="24"/>
          <w:szCs w:val="24"/>
        </w:rPr>
        <w:t>consumers</w:t>
      </w:r>
      <w:r w:rsidRPr="00772D2A">
        <w:rPr>
          <w:rFonts w:ascii="Times New Roman" w:hAnsi="Times New Roman" w:cs="Times New Roman"/>
          <w:sz w:val="24"/>
          <w:szCs w:val="24"/>
        </w:rPr>
        <w:t xml:space="preserve"> the </w:t>
      </w:r>
      <w:r>
        <w:rPr>
          <w:rFonts w:ascii="Times New Roman" w:hAnsi="Times New Roman" w:cs="Times New Roman"/>
          <w:sz w:val="24"/>
          <w:szCs w:val="24"/>
        </w:rPr>
        <w:t>right</w:t>
      </w:r>
      <w:r w:rsidRPr="00772D2A">
        <w:rPr>
          <w:rFonts w:ascii="Times New Roman" w:hAnsi="Times New Roman" w:cs="Times New Roman"/>
          <w:sz w:val="24"/>
          <w:szCs w:val="24"/>
        </w:rPr>
        <w:t xml:space="preserve"> to reject substandard goods within 30 days. The 30-day term begins when the consumer has ownership or possession of the items, and consumers may also request that the merchant fix or replace these </w:t>
      </w:r>
      <w:r w:rsidR="00B47F29">
        <w:rPr>
          <w:rFonts w:ascii="Times New Roman" w:hAnsi="Times New Roman" w:cs="Times New Roman"/>
          <w:sz w:val="24"/>
          <w:szCs w:val="24"/>
        </w:rPr>
        <w:t>counterfeit</w:t>
      </w:r>
      <w:r w:rsidRPr="00772D2A">
        <w:rPr>
          <w:rFonts w:ascii="Times New Roman" w:hAnsi="Times New Roman" w:cs="Times New Roman"/>
          <w:sz w:val="24"/>
          <w:szCs w:val="24"/>
        </w:rPr>
        <w:t xml:space="preserve"> goods</w:t>
      </w:r>
      <w:r>
        <w:rPr>
          <w:rFonts w:ascii="Times New Roman" w:hAnsi="Times New Roman" w:cs="Times New Roman"/>
          <w:sz w:val="24"/>
          <w:szCs w:val="24"/>
        </w:rPr>
        <w:t xml:space="preserve"> </w:t>
      </w:r>
      <w:r w:rsidR="004D1A0E" w:rsidRPr="00772D2A">
        <w:rPr>
          <w:rFonts w:ascii="Times New Roman" w:hAnsi="Times New Roman" w:cs="Times New Roman"/>
          <w:sz w:val="24"/>
          <w:szCs w:val="24"/>
        </w:rPr>
        <w:t>(</w:t>
      </w:r>
      <w:proofErr w:type="spellStart"/>
      <w:r w:rsidR="004D1A0E" w:rsidRPr="00772D2A">
        <w:rPr>
          <w:rFonts w:ascii="Times New Roman" w:hAnsi="Times New Roman" w:cs="Times New Roman"/>
          <w:sz w:val="24"/>
          <w:szCs w:val="24"/>
        </w:rPr>
        <w:t>Giliker</w:t>
      </w:r>
      <w:proofErr w:type="spellEnd"/>
      <w:r w:rsidR="004D1A0E" w:rsidRPr="00772D2A">
        <w:rPr>
          <w:rFonts w:ascii="Times New Roman" w:hAnsi="Times New Roman" w:cs="Times New Roman"/>
          <w:sz w:val="24"/>
          <w:szCs w:val="24"/>
        </w:rPr>
        <w:t>, 2017)</w:t>
      </w:r>
      <w:r w:rsidR="00F17C4D" w:rsidRPr="00772D2A">
        <w:rPr>
          <w:rFonts w:ascii="Times New Roman" w:hAnsi="Times New Roman" w:cs="Times New Roman"/>
          <w:sz w:val="24"/>
          <w:szCs w:val="24"/>
        </w:rPr>
        <w:t xml:space="preserve">. </w:t>
      </w:r>
      <w:r>
        <w:rPr>
          <w:rFonts w:ascii="Times New Roman" w:hAnsi="Times New Roman" w:cs="Times New Roman"/>
          <w:sz w:val="24"/>
          <w:szCs w:val="24"/>
        </w:rPr>
        <w:t>According to law, a</w:t>
      </w:r>
      <w:r w:rsidRPr="00772D2A">
        <w:rPr>
          <w:rFonts w:ascii="Times New Roman" w:hAnsi="Times New Roman" w:cs="Times New Roman"/>
          <w:sz w:val="24"/>
          <w:szCs w:val="24"/>
        </w:rPr>
        <w:t xml:space="preserve"> c</w:t>
      </w:r>
      <w:r>
        <w:rPr>
          <w:rFonts w:ascii="Times New Roman" w:hAnsi="Times New Roman" w:cs="Times New Roman"/>
          <w:sz w:val="24"/>
          <w:szCs w:val="24"/>
        </w:rPr>
        <w:t>onsumer</w:t>
      </w:r>
      <w:r w:rsidRPr="00772D2A">
        <w:rPr>
          <w:rFonts w:ascii="Times New Roman" w:hAnsi="Times New Roman" w:cs="Times New Roman"/>
          <w:sz w:val="24"/>
          <w:szCs w:val="24"/>
        </w:rPr>
        <w:t xml:space="preserve"> has the legal right </w:t>
      </w:r>
      <w:r w:rsidR="00E75696" w:rsidRPr="00E75696">
        <w:rPr>
          <w:rFonts w:ascii="Times New Roman" w:hAnsi="Times New Roman" w:cs="Times New Roman"/>
          <w:sz w:val="24"/>
          <w:szCs w:val="24"/>
        </w:rPr>
        <w:t>can seek a repair or replacement beyond the 30-day trial period and for up to six months after purchase</w:t>
      </w:r>
      <w:r w:rsidR="00432F25">
        <w:rPr>
          <w:rFonts w:ascii="Times New Roman" w:hAnsi="Times New Roman" w:cs="Times New Roman"/>
          <w:sz w:val="24"/>
          <w:szCs w:val="24"/>
        </w:rPr>
        <w:t>,</w:t>
      </w:r>
      <w:r w:rsidRPr="00772D2A">
        <w:rPr>
          <w:rFonts w:ascii="Times New Roman" w:hAnsi="Times New Roman" w:cs="Times New Roman"/>
          <w:sz w:val="24"/>
          <w:szCs w:val="24"/>
        </w:rPr>
        <w:t xml:space="preserve"> A consumer who </w:t>
      </w:r>
      <w:r w:rsidR="007123F7">
        <w:rPr>
          <w:rFonts w:ascii="Times New Roman" w:hAnsi="Times New Roman" w:cs="Times New Roman"/>
          <w:sz w:val="24"/>
          <w:szCs w:val="24"/>
        </w:rPr>
        <w:t>gives their consent</w:t>
      </w:r>
      <w:r w:rsidRPr="00772D2A">
        <w:rPr>
          <w:rFonts w:ascii="Times New Roman" w:hAnsi="Times New Roman" w:cs="Times New Roman"/>
          <w:sz w:val="24"/>
          <w:szCs w:val="24"/>
        </w:rPr>
        <w:t xml:space="preserve"> to repair cannot, however, demand a </w:t>
      </w:r>
      <w:r w:rsidR="00197EF7">
        <w:rPr>
          <w:rFonts w:ascii="Times New Roman" w:hAnsi="Times New Roman" w:cs="Times New Roman"/>
          <w:sz w:val="24"/>
          <w:szCs w:val="24"/>
        </w:rPr>
        <w:t>substitution</w:t>
      </w:r>
      <w:r w:rsidRPr="00772D2A">
        <w:rPr>
          <w:rFonts w:ascii="Times New Roman" w:hAnsi="Times New Roman" w:cs="Times New Roman"/>
          <w:sz w:val="24"/>
          <w:szCs w:val="24"/>
        </w:rPr>
        <w:t>, and vice versa. If the repair or replacement is completed</w:t>
      </w:r>
      <w:r w:rsidR="00DC260D">
        <w:rPr>
          <w:rFonts w:ascii="Times New Roman" w:hAnsi="Times New Roman" w:cs="Times New Roman"/>
          <w:sz w:val="24"/>
          <w:szCs w:val="24"/>
        </w:rPr>
        <w:t>,</w:t>
      </w:r>
      <w:r w:rsidRPr="00772D2A">
        <w:rPr>
          <w:rFonts w:ascii="Times New Roman" w:hAnsi="Times New Roman" w:cs="Times New Roman"/>
          <w:sz w:val="24"/>
          <w:szCs w:val="24"/>
        </w:rPr>
        <w:t xml:space="preserve"> but the items remain defective, the consumer may </w:t>
      </w:r>
      <w:r w:rsidR="00756C9E">
        <w:rPr>
          <w:rFonts w:ascii="Times New Roman" w:hAnsi="Times New Roman" w:cs="Times New Roman"/>
          <w:sz w:val="24"/>
          <w:szCs w:val="24"/>
        </w:rPr>
        <w:t>request an appeal for</w:t>
      </w:r>
      <w:r w:rsidRPr="00772D2A">
        <w:rPr>
          <w:rFonts w:ascii="Times New Roman" w:hAnsi="Times New Roman" w:cs="Times New Roman"/>
          <w:sz w:val="24"/>
          <w:szCs w:val="24"/>
        </w:rPr>
        <w:t xml:space="preserve"> </w:t>
      </w:r>
      <w:r w:rsidR="00756C9E">
        <w:rPr>
          <w:rFonts w:ascii="Times New Roman" w:hAnsi="Times New Roman" w:cs="Times New Roman"/>
          <w:sz w:val="24"/>
          <w:szCs w:val="24"/>
        </w:rPr>
        <w:t>the</w:t>
      </w:r>
      <w:r w:rsidRPr="00772D2A">
        <w:rPr>
          <w:rFonts w:ascii="Times New Roman" w:hAnsi="Times New Roman" w:cs="Times New Roman"/>
          <w:sz w:val="24"/>
          <w:szCs w:val="24"/>
        </w:rPr>
        <w:t xml:space="preserve"> price reduction or refund.</w:t>
      </w:r>
      <w:r w:rsidR="00A91329">
        <w:rPr>
          <w:rFonts w:ascii="Times New Roman" w:hAnsi="Times New Roman" w:cs="Times New Roman"/>
          <w:sz w:val="24"/>
          <w:szCs w:val="24"/>
        </w:rPr>
        <w:t xml:space="preserve"> </w:t>
      </w:r>
      <w:r w:rsidR="00153B8B" w:rsidRPr="00153B8B">
        <w:rPr>
          <w:rFonts w:ascii="Times New Roman" w:hAnsi="Times New Roman" w:cs="Times New Roman"/>
          <w:sz w:val="24"/>
          <w:szCs w:val="24"/>
        </w:rPr>
        <w:t>The majority of the modifications are significant improvements to existing statutes. However, there are two new areas of law, which are digital content rights that will be codified in l</w:t>
      </w:r>
      <w:r w:rsidR="0063128F">
        <w:rPr>
          <w:rFonts w:ascii="Times New Roman" w:hAnsi="Times New Roman" w:cs="Times New Roman"/>
          <w:sz w:val="24"/>
          <w:szCs w:val="24"/>
        </w:rPr>
        <w:t>egislation</w:t>
      </w:r>
      <w:r w:rsidR="00F87BF9" w:rsidRPr="00153B8B">
        <w:rPr>
          <w:rFonts w:ascii="Times New Roman" w:hAnsi="Times New Roman" w:cs="Times New Roman"/>
          <w:sz w:val="24"/>
          <w:szCs w:val="24"/>
        </w:rPr>
        <w:t xml:space="preserve"> (</w:t>
      </w:r>
      <w:proofErr w:type="spellStart"/>
      <w:r w:rsidR="00F87BF9" w:rsidRPr="00153B8B">
        <w:rPr>
          <w:rFonts w:ascii="Times New Roman" w:hAnsi="Times New Roman" w:cs="Times New Roman"/>
          <w:sz w:val="24"/>
          <w:szCs w:val="24"/>
        </w:rPr>
        <w:t>Giliker</w:t>
      </w:r>
      <w:proofErr w:type="spellEnd"/>
      <w:r w:rsidR="00F87BF9" w:rsidRPr="00153B8B">
        <w:rPr>
          <w:rFonts w:ascii="Times New Roman" w:hAnsi="Times New Roman" w:cs="Times New Roman"/>
          <w:sz w:val="24"/>
          <w:szCs w:val="24"/>
        </w:rPr>
        <w:t>, 2017)</w:t>
      </w:r>
      <w:r w:rsidR="00944405" w:rsidRPr="00153B8B">
        <w:rPr>
          <w:rFonts w:ascii="Times New Roman" w:hAnsi="Times New Roman" w:cs="Times New Roman"/>
          <w:sz w:val="24"/>
          <w:szCs w:val="24"/>
        </w:rPr>
        <w:t xml:space="preserve">. </w:t>
      </w:r>
      <w:r w:rsidR="00555C62">
        <w:rPr>
          <w:rFonts w:ascii="Times New Roman" w:hAnsi="Times New Roman" w:cs="Times New Roman"/>
          <w:sz w:val="24"/>
          <w:szCs w:val="24"/>
        </w:rPr>
        <w:t>Legislation, however,</w:t>
      </w:r>
      <w:r w:rsidR="00153B8B" w:rsidRPr="00153B8B">
        <w:rPr>
          <w:rFonts w:ascii="Times New Roman" w:hAnsi="Times New Roman" w:cs="Times New Roman"/>
          <w:sz w:val="24"/>
          <w:szCs w:val="24"/>
        </w:rPr>
        <w:t xml:space="preserve"> provides consumers </w:t>
      </w:r>
      <w:r w:rsidR="00E20229">
        <w:rPr>
          <w:rFonts w:ascii="Times New Roman" w:hAnsi="Times New Roman" w:cs="Times New Roman"/>
          <w:sz w:val="24"/>
          <w:szCs w:val="24"/>
        </w:rPr>
        <w:t xml:space="preserve">with </w:t>
      </w:r>
      <w:r w:rsidR="00153B8B" w:rsidRPr="00153B8B">
        <w:rPr>
          <w:rFonts w:ascii="Times New Roman" w:hAnsi="Times New Roman" w:cs="Times New Roman"/>
          <w:sz w:val="24"/>
          <w:szCs w:val="24"/>
        </w:rPr>
        <w:t xml:space="preserve">the right to repair or replace </w:t>
      </w:r>
      <w:r w:rsidR="00421A96">
        <w:rPr>
          <w:rFonts w:ascii="Times New Roman" w:hAnsi="Times New Roman" w:cs="Times New Roman"/>
          <w:sz w:val="24"/>
          <w:szCs w:val="24"/>
        </w:rPr>
        <w:lastRenderedPageBreak/>
        <w:t>malfunctioning</w:t>
      </w:r>
      <w:r w:rsidR="00153B8B" w:rsidRPr="00153B8B">
        <w:rPr>
          <w:rFonts w:ascii="Times New Roman" w:hAnsi="Times New Roman" w:cs="Times New Roman"/>
          <w:sz w:val="24"/>
          <w:szCs w:val="24"/>
        </w:rPr>
        <w:t xml:space="preserve"> digital content such as online movies and games, music downloads, and e-books. However, </w:t>
      </w:r>
      <w:r w:rsidR="00432F25">
        <w:rPr>
          <w:rFonts w:ascii="Times New Roman" w:hAnsi="Times New Roman" w:cs="Times New Roman"/>
          <w:sz w:val="24"/>
          <w:szCs w:val="24"/>
        </w:rPr>
        <w:t>w</w:t>
      </w:r>
      <w:r w:rsidR="00432F25" w:rsidRPr="00432F25">
        <w:rPr>
          <w:rFonts w:ascii="Times New Roman" w:hAnsi="Times New Roman" w:cs="Times New Roman"/>
          <w:sz w:val="24"/>
          <w:szCs w:val="24"/>
        </w:rPr>
        <w:t>hen it comes to intangible digital items like downloads, the position was more ambiguous, confounding both consumers and traders, and a customer who purchased physical-digital material had greater rights than a consumer who acquired the same thing in an intangible form including download content.</w:t>
      </w:r>
    </w:p>
    <w:p w14:paraId="1875109D" w14:textId="75B4BDC7" w:rsidR="004E021E" w:rsidRDefault="00432BA0" w:rsidP="00B6638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Moreover</w:t>
      </w:r>
      <w:r w:rsidR="00325BF1">
        <w:rPr>
          <w:rFonts w:ascii="Times New Roman" w:hAnsi="Times New Roman" w:cs="Times New Roman"/>
          <w:sz w:val="24"/>
          <w:szCs w:val="24"/>
        </w:rPr>
        <w:t>, p</w:t>
      </w:r>
      <w:r w:rsidR="00325BF1" w:rsidRPr="00325BF1">
        <w:rPr>
          <w:rFonts w:ascii="Times New Roman" w:hAnsi="Times New Roman" w:cs="Times New Roman"/>
          <w:sz w:val="24"/>
          <w:szCs w:val="24"/>
        </w:rPr>
        <w:t xml:space="preserve">art 2 of the CRA (2015) also </w:t>
      </w:r>
      <w:r w:rsidR="001D7FA8">
        <w:rPr>
          <w:rFonts w:ascii="Times New Roman" w:hAnsi="Times New Roman" w:cs="Times New Roman"/>
          <w:sz w:val="24"/>
          <w:szCs w:val="24"/>
        </w:rPr>
        <w:t>integrates</w:t>
      </w:r>
      <w:r w:rsidR="00325BF1" w:rsidRPr="00325BF1">
        <w:rPr>
          <w:rFonts w:ascii="Times New Roman" w:hAnsi="Times New Roman" w:cs="Times New Roman"/>
          <w:sz w:val="24"/>
          <w:szCs w:val="24"/>
        </w:rPr>
        <w:t xml:space="preserve"> the requirements of the Unfair Terms in Consumer Contracts Regulations 1999 ("UTCCR"), which were formerly included in two different parts of </w:t>
      </w:r>
      <w:r w:rsidR="00325BF1">
        <w:rPr>
          <w:rFonts w:ascii="Times New Roman" w:hAnsi="Times New Roman" w:cs="Times New Roman"/>
          <w:sz w:val="24"/>
          <w:szCs w:val="24"/>
        </w:rPr>
        <w:t xml:space="preserve">the </w:t>
      </w:r>
      <w:r w:rsidR="00325BF1" w:rsidRPr="00325BF1">
        <w:rPr>
          <w:rFonts w:ascii="Times New Roman" w:hAnsi="Times New Roman" w:cs="Times New Roman"/>
          <w:sz w:val="24"/>
          <w:szCs w:val="24"/>
        </w:rPr>
        <w:t>law, into one location, removing inconsistencies and overlapping sections.</w:t>
      </w:r>
      <w:r w:rsidR="0023171D" w:rsidRPr="00325BF1">
        <w:rPr>
          <w:rFonts w:ascii="Times New Roman" w:hAnsi="Times New Roman" w:cs="Times New Roman"/>
          <w:sz w:val="24"/>
          <w:szCs w:val="24"/>
        </w:rPr>
        <w:t xml:space="preserve"> </w:t>
      </w:r>
      <w:r w:rsidR="00325BF1" w:rsidRPr="00325BF1">
        <w:rPr>
          <w:rFonts w:ascii="Times New Roman" w:hAnsi="Times New Roman" w:cs="Times New Roman"/>
          <w:sz w:val="24"/>
          <w:szCs w:val="24"/>
        </w:rPr>
        <w:t xml:space="preserve">Sections 62–69 lay forth the general standards for fairness. Section 64, in particular, tries to clarify when the price or subject matter of the contract cannot be evaluated for fairness, adding the additional requirement of prominence to that of transparency. Sections 63 and </w:t>
      </w:r>
      <w:r w:rsidR="005A26E3">
        <w:rPr>
          <w:rFonts w:ascii="Times New Roman" w:hAnsi="Times New Roman" w:cs="Times New Roman"/>
          <w:sz w:val="24"/>
          <w:szCs w:val="24"/>
        </w:rPr>
        <w:t xml:space="preserve">Schedule </w:t>
      </w:r>
      <w:r w:rsidR="00325BF1" w:rsidRPr="00325BF1">
        <w:rPr>
          <w:rFonts w:ascii="Times New Roman" w:hAnsi="Times New Roman" w:cs="Times New Roman"/>
          <w:sz w:val="24"/>
          <w:szCs w:val="24"/>
        </w:rPr>
        <w:t>2 define the function of and expand the indicative list of, phrases that may be considered unjust</w:t>
      </w:r>
      <w:r w:rsidR="005A26E3">
        <w:rPr>
          <w:rFonts w:ascii="Times New Roman" w:hAnsi="Times New Roman" w:cs="Times New Roman"/>
          <w:sz w:val="24"/>
          <w:szCs w:val="24"/>
        </w:rPr>
        <w:t xml:space="preserve"> (Conway, 2021)</w:t>
      </w:r>
      <w:r w:rsidR="00325BF1" w:rsidRPr="00325BF1">
        <w:rPr>
          <w:rFonts w:ascii="Times New Roman" w:hAnsi="Times New Roman" w:cs="Times New Roman"/>
          <w:sz w:val="24"/>
          <w:szCs w:val="24"/>
        </w:rPr>
        <w:t>.</w:t>
      </w:r>
      <w:r w:rsidR="00B04824">
        <w:rPr>
          <w:rFonts w:ascii="Times New Roman" w:hAnsi="Times New Roman" w:cs="Times New Roman"/>
          <w:sz w:val="24"/>
          <w:szCs w:val="24"/>
        </w:rPr>
        <w:t xml:space="preserve"> </w:t>
      </w:r>
      <w:r w:rsidR="00E20229" w:rsidRPr="00E20229">
        <w:rPr>
          <w:rFonts w:ascii="Times New Roman" w:hAnsi="Times New Roman" w:cs="Times New Roman"/>
          <w:sz w:val="24"/>
          <w:szCs w:val="24"/>
        </w:rPr>
        <w:t xml:space="preserve">The fairness test, on the other hand, has undergone considerable revisions, with a greater emphasis on prominence and openness. </w:t>
      </w:r>
      <w:r w:rsidR="00B12165">
        <w:rPr>
          <w:rFonts w:ascii="Times New Roman" w:hAnsi="Times New Roman" w:cs="Times New Roman"/>
          <w:sz w:val="24"/>
          <w:szCs w:val="24"/>
        </w:rPr>
        <w:t>According to Conway (2021), t</w:t>
      </w:r>
      <w:r w:rsidR="00E20229" w:rsidRPr="00E20229">
        <w:rPr>
          <w:rFonts w:ascii="Times New Roman" w:hAnsi="Times New Roman" w:cs="Times New Roman"/>
          <w:sz w:val="24"/>
          <w:szCs w:val="24"/>
        </w:rPr>
        <w:t>he transparency requirement largely repeats the current legislation for the term to be "plain and intelligible language," but the prominence test is a new and welcome addition, requiring that a term be "brought to the consumer's attention in such a way that an average consumer would be aware of the term."</w:t>
      </w:r>
      <w:r w:rsidR="00E20229">
        <w:rPr>
          <w:rFonts w:ascii="Times New Roman" w:hAnsi="Times New Roman" w:cs="Times New Roman"/>
          <w:sz w:val="24"/>
          <w:szCs w:val="24"/>
        </w:rPr>
        <w:t xml:space="preserve"> </w:t>
      </w:r>
      <w:r w:rsidR="00E20229" w:rsidRPr="00E20229">
        <w:rPr>
          <w:rFonts w:ascii="Times New Roman" w:hAnsi="Times New Roman" w:cs="Times New Roman"/>
          <w:sz w:val="24"/>
          <w:szCs w:val="24"/>
        </w:rPr>
        <w:t>There is hope that this would simplify contractual writing while also offering further protection for consumers, as it was previously considered that just because terms were written in plain and understandable English did not guarantee the customer was aware of them.</w:t>
      </w:r>
      <w:r w:rsidR="00E20229">
        <w:rPr>
          <w:rFonts w:ascii="Times New Roman" w:hAnsi="Times New Roman" w:cs="Times New Roman"/>
          <w:sz w:val="24"/>
          <w:szCs w:val="24"/>
        </w:rPr>
        <w:t xml:space="preserve"> </w:t>
      </w:r>
      <w:r w:rsidR="00E20229" w:rsidRPr="00E20229">
        <w:rPr>
          <w:rFonts w:ascii="Times New Roman" w:hAnsi="Times New Roman" w:cs="Times New Roman"/>
          <w:sz w:val="24"/>
          <w:szCs w:val="24"/>
        </w:rPr>
        <w:t xml:space="preserve">The law of unfair terms is a never-ending story of varying judgements from UK Courts, notably concerning the transparency of conditions. </w:t>
      </w:r>
      <w:r w:rsidR="00B76932" w:rsidRPr="00B76932">
        <w:rPr>
          <w:rFonts w:ascii="Times New Roman" w:hAnsi="Times New Roman" w:cs="Times New Roman"/>
          <w:sz w:val="24"/>
          <w:szCs w:val="24"/>
        </w:rPr>
        <w:t>Part 2 of the CRA (2015) examined issues relating to unfair terms and the fairness test; the CRA was effective in overcoming misconceptions about the interpretation of 'plain and ineligible language,' the condition of prominence was invented; even if a statement was obvious and simple enough for the customer to understand, it still needed to be presented to the consumer's attention, a necessity that had not yet been acknowledged.</w:t>
      </w:r>
      <w:r w:rsidR="00E20229">
        <w:rPr>
          <w:rFonts w:ascii="Times New Roman" w:hAnsi="Times New Roman" w:cs="Times New Roman"/>
          <w:sz w:val="24"/>
          <w:szCs w:val="24"/>
        </w:rPr>
        <w:t xml:space="preserve"> </w:t>
      </w:r>
      <w:r w:rsidR="00131826" w:rsidRPr="00131826">
        <w:rPr>
          <w:rFonts w:ascii="Times New Roman" w:hAnsi="Times New Roman" w:cs="Times New Roman"/>
          <w:sz w:val="24"/>
          <w:szCs w:val="24"/>
        </w:rPr>
        <w:t>In addition, the CRA (2015) adds certain clauses to the '</w:t>
      </w:r>
      <w:r w:rsidR="00131826">
        <w:rPr>
          <w:rFonts w:ascii="Times New Roman" w:hAnsi="Times New Roman" w:cs="Times New Roman"/>
          <w:sz w:val="24"/>
          <w:szCs w:val="24"/>
        </w:rPr>
        <w:t>grey list</w:t>
      </w:r>
      <w:r w:rsidR="00131826" w:rsidRPr="00131826">
        <w:rPr>
          <w:rFonts w:ascii="Times New Roman" w:hAnsi="Times New Roman" w:cs="Times New Roman"/>
          <w:sz w:val="24"/>
          <w:szCs w:val="24"/>
        </w:rPr>
        <w:t xml:space="preserve">.' The grey list is a list of conditions in consumer contracts that are considered to be unjust. </w:t>
      </w:r>
      <w:r w:rsidR="004747A6" w:rsidRPr="004747A6">
        <w:rPr>
          <w:rFonts w:ascii="Times New Roman" w:hAnsi="Times New Roman" w:cs="Times New Roman"/>
          <w:sz w:val="24"/>
          <w:szCs w:val="24"/>
        </w:rPr>
        <w:t>Whereas conditions can be considered unfair even if they are not on the grey list, and a condition on the list may be declared fair without seeking jurisdiction, the guide alerts consumers to conditions that are more likely to be deemed unreasonable. The CRA</w:t>
      </w:r>
      <w:r w:rsidR="004747A6">
        <w:rPr>
          <w:rFonts w:ascii="Times New Roman" w:hAnsi="Times New Roman" w:cs="Times New Roman"/>
          <w:sz w:val="24"/>
          <w:szCs w:val="24"/>
        </w:rPr>
        <w:t xml:space="preserve"> (2015)</w:t>
      </w:r>
      <w:r w:rsidR="004747A6" w:rsidRPr="004747A6">
        <w:rPr>
          <w:rFonts w:ascii="Times New Roman" w:hAnsi="Times New Roman" w:cs="Times New Roman"/>
          <w:sz w:val="24"/>
          <w:szCs w:val="24"/>
        </w:rPr>
        <w:t xml:space="preserve"> included these additional terms to the grey list, but it was deemed a drafting </w:t>
      </w:r>
      <w:r w:rsidR="004747A6" w:rsidRPr="004747A6">
        <w:rPr>
          <w:rFonts w:ascii="Times New Roman" w:hAnsi="Times New Roman" w:cs="Times New Roman"/>
          <w:sz w:val="24"/>
          <w:szCs w:val="24"/>
        </w:rPr>
        <w:lastRenderedPageBreak/>
        <w:t>modification rather than a substantive change because it managed to remain mostly unchanged from the UTCCR grey list.</w:t>
      </w:r>
    </w:p>
    <w:p w14:paraId="1E548A9E" w14:textId="105AA0E4" w:rsidR="00085310" w:rsidRDefault="0003780C" w:rsidP="003E28B0">
      <w:pPr>
        <w:spacing w:line="360" w:lineRule="auto"/>
        <w:ind w:firstLine="720"/>
        <w:jc w:val="both"/>
        <w:rPr>
          <w:rFonts w:ascii="Times New Roman" w:hAnsi="Times New Roman" w:cs="Times New Roman"/>
          <w:sz w:val="24"/>
          <w:szCs w:val="24"/>
        </w:rPr>
      </w:pPr>
      <w:r w:rsidRPr="0003780C">
        <w:rPr>
          <w:rFonts w:ascii="Times New Roman" w:hAnsi="Times New Roman" w:cs="Times New Roman"/>
          <w:sz w:val="24"/>
          <w:szCs w:val="24"/>
        </w:rPr>
        <w:t>The CRA (2015) has several advantages, with the primary modifications being the strengthening and standardisation of consumer remedies for counterfeits, as well as the addition of specific brand-new consumer rights and remedies for defective services or digital content</w:t>
      </w:r>
      <w:r>
        <w:rPr>
          <w:rFonts w:ascii="Times New Roman" w:hAnsi="Times New Roman" w:cs="Times New Roman"/>
          <w:sz w:val="24"/>
          <w:szCs w:val="24"/>
        </w:rPr>
        <w:t xml:space="preserve"> </w:t>
      </w:r>
      <w:r w:rsidR="00065294">
        <w:rPr>
          <w:rFonts w:ascii="Times New Roman" w:hAnsi="Times New Roman" w:cs="Times New Roman"/>
          <w:sz w:val="24"/>
          <w:szCs w:val="24"/>
        </w:rPr>
        <w:t>(Smith, 2015)</w:t>
      </w:r>
      <w:r w:rsidR="005667BA">
        <w:rPr>
          <w:rFonts w:ascii="Times New Roman" w:hAnsi="Times New Roman" w:cs="Times New Roman"/>
          <w:sz w:val="24"/>
          <w:szCs w:val="24"/>
        </w:rPr>
        <w:t xml:space="preserve">. </w:t>
      </w:r>
      <w:r w:rsidR="00743944" w:rsidRPr="00743944">
        <w:rPr>
          <w:rFonts w:ascii="Times New Roman" w:hAnsi="Times New Roman" w:cs="Times New Roman"/>
          <w:sz w:val="24"/>
          <w:szCs w:val="24"/>
        </w:rPr>
        <w:t xml:space="preserve">Consumers' rights to products are retained and expanded under the CRA (2015). </w:t>
      </w:r>
      <w:r w:rsidR="00CC539B" w:rsidRPr="00CC539B">
        <w:rPr>
          <w:rFonts w:ascii="Times New Roman" w:hAnsi="Times New Roman" w:cs="Times New Roman"/>
          <w:sz w:val="24"/>
          <w:szCs w:val="24"/>
        </w:rPr>
        <w:t>Products must be of high quality, fit for the consumer's original intention, be as promised, and match any sample viewed or inspected before purchase. As discussed previously, it contains a 30-day right to reject defective items and receive a full refund, the right to repair or replace, the right to a price reduction, and the last right to refuse.</w:t>
      </w:r>
      <w:r w:rsidR="00CC539B">
        <w:rPr>
          <w:rFonts w:ascii="Times New Roman" w:hAnsi="Times New Roman" w:cs="Times New Roman"/>
          <w:sz w:val="24"/>
          <w:szCs w:val="24"/>
        </w:rPr>
        <w:t xml:space="preserve"> </w:t>
      </w:r>
      <w:r w:rsidR="00743944" w:rsidRPr="00743944">
        <w:rPr>
          <w:rFonts w:ascii="Times New Roman" w:hAnsi="Times New Roman" w:cs="Times New Roman"/>
          <w:sz w:val="24"/>
          <w:szCs w:val="24"/>
        </w:rPr>
        <w:t xml:space="preserve">There is a limit to how many repairs or replacements of poor items may be made before the dealer has </w:t>
      </w:r>
      <w:r w:rsidR="00743944">
        <w:rPr>
          <w:rFonts w:ascii="Times New Roman" w:hAnsi="Times New Roman" w:cs="Times New Roman"/>
          <w:sz w:val="24"/>
          <w:szCs w:val="24"/>
        </w:rPr>
        <w:t>offered</w:t>
      </w:r>
      <w:r w:rsidR="00743944" w:rsidRPr="00743944">
        <w:rPr>
          <w:rFonts w:ascii="Times New Roman" w:hAnsi="Times New Roman" w:cs="Times New Roman"/>
          <w:sz w:val="24"/>
          <w:szCs w:val="24"/>
        </w:rPr>
        <w:t xml:space="preserve"> some money back.</w:t>
      </w:r>
      <w:r w:rsidR="00743944">
        <w:rPr>
          <w:rFonts w:ascii="Times New Roman" w:hAnsi="Times New Roman" w:cs="Times New Roman"/>
          <w:sz w:val="24"/>
          <w:szCs w:val="24"/>
        </w:rPr>
        <w:t xml:space="preserve"> </w:t>
      </w:r>
      <w:r w:rsidR="00743944" w:rsidRPr="00743944">
        <w:rPr>
          <w:rFonts w:ascii="Times New Roman" w:hAnsi="Times New Roman" w:cs="Times New Roman"/>
          <w:sz w:val="24"/>
          <w:szCs w:val="24"/>
        </w:rPr>
        <w:t xml:space="preserve">In most situations, if items cannot be fixed or replaced within the first six months, the consumer is entitled to a complete refund. Aside from that, according to the Consumer Rights Act </w:t>
      </w:r>
      <w:r w:rsidR="003E28B0">
        <w:rPr>
          <w:rFonts w:ascii="Times New Roman" w:hAnsi="Times New Roman" w:cs="Times New Roman"/>
          <w:sz w:val="24"/>
          <w:szCs w:val="24"/>
        </w:rPr>
        <w:t>(</w:t>
      </w:r>
      <w:r w:rsidR="00743944" w:rsidRPr="00743944">
        <w:rPr>
          <w:rFonts w:ascii="Times New Roman" w:hAnsi="Times New Roman" w:cs="Times New Roman"/>
          <w:sz w:val="24"/>
          <w:szCs w:val="24"/>
        </w:rPr>
        <w:t>2015</w:t>
      </w:r>
      <w:r w:rsidR="003E28B0">
        <w:rPr>
          <w:rFonts w:ascii="Times New Roman" w:hAnsi="Times New Roman" w:cs="Times New Roman"/>
          <w:sz w:val="24"/>
          <w:szCs w:val="24"/>
        </w:rPr>
        <w:t>)</w:t>
      </w:r>
      <w:r w:rsidR="00743944" w:rsidRPr="00743944">
        <w:rPr>
          <w:rFonts w:ascii="Times New Roman" w:hAnsi="Times New Roman" w:cs="Times New Roman"/>
          <w:sz w:val="24"/>
          <w:szCs w:val="24"/>
        </w:rPr>
        <w:t xml:space="preserve">, </w:t>
      </w:r>
      <w:r w:rsidR="00E075E8">
        <w:rPr>
          <w:rFonts w:ascii="Times New Roman" w:hAnsi="Times New Roman" w:cs="Times New Roman"/>
          <w:sz w:val="24"/>
          <w:szCs w:val="24"/>
        </w:rPr>
        <w:t>anything is written or oral</w:t>
      </w:r>
      <w:r w:rsidR="00743944" w:rsidRPr="00743944">
        <w:rPr>
          <w:rFonts w:ascii="Times New Roman" w:hAnsi="Times New Roman" w:cs="Times New Roman"/>
          <w:sz w:val="24"/>
          <w:szCs w:val="24"/>
        </w:rPr>
        <w:t xml:space="preserve"> to the consumer about the trades or the service by or on behalf of the trader that the </w:t>
      </w:r>
      <w:r w:rsidR="00632C9C" w:rsidRPr="00632C9C">
        <w:rPr>
          <w:rFonts w:ascii="Times New Roman" w:hAnsi="Times New Roman" w:cs="Times New Roman"/>
          <w:sz w:val="24"/>
          <w:szCs w:val="24"/>
        </w:rPr>
        <w:t xml:space="preserve">term of the contract is anything that the consumer considers while determining </w:t>
      </w:r>
      <w:r w:rsidR="006B78B4" w:rsidRPr="006B78B4">
        <w:rPr>
          <w:rFonts w:ascii="Times New Roman" w:hAnsi="Times New Roman" w:cs="Times New Roman"/>
          <w:sz w:val="24"/>
          <w:szCs w:val="24"/>
        </w:rPr>
        <w:t>whether to get into the contract or while selecting the service</w:t>
      </w:r>
      <w:r w:rsidR="00632C9C" w:rsidRPr="00632C9C">
        <w:rPr>
          <w:rFonts w:ascii="Times New Roman" w:hAnsi="Times New Roman" w:cs="Times New Roman"/>
          <w:sz w:val="24"/>
          <w:szCs w:val="24"/>
        </w:rPr>
        <w:t xml:space="preserve"> thereafter.</w:t>
      </w:r>
      <w:r w:rsidR="00632C9C">
        <w:rPr>
          <w:rFonts w:ascii="Times New Roman" w:hAnsi="Times New Roman" w:cs="Times New Roman"/>
          <w:sz w:val="24"/>
          <w:szCs w:val="24"/>
        </w:rPr>
        <w:t xml:space="preserve"> </w:t>
      </w:r>
      <w:r w:rsidR="00743944" w:rsidRPr="00743944">
        <w:rPr>
          <w:rFonts w:ascii="Times New Roman" w:hAnsi="Times New Roman" w:cs="Times New Roman"/>
          <w:sz w:val="24"/>
          <w:szCs w:val="24"/>
        </w:rPr>
        <w:t xml:space="preserve">Additionally, the Consumer Rights Act </w:t>
      </w:r>
      <w:r w:rsidR="006A4A92">
        <w:rPr>
          <w:rFonts w:ascii="Times New Roman" w:hAnsi="Times New Roman" w:cs="Times New Roman"/>
          <w:sz w:val="24"/>
          <w:szCs w:val="24"/>
        </w:rPr>
        <w:t>(</w:t>
      </w:r>
      <w:r w:rsidR="00743944" w:rsidRPr="00743944">
        <w:rPr>
          <w:rFonts w:ascii="Times New Roman" w:hAnsi="Times New Roman" w:cs="Times New Roman"/>
          <w:sz w:val="24"/>
          <w:szCs w:val="24"/>
        </w:rPr>
        <w:t>2015</w:t>
      </w:r>
      <w:r w:rsidR="006A4A92">
        <w:rPr>
          <w:rFonts w:ascii="Times New Roman" w:hAnsi="Times New Roman" w:cs="Times New Roman"/>
          <w:sz w:val="24"/>
          <w:szCs w:val="24"/>
        </w:rPr>
        <w:t>)</w:t>
      </w:r>
      <w:r w:rsidR="00743944" w:rsidRPr="00743944">
        <w:rPr>
          <w:rFonts w:ascii="Times New Roman" w:hAnsi="Times New Roman" w:cs="Times New Roman"/>
          <w:sz w:val="24"/>
          <w:szCs w:val="24"/>
        </w:rPr>
        <w:t xml:space="preserve"> has a disadvantage in that Section 1 of the Act states that Part 1 of the Act applies "where there is an agreement between a trader and a consumer if the arrangement constitutes a contract." It goes on to say that a contract can be written, oral, or inferred by the actions of the parties</w:t>
      </w:r>
      <w:r w:rsidR="00743944">
        <w:rPr>
          <w:rFonts w:ascii="Times New Roman" w:hAnsi="Times New Roman" w:cs="Times New Roman"/>
          <w:sz w:val="24"/>
          <w:szCs w:val="24"/>
        </w:rPr>
        <w:t xml:space="preserve"> </w:t>
      </w:r>
      <w:r w:rsidR="00504AF6">
        <w:rPr>
          <w:rFonts w:ascii="Times New Roman" w:hAnsi="Times New Roman" w:cs="Times New Roman"/>
          <w:sz w:val="24"/>
          <w:szCs w:val="24"/>
        </w:rPr>
        <w:t>(</w:t>
      </w:r>
      <w:proofErr w:type="spellStart"/>
      <w:r w:rsidR="00504AF6">
        <w:rPr>
          <w:rFonts w:ascii="Times New Roman" w:hAnsi="Times New Roman" w:cs="Times New Roman"/>
          <w:sz w:val="24"/>
          <w:szCs w:val="24"/>
        </w:rPr>
        <w:t>Rozenberg</w:t>
      </w:r>
      <w:proofErr w:type="spellEnd"/>
      <w:r w:rsidR="00504AF6">
        <w:rPr>
          <w:rFonts w:ascii="Times New Roman" w:hAnsi="Times New Roman" w:cs="Times New Roman"/>
          <w:sz w:val="24"/>
          <w:szCs w:val="24"/>
        </w:rPr>
        <w:t>, 2015)</w:t>
      </w:r>
      <w:r w:rsidR="00F11889">
        <w:rPr>
          <w:rFonts w:ascii="Times New Roman" w:hAnsi="Times New Roman" w:cs="Times New Roman"/>
          <w:sz w:val="24"/>
          <w:szCs w:val="24"/>
        </w:rPr>
        <w:t xml:space="preserve">. </w:t>
      </w:r>
      <w:r w:rsidR="00743944" w:rsidRPr="00743944">
        <w:rPr>
          <w:rFonts w:ascii="Times New Roman" w:hAnsi="Times New Roman" w:cs="Times New Roman"/>
          <w:sz w:val="24"/>
          <w:szCs w:val="24"/>
        </w:rPr>
        <w:t xml:space="preserve">The </w:t>
      </w:r>
      <w:r w:rsidR="00E322C9">
        <w:rPr>
          <w:rFonts w:ascii="Times New Roman" w:hAnsi="Times New Roman" w:cs="Times New Roman"/>
          <w:sz w:val="24"/>
          <w:szCs w:val="24"/>
        </w:rPr>
        <w:t>disadvantage</w:t>
      </w:r>
      <w:r w:rsidR="00743944" w:rsidRPr="00743944">
        <w:rPr>
          <w:rFonts w:ascii="Times New Roman" w:hAnsi="Times New Roman" w:cs="Times New Roman"/>
          <w:sz w:val="24"/>
          <w:szCs w:val="24"/>
        </w:rPr>
        <w:t xml:space="preserve"> of the Act is that customers must recollect what </w:t>
      </w:r>
      <w:r w:rsidR="00A31EEE">
        <w:rPr>
          <w:rFonts w:ascii="Times New Roman" w:hAnsi="Times New Roman" w:cs="Times New Roman"/>
          <w:sz w:val="24"/>
          <w:szCs w:val="24"/>
        </w:rPr>
        <w:t>an</w:t>
      </w:r>
      <w:r w:rsidR="00743944" w:rsidRPr="00743944">
        <w:rPr>
          <w:rFonts w:ascii="Times New Roman" w:hAnsi="Times New Roman" w:cs="Times New Roman"/>
          <w:sz w:val="24"/>
          <w:szCs w:val="24"/>
        </w:rPr>
        <w:t xml:space="preserve"> 'offer,' 'acceptance,' and 'consideration' are.</w:t>
      </w:r>
    </w:p>
    <w:p w14:paraId="7CF7F08E" w14:textId="6073A1AE" w:rsidR="00E03556" w:rsidRDefault="00865BA3" w:rsidP="00E0355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conclusion, </w:t>
      </w:r>
      <w:r w:rsidR="00A31EEE">
        <w:rPr>
          <w:rFonts w:ascii="Times New Roman" w:hAnsi="Times New Roman" w:cs="Times New Roman"/>
          <w:sz w:val="24"/>
          <w:szCs w:val="24"/>
        </w:rPr>
        <w:t>t</w:t>
      </w:r>
      <w:r w:rsidR="00A31EEE" w:rsidRPr="00A31EEE">
        <w:rPr>
          <w:rFonts w:ascii="Times New Roman" w:hAnsi="Times New Roman" w:cs="Times New Roman"/>
          <w:sz w:val="24"/>
          <w:szCs w:val="24"/>
        </w:rPr>
        <w:t xml:space="preserve">he CRA (2015) achieved and failed in a variety of areas. The Act accomplished its goal of integrating significant sections of existing legislation, but when it came to additional </w:t>
      </w:r>
      <w:r w:rsidR="0071709B">
        <w:rPr>
          <w:rFonts w:ascii="Times New Roman" w:hAnsi="Times New Roman" w:cs="Times New Roman"/>
          <w:sz w:val="24"/>
          <w:szCs w:val="24"/>
        </w:rPr>
        <w:t>consumer protections</w:t>
      </w:r>
      <w:r w:rsidR="00A31EEE" w:rsidRPr="00A31EEE">
        <w:rPr>
          <w:rFonts w:ascii="Times New Roman" w:hAnsi="Times New Roman" w:cs="Times New Roman"/>
          <w:sz w:val="24"/>
          <w:szCs w:val="24"/>
        </w:rPr>
        <w:t xml:space="preserve">, many of these were just restatements of </w:t>
      </w:r>
      <w:r w:rsidR="00D56F1B">
        <w:rPr>
          <w:rFonts w:ascii="Times New Roman" w:hAnsi="Times New Roman" w:cs="Times New Roman"/>
          <w:sz w:val="24"/>
          <w:szCs w:val="24"/>
        </w:rPr>
        <w:t>rights that were previously accessible under prior statutes</w:t>
      </w:r>
      <w:r w:rsidR="00A31EEE" w:rsidRPr="00A31EEE">
        <w:rPr>
          <w:rFonts w:ascii="Times New Roman" w:hAnsi="Times New Roman" w:cs="Times New Roman"/>
          <w:sz w:val="24"/>
          <w:szCs w:val="24"/>
        </w:rPr>
        <w:t>.</w:t>
      </w:r>
      <w:r>
        <w:rPr>
          <w:rFonts w:ascii="Times New Roman" w:hAnsi="Times New Roman" w:cs="Times New Roman"/>
          <w:sz w:val="24"/>
          <w:szCs w:val="24"/>
        </w:rPr>
        <w:t xml:space="preserve"> </w:t>
      </w:r>
      <w:r w:rsidR="00EB4337" w:rsidRPr="00EB4337">
        <w:rPr>
          <w:rFonts w:ascii="Times New Roman" w:hAnsi="Times New Roman" w:cs="Times New Roman"/>
          <w:sz w:val="24"/>
          <w:szCs w:val="24"/>
        </w:rPr>
        <w:t xml:space="preserve">While the act acknowledged consumer rights in digital media, it left several aspects of law </w:t>
      </w:r>
      <w:r w:rsidR="00486F0B">
        <w:rPr>
          <w:rFonts w:ascii="Times New Roman" w:hAnsi="Times New Roman" w:cs="Times New Roman"/>
          <w:sz w:val="24"/>
          <w:szCs w:val="24"/>
        </w:rPr>
        <w:t>undecided,</w:t>
      </w:r>
      <w:r w:rsidR="00EB4337" w:rsidRPr="00EB4337">
        <w:rPr>
          <w:rFonts w:ascii="Times New Roman" w:hAnsi="Times New Roman" w:cs="Times New Roman"/>
          <w:sz w:val="24"/>
          <w:szCs w:val="24"/>
        </w:rPr>
        <w:t xml:space="preserve"> including </w:t>
      </w:r>
      <w:r w:rsidR="00D56F1B">
        <w:rPr>
          <w:rFonts w:ascii="Times New Roman" w:hAnsi="Times New Roman" w:cs="Times New Roman"/>
          <w:sz w:val="24"/>
          <w:szCs w:val="24"/>
        </w:rPr>
        <w:t>there is no legislation governing consumer-to-consumer or business-to-business contracts</w:t>
      </w:r>
      <w:r w:rsidR="00EB4337" w:rsidRPr="00EB4337">
        <w:rPr>
          <w:rFonts w:ascii="Times New Roman" w:hAnsi="Times New Roman" w:cs="Times New Roman"/>
          <w:sz w:val="24"/>
          <w:szCs w:val="24"/>
        </w:rPr>
        <w:t>. Finally, in Part 2 of the act, ambiguity over the precondition of emergence was discussed, but so-called "expansions" to the grey list were not considerably different from the ones in the UTCCRs</w:t>
      </w:r>
      <w:r w:rsidR="00C61199">
        <w:rPr>
          <w:rFonts w:ascii="Times New Roman" w:hAnsi="Times New Roman" w:cs="Times New Roman"/>
          <w:sz w:val="24"/>
          <w:szCs w:val="24"/>
        </w:rPr>
        <w:t xml:space="preserve"> (Conway, 2021)</w:t>
      </w:r>
      <w:r w:rsidR="00146139" w:rsidRPr="00146139">
        <w:rPr>
          <w:rFonts w:ascii="Times New Roman" w:hAnsi="Times New Roman" w:cs="Times New Roman"/>
          <w:sz w:val="24"/>
          <w:szCs w:val="24"/>
        </w:rPr>
        <w:t>.</w:t>
      </w:r>
      <w:r w:rsidR="00B57000">
        <w:rPr>
          <w:rFonts w:ascii="Times New Roman" w:hAnsi="Times New Roman" w:cs="Times New Roman"/>
          <w:sz w:val="24"/>
          <w:szCs w:val="24"/>
        </w:rPr>
        <w:t xml:space="preserve"> </w:t>
      </w:r>
      <w:r w:rsidR="00146139" w:rsidRPr="00146139">
        <w:rPr>
          <w:rFonts w:ascii="Times New Roman" w:hAnsi="Times New Roman" w:cs="Times New Roman"/>
          <w:sz w:val="24"/>
          <w:szCs w:val="24"/>
        </w:rPr>
        <w:t xml:space="preserve">Finally, the Consumer Rights Act 2015's goals for digital material may have been met because all systems have been digitalized. This can guarantee that the </w:t>
      </w:r>
      <w:r w:rsidR="00A753C6">
        <w:rPr>
          <w:rFonts w:ascii="Times New Roman" w:hAnsi="Times New Roman" w:cs="Times New Roman"/>
          <w:sz w:val="24"/>
          <w:szCs w:val="24"/>
        </w:rPr>
        <w:t>objectives of the Consumer Rights Act (2015) have been</w:t>
      </w:r>
      <w:r w:rsidR="00146139" w:rsidRPr="00146139">
        <w:rPr>
          <w:rFonts w:ascii="Times New Roman" w:hAnsi="Times New Roman" w:cs="Times New Roman"/>
          <w:sz w:val="24"/>
          <w:szCs w:val="24"/>
        </w:rPr>
        <w:t xml:space="preserve"> met.</w:t>
      </w:r>
      <w:r w:rsidR="0055444C">
        <w:rPr>
          <w:rFonts w:ascii="Times New Roman" w:hAnsi="Times New Roman" w:cs="Times New Roman"/>
          <w:sz w:val="24"/>
          <w:szCs w:val="24"/>
        </w:rPr>
        <w:t xml:space="preserve"> </w:t>
      </w:r>
      <w:r w:rsidR="006B2683" w:rsidRPr="006B2683">
        <w:rPr>
          <w:rFonts w:ascii="Times New Roman" w:hAnsi="Times New Roman" w:cs="Times New Roman"/>
          <w:sz w:val="24"/>
          <w:szCs w:val="24"/>
        </w:rPr>
        <w:t xml:space="preserve">Some recommendations can be made, such as the courts not interfering with pricing that </w:t>
      </w:r>
      <w:r w:rsidR="00274F9A">
        <w:rPr>
          <w:rFonts w:ascii="Times New Roman" w:hAnsi="Times New Roman" w:cs="Times New Roman"/>
          <w:sz w:val="24"/>
          <w:szCs w:val="24"/>
        </w:rPr>
        <w:t>is</w:t>
      </w:r>
      <w:r w:rsidR="006B2683" w:rsidRPr="006B2683">
        <w:rPr>
          <w:rFonts w:ascii="Times New Roman" w:hAnsi="Times New Roman" w:cs="Times New Roman"/>
          <w:sz w:val="24"/>
          <w:szCs w:val="24"/>
        </w:rPr>
        <w:t xml:space="preserve"> transparent and visible. However, if revisions are hidden into </w:t>
      </w:r>
      <w:r w:rsidR="006B2683" w:rsidRPr="006B2683">
        <w:rPr>
          <w:rFonts w:ascii="Times New Roman" w:hAnsi="Times New Roman" w:cs="Times New Roman"/>
          <w:sz w:val="24"/>
          <w:szCs w:val="24"/>
        </w:rPr>
        <w:lastRenderedPageBreak/>
        <w:t>the fine print, the courts should have the authority to judge their fairness. Part 2 contains information about the Unfair Terms under Consumer Rights Act.</w:t>
      </w:r>
    </w:p>
    <w:p w14:paraId="130CB14F" w14:textId="77777777" w:rsidR="00A9023B" w:rsidRDefault="00A9023B" w:rsidP="00E03556">
      <w:pPr>
        <w:spacing w:line="360" w:lineRule="auto"/>
        <w:jc w:val="both"/>
        <w:rPr>
          <w:rFonts w:ascii="Times New Roman" w:hAnsi="Times New Roman" w:cs="Times New Roman"/>
          <w:b/>
          <w:bCs/>
          <w:sz w:val="24"/>
          <w:szCs w:val="24"/>
        </w:rPr>
      </w:pPr>
    </w:p>
    <w:p w14:paraId="7A8AE61A" w14:textId="77777777" w:rsidR="00A9023B" w:rsidRDefault="00A9023B" w:rsidP="00E03556">
      <w:pPr>
        <w:spacing w:line="360" w:lineRule="auto"/>
        <w:jc w:val="both"/>
        <w:rPr>
          <w:rFonts w:ascii="Times New Roman" w:hAnsi="Times New Roman" w:cs="Times New Roman"/>
          <w:b/>
          <w:bCs/>
          <w:sz w:val="24"/>
          <w:szCs w:val="24"/>
        </w:rPr>
      </w:pPr>
    </w:p>
    <w:p w14:paraId="4E997F42" w14:textId="77777777" w:rsidR="00A9023B" w:rsidRDefault="00A9023B" w:rsidP="00E03556">
      <w:pPr>
        <w:spacing w:line="360" w:lineRule="auto"/>
        <w:jc w:val="both"/>
        <w:rPr>
          <w:rFonts w:ascii="Times New Roman" w:hAnsi="Times New Roman" w:cs="Times New Roman"/>
          <w:b/>
          <w:bCs/>
          <w:sz w:val="24"/>
          <w:szCs w:val="24"/>
        </w:rPr>
      </w:pPr>
    </w:p>
    <w:p w14:paraId="1EA48E01" w14:textId="77777777" w:rsidR="00A9023B" w:rsidRDefault="00A9023B" w:rsidP="00E03556">
      <w:pPr>
        <w:spacing w:line="360" w:lineRule="auto"/>
        <w:jc w:val="both"/>
        <w:rPr>
          <w:rFonts w:ascii="Times New Roman" w:hAnsi="Times New Roman" w:cs="Times New Roman"/>
          <w:b/>
          <w:bCs/>
          <w:sz w:val="24"/>
          <w:szCs w:val="24"/>
        </w:rPr>
      </w:pPr>
    </w:p>
    <w:p w14:paraId="5562196A" w14:textId="77777777" w:rsidR="00A9023B" w:rsidRDefault="00A9023B" w:rsidP="00E03556">
      <w:pPr>
        <w:spacing w:line="360" w:lineRule="auto"/>
        <w:jc w:val="both"/>
        <w:rPr>
          <w:rFonts w:ascii="Times New Roman" w:hAnsi="Times New Roman" w:cs="Times New Roman"/>
          <w:b/>
          <w:bCs/>
          <w:sz w:val="24"/>
          <w:szCs w:val="24"/>
        </w:rPr>
      </w:pPr>
    </w:p>
    <w:p w14:paraId="570C8812" w14:textId="77777777" w:rsidR="00A9023B" w:rsidRDefault="00A9023B" w:rsidP="00E03556">
      <w:pPr>
        <w:spacing w:line="360" w:lineRule="auto"/>
        <w:jc w:val="both"/>
        <w:rPr>
          <w:rFonts w:ascii="Times New Roman" w:hAnsi="Times New Roman" w:cs="Times New Roman"/>
          <w:b/>
          <w:bCs/>
          <w:sz w:val="24"/>
          <w:szCs w:val="24"/>
        </w:rPr>
      </w:pPr>
    </w:p>
    <w:p w14:paraId="51322E9D" w14:textId="77777777" w:rsidR="00A9023B" w:rsidRDefault="00A9023B" w:rsidP="00E03556">
      <w:pPr>
        <w:spacing w:line="360" w:lineRule="auto"/>
        <w:jc w:val="both"/>
        <w:rPr>
          <w:rFonts w:ascii="Times New Roman" w:hAnsi="Times New Roman" w:cs="Times New Roman"/>
          <w:b/>
          <w:bCs/>
          <w:sz w:val="24"/>
          <w:szCs w:val="24"/>
        </w:rPr>
      </w:pPr>
    </w:p>
    <w:p w14:paraId="7E9C430A" w14:textId="77777777" w:rsidR="00A9023B" w:rsidRDefault="00A9023B" w:rsidP="00E03556">
      <w:pPr>
        <w:spacing w:line="360" w:lineRule="auto"/>
        <w:jc w:val="both"/>
        <w:rPr>
          <w:rFonts w:ascii="Times New Roman" w:hAnsi="Times New Roman" w:cs="Times New Roman"/>
          <w:b/>
          <w:bCs/>
          <w:sz w:val="24"/>
          <w:szCs w:val="24"/>
        </w:rPr>
      </w:pPr>
    </w:p>
    <w:p w14:paraId="59D45D17" w14:textId="77777777" w:rsidR="00A9023B" w:rsidRDefault="00A9023B" w:rsidP="00E03556">
      <w:pPr>
        <w:spacing w:line="360" w:lineRule="auto"/>
        <w:jc w:val="both"/>
        <w:rPr>
          <w:rFonts w:ascii="Times New Roman" w:hAnsi="Times New Roman" w:cs="Times New Roman"/>
          <w:b/>
          <w:bCs/>
          <w:sz w:val="24"/>
          <w:szCs w:val="24"/>
        </w:rPr>
      </w:pPr>
    </w:p>
    <w:p w14:paraId="11A7AE91" w14:textId="77777777" w:rsidR="00A9023B" w:rsidRDefault="00A9023B" w:rsidP="00E03556">
      <w:pPr>
        <w:spacing w:line="360" w:lineRule="auto"/>
        <w:jc w:val="both"/>
        <w:rPr>
          <w:rFonts w:ascii="Times New Roman" w:hAnsi="Times New Roman" w:cs="Times New Roman"/>
          <w:b/>
          <w:bCs/>
          <w:sz w:val="24"/>
          <w:szCs w:val="24"/>
        </w:rPr>
      </w:pPr>
    </w:p>
    <w:p w14:paraId="1005BB50" w14:textId="77777777" w:rsidR="00A9023B" w:rsidRDefault="00A9023B" w:rsidP="00E03556">
      <w:pPr>
        <w:spacing w:line="360" w:lineRule="auto"/>
        <w:jc w:val="both"/>
        <w:rPr>
          <w:rFonts w:ascii="Times New Roman" w:hAnsi="Times New Roman" w:cs="Times New Roman"/>
          <w:b/>
          <w:bCs/>
          <w:sz w:val="24"/>
          <w:szCs w:val="24"/>
        </w:rPr>
      </w:pPr>
    </w:p>
    <w:p w14:paraId="738B8E7F" w14:textId="77777777" w:rsidR="00A9023B" w:rsidRDefault="00A9023B" w:rsidP="00E03556">
      <w:pPr>
        <w:spacing w:line="360" w:lineRule="auto"/>
        <w:jc w:val="both"/>
        <w:rPr>
          <w:rFonts w:ascii="Times New Roman" w:hAnsi="Times New Roman" w:cs="Times New Roman"/>
          <w:b/>
          <w:bCs/>
          <w:sz w:val="24"/>
          <w:szCs w:val="24"/>
        </w:rPr>
      </w:pPr>
    </w:p>
    <w:p w14:paraId="6A0A5947" w14:textId="77777777" w:rsidR="00A9023B" w:rsidRDefault="00A9023B" w:rsidP="00E03556">
      <w:pPr>
        <w:spacing w:line="360" w:lineRule="auto"/>
        <w:jc w:val="both"/>
        <w:rPr>
          <w:rFonts w:ascii="Times New Roman" w:hAnsi="Times New Roman" w:cs="Times New Roman"/>
          <w:b/>
          <w:bCs/>
          <w:sz w:val="24"/>
          <w:szCs w:val="24"/>
        </w:rPr>
      </w:pPr>
    </w:p>
    <w:p w14:paraId="3F6BDBDB" w14:textId="77777777" w:rsidR="00A9023B" w:rsidRDefault="00A9023B" w:rsidP="00E03556">
      <w:pPr>
        <w:spacing w:line="360" w:lineRule="auto"/>
        <w:jc w:val="both"/>
        <w:rPr>
          <w:rFonts w:ascii="Times New Roman" w:hAnsi="Times New Roman" w:cs="Times New Roman"/>
          <w:b/>
          <w:bCs/>
          <w:sz w:val="24"/>
          <w:szCs w:val="24"/>
        </w:rPr>
      </w:pPr>
    </w:p>
    <w:p w14:paraId="12B29565" w14:textId="77777777" w:rsidR="00A9023B" w:rsidRDefault="00A9023B" w:rsidP="00E03556">
      <w:pPr>
        <w:spacing w:line="360" w:lineRule="auto"/>
        <w:jc w:val="both"/>
        <w:rPr>
          <w:rFonts w:ascii="Times New Roman" w:hAnsi="Times New Roman" w:cs="Times New Roman"/>
          <w:b/>
          <w:bCs/>
          <w:sz w:val="24"/>
          <w:szCs w:val="24"/>
        </w:rPr>
      </w:pPr>
    </w:p>
    <w:p w14:paraId="483D1202" w14:textId="77777777" w:rsidR="00A9023B" w:rsidRDefault="00A9023B" w:rsidP="00E03556">
      <w:pPr>
        <w:spacing w:line="360" w:lineRule="auto"/>
        <w:jc w:val="both"/>
        <w:rPr>
          <w:rFonts w:ascii="Times New Roman" w:hAnsi="Times New Roman" w:cs="Times New Roman"/>
          <w:b/>
          <w:bCs/>
          <w:sz w:val="24"/>
          <w:szCs w:val="24"/>
        </w:rPr>
      </w:pPr>
    </w:p>
    <w:p w14:paraId="1D8B6AB5" w14:textId="77777777" w:rsidR="00A9023B" w:rsidRDefault="00A9023B" w:rsidP="00E03556">
      <w:pPr>
        <w:spacing w:line="360" w:lineRule="auto"/>
        <w:jc w:val="both"/>
        <w:rPr>
          <w:rFonts w:ascii="Times New Roman" w:hAnsi="Times New Roman" w:cs="Times New Roman"/>
          <w:b/>
          <w:bCs/>
          <w:sz w:val="24"/>
          <w:szCs w:val="24"/>
        </w:rPr>
      </w:pPr>
    </w:p>
    <w:p w14:paraId="17162FEE" w14:textId="77777777" w:rsidR="00A9023B" w:rsidRDefault="00A9023B" w:rsidP="00E03556">
      <w:pPr>
        <w:spacing w:line="360" w:lineRule="auto"/>
        <w:jc w:val="both"/>
        <w:rPr>
          <w:rFonts w:ascii="Times New Roman" w:hAnsi="Times New Roman" w:cs="Times New Roman"/>
          <w:b/>
          <w:bCs/>
          <w:sz w:val="24"/>
          <w:szCs w:val="24"/>
        </w:rPr>
      </w:pPr>
    </w:p>
    <w:p w14:paraId="3AA8E4A1" w14:textId="77777777" w:rsidR="00A9023B" w:rsidRDefault="00A9023B" w:rsidP="00E03556">
      <w:pPr>
        <w:spacing w:line="360" w:lineRule="auto"/>
        <w:jc w:val="both"/>
        <w:rPr>
          <w:rFonts w:ascii="Times New Roman" w:hAnsi="Times New Roman" w:cs="Times New Roman"/>
          <w:b/>
          <w:bCs/>
          <w:sz w:val="24"/>
          <w:szCs w:val="24"/>
        </w:rPr>
      </w:pPr>
    </w:p>
    <w:p w14:paraId="4E376DD6" w14:textId="77777777" w:rsidR="00A9023B" w:rsidRDefault="00A9023B" w:rsidP="00E03556">
      <w:pPr>
        <w:spacing w:line="360" w:lineRule="auto"/>
        <w:jc w:val="both"/>
        <w:rPr>
          <w:rFonts w:ascii="Times New Roman" w:hAnsi="Times New Roman" w:cs="Times New Roman"/>
          <w:b/>
          <w:bCs/>
          <w:sz w:val="24"/>
          <w:szCs w:val="24"/>
        </w:rPr>
      </w:pPr>
    </w:p>
    <w:p w14:paraId="4D42DA94" w14:textId="77777777" w:rsidR="00A9023B" w:rsidRDefault="00A9023B" w:rsidP="00E03556">
      <w:pPr>
        <w:spacing w:line="360" w:lineRule="auto"/>
        <w:jc w:val="both"/>
        <w:rPr>
          <w:rFonts w:ascii="Times New Roman" w:hAnsi="Times New Roman" w:cs="Times New Roman"/>
          <w:b/>
          <w:bCs/>
          <w:sz w:val="24"/>
          <w:szCs w:val="24"/>
        </w:rPr>
      </w:pPr>
    </w:p>
    <w:p w14:paraId="523A594B" w14:textId="77777777" w:rsidR="00A9023B" w:rsidRDefault="00A9023B" w:rsidP="00E03556">
      <w:pPr>
        <w:spacing w:line="360" w:lineRule="auto"/>
        <w:jc w:val="both"/>
        <w:rPr>
          <w:rFonts w:ascii="Times New Roman" w:hAnsi="Times New Roman" w:cs="Times New Roman"/>
          <w:b/>
          <w:bCs/>
          <w:sz w:val="24"/>
          <w:szCs w:val="24"/>
        </w:rPr>
      </w:pPr>
    </w:p>
    <w:p w14:paraId="11CD8D83" w14:textId="77777777" w:rsidR="00A9023B" w:rsidRDefault="00A9023B" w:rsidP="00E03556">
      <w:pPr>
        <w:spacing w:line="360" w:lineRule="auto"/>
        <w:jc w:val="both"/>
        <w:rPr>
          <w:rFonts w:ascii="Times New Roman" w:hAnsi="Times New Roman" w:cs="Times New Roman"/>
          <w:b/>
          <w:bCs/>
          <w:sz w:val="24"/>
          <w:szCs w:val="24"/>
        </w:rPr>
      </w:pPr>
    </w:p>
    <w:p w14:paraId="44C87760" w14:textId="15BA89DF" w:rsidR="00E03556" w:rsidRPr="00E03556" w:rsidRDefault="00E03556" w:rsidP="00E03556">
      <w:pPr>
        <w:spacing w:line="360" w:lineRule="auto"/>
        <w:jc w:val="both"/>
        <w:rPr>
          <w:rFonts w:ascii="Times New Roman" w:hAnsi="Times New Roman" w:cs="Times New Roman"/>
          <w:b/>
          <w:bCs/>
          <w:sz w:val="24"/>
          <w:szCs w:val="24"/>
        </w:rPr>
      </w:pPr>
      <w:r w:rsidRPr="00E03556">
        <w:rPr>
          <w:rFonts w:ascii="Times New Roman" w:hAnsi="Times New Roman" w:cs="Times New Roman"/>
          <w:b/>
          <w:bCs/>
          <w:sz w:val="24"/>
          <w:szCs w:val="24"/>
        </w:rPr>
        <w:lastRenderedPageBreak/>
        <w:t>References</w:t>
      </w:r>
    </w:p>
    <w:p w14:paraId="13159D9C" w14:textId="77777777" w:rsidR="00E03556" w:rsidRPr="006A4A92" w:rsidRDefault="00E03556" w:rsidP="00E03556">
      <w:pPr>
        <w:spacing w:line="360" w:lineRule="auto"/>
        <w:jc w:val="both"/>
        <w:rPr>
          <w:rFonts w:ascii="Times New Roman" w:hAnsi="Times New Roman" w:cs="Times New Roman"/>
          <w:sz w:val="24"/>
          <w:szCs w:val="24"/>
        </w:rPr>
      </w:pPr>
      <w:r w:rsidRPr="006A4A92">
        <w:rPr>
          <w:rFonts w:ascii="Times New Roman" w:hAnsi="Times New Roman" w:cs="Times New Roman"/>
          <w:sz w:val="24"/>
          <w:szCs w:val="24"/>
        </w:rPr>
        <w:t>Cartwright, P. (2016) “REDRESS COMPLIANCE AND CHOICE: ENHANCED CONSUMER MEASURES AND THE RETREAT FROM PUNISHMENT IN THE CONSUMER RIGHTS ACT 2015,” </w:t>
      </w:r>
      <w:r w:rsidRPr="006A4A92">
        <w:rPr>
          <w:rFonts w:ascii="Times New Roman" w:hAnsi="Times New Roman" w:cs="Times New Roman"/>
          <w:i/>
          <w:iCs/>
          <w:sz w:val="24"/>
          <w:szCs w:val="24"/>
        </w:rPr>
        <w:t>The Cambridge Law Journal</w:t>
      </w:r>
      <w:r w:rsidRPr="006A4A92">
        <w:rPr>
          <w:rFonts w:ascii="Times New Roman" w:hAnsi="Times New Roman" w:cs="Times New Roman"/>
          <w:sz w:val="24"/>
          <w:szCs w:val="24"/>
        </w:rPr>
        <w:t>, Cambridge University Press, 75(2), pp. 271–300.</w:t>
      </w:r>
    </w:p>
    <w:p w14:paraId="3F4C350D" w14:textId="77777777" w:rsidR="00E03556" w:rsidRPr="006A4A92" w:rsidRDefault="00E03556" w:rsidP="00E03556">
      <w:pPr>
        <w:spacing w:line="360" w:lineRule="auto"/>
        <w:jc w:val="both"/>
        <w:rPr>
          <w:rFonts w:ascii="Times New Roman" w:hAnsi="Times New Roman" w:cs="Times New Roman"/>
          <w:sz w:val="24"/>
          <w:szCs w:val="24"/>
        </w:rPr>
      </w:pPr>
      <w:r w:rsidRPr="006A4A92">
        <w:rPr>
          <w:rFonts w:ascii="Times New Roman" w:hAnsi="Times New Roman" w:cs="Times New Roman"/>
          <w:sz w:val="24"/>
          <w:szCs w:val="24"/>
        </w:rPr>
        <w:t>Conway, L., 2021. </w:t>
      </w:r>
      <w:r w:rsidRPr="006A4A92">
        <w:rPr>
          <w:rFonts w:ascii="Times New Roman" w:hAnsi="Times New Roman" w:cs="Times New Roman"/>
          <w:i/>
          <w:iCs/>
          <w:sz w:val="24"/>
          <w:szCs w:val="24"/>
        </w:rPr>
        <w:t>Consumer Rights Act 2015</w:t>
      </w:r>
      <w:r w:rsidRPr="006A4A92">
        <w:rPr>
          <w:rFonts w:ascii="Times New Roman" w:hAnsi="Times New Roman" w:cs="Times New Roman"/>
          <w:sz w:val="24"/>
          <w:szCs w:val="24"/>
        </w:rPr>
        <w:t xml:space="preserve">. [online] </w:t>
      </w:r>
      <w:proofErr w:type="spellStart"/>
      <w:r w:rsidRPr="006A4A92">
        <w:rPr>
          <w:rFonts w:ascii="Times New Roman" w:hAnsi="Times New Roman" w:cs="Times New Roman"/>
          <w:sz w:val="24"/>
          <w:szCs w:val="24"/>
        </w:rPr>
        <w:t>researchbriefings</w:t>
      </w:r>
      <w:proofErr w:type="spellEnd"/>
      <w:r w:rsidRPr="006A4A92">
        <w:rPr>
          <w:rFonts w:ascii="Times New Roman" w:hAnsi="Times New Roman" w:cs="Times New Roman"/>
          <w:sz w:val="24"/>
          <w:szCs w:val="24"/>
        </w:rPr>
        <w:t>. Available at: &lt;https://researchbriefings.files.parliament.uk/documents/SN06588/SN06588.pdf&gt; [Accessed 3 May 2022].</w:t>
      </w:r>
    </w:p>
    <w:p w14:paraId="699C0338" w14:textId="77777777" w:rsidR="00E03556" w:rsidRPr="006A4A92" w:rsidRDefault="00E03556" w:rsidP="00E03556">
      <w:pPr>
        <w:spacing w:line="360" w:lineRule="auto"/>
        <w:jc w:val="both"/>
        <w:rPr>
          <w:rFonts w:ascii="Times New Roman" w:hAnsi="Times New Roman" w:cs="Times New Roman"/>
          <w:sz w:val="24"/>
          <w:szCs w:val="24"/>
        </w:rPr>
      </w:pPr>
      <w:r w:rsidRPr="006A4A92">
        <w:rPr>
          <w:rFonts w:ascii="Times New Roman" w:hAnsi="Times New Roman" w:cs="Times New Roman"/>
          <w:sz w:val="24"/>
          <w:szCs w:val="24"/>
        </w:rPr>
        <w:t>Emery, Emma Credit Management; Dec 2015; ProQuest Central pg. 3</w:t>
      </w:r>
    </w:p>
    <w:p w14:paraId="213470D5" w14:textId="77777777" w:rsidR="00E03556" w:rsidRPr="006A4A92" w:rsidRDefault="00E03556" w:rsidP="00E03556">
      <w:pPr>
        <w:spacing w:line="360" w:lineRule="auto"/>
        <w:jc w:val="both"/>
        <w:rPr>
          <w:rFonts w:ascii="Times New Roman" w:hAnsi="Times New Roman" w:cs="Times New Roman"/>
          <w:sz w:val="24"/>
          <w:szCs w:val="24"/>
        </w:rPr>
      </w:pPr>
      <w:proofErr w:type="spellStart"/>
      <w:r w:rsidRPr="006A4A92">
        <w:rPr>
          <w:rFonts w:ascii="Times New Roman" w:hAnsi="Times New Roman" w:cs="Times New Roman"/>
          <w:sz w:val="24"/>
          <w:szCs w:val="24"/>
        </w:rPr>
        <w:t>Giliker</w:t>
      </w:r>
      <w:proofErr w:type="spellEnd"/>
      <w:r w:rsidRPr="006A4A92">
        <w:rPr>
          <w:rFonts w:ascii="Times New Roman" w:hAnsi="Times New Roman" w:cs="Times New Roman"/>
          <w:sz w:val="24"/>
          <w:szCs w:val="24"/>
        </w:rPr>
        <w:t>, P. (2017). The Consumer Rights Act 2015 - a bastion of European consumer rights? Legal Studies, 37(1), 78-102. https://doi.org/10.1111/lest.12139</w:t>
      </w:r>
    </w:p>
    <w:p w14:paraId="775EC36E" w14:textId="2D20BE94" w:rsidR="00E03556" w:rsidRDefault="00E03556" w:rsidP="00A9023B">
      <w:pPr>
        <w:spacing w:line="360" w:lineRule="auto"/>
        <w:jc w:val="both"/>
        <w:rPr>
          <w:rFonts w:ascii="Times New Roman" w:hAnsi="Times New Roman" w:cs="Times New Roman"/>
          <w:sz w:val="24"/>
          <w:szCs w:val="24"/>
        </w:rPr>
        <w:sectPr w:rsidR="00E03556">
          <w:pgSz w:w="11906" w:h="16838"/>
          <w:pgMar w:top="1440" w:right="1440" w:bottom="1440" w:left="1440" w:header="708" w:footer="708" w:gutter="0"/>
          <w:cols w:space="708"/>
          <w:docGrid w:linePitch="360"/>
        </w:sectPr>
      </w:pPr>
      <w:r w:rsidRPr="006C0B9F">
        <w:rPr>
          <w:rFonts w:ascii="Times New Roman" w:hAnsi="Times New Roman" w:cs="Times New Roman"/>
          <w:sz w:val="24"/>
          <w:szCs w:val="24"/>
        </w:rPr>
        <w:t>Lawcom.gov.uk. 2015. </w:t>
      </w:r>
      <w:r w:rsidRPr="006C0B9F">
        <w:rPr>
          <w:rFonts w:ascii="Times New Roman" w:hAnsi="Times New Roman" w:cs="Times New Roman"/>
          <w:i/>
          <w:iCs/>
          <w:sz w:val="24"/>
          <w:szCs w:val="24"/>
        </w:rPr>
        <w:t>Consumer Rights | Law Commission</w:t>
      </w:r>
      <w:r w:rsidRPr="006C0B9F">
        <w:rPr>
          <w:rFonts w:ascii="Times New Roman" w:hAnsi="Times New Roman" w:cs="Times New Roman"/>
          <w:sz w:val="24"/>
          <w:szCs w:val="24"/>
        </w:rPr>
        <w:t>. [online] Available at: &lt;https://www.lawcom.gov.uk/consumer-rights/&gt; [Accessed 3 May 2022]</w:t>
      </w:r>
      <w:r w:rsidR="00A9023B">
        <w:rPr>
          <w:rFonts w:ascii="Times New Roman" w:hAnsi="Times New Roman" w:cs="Times New Roman"/>
          <w:sz w:val="24"/>
          <w:szCs w:val="24"/>
        </w:rPr>
        <w:t>.</w:t>
      </w:r>
    </w:p>
    <w:p w14:paraId="097C387E" w14:textId="77777777" w:rsidR="00E03556" w:rsidRPr="00E03556" w:rsidRDefault="00E03556" w:rsidP="00E03556">
      <w:pPr>
        <w:rPr>
          <w:rFonts w:ascii="Times New Roman" w:hAnsi="Times New Roman" w:cs="Times New Roman"/>
          <w:sz w:val="24"/>
          <w:szCs w:val="24"/>
        </w:rPr>
        <w:sectPr w:rsidR="00E03556" w:rsidRPr="00E03556" w:rsidSect="00E03556">
          <w:type w:val="continuous"/>
          <w:pgSz w:w="11906" w:h="16838"/>
          <w:pgMar w:top="1440" w:right="1440" w:bottom="1440" w:left="1440" w:header="708" w:footer="708" w:gutter="0"/>
          <w:cols w:space="708"/>
          <w:docGrid w:linePitch="360"/>
        </w:sectPr>
      </w:pPr>
    </w:p>
    <w:p w14:paraId="7D8FF20B" w14:textId="77777777" w:rsidR="00E03556" w:rsidRPr="006A4A92" w:rsidRDefault="00E03556" w:rsidP="00E03556">
      <w:pPr>
        <w:spacing w:line="360" w:lineRule="auto"/>
        <w:jc w:val="both"/>
        <w:rPr>
          <w:rFonts w:ascii="Times New Roman" w:hAnsi="Times New Roman" w:cs="Times New Roman"/>
          <w:sz w:val="24"/>
          <w:szCs w:val="24"/>
        </w:rPr>
      </w:pPr>
      <w:proofErr w:type="spellStart"/>
      <w:r w:rsidRPr="006A4A92">
        <w:rPr>
          <w:rFonts w:ascii="Times New Roman" w:hAnsi="Times New Roman" w:cs="Times New Roman"/>
          <w:sz w:val="24"/>
          <w:szCs w:val="24"/>
        </w:rPr>
        <w:lastRenderedPageBreak/>
        <w:t>Rozenberg</w:t>
      </w:r>
      <w:proofErr w:type="spellEnd"/>
      <w:r w:rsidRPr="006A4A92">
        <w:rPr>
          <w:rFonts w:ascii="Times New Roman" w:hAnsi="Times New Roman" w:cs="Times New Roman"/>
          <w:sz w:val="24"/>
          <w:szCs w:val="24"/>
        </w:rPr>
        <w:t>, J., 2015. </w:t>
      </w:r>
      <w:r w:rsidRPr="006A4A92">
        <w:rPr>
          <w:rFonts w:ascii="Times New Roman" w:hAnsi="Times New Roman" w:cs="Times New Roman"/>
          <w:i/>
          <w:iCs/>
          <w:sz w:val="24"/>
          <w:szCs w:val="24"/>
        </w:rPr>
        <w:t>Statute limitations</w:t>
      </w:r>
      <w:r w:rsidRPr="006A4A92">
        <w:rPr>
          <w:rFonts w:ascii="Times New Roman" w:hAnsi="Times New Roman" w:cs="Times New Roman"/>
          <w:sz w:val="24"/>
          <w:szCs w:val="24"/>
        </w:rPr>
        <w:t>. [online] Law Gazette. Available at: &lt;https://www.lawgazette.co.uk/commentary-and-opinion/statute-limitations/5051352.article&gt; [Accessed 1 May 2022].</w:t>
      </w:r>
    </w:p>
    <w:p w14:paraId="164579A6" w14:textId="77777777" w:rsidR="00E03556" w:rsidRPr="006A4A92" w:rsidRDefault="00E03556" w:rsidP="00E03556">
      <w:pPr>
        <w:spacing w:line="360" w:lineRule="auto"/>
        <w:jc w:val="both"/>
        <w:rPr>
          <w:rFonts w:ascii="Times New Roman" w:hAnsi="Times New Roman" w:cs="Times New Roman"/>
          <w:sz w:val="24"/>
          <w:szCs w:val="24"/>
        </w:rPr>
      </w:pPr>
      <w:r w:rsidRPr="006A4A92">
        <w:rPr>
          <w:rFonts w:ascii="Times New Roman" w:hAnsi="Times New Roman" w:cs="Times New Roman"/>
          <w:sz w:val="24"/>
          <w:szCs w:val="24"/>
        </w:rPr>
        <w:t>Smith, M., 2015. </w:t>
      </w:r>
      <w:r w:rsidRPr="006A4A92">
        <w:rPr>
          <w:rFonts w:ascii="Times New Roman" w:hAnsi="Times New Roman" w:cs="Times New Roman"/>
          <w:i/>
          <w:iCs/>
          <w:sz w:val="24"/>
          <w:szCs w:val="24"/>
        </w:rPr>
        <w:t xml:space="preserve">Consumer Rights Act 2015: What has </w:t>
      </w:r>
      <w:proofErr w:type="gramStart"/>
      <w:r w:rsidRPr="006A4A92">
        <w:rPr>
          <w:rFonts w:ascii="Times New Roman" w:hAnsi="Times New Roman" w:cs="Times New Roman"/>
          <w:i/>
          <w:iCs/>
          <w:sz w:val="24"/>
          <w:szCs w:val="24"/>
        </w:rPr>
        <w:t>changed?</w:t>
      </w:r>
      <w:r w:rsidRPr="006A4A92">
        <w:rPr>
          <w:rFonts w:ascii="Times New Roman" w:hAnsi="Times New Roman" w:cs="Times New Roman"/>
          <w:sz w:val="24"/>
          <w:szCs w:val="24"/>
        </w:rPr>
        <w:t>.</w:t>
      </w:r>
      <w:proofErr w:type="gramEnd"/>
      <w:r w:rsidRPr="006A4A92">
        <w:rPr>
          <w:rFonts w:ascii="Times New Roman" w:hAnsi="Times New Roman" w:cs="Times New Roman"/>
          <w:sz w:val="24"/>
          <w:szCs w:val="24"/>
        </w:rPr>
        <w:t xml:space="preserve"> [online] </w:t>
      </w:r>
      <w:proofErr w:type="spellStart"/>
      <w:r w:rsidRPr="006A4A92">
        <w:rPr>
          <w:rFonts w:ascii="Times New Roman" w:hAnsi="Times New Roman" w:cs="Times New Roman"/>
          <w:sz w:val="24"/>
          <w:szCs w:val="24"/>
        </w:rPr>
        <w:t>Fieldfisher</w:t>
      </w:r>
      <w:proofErr w:type="spellEnd"/>
      <w:r w:rsidRPr="006A4A92">
        <w:rPr>
          <w:rFonts w:ascii="Times New Roman" w:hAnsi="Times New Roman" w:cs="Times New Roman"/>
          <w:sz w:val="24"/>
          <w:szCs w:val="24"/>
        </w:rPr>
        <w:t>. Available at: &lt;https://www.fieldfisher.com/en/insights/consumer-rights-act-2015-what-has-changed#sthash.4VNNDp1M.dpbs.&gt; [Accessed 1 May 2022].</w:t>
      </w:r>
    </w:p>
    <w:p w14:paraId="02588D48" w14:textId="77777777" w:rsidR="00E03556" w:rsidRPr="006A4A92" w:rsidRDefault="00E03556" w:rsidP="00E03556">
      <w:pPr>
        <w:spacing w:line="360" w:lineRule="auto"/>
        <w:jc w:val="both"/>
        <w:rPr>
          <w:rFonts w:ascii="Times New Roman" w:hAnsi="Times New Roman" w:cs="Times New Roman"/>
          <w:sz w:val="24"/>
          <w:szCs w:val="24"/>
        </w:rPr>
      </w:pPr>
      <w:r w:rsidRPr="006A4A92">
        <w:rPr>
          <w:rFonts w:ascii="Times New Roman" w:hAnsi="Times New Roman" w:cs="Times New Roman"/>
          <w:sz w:val="24"/>
          <w:szCs w:val="24"/>
        </w:rPr>
        <w:t xml:space="preserve">Suleman, S., n.d., </w:t>
      </w:r>
      <w:r w:rsidRPr="006A4A92">
        <w:rPr>
          <w:rFonts w:ascii="Times New Roman" w:hAnsi="Times New Roman" w:cs="Times New Roman"/>
          <w:i/>
          <w:iCs/>
          <w:sz w:val="24"/>
          <w:szCs w:val="24"/>
        </w:rPr>
        <w:t>The Consumer Rights Act 2015: what business in the UK need to know</w:t>
      </w:r>
      <w:r w:rsidRPr="006A4A92">
        <w:rPr>
          <w:rFonts w:ascii="Times New Roman" w:hAnsi="Times New Roman" w:cs="Times New Roman"/>
          <w:sz w:val="24"/>
          <w:szCs w:val="24"/>
        </w:rPr>
        <w:t xml:space="preserve"> </w:t>
      </w:r>
      <w:proofErr w:type="spellStart"/>
      <w:r w:rsidRPr="006A4A92">
        <w:rPr>
          <w:rFonts w:ascii="Times New Roman" w:hAnsi="Times New Roman" w:cs="Times New Roman"/>
          <w:i/>
          <w:iCs/>
          <w:sz w:val="24"/>
          <w:szCs w:val="24"/>
        </w:rPr>
        <w:t>Perspectives|Reed</w:t>
      </w:r>
      <w:proofErr w:type="spellEnd"/>
      <w:r w:rsidRPr="006A4A92">
        <w:rPr>
          <w:rFonts w:ascii="Times New Roman" w:hAnsi="Times New Roman" w:cs="Times New Roman"/>
          <w:i/>
          <w:iCs/>
          <w:sz w:val="24"/>
          <w:szCs w:val="24"/>
        </w:rPr>
        <w:t xml:space="preserve"> </w:t>
      </w:r>
      <w:proofErr w:type="spellStart"/>
      <w:r w:rsidRPr="006A4A92">
        <w:rPr>
          <w:rFonts w:ascii="Times New Roman" w:hAnsi="Times New Roman" w:cs="Times New Roman"/>
          <w:i/>
          <w:iCs/>
          <w:sz w:val="24"/>
          <w:szCs w:val="24"/>
        </w:rPr>
        <w:t>Smith|LLP</w:t>
      </w:r>
      <w:proofErr w:type="spellEnd"/>
      <w:r w:rsidRPr="006A4A92">
        <w:rPr>
          <w:rFonts w:ascii="Times New Roman" w:hAnsi="Times New Roman" w:cs="Times New Roman"/>
          <w:sz w:val="24"/>
          <w:szCs w:val="24"/>
        </w:rPr>
        <w:t>, [online] Reedsmith.com. Available at: &lt;https://www.reedsmith.com/en/perspectives/2015/10/the-consumer-rights-act-2015-what-business-in-th&gt; [Accessed 22 April 2022].</w:t>
      </w:r>
    </w:p>
    <w:p w14:paraId="1A30AA92" w14:textId="77777777" w:rsidR="00E03556" w:rsidRPr="006C0B9F" w:rsidRDefault="00E03556" w:rsidP="00E03556">
      <w:pPr>
        <w:spacing w:line="360" w:lineRule="auto"/>
        <w:jc w:val="both"/>
        <w:rPr>
          <w:rFonts w:ascii="Times New Roman" w:hAnsi="Times New Roman" w:cs="Times New Roman"/>
          <w:sz w:val="24"/>
          <w:szCs w:val="24"/>
        </w:rPr>
      </w:pPr>
      <w:r w:rsidRPr="006A4A92">
        <w:rPr>
          <w:rFonts w:ascii="Times New Roman" w:hAnsi="Times New Roman" w:cs="Times New Roman"/>
          <w:sz w:val="24"/>
          <w:szCs w:val="24"/>
        </w:rPr>
        <w:t>Wimbledon, J. and Smith, C., 2022. </w:t>
      </w:r>
      <w:r w:rsidRPr="006A4A92">
        <w:rPr>
          <w:rFonts w:ascii="Times New Roman" w:hAnsi="Times New Roman" w:cs="Times New Roman"/>
          <w:i/>
          <w:iCs/>
          <w:sz w:val="24"/>
          <w:szCs w:val="24"/>
        </w:rPr>
        <w:t>A simple guide to the Consumer Rights Act 2015</w:t>
      </w:r>
      <w:r w:rsidRPr="006A4A92">
        <w:rPr>
          <w:rFonts w:ascii="Times New Roman" w:hAnsi="Times New Roman" w:cs="Times New Roman"/>
          <w:sz w:val="24"/>
          <w:szCs w:val="24"/>
        </w:rPr>
        <w:t>. [online] Simplybusiness.co.uk. Available at: &lt;https://www.simplybusiness.co.uk/knowledge/articles/2022/02/sale-of-goods-act-and-consumer-rights/&gt; [Accessed 3 May 2022].</w:t>
      </w:r>
    </w:p>
    <w:p w14:paraId="56C65E1F" w14:textId="580C6B59" w:rsidR="00E03556" w:rsidRDefault="00E03556" w:rsidP="00E03556">
      <w:pPr>
        <w:spacing w:line="360" w:lineRule="auto"/>
        <w:jc w:val="both"/>
        <w:rPr>
          <w:rFonts w:ascii="Times New Roman" w:hAnsi="Times New Roman" w:cs="Times New Roman"/>
          <w:sz w:val="24"/>
          <w:szCs w:val="24"/>
        </w:rPr>
      </w:pPr>
      <w:r w:rsidRPr="006A4A92">
        <w:rPr>
          <w:rFonts w:ascii="Times New Roman" w:hAnsi="Times New Roman" w:cs="Times New Roman"/>
          <w:sz w:val="24"/>
          <w:szCs w:val="24"/>
        </w:rPr>
        <w:t xml:space="preserve">Wrench, D. and Farrant, P., 2017. </w:t>
      </w:r>
      <w:r w:rsidRPr="006A4A92">
        <w:rPr>
          <w:rFonts w:ascii="Times New Roman" w:hAnsi="Times New Roman" w:cs="Times New Roman"/>
          <w:i/>
          <w:iCs/>
          <w:sz w:val="24"/>
          <w:szCs w:val="24"/>
        </w:rPr>
        <w:t xml:space="preserve">The Consumer Rights Act 2015, two years on… a seismic change in the business-to-consumer relationship? – Taylor </w:t>
      </w:r>
      <w:proofErr w:type="spellStart"/>
      <w:r w:rsidRPr="006A4A92">
        <w:rPr>
          <w:rFonts w:ascii="Times New Roman" w:hAnsi="Times New Roman" w:cs="Times New Roman"/>
          <w:i/>
          <w:iCs/>
          <w:sz w:val="24"/>
          <w:szCs w:val="24"/>
        </w:rPr>
        <w:t>Vinters</w:t>
      </w:r>
      <w:proofErr w:type="spellEnd"/>
      <w:r w:rsidRPr="006A4A92">
        <w:rPr>
          <w:rFonts w:ascii="Times New Roman" w:hAnsi="Times New Roman" w:cs="Times New Roman"/>
          <w:i/>
          <w:iCs/>
          <w:sz w:val="24"/>
          <w:szCs w:val="24"/>
        </w:rPr>
        <w:t>.</w:t>
      </w:r>
      <w:r w:rsidRPr="006A4A92">
        <w:rPr>
          <w:rFonts w:ascii="Times New Roman" w:hAnsi="Times New Roman" w:cs="Times New Roman"/>
          <w:sz w:val="24"/>
          <w:szCs w:val="24"/>
        </w:rPr>
        <w:t xml:space="preserve"> [online] Taylor </w:t>
      </w:r>
      <w:proofErr w:type="spellStart"/>
      <w:r w:rsidRPr="006A4A92">
        <w:rPr>
          <w:rFonts w:ascii="Times New Roman" w:hAnsi="Times New Roman" w:cs="Times New Roman"/>
          <w:sz w:val="24"/>
          <w:szCs w:val="24"/>
        </w:rPr>
        <w:t>Vinters</w:t>
      </w:r>
      <w:proofErr w:type="spellEnd"/>
      <w:r w:rsidRPr="006A4A92">
        <w:rPr>
          <w:rFonts w:ascii="Times New Roman" w:hAnsi="Times New Roman" w:cs="Times New Roman"/>
          <w:sz w:val="24"/>
          <w:szCs w:val="24"/>
        </w:rPr>
        <w:t>. Available at &lt;https://www.taylorvinters.com/article/the-consumer-rights-act-2015-two-years-on-a-seismic-change-in-the-business-to-consumer-relationship#:~:text=Refresh%3A%20did%20the%20CRA,in%20the%20evolving&gt; [Accessed 22 April 2022].</w:t>
      </w:r>
    </w:p>
    <w:p w14:paraId="72F52674" w14:textId="77777777" w:rsidR="009C0EAD" w:rsidRDefault="009C0EAD" w:rsidP="00E03556">
      <w:pPr>
        <w:spacing w:line="360" w:lineRule="auto"/>
        <w:jc w:val="both"/>
        <w:rPr>
          <w:rFonts w:ascii="Times New Roman" w:hAnsi="Times New Roman" w:cs="Times New Roman"/>
          <w:b/>
          <w:bCs/>
          <w:sz w:val="24"/>
          <w:szCs w:val="24"/>
        </w:rPr>
      </w:pPr>
    </w:p>
    <w:p w14:paraId="1158105F" w14:textId="77777777" w:rsidR="009C0EAD" w:rsidRDefault="009C0EAD" w:rsidP="00E03556">
      <w:pPr>
        <w:spacing w:line="360" w:lineRule="auto"/>
        <w:jc w:val="both"/>
        <w:rPr>
          <w:rFonts w:ascii="Times New Roman" w:hAnsi="Times New Roman" w:cs="Times New Roman"/>
          <w:b/>
          <w:bCs/>
          <w:sz w:val="24"/>
          <w:szCs w:val="24"/>
        </w:rPr>
      </w:pPr>
    </w:p>
    <w:p w14:paraId="06643356" w14:textId="77777777" w:rsidR="009C0EAD" w:rsidRDefault="009C0EAD" w:rsidP="00E03556">
      <w:pPr>
        <w:spacing w:line="360" w:lineRule="auto"/>
        <w:jc w:val="both"/>
        <w:rPr>
          <w:rFonts w:ascii="Times New Roman" w:hAnsi="Times New Roman" w:cs="Times New Roman"/>
          <w:b/>
          <w:bCs/>
          <w:sz w:val="24"/>
          <w:szCs w:val="24"/>
        </w:rPr>
      </w:pPr>
    </w:p>
    <w:p w14:paraId="48FFC50D" w14:textId="77777777" w:rsidR="009C0EAD" w:rsidRDefault="009C0EAD" w:rsidP="00E03556">
      <w:pPr>
        <w:spacing w:line="360" w:lineRule="auto"/>
        <w:jc w:val="both"/>
        <w:rPr>
          <w:rFonts w:ascii="Times New Roman" w:hAnsi="Times New Roman" w:cs="Times New Roman"/>
          <w:b/>
          <w:bCs/>
          <w:sz w:val="24"/>
          <w:szCs w:val="24"/>
        </w:rPr>
      </w:pPr>
    </w:p>
    <w:p w14:paraId="45268B4A" w14:textId="77777777" w:rsidR="009C0EAD" w:rsidRDefault="009C0EAD" w:rsidP="00E03556">
      <w:pPr>
        <w:spacing w:line="360" w:lineRule="auto"/>
        <w:jc w:val="both"/>
        <w:rPr>
          <w:rFonts w:ascii="Times New Roman" w:hAnsi="Times New Roman" w:cs="Times New Roman"/>
          <w:b/>
          <w:bCs/>
          <w:sz w:val="24"/>
          <w:szCs w:val="24"/>
        </w:rPr>
      </w:pPr>
    </w:p>
    <w:p w14:paraId="77510760" w14:textId="77777777" w:rsidR="009C0EAD" w:rsidRDefault="009C0EAD" w:rsidP="00E03556">
      <w:pPr>
        <w:spacing w:line="360" w:lineRule="auto"/>
        <w:jc w:val="both"/>
        <w:rPr>
          <w:rFonts w:ascii="Times New Roman" w:hAnsi="Times New Roman" w:cs="Times New Roman"/>
          <w:b/>
          <w:bCs/>
          <w:sz w:val="24"/>
          <w:szCs w:val="24"/>
        </w:rPr>
      </w:pPr>
    </w:p>
    <w:p w14:paraId="3A737592" w14:textId="77777777" w:rsidR="009C0EAD" w:rsidRDefault="009C0EAD" w:rsidP="00E03556">
      <w:pPr>
        <w:spacing w:line="360" w:lineRule="auto"/>
        <w:jc w:val="both"/>
        <w:rPr>
          <w:rFonts w:ascii="Times New Roman" w:hAnsi="Times New Roman" w:cs="Times New Roman"/>
          <w:b/>
          <w:bCs/>
          <w:sz w:val="24"/>
          <w:szCs w:val="24"/>
        </w:rPr>
      </w:pPr>
    </w:p>
    <w:p w14:paraId="0A8A02C3" w14:textId="77777777" w:rsidR="009C0EAD" w:rsidRDefault="009C0EAD" w:rsidP="00E03556">
      <w:pPr>
        <w:spacing w:line="360" w:lineRule="auto"/>
        <w:jc w:val="both"/>
        <w:rPr>
          <w:rFonts w:ascii="Times New Roman" w:hAnsi="Times New Roman" w:cs="Times New Roman"/>
          <w:b/>
          <w:bCs/>
          <w:sz w:val="24"/>
          <w:szCs w:val="24"/>
        </w:rPr>
      </w:pPr>
    </w:p>
    <w:p w14:paraId="330FA5B1" w14:textId="77777777" w:rsidR="00390F96" w:rsidRDefault="00390F96" w:rsidP="00E03556">
      <w:pPr>
        <w:spacing w:line="360" w:lineRule="auto"/>
        <w:jc w:val="both"/>
        <w:rPr>
          <w:rFonts w:ascii="Times New Roman" w:hAnsi="Times New Roman" w:cs="Times New Roman"/>
          <w:b/>
          <w:bCs/>
          <w:sz w:val="24"/>
          <w:szCs w:val="24"/>
        </w:rPr>
      </w:pPr>
    </w:p>
    <w:p w14:paraId="47569C2B" w14:textId="31DE2A75" w:rsidR="005A43A2" w:rsidRPr="00E03556" w:rsidRDefault="005A43A2" w:rsidP="00E03556">
      <w:pPr>
        <w:spacing w:line="360" w:lineRule="auto"/>
        <w:jc w:val="both"/>
        <w:rPr>
          <w:rFonts w:ascii="Times New Roman" w:hAnsi="Times New Roman" w:cs="Times New Roman"/>
          <w:sz w:val="24"/>
          <w:szCs w:val="24"/>
        </w:rPr>
      </w:pPr>
      <w:r w:rsidRPr="005A43A2">
        <w:rPr>
          <w:rFonts w:ascii="Times New Roman" w:hAnsi="Times New Roman" w:cs="Times New Roman"/>
          <w:b/>
          <w:bCs/>
          <w:sz w:val="24"/>
          <w:szCs w:val="24"/>
        </w:rPr>
        <w:lastRenderedPageBreak/>
        <w:t>Table of Legislation</w:t>
      </w:r>
    </w:p>
    <w:p w14:paraId="5B4D5D03" w14:textId="77777777" w:rsidR="00FC4612" w:rsidRDefault="00FC4612" w:rsidP="005A43A2">
      <w:pPr>
        <w:spacing w:line="360" w:lineRule="auto"/>
        <w:jc w:val="both"/>
        <w:rPr>
          <w:rFonts w:ascii="Times New Roman" w:hAnsi="Times New Roman" w:cs="Times New Roman"/>
          <w:sz w:val="24"/>
          <w:szCs w:val="24"/>
        </w:rPr>
      </w:pPr>
      <w:r>
        <w:rPr>
          <w:rFonts w:ascii="Times New Roman" w:hAnsi="Times New Roman" w:cs="Times New Roman"/>
          <w:sz w:val="24"/>
          <w:szCs w:val="24"/>
        </w:rPr>
        <w:t>Consumer Rights Act (2015)</w:t>
      </w:r>
    </w:p>
    <w:p w14:paraId="41F61A80" w14:textId="77777777" w:rsidR="00FC4612" w:rsidRPr="005A43A2" w:rsidRDefault="00FC4612" w:rsidP="005A43A2">
      <w:pPr>
        <w:spacing w:line="360" w:lineRule="auto"/>
        <w:jc w:val="both"/>
        <w:rPr>
          <w:rFonts w:ascii="Times New Roman" w:hAnsi="Times New Roman" w:cs="Times New Roman"/>
          <w:sz w:val="24"/>
          <w:szCs w:val="24"/>
        </w:rPr>
      </w:pPr>
      <w:r>
        <w:rPr>
          <w:rFonts w:ascii="Times New Roman" w:hAnsi="Times New Roman" w:cs="Times New Roman"/>
          <w:sz w:val="24"/>
          <w:szCs w:val="24"/>
        </w:rPr>
        <w:t>Sales of Good Act (1979)</w:t>
      </w:r>
    </w:p>
    <w:p w14:paraId="1963753F" w14:textId="77777777" w:rsidR="00FC4612" w:rsidRDefault="00FC4612" w:rsidP="005A43A2">
      <w:pPr>
        <w:spacing w:line="360" w:lineRule="auto"/>
        <w:jc w:val="both"/>
        <w:rPr>
          <w:rFonts w:ascii="Times New Roman" w:hAnsi="Times New Roman" w:cs="Times New Roman"/>
          <w:sz w:val="24"/>
          <w:szCs w:val="24"/>
        </w:rPr>
      </w:pPr>
      <w:r>
        <w:rPr>
          <w:rFonts w:ascii="Times New Roman" w:hAnsi="Times New Roman" w:cs="Times New Roman"/>
          <w:sz w:val="24"/>
          <w:szCs w:val="24"/>
        </w:rPr>
        <w:t>Unfair Contract Terms Act (1977)</w:t>
      </w:r>
    </w:p>
    <w:sectPr w:rsidR="00FC46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F0382B"/>
    <w:multiLevelType w:val="hybridMultilevel"/>
    <w:tmpl w:val="F070B1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0943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2AA"/>
    <w:rsid w:val="00011666"/>
    <w:rsid w:val="000125AF"/>
    <w:rsid w:val="0002759D"/>
    <w:rsid w:val="0003414C"/>
    <w:rsid w:val="00034881"/>
    <w:rsid w:val="0003780C"/>
    <w:rsid w:val="00045219"/>
    <w:rsid w:val="00063384"/>
    <w:rsid w:val="00065294"/>
    <w:rsid w:val="00085310"/>
    <w:rsid w:val="000B6CEA"/>
    <w:rsid w:val="000E3468"/>
    <w:rsid w:val="000E6FC1"/>
    <w:rsid w:val="000E7261"/>
    <w:rsid w:val="00107062"/>
    <w:rsid w:val="001263AD"/>
    <w:rsid w:val="00131826"/>
    <w:rsid w:val="00145475"/>
    <w:rsid w:val="00146139"/>
    <w:rsid w:val="00153B8B"/>
    <w:rsid w:val="00154ED0"/>
    <w:rsid w:val="00176F09"/>
    <w:rsid w:val="00197EF7"/>
    <w:rsid w:val="001A713E"/>
    <w:rsid w:val="001C3A43"/>
    <w:rsid w:val="001D7FA8"/>
    <w:rsid w:val="0021019C"/>
    <w:rsid w:val="0023171D"/>
    <w:rsid w:val="00231E3E"/>
    <w:rsid w:val="00242425"/>
    <w:rsid w:val="00274F9A"/>
    <w:rsid w:val="00285747"/>
    <w:rsid w:val="002A1DEC"/>
    <w:rsid w:val="002B404C"/>
    <w:rsid w:val="002C2848"/>
    <w:rsid w:val="002C6F1E"/>
    <w:rsid w:val="002D7593"/>
    <w:rsid w:val="002E5E99"/>
    <w:rsid w:val="002E6D85"/>
    <w:rsid w:val="00325BF1"/>
    <w:rsid w:val="0038181D"/>
    <w:rsid w:val="00385F6D"/>
    <w:rsid w:val="00386A13"/>
    <w:rsid w:val="00390F96"/>
    <w:rsid w:val="003D5AD3"/>
    <w:rsid w:val="003D74D5"/>
    <w:rsid w:val="003E28B0"/>
    <w:rsid w:val="00410CEB"/>
    <w:rsid w:val="00421A96"/>
    <w:rsid w:val="004322CC"/>
    <w:rsid w:val="00432BA0"/>
    <w:rsid w:val="00432F25"/>
    <w:rsid w:val="0046595C"/>
    <w:rsid w:val="00471AE0"/>
    <w:rsid w:val="004747A6"/>
    <w:rsid w:val="00486F0B"/>
    <w:rsid w:val="004A1DDA"/>
    <w:rsid w:val="004D156E"/>
    <w:rsid w:val="004D1A0E"/>
    <w:rsid w:val="004D4E0F"/>
    <w:rsid w:val="004D6427"/>
    <w:rsid w:val="004D6FCB"/>
    <w:rsid w:val="004E021E"/>
    <w:rsid w:val="004F5BF8"/>
    <w:rsid w:val="00504AF6"/>
    <w:rsid w:val="005129AD"/>
    <w:rsid w:val="0055444C"/>
    <w:rsid w:val="00555C62"/>
    <w:rsid w:val="005667BA"/>
    <w:rsid w:val="0059389E"/>
    <w:rsid w:val="005964B7"/>
    <w:rsid w:val="005A26E3"/>
    <w:rsid w:val="005A43A2"/>
    <w:rsid w:val="005D6C08"/>
    <w:rsid w:val="005F7310"/>
    <w:rsid w:val="0063128F"/>
    <w:rsid w:val="00632C9C"/>
    <w:rsid w:val="00640687"/>
    <w:rsid w:val="00681937"/>
    <w:rsid w:val="006855B8"/>
    <w:rsid w:val="006A4A92"/>
    <w:rsid w:val="006A58DF"/>
    <w:rsid w:val="006B2683"/>
    <w:rsid w:val="006B512F"/>
    <w:rsid w:val="006B78B4"/>
    <w:rsid w:val="006C0B9F"/>
    <w:rsid w:val="007123F7"/>
    <w:rsid w:val="0071709B"/>
    <w:rsid w:val="00743944"/>
    <w:rsid w:val="007474BE"/>
    <w:rsid w:val="00756C9E"/>
    <w:rsid w:val="00772D2A"/>
    <w:rsid w:val="007752AA"/>
    <w:rsid w:val="00780C47"/>
    <w:rsid w:val="00782ECE"/>
    <w:rsid w:val="007A0555"/>
    <w:rsid w:val="007C32A4"/>
    <w:rsid w:val="007E189E"/>
    <w:rsid w:val="007E75BD"/>
    <w:rsid w:val="007F5BD0"/>
    <w:rsid w:val="00853AD0"/>
    <w:rsid w:val="00856A94"/>
    <w:rsid w:val="00865BA3"/>
    <w:rsid w:val="0087137B"/>
    <w:rsid w:val="00880200"/>
    <w:rsid w:val="00885615"/>
    <w:rsid w:val="008E373A"/>
    <w:rsid w:val="008E597B"/>
    <w:rsid w:val="008F0BAA"/>
    <w:rsid w:val="00944405"/>
    <w:rsid w:val="009B2B8A"/>
    <w:rsid w:val="009B7765"/>
    <w:rsid w:val="009C0EAD"/>
    <w:rsid w:val="009C4D22"/>
    <w:rsid w:val="00A31EEE"/>
    <w:rsid w:val="00A35986"/>
    <w:rsid w:val="00A7226A"/>
    <w:rsid w:val="00A753C6"/>
    <w:rsid w:val="00A9023B"/>
    <w:rsid w:val="00A91329"/>
    <w:rsid w:val="00AC4CA3"/>
    <w:rsid w:val="00AD0366"/>
    <w:rsid w:val="00AE1DBD"/>
    <w:rsid w:val="00AF3C53"/>
    <w:rsid w:val="00AF4A84"/>
    <w:rsid w:val="00AF7AE7"/>
    <w:rsid w:val="00B04824"/>
    <w:rsid w:val="00B12165"/>
    <w:rsid w:val="00B4175D"/>
    <w:rsid w:val="00B435C2"/>
    <w:rsid w:val="00B4437C"/>
    <w:rsid w:val="00B47F29"/>
    <w:rsid w:val="00B57000"/>
    <w:rsid w:val="00B66389"/>
    <w:rsid w:val="00B76932"/>
    <w:rsid w:val="00BC0E6E"/>
    <w:rsid w:val="00BD67E0"/>
    <w:rsid w:val="00BF4871"/>
    <w:rsid w:val="00C16992"/>
    <w:rsid w:val="00C41619"/>
    <w:rsid w:val="00C61199"/>
    <w:rsid w:val="00C9252C"/>
    <w:rsid w:val="00CC3738"/>
    <w:rsid w:val="00CC539B"/>
    <w:rsid w:val="00CE0A5B"/>
    <w:rsid w:val="00D05738"/>
    <w:rsid w:val="00D226F5"/>
    <w:rsid w:val="00D26246"/>
    <w:rsid w:val="00D501E3"/>
    <w:rsid w:val="00D56F1B"/>
    <w:rsid w:val="00D74A81"/>
    <w:rsid w:val="00D92880"/>
    <w:rsid w:val="00DA7768"/>
    <w:rsid w:val="00DB50A5"/>
    <w:rsid w:val="00DC16A1"/>
    <w:rsid w:val="00DC260D"/>
    <w:rsid w:val="00DD1075"/>
    <w:rsid w:val="00DD1201"/>
    <w:rsid w:val="00E03556"/>
    <w:rsid w:val="00E075E8"/>
    <w:rsid w:val="00E20229"/>
    <w:rsid w:val="00E322C9"/>
    <w:rsid w:val="00E444FE"/>
    <w:rsid w:val="00E45B9F"/>
    <w:rsid w:val="00E75696"/>
    <w:rsid w:val="00E95AEA"/>
    <w:rsid w:val="00EA151C"/>
    <w:rsid w:val="00EB4337"/>
    <w:rsid w:val="00ED2B91"/>
    <w:rsid w:val="00F001D5"/>
    <w:rsid w:val="00F11889"/>
    <w:rsid w:val="00F1655D"/>
    <w:rsid w:val="00F17C4D"/>
    <w:rsid w:val="00F63AAB"/>
    <w:rsid w:val="00F70B4F"/>
    <w:rsid w:val="00F74FA2"/>
    <w:rsid w:val="00F77D8C"/>
    <w:rsid w:val="00F87BF9"/>
    <w:rsid w:val="00F961B2"/>
    <w:rsid w:val="00FC006E"/>
    <w:rsid w:val="00FC4612"/>
    <w:rsid w:val="00FC55BF"/>
    <w:rsid w:val="00FF7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6C081"/>
  <w15:chartTrackingRefBased/>
  <w15:docId w15:val="{0D61FF52-F890-4040-98F6-4FF4582BC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50A5"/>
    <w:rPr>
      <w:color w:val="0563C1" w:themeColor="hyperlink"/>
      <w:u w:val="single"/>
    </w:rPr>
  </w:style>
  <w:style w:type="character" w:styleId="UnresolvedMention">
    <w:name w:val="Unresolved Mention"/>
    <w:basedOn w:val="DefaultParagraphFont"/>
    <w:uiPriority w:val="99"/>
    <w:semiHidden/>
    <w:unhideWhenUsed/>
    <w:rsid w:val="00DB50A5"/>
    <w:rPr>
      <w:color w:val="605E5C"/>
      <w:shd w:val="clear" w:color="auto" w:fill="E1DFDD"/>
    </w:rPr>
  </w:style>
  <w:style w:type="paragraph" w:styleId="NormalWeb">
    <w:name w:val="Normal (Web)"/>
    <w:basedOn w:val="Normal"/>
    <w:uiPriority w:val="99"/>
    <w:semiHidden/>
    <w:unhideWhenUsed/>
    <w:rsid w:val="007E75BD"/>
    <w:rPr>
      <w:rFonts w:ascii="Times New Roman" w:hAnsi="Times New Roman" w:cs="Times New Roman"/>
      <w:sz w:val="24"/>
      <w:szCs w:val="24"/>
    </w:rPr>
  </w:style>
  <w:style w:type="paragraph" w:styleId="ListParagraph">
    <w:name w:val="List Paragraph"/>
    <w:basedOn w:val="Normal"/>
    <w:uiPriority w:val="34"/>
    <w:qFormat/>
    <w:rsid w:val="00385F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428402">
      <w:bodyDiv w:val="1"/>
      <w:marLeft w:val="0"/>
      <w:marRight w:val="0"/>
      <w:marTop w:val="0"/>
      <w:marBottom w:val="0"/>
      <w:divBdr>
        <w:top w:val="none" w:sz="0" w:space="0" w:color="auto"/>
        <w:left w:val="none" w:sz="0" w:space="0" w:color="auto"/>
        <w:bottom w:val="none" w:sz="0" w:space="0" w:color="auto"/>
        <w:right w:val="none" w:sz="0" w:space="0" w:color="auto"/>
      </w:divBdr>
      <w:divsChild>
        <w:div w:id="425158499">
          <w:marLeft w:val="0"/>
          <w:marRight w:val="0"/>
          <w:marTop w:val="0"/>
          <w:marBottom w:val="0"/>
          <w:divBdr>
            <w:top w:val="none" w:sz="0" w:space="0" w:color="auto"/>
            <w:left w:val="none" w:sz="0" w:space="0" w:color="auto"/>
            <w:bottom w:val="none" w:sz="0" w:space="0" w:color="auto"/>
            <w:right w:val="none" w:sz="0" w:space="0" w:color="auto"/>
          </w:divBdr>
        </w:div>
        <w:div w:id="1938823899">
          <w:marLeft w:val="0"/>
          <w:marRight w:val="0"/>
          <w:marTop w:val="0"/>
          <w:marBottom w:val="0"/>
          <w:divBdr>
            <w:top w:val="none" w:sz="0" w:space="0" w:color="auto"/>
            <w:left w:val="none" w:sz="0" w:space="0" w:color="auto"/>
            <w:bottom w:val="none" w:sz="0" w:space="0" w:color="auto"/>
            <w:right w:val="none" w:sz="0" w:space="0" w:color="auto"/>
          </w:divBdr>
        </w:div>
        <w:div w:id="1214847877">
          <w:marLeft w:val="0"/>
          <w:marRight w:val="0"/>
          <w:marTop w:val="0"/>
          <w:marBottom w:val="0"/>
          <w:divBdr>
            <w:top w:val="none" w:sz="0" w:space="0" w:color="auto"/>
            <w:left w:val="none" w:sz="0" w:space="0" w:color="auto"/>
            <w:bottom w:val="none" w:sz="0" w:space="0" w:color="auto"/>
            <w:right w:val="none" w:sz="0" w:space="0" w:color="auto"/>
          </w:divBdr>
        </w:div>
        <w:div w:id="1270119995">
          <w:marLeft w:val="0"/>
          <w:marRight w:val="0"/>
          <w:marTop w:val="0"/>
          <w:marBottom w:val="0"/>
          <w:divBdr>
            <w:top w:val="none" w:sz="0" w:space="0" w:color="auto"/>
            <w:left w:val="none" w:sz="0" w:space="0" w:color="auto"/>
            <w:bottom w:val="none" w:sz="0" w:space="0" w:color="auto"/>
            <w:right w:val="none" w:sz="0" w:space="0" w:color="auto"/>
          </w:divBdr>
        </w:div>
        <w:div w:id="1343120816">
          <w:marLeft w:val="0"/>
          <w:marRight w:val="0"/>
          <w:marTop w:val="0"/>
          <w:marBottom w:val="0"/>
          <w:divBdr>
            <w:top w:val="none" w:sz="0" w:space="0" w:color="auto"/>
            <w:left w:val="none" w:sz="0" w:space="0" w:color="auto"/>
            <w:bottom w:val="none" w:sz="0" w:space="0" w:color="auto"/>
            <w:right w:val="none" w:sz="0" w:space="0" w:color="auto"/>
          </w:divBdr>
        </w:div>
        <w:div w:id="1026249487">
          <w:marLeft w:val="0"/>
          <w:marRight w:val="0"/>
          <w:marTop w:val="0"/>
          <w:marBottom w:val="0"/>
          <w:divBdr>
            <w:top w:val="none" w:sz="0" w:space="0" w:color="auto"/>
            <w:left w:val="none" w:sz="0" w:space="0" w:color="auto"/>
            <w:bottom w:val="none" w:sz="0" w:space="0" w:color="auto"/>
            <w:right w:val="none" w:sz="0" w:space="0" w:color="auto"/>
          </w:divBdr>
        </w:div>
      </w:divsChild>
    </w:div>
    <w:div w:id="440105716">
      <w:bodyDiv w:val="1"/>
      <w:marLeft w:val="0"/>
      <w:marRight w:val="0"/>
      <w:marTop w:val="0"/>
      <w:marBottom w:val="0"/>
      <w:divBdr>
        <w:top w:val="none" w:sz="0" w:space="0" w:color="auto"/>
        <w:left w:val="none" w:sz="0" w:space="0" w:color="auto"/>
        <w:bottom w:val="none" w:sz="0" w:space="0" w:color="auto"/>
        <w:right w:val="none" w:sz="0" w:space="0" w:color="auto"/>
      </w:divBdr>
    </w:div>
    <w:div w:id="971134081">
      <w:bodyDiv w:val="1"/>
      <w:marLeft w:val="0"/>
      <w:marRight w:val="0"/>
      <w:marTop w:val="0"/>
      <w:marBottom w:val="0"/>
      <w:divBdr>
        <w:top w:val="none" w:sz="0" w:space="0" w:color="auto"/>
        <w:left w:val="none" w:sz="0" w:space="0" w:color="auto"/>
        <w:bottom w:val="none" w:sz="0" w:space="0" w:color="auto"/>
        <w:right w:val="none" w:sz="0" w:space="0" w:color="auto"/>
      </w:divBdr>
      <w:divsChild>
        <w:div w:id="101388198">
          <w:marLeft w:val="0"/>
          <w:marRight w:val="0"/>
          <w:marTop w:val="0"/>
          <w:marBottom w:val="0"/>
          <w:divBdr>
            <w:top w:val="none" w:sz="0" w:space="0" w:color="auto"/>
            <w:left w:val="none" w:sz="0" w:space="0" w:color="auto"/>
            <w:bottom w:val="none" w:sz="0" w:space="0" w:color="auto"/>
            <w:right w:val="none" w:sz="0" w:space="0" w:color="auto"/>
          </w:divBdr>
        </w:div>
        <w:div w:id="1824468036">
          <w:marLeft w:val="0"/>
          <w:marRight w:val="0"/>
          <w:marTop w:val="0"/>
          <w:marBottom w:val="0"/>
          <w:divBdr>
            <w:top w:val="none" w:sz="0" w:space="0" w:color="auto"/>
            <w:left w:val="none" w:sz="0" w:space="0" w:color="auto"/>
            <w:bottom w:val="none" w:sz="0" w:space="0" w:color="auto"/>
            <w:right w:val="none" w:sz="0" w:space="0" w:color="auto"/>
          </w:divBdr>
        </w:div>
        <w:div w:id="1397556658">
          <w:marLeft w:val="0"/>
          <w:marRight w:val="0"/>
          <w:marTop w:val="0"/>
          <w:marBottom w:val="0"/>
          <w:divBdr>
            <w:top w:val="none" w:sz="0" w:space="0" w:color="auto"/>
            <w:left w:val="none" w:sz="0" w:space="0" w:color="auto"/>
            <w:bottom w:val="none" w:sz="0" w:space="0" w:color="auto"/>
            <w:right w:val="none" w:sz="0" w:space="0" w:color="auto"/>
          </w:divBdr>
        </w:div>
        <w:div w:id="77479491">
          <w:marLeft w:val="0"/>
          <w:marRight w:val="0"/>
          <w:marTop w:val="0"/>
          <w:marBottom w:val="0"/>
          <w:divBdr>
            <w:top w:val="none" w:sz="0" w:space="0" w:color="auto"/>
            <w:left w:val="none" w:sz="0" w:space="0" w:color="auto"/>
            <w:bottom w:val="none" w:sz="0" w:space="0" w:color="auto"/>
            <w:right w:val="none" w:sz="0" w:space="0" w:color="auto"/>
          </w:divBdr>
        </w:div>
        <w:div w:id="745492375">
          <w:marLeft w:val="0"/>
          <w:marRight w:val="0"/>
          <w:marTop w:val="0"/>
          <w:marBottom w:val="0"/>
          <w:divBdr>
            <w:top w:val="none" w:sz="0" w:space="0" w:color="auto"/>
            <w:left w:val="none" w:sz="0" w:space="0" w:color="auto"/>
            <w:bottom w:val="none" w:sz="0" w:space="0" w:color="auto"/>
            <w:right w:val="none" w:sz="0" w:space="0" w:color="auto"/>
          </w:divBdr>
        </w:div>
        <w:div w:id="1714378356">
          <w:marLeft w:val="0"/>
          <w:marRight w:val="0"/>
          <w:marTop w:val="0"/>
          <w:marBottom w:val="0"/>
          <w:divBdr>
            <w:top w:val="none" w:sz="0" w:space="0" w:color="auto"/>
            <w:left w:val="none" w:sz="0" w:space="0" w:color="auto"/>
            <w:bottom w:val="none" w:sz="0" w:space="0" w:color="auto"/>
            <w:right w:val="none" w:sz="0" w:space="0" w:color="auto"/>
          </w:divBdr>
        </w:div>
      </w:divsChild>
    </w:div>
    <w:div w:id="1005862000">
      <w:bodyDiv w:val="1"/>
      <w:marLeft w:val="0"/>
      <w:marRight w:val="0"/>
      <w:marTop w:val="0"/>
      <w:marBottom w:val="0"/>
      <w:divBdr>
        <w:top w:val="none" w:sz="0" w:space="0" w:color="auto"/>
        <w:left w:val="none" w:sz="0" w:space="0" w:color="auto"/>
        <w:bottom w:val="none" w:sz="0" w:space="0" w:color="auto"/>
        <w:right w:val="none" w:sz="0" w:space="0" w:color="auto"/>
      </w:divBdr>
      <w:divsChild>
        <w:div w:id="1161390980">
          <w:marLeft w:val="0"/>
          <w:marRight w:val="0"/>
          <w:marTop w:val="0"/>
          <w:marBottom w:val="0"/>
          <w:divBdr>
            <w:top w:val="none" w:sz="0" w:space="0" w:color="auto"/>
            <w:left w:val="none" w:sz="0" w:space="0" w:color="auto"/>
            <w:bottom w:val="none" w:sz="0" w:space="0" w:color="auto"/>
            <w:right w:val="none" w:sz="0" w:space="0" w:color="auto"/>
          </w:divBdr>
        </w:div>
        <w:div w:id="1020162844">
          <w:marLeft w:val="0"/>
          <w:marRight w:val="0"/>
          <w:marTop w:val="0"/>
          <w:marBottom w:val="0"/>
          <w:divBdr>
            <w:top w:val="none" w:sz="0" w:space="0" w:color="auto"/>
            <w:left w:val="none" w:sz="0" w:space="0" w:color="auto"/>
            <w:bottom w:val="none" w:sz="0" w:space="0" w:color="auto"/>
            <w:right w:val="none" w:sz="0" w:space="0" w:color="auto"/>
          </w:divBdr>
        </w:div>
        <w:div w:id="743572621">
          <w:marLeft w:val="0"/>
          <w:marRight w:val="0"/>
          <w:marTop w:val="0"/>
          <w:marBottom w:val="0"/>
          <w:divBdr>
            <w:top w:val="none" w:sz="0" w:space="0" w:color="auto"/>
            <w:left w:val="none" w:sz="0" w:space="0" w:color="auto"/>
            <w:bottom w:val="none" w:sz="0" w:space="0" w:color="auto"/>
            <w:right w:val="none" w:sz="0" w:space="0" w:color="auto"/>
          </w:divBdr>
        </w:div>
        <w:div w:id="305402650">
          <w:marLeft w:val="0"/>
          <w:marRight w:val="0"/>
          <w:marTop w:val="0"/>
          <w:marBottom w:val="0"/>
          <w:divBdr>
            <w:top w:val="none" w:sz="0" w:space="0" w:color="auto"/>
            <w:left w:val="none" w:sz="0" w:space="0" w:color="auto"/>
            <w:bottom w:val="none" w:sz="0" w:space="0" w:color="auto"/>
            <w:right w:val="none" w:sz="0" w:space="0" w:color="auto"/>
          </w:divBdr>
        </w:div>
        <w:div w:id="1329595093">
          <w:marLeft w:val="0"/>
          <w:marRight w:val="0"/>
          <w:marTop w:val="0"/>
          <w:marBottom w:val="0"/>
          <w:divBdr>
            <w:top w:val="none" w:sz="0" w:space="0" w:color="auto"/>
            <w:left w:val="none" w:sz="0" w:space="0" w:color="auto"/>
            <w:bottom w:val="none" w:sz="0" w:space="0" w:color="auto"/>
            <w:right w:val="none" w:sz="0" w:space="0" w:color="auto"/>
          </w:divBdr>
        </w:div>
        <w:div w:id="1024401378">
          <w:marLeft w:val="0"/>
          <w:marRight w:val="0"/>
          <w:marTop w:val="0"/>
          <w:marBottom w:val="0"/>
          <w:divBdr>
            <w:top w:val="none" w:sz="0" w:space="0" w:color="auto"/>
            <w:left w:val="none" w:sz="0" w:space="0" w:color="auto"/>
            <w:bottom w:val="none" w:sz="0" w:space="0" w:color="auto"/>
            <w:right w:val="none" w:sz="0" w:space="0" w:color="auto"/>
          </w:divBdr>
        </w:div>
      </w:divsChild>
    </w:div>
    <w:div w:id="1467890402">
      <w:bodyDiv w:val="1"/>
      <w:marLeft w:val="0"/>
      <w:marRight w:val="0"/>
      <w:marTop w:val="0"/>
      <w:marBottom w:val="0"/>
      <w:divBdr>
        <w:top w:val="none" w:sz="0" w:space="0" w:color="auto"/>
        <w:left w:val="none" w:sz="0" w:space="0" w:color="auto"/>
        <w:bottom w:val="none" w:sz="0" w:space="0" w:color="auto"/>
        <w:right w:val="none" w:sz="0" w:space="0" w:color="auto"/>
      </w:divBdr>
      <w:divsChild>
        <w:div w:id="650326058">
          <w:marLeft w:val="0"/>
          <w:marRight w:val="0"/>
          <w:marTop w:val="0"/>
          <w:marBottom w:val="0"/>
          <w:divBdr>
            <w:top w:val="none" w:sz="0" w:space="0" w:color="auto"/>
            <w:left w:val="none" w:sz="0" w:space="0" w:color="auto"/>
            <w:bottom w:val="none" w:sz="0" w:space="0" w:color="auto"/>
            <w:right w:val="none" w:sz="0" w:space="0" w:color="auto"/>
          </w:divBdr>
        </w:div>
        <w:div w:id="1307783483">
          <w:marLeft w:val="0"/>
          <w:marRight w:val="0"/>
          <w:marTop w:val="0"/>
          <w:marBottom w:val="0"/>
          <w:divBdr>
            <w:top w:val="none" w:sz="0" w:space="0" w:color="auto"/>
            <w:left w:val="none" w:sz="0" w:space="0" w:color="auto"/>
            <w:bottom w:val="none" w:sz="0" w:space="0" w:color="auto"/>
            <w:right w:val="none" w:sz="0" w:space="0" w:color="auto"/>
          </w:divBdr>
        </w:div>
        <w:div w:id="1195533469">
          <w:marLeft w:val="0"/>
          <w:marRight w:val="0"/>
          <w:marTop w:val="0"/>
          <w:marBottom w:val="0"/>
          <w:divBdr>
            <w:top w:val="none" w:sz="0" w:space="0" w:color="auto"/>
            <w:left w:val="none" w:sz="0" w:space="0" w:color="auto"/>
            <w:bottom w:val="none" w:sz="0" w:space="0" w:color="auto"/>
            <w:right w:val="none" w:sz="0" w:space="0" w:color="auto"/>
          </w:divBdr>
        </w:div>
        <w:div w:id="275142598">
          <w:marLeft w:val="0"/>
          <w:marRight w:val="0"/>
          <w:marTop w:val="0"/>
          <w:marBottom w:val="0"/>
          <w:divBdr>
            <w:top w:val="none" w:sz="0" w:space="0" w:color="auto"/>
            <w:left w:val="none" w:sz="0" w:space="0" w:color="auto"/>
            <w:bottom w:val="none" w:sz="0" w:space="0" w:color="auto"/>
            <w:right w:val="none" w:sz="0" w:space="0" w:color="auto"/>
          </w:divBdr>
        </w:div>
        <w:div w:id="1935742743">
          <w:marLeft w:val="0"/>
          <w:marRight w:val="0"/>
          <w:marTop w:val="0"/>
          <w:marBottom w:val="0"/>
          <w:divBdr>
            <w:top w:val="none" w:sz="0" w:space="0" w:color="auto"/>
            <w:left w:val="none" w:sz="0" w:space="0" w:color="auto"/>
            <w:bottom w:val="none" w:sz="0" w:space="0" w:color="auto"/>
            <w:right w:val="none" w:sz="0" w:space="0" w:color="auto"/>
          </w:divBdr>
        </w:div>
      </w:divsChild>
    </w:div>
    <w:div w:id="1472795271">
      <w:bodyDiv w:val="1"/>
      <w:marLeft w:val="0"/>
      <w:marRight w:val="0"/>
      <w:marTop w:val="0"/>
      <w:marBottom w:val="0"/>
      <w:divBdr>
        <w:top w:val="none" w:sz="0" w:space="0" w:color="auto"/>
        <w:left w:val="none" w:sz="0" w:space="0" w:color="auto"/>
        <w:bottom w:val="none" w:sz="0" w:space="0" w:color="auto"/>
        <w:right w:val="none" w:sz="0" w:space="0" w:color="auto"/>
      </w:divBdr>
      <w:divsChild>
        <w:div w:id="201866527">
          <w:marLeft w:val="0"/>
          <w:marRight w:val="0"/>
          <w:marTop w:val="0"/>
          <w:marBottom w:val="0"/>
          <w:divBdr>
            <w:top w:val="none" w:sz="0" w:space="0" w:color="auto"/>
            <w:left w:val="none" w:sz="0" w:space="0" w:color="auto"/>
            <w:bottom w:val="none" w:sz="0" w:space="0" w:color="auto"/>
            <w:right w:val="none" w:sz="0" w:space="0" w:color="auto"/>
          </w:divBdr>
        </w:div>
        <w:div w:id="1495026881">
          <w:marLeft w:val="0"/>
          <w:marRight w:val="0"/>
          <w:marTop w:val="0"/>
          <w:marBottom w:val="0"/>
          <w:divBdr>
            <w:top w:val="none" w:sz="0" w:space="0" w:color="auto"/>
            <w:left w:val="none" w:sz="0" w:space="0" w:color="auto"/>
            <w:bottom w:val="none" w:sz="0" w:space="0" w:color="auto"/>
            <w:right w:val="none" w:sz="0" w:space="0" w:color="auto"/>
          </w:divBdr>
        </w:div>
        <w:div w:id="752702366">
          <w:marLeft w:val="0"/>
          <w:marRight w:val="0"/>
          <w:marTop w:val="0"/>
          <w:marBottom w:val="0"/>
          <w:divBdr>
            <w:top w:val="none" w:sz="0" w:space="0" w:color="auto"/>
            <w:left w:val="none" w:sz="0" w:space="0" w:color="auto"/>
            <w:bottom w:val="none" w:sz="0" w:space="0" w:color="auto"/>
            <w:right w:val="none" w:sz="0" w:space="0" w:color="auto"/>
          </w:divBdr>
        </w:div>
        <w:div w:id="30619672">
          <w:marLeft w:val="0"/>
          <w:marRight w:val="0"/>
          <w:marTop w:val="0"/>
          <w:marBottom w:val="0"/>
          <w:divBdr>
            <w:top w:val="none" w:sz="0" w:space="0" w:color="auto"/>
            <w:left w:val="none" w:sz="0" w:space="0" w:color="auto"/>
            <w:bottom w:val="none" w:sz="0" w:space="0" w:color="auto"/>
            <w:right w:val="none" w:sz="0" w:space="0" w:color="auto"/>
          </w:divBdr>
        </w:div>
        <w:div w:id="2122021875">
          <w:marLeft w:val="0"/>
          <w:marRight w:val="0"/>
          <w:marTop w:val="0"/>
          <w:marBottom w:val="0"/>
          <w:divBdr>
            <w:top w:val="none" w:sz="0" w:space="0" w:color="auto"/>
            <w:left w:val="none" w:sz="0" w:space="0" w:color="auto"/>
            <w:bottom w:val="none" w:sz="0" w:space="0" w:color="auto"/>
            <w:right w:val="none" w:sz="0" w:space="0" w:color="auto"/>
          </w:divBdr>
        </w:div>
      </w:divsChild>
    </w:div>
    <w:div w:id="1570265573">
      <w:bodyDiv w:val="1"/>
      <w:marLeft w:val="0"/>
      <w:marRight w:val="0"/>
      <w:marTop w:val="0"/>
      <w:marBottom w:val="0"/>
      <w:divBdr>
        <w:top w:val="none" w:sz="0" w:space="0" w:color="auto"/>
        <w:left w:val="none" w:sz="0" w:space="0" w:color="auto"/>
        <w:bottom w:val="none" w:sz="0" w:space="0" w:color="auto"/>
        <w:right w:val="none" w:sz="0" w:space="0" w:color="auto"/>
      </w:divBdr>
    </w:div>
    <w:div w:id="1868903630">
      <w:bodyDiv w:val="1"/>
      <w:marLeft w:val="0"/>
      <w:marRight w:val="0"/>
      <w:marTop w:val="0"/>
      <w:marBottom w:val="0"/>
      <w:divBdr>
        <w:top w:val="none" w:sz="0" w:space="0" w:color="auto"/>
        <w:left w:val="none" w:sz="0" w:space="0" w:color="auto"/>
        <w:bottom w:val="none" w:sz="0" w:space="0" w:color="auto"/>
        <w:right w:val="none" w:sz="0" w:space="0" w:color="auto"/>
      </w:divBdr>
      <w:divsChild>
        <w:div w:id="1087654432">
          <w:marLeft w:val="0"/>
          <w:marRight w:val="0"/>
          <w:marTop w:val="0"/>
          <w:marBottom w:val="0"/>
          <w:divBdr>
            <w:top w:val="none" w:sz="0" w:space="0" w:color="auto"/>
            <w:left w:val="none" w:sz="0" w:space="0" w:color="auto"/>
            <w:bottom w:val="none" w:sz="0" w:space="0" w:color="auto"/>
            <w:right w:val="none" w:sz="0" w:space="0" w:color="auto"/>
          </w:divBdr>
        </w:div>
        <w:div w:id="1437553116">
          <w:marLeft w:val="0"/>
          <w:marRight w:val="0"/>
          <w:marTop w:val="0"/>
          <w:marBottom w:val="0"/>
          <w:divBdr>
            <w:top w:val="none" w:sz="0" w:space="0" w:color="auto"/>
            <w:left w:val="none" w:sz="0" w:space="0" w:color="auto"/>
            <w:bottom w:val="none" w:sz="0" w:space="0" w:color="auto"/>
            <w:right w:val="none" w:sz="0" w:space="0" w:color="auto"/>
          </w:divBdr>
        </w:div>
        <w:div w:id="2084642709">
          <w:marLeft w:val="0"/>
          <w:marRight w:val="0"/>
          <w:marTop w:val="0"/>
          <w:marBottom w:val="0"/>
          <w:divBdr>
            <w:top w:val="none" w:sz="0" w:space="0" w:color="auto"/>
            <w:left w:val="none" w:sz="0" w:space="0" w:color="auto"/>
            <w:bottom w:val="none" w:sz="0" w:space="0" w:color="auto"/>
            <w:right w:val="none" w:sz="0" w:space="0" w:color="auto"/>
          </w:divBdr>
        </w:div>
        <w:div w:id="831986242">
          <w:marLeft w:val="0"/>
          <w:marRight w:val="0"/>
          <w:marTop w:val="0"/>
          <w:marBottom w:val="0"/>
          <w:divBdr>
            <w:top w:val="none" w:sz="0" w:space="0" w:color="auto"/>
            <w:left w:val="none" w:sz="0" w:space="0" w:color="auto"/>
            <w:bottom w:val="none" w:sz="0" w:space="0" w:color="auto"/>
            <w:right w:val="none" w:sz="0" w:space="0" w:color="auto"/>
          </w:divBdr>
        </w:div>
      </w:divsChild>
    </w:div>
    <w:div w:id="1885868366">
      <w:bodyDiv w:val="1"/>
      <w:marLeft w:val="0"/>
      <w:marRight w:val="0"/>
      <w:marTop w:val="0"/>
      <w:marBottom w:val="0"/>
      <w:divBdr>
        <w:top w:val="none" w:sz="0" w:space="0" w:color="auto"/>
        <w:left w:val="none" w:sz="0" w:space="0" w:color="auto"/>
        <w:bottom w:val="none" w:sz="0" w:space="0" w:color="auto"/>
        <w:right w:val="none" w:sz="0" w:space="0" w:color="auto"/>
      </w:divBdr>
      <w:divsChild>
        <w:div w:id="458887670">
          <w:marLeft w:val="0"/>
          <w:marRight w:val="0"/>
          <w:marTop w:val="0"/>
          <w:marBottom w:val="0"/>
          <w:divBdr>
            <w:top w:val="none" w:sz="0" w:space="0" w:color="auto"/>
            <w:left w:val="none" w:sz="0" w:space="0" w:color="auto"/>
            <w:bottom w:val="none" w:sz="0" w:space="0" w:color="auto"/>
            <w:right w:val="none" w:sz="0" w:space="0" w:color="auto"/>
          </w:divBdr>
        </w:div>
        <w:div w:id="493642513">
          <w:marLeft w:val="0"/>
          <w:marRight w:val="0"/>
          <w:marTop w:val="0"/>
          <w:marBottom w:val="0"/>
          <w:divBdr>
            <w:top w:val="none" w:sz="0" w:space="0" w:color="auto"/>
            <w:left w:val="none" w:sz="0" w:space="0" w:color="auto"/>
            <w:bottom w:val="none" w:sz="0" w:space="0" w:color="auto"/>
            <w:right w:val="none" w:sz="0" w:space="0" w:color="auto"/>
          </w:divBdr>
        </w:div>
        <w:div w:id="677778129">
          <w:marLeft w:val="0"/>
          <w:marRight w:val="0"/>
          <w:marTop w:val="0"/>
          <w:marBottom w:val="0"/>
          <w:divBdr>
            <w:top w:val="none" w:sz="0" w:space="0" w:color="auto"/>
            <w:left w:val="none" w:sz="0" w:space="0" w:color="auto"/>
            <w:bottom w:val="none" w:sz="0" w:space="0" w:color="auto"/>
            <w:right w:val="none" w:sz="0" w:space="0" w:color="auto"/>
          </w:divBdr>
        </w:div>
        <w:div w:id="1596674228">
          <w:marLeft w:val="0"/>
          <w:marRight w:val="0"/>
          <w:marTop w:val="0"/>
          <w:marBottom w:val="0"/>
          <w:divBdr>
            <w:top w:val="none" w:sz="0" w:space="0" w:color="auto"/>
            <w:left w:val="none" w:sz="0" w:space="0" w:color="auto"/>
            <w:bottom w:val="none" w:sz="0" w:space="0" w:color="auto"/>
            <w:right w:val="none" w:sz="0" w:space="0" w:color="auto"/>
          </w:divBdr>
        </w:div>
        <w:div w:id="8549255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3568</TotalTime>
  <Pages>8</Pages>
  <Words>2073</Words>
  <Characters>11819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naqiuddin md shah</dc:creator>
  <cp:keywords/>
  <dc:description/>
  <cp:lastModifiedBy>naqiuddin md shah</cp:lastModifiedBy>
  <cp:revision>157</cp:revision>
  <dcterms:created xsi:type="dcterms:W3CDTF">2022-04-23T20:36:00Z</dcterms:created>
  <dcterms:modified xsi:type="dcterms:W3CDTF">2022-05-06T21:58:00Z</dcterms:modified>
</cp:coreProperties>
</file>