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63279" w14:textId="77777777" w:rsidR="009F14BE" w:rsidRDefault="009F14BE">
      <w:pPr>
        <w:spacing w:line="240" w:lineRule="auto"/>
      </w:pPr>
    </w:p>
    <w:p w14:paraId="281AF2C6" w14:textId="77777777" w:rsidR="009F14BE" w:rsidRDefault="009F14BE">
      <w:pPr>
        <w:pStyle w:val="Subtitle"/>
        <w:pBdr>
          <w:top w:val="nil"/>
          <w:left w:val="nil"/>
          <w:bottom w:val="nil"/>
          <w:right w:val="nil"/>
          <w:between w:val="nil"/>
        </w:pBdr>
      </w:pPr>
      <w:bookmarkStart w:id="0" w:name="_trasesizsivv" w:colFirst="0" w:colLast="0"/>
      <w:bookmarkEnd w:id="0"/>
    </w:p>
    <w:p w14:paraId="2CE04CDB" w14:textId="77777777" w:rsidR="009F14BE" w:rsidRDefault="009F14BE"/>
    <w:p w14:paraId="33F12681" w14:textId="77777777" w:rsidR="009F14BE" w:rsidRDefault="009F14BE"/>
    <w:p w14:paraId="455EFE80" w14:textId="77777777" w:rsidR="009F14BE" w:rsidRDefault="00000000">
      <w:pPr>
        <w:jc w:val="center"/>
        <w:rPr>
          <w:sz w:val="28"/>
          <w:szCs w:val="28"/>
        </w:rPr>
      </w:pPr>
      <w:r>
        <w:rPr>
          <w:sz w:val="28"/>
          <w:szCs w:val="28"/>
        </w:rPr>
        <w:t xml:space="preserve">Landscape Characteristics of </w:t>
      </w:r>
    </w:p>
    <w:p w14:paraId="685653F5" w14:textId="77777777" w:rsidR="009F14BE" w:rsidRDefault="00000000">
      <w:pPr>
        <w:jc w:val="center"/>
        <w:rPr>
          <w:sz w:val="28"/>
          <w:szCs w:val="28"/>
        </w:rPr>
      </w:pPr>
      <w:proofErr w:type="spellStart"/>
      <w:r>
        <w:rPr>
          <w:sz w:val="28"/>
          <w:szCs w:val="28"/>
        </w:rPr>
        <w:t>Llanllyr</w:t>
      </w:r>
      <w:proofErr w:type="spellEnd"/>
      <w:r>
        <w:rPr>
          <w:sz w:val="28"/>
          <w:szCs w:val="28"/>
        </w:rPr>
        <w:t xml:space="preserve">, </w:t>
      </w:r>
      <w:proofErr w:type="spellStart"/>
      <w:r>
        <w:rPr>
          <w:sz w:val="28"/>
          <w:szCs w:val="28"/>
        </w:rPr>
        <w:t>Talsarn</w:t>
      </w:r>
      <w:proofErr w:type="spellEnd"/>
    </w:p>
    <w:p w14:paraId="52DFC794" w14:textId="77777777" w:rsidR="009F14BE" w:rsidRDefault="009F14BE"/>
    <w:p w14:paraId="6DF84FFB" w14:textId="77777777" w:rsidR="009F14BE" w:rsidRDefault="009F14BE"/>
    <w:p w14:paraId="6A213A81" w14:textId="77777777" w:rsidR="009F14BE" w:rsidRDefault="009F14BE"/>
    <w:p w14:paraId="17CE5D7A" w14:textId="77777777" w:rsidR="009F14BE" w:rsidRDefault="009F14BE"/>
    <w:p w14:paraId="62E4D966" w14:textId="77777777" w:rsidR="009F14BE" w:rsidRDefault="009F14BE"/>
    <w:p w14:paraId="00751439" w14:textId="77777777" w:rsidR="009F14BE" w:rsidRDefault="009F14BE"/>
    <w:p w14:paraId="26956CFB" w14:textId="77777777" w:rsidR="009F14BE" w:rsidRDefault="009F14BE"/>
    <w:p w14:paraId="4D829B59" w14:textId="77777777" w:rsidR="009F14BE" w:rsidRDefault="009F14BE"/>
    <w:p w14:paraId="268E7339" w14:textId="77777777" w:rsidR="009F14BE" w:rsidRDefault="009F14BE"/>
    <w:p w14:paraId="41E7113F" w14:textId="77777777" w:rsidR="009F14BE" w:rsidRDefault="00000000">
      <w:pPr>
        <w:pStyle w:val="Subtitle"/>
        <w:pBdr>
          <w:top w:val="nil"/>
          <w:left w:val="nil"/>
          <w:bottom w:val="nil"/>
          <w:right w:val="nil"/>
          <w:between w:val="nil"/>
        </w:pBdr>
      </w:pPr>
      <w:bookmarkStart w:id="1" w:name="_1fob9te" w:colFirst="0" w:colLast="0"/>
      <w:bookmarkEnd w:id="1"/>
      <w:r>
        <w:t>Caitlynn Cendrowski</w:t>
      </w:r>
    </w:p>
    <w:p w14:paraId="588D78EC" w14:textId="77777777" w:rsidR="009F14BE" w:rsidRDefault="00000000">
      <w:pPr>
        <w:pStyle w:val="Subtitle"/>
        <w:pBdr>
          <w:top w:val="nil"/>
          <w:left w:val="nil"/>
          <w:bottom w:val="nil"/>
          <w:right w:val="nil"/>
          <w:between w:val="nil"/>
        </w:pBdr>
      </w:pPr>
      <w:bookmarkStart w:id="2" w:name="_3znysh7" w:colFirst="0" w:colLast="0"/>
      <w:bookmarkEnd w:id="2"/>
      <w:r>
        <w:t>University of Wales at Trinity St David</w:t>
      </w:r>
    </w:p>
    <w:p w14:paraId="4664EA2C" w14:textId="77777777" w:rsidR="009F14BE" w:rsidRDefault="00000000">
      <w:pPr>
        <w:pStyle w:val="Subtitle"/>
      </w:pPr>
      <w:bookmarkStart w:id="3" w:name="_2et92p0" w:colFirst="0" w:colLast="0"/>
      <w:bookmarkEnd w:id="3"/>
      <w:r>
        <w:t>HPAR5004 and Excavation &amp; Fieldwork</w:t>
      </w:r>
    </w:p>
    <w:p w14:paraId="28787E2A" w14:textId="77777777" w:rsidR="009F14BE" w:rsidRDefault="00000000">
      <w:pPr>
        <w:pStyle w:val="Subtitle"/>
        <w:rPr>
          <w:i/>
        </w:rPr>
      </w:pPr>
      <w:bookmarkStart w:id="4" w:name="_401cltby2opr" w:colFirst="0" w:colLast="0"/>
      <w:bookmarkEnd w:id="4"/>
      <w:r>
        <w:t xml:space="preserve">Ros Cord &amp; Quentin Drew </w:t>
      </w:r>
      <w:r>
        <w:rPr>
          <w:i/>
        </w:rPr>
        <w:t xml:space="preserve"> </w:t>
      </w:r>
    </w:p>
    <w:p w14:paraId="318CE57A" w14:textId="77777777" w:rsidR="009F14BE" w:rsidRDefault="009F14BE">
      <w:pPr>
        <w:pBdr>
          <w:top w:val="nil"/>
          <w:left w:val="nil"/>
          <w:bottom w:val="nil"/>
          <w:right w:val="nil"/>
          <w:between w:val="nil"/>
        </w:pBdr>
        <w:ind w:firstLine="720"/>
      </w:pPr>
    </w:p>
    <w:p w14:paraId="054C5975" w14:textId="77777777" w:rsidR="009F14BE" w:rsidRDefault="009F14BE">
      <w:pPr>
        <w:pBdr>
          <w:top w:val="nil"/>
          <w:left w:val="nil"/>
          <w:bottom w:val="nil"/>
          <w:right w:val="nil"/>
          <w:between w:val="nil"/>
        </w:pBdr>
        <w:ind w:firstLine="720"/>
      </w:pPr>
    </w:p>
    <w:p w14:paraId="5D1092B4" w14:textId="77777777" w:rsidR="009F14BE" w:rsidRDefault="009F14BE">
      <w:pPr>
        <w:pBdr>
          <w:top w:val="nil"/>
          <w:left w:val="nil"/>
          <w:bottom w:val="nil"/>
          <w:right w:val="nil"/>
          <w:between w:val="nil"/>
        </w:pBdr>
        <w:ind w:firstLine="720"/>
      </w:pPr>
    </w:p>
    <w:p w14:paraId="5FD8DBE1" w14:textId="77777777" w:rsidR="009F14BE" w:rsidRDefault="009F14BE">
      <w:pPr>
        <w:pBdr>
          <w:top w:val="nil"/>
          <w:left w:val="nil"/>
          <w:bottom w:val="nil"/>
          <w:right w:val="nil"/>
          <w:between w:val="nil"/>
        </w:pBdr>
        <w:ind w:firstLine="720"/>
      </w:pPr>
    </w:p>
    <w:p w14:paraId="1D783470" w14:textId="77777777" w:rsidR="009F14BE" w:rsidRDefault="009F14BE">
      <w:pPr>
        <w:pBdr>
          <w:top w:val="nil"/>
          <w:left w:val="nil"/>
          <w:bottom w:val="nil"/>
          <w:right w:val="nil"/>
          <w:between w:val="nil"/>
        </w:pBdr>
      </w:pPr>
    </w:p>
    <w:p w14:paraId="27805D2B" w14:textId="77777777" w:rsidR="009F14BE" w:rsidRDefault="00000000">
      <w:pPr>
        <w:pBdr>
          <w:top w:val="nil"/>
          <w:left w:val="nil"/>
          <w:bottom w:val="nil"/>
          <w:right w:val="nil"/>
          <w:between w:val="nil"/>
        </w:pBdr>
        <w:ind w:firstLine="720"/>
        <w:jc w:val="center"/>
        <w:rPr>
          <w:b/>
        </w:rPr>
      </w:pPr>
      <w:r>
        <w:rPr>
          <w:b/>
        </w:rPr>
        <w:lastRenderedPageBreak/>
        <w:t>Abstract</w:t>
      </w:r>
    </w:p>
    <w:p w14:paraId="0283021B" w14:textId="77777777" w:rsidR="009F14BE" w:rsidRDefault="00000000">
      <w:pPr>
        <w:pBdr>
          <w:top w:val="nil"/>
          <w:left w:val="nil"/>
          <w:bottom w:val="nil"/>
          <w:right w:val="nil"/>
          <w:between w:val="nil"/>
        </w:pBdr>
        <w:ind w:firstLine="720"/>
      </w:pPr>
      <w:r>
        <w:t xml:space="preserve">The site at </w:t>
      </w:r>
      <w:proofErr w:type="spellStart"/>
      <w:r>
        <w:t>Llanllyr</w:t>
      </w:r>
      <w:proofErr w:type="spellEnd"/>
      <w:r>
        <w:t xml:space="preserve"> has a nice history between many periods in time, which helps us to be able to gain a better understanding of the settlement movement around Wales. The periods that this site contained deposits were the Mesolithic, Neolithic, Bronze Age, and Iron Age; overall these are all in the Holocene era. For this, I will narrow my focus to the Mesolithic and Neolithic since they do tie into each other with the findings or other sites in the surrounding area. This gives reference to other sites that also show the similarities between the coastal areas to the valleys. Spot any differences as well and try to show patterns in the way people migrate around the land or how it changed over time and affected movement patterns. </w:t>
      </w:r>
    </w:p>
    <w:p w14:paraId="76F48439" w14:textId="77777777" w:rsidR="009F14BE" w:rsidRDefault="00000000">
      <w:pPr>
        <w:pBdr>
          <w:top w:val="nil"/>
          <w:left w:val="nil"/>
          <w:bottom w:val="nil"/>
          <w:right w:val="nil"/>
          <w:between w:val="nil"/>
        </w:pBdr>
        <w:ind w:firstLine="720"/>
        <w:jc w:val="center"/>
        <w:rPr>
          <w:b/>
        </w:rPr>
      </w:pPr>
      <w:r>
        <w:rPr>
          <w:b/>
        </w:rPr>
        <w:t>Introduction</w:t>
      </w:r>
    </w:p>
    <w:p w14:paraId="1D816451" w14:textId="77777777" w:rsidR="009F14BE" w:rsidRDefault="00000000">
      <w:pPr>
        <w:pBdr>
          <w:top w:val="nil"/>
          <w:left w:val="nil"/>
          <w:bottom w:val="nil"/>
          <w:right w:val="nil"/>
          <w:between w:val="nil"/>
        </w:pBdr>
      </w:pPr>
      <w:r>
        <w:rPr>
          <w:b/>
        </w:rPr>
        <w:tab/>
      </w:r>
      <w:proofErr w:type="spellStart"/>
      <w:r>
        <w:t>Llanllyr</w:t>
      </w:r>
      <w:proofErr w:type="spellEnd"/>
      <w:r>
        <w:t xml:space="preserve"> is a small village located in the community of </w:t>
      </w:r>
      <w:proofErr w:type="spellStart"/>
      <w:r>
        <w:t>Talsarn</w:t>
      </w:r>
      <w:proofErr w:type="spellEnd"/>
      <w:r>
        <w:t xml:space="preserve">, Ceredigion, Wales. </w:t>
      </w:r>
      <w:proofErr w:type="spellStart"/>
      <w:r>
        <w:t>Talsarn</w:t>
      </w:r>
      <w:proofErr w:type="spellEnd"/>
      <w:r>
        <w:t xml:space="preserve"> itself is a rural area known for its picturesque landscapes and traditional Welsh culture. </w:t>
      </w:r>
      <w:proofErr w:type="spellStart"/>
      <w:r>
        <w:t>Llanllyr</w:t>
      </w:r>
      <w:proofErr w:type="spellEnd"/>
      <w:r>
        <w:t xml:space="preserve">, like many villages in Wales, likely has a rich history tied to agriculture and local community life. During the Mesolithic era, which lasted from approximately 10,000 to 4,000 BC in Wales, </w:t>
      </w:r>
      <w:proofErr w:type="spellStart"/>
      <w:r>
        <w:t>Llanllyr</w:t>
      </w:r>
      <w:proofErr w:type="spellEnd"/>
      <w:r>
        <w:t xml:space="preserve"> and its surrounding area would have been inhabited by hunter-gatherer communities. In The Neolithic era, which lasted from around 4000 BC to 2000 BC in Wales, </w:t>
      </w:r>
      <w:proofErr w:type="spellStart"/>
      <w:r>
        <w:t>Llanllyr</w:t>
      </w:r>
      <w:proofErr w:type="spellEnd"/>
      <w:r>
        <w:t xml:space="preserve"> would have been very different from its present-day form. As an area with a long history of human habitation, the landscape around </w:t>
      </w:r>
      <w:proofErr w:type="spellStart"/>
      <w:r>
        <w:t>Llanllyr</w:t>
      </w:r>
      <w:proofErr w:type="spellEnd"/>
      <w:r>
        <w:t xml:space="preserve"> would likely have been utilized by early Neolithic communities for agriculture, hunting, and possibly ritual activities. Here's an overview of what </w:t>
      </w:r>
      <w:proofErr w:type="spellStart"/>
      <w:r>
        <w:t>Llanllyr</w:t>
      </w:r>
      <w:proofErr w:type="spellEnd"/>
      <w:r>
        <w:t xml:space="preserve"> might have been like during this time. Then as well with the other period. We know from the Library of Wales about the lore about this site such as the known </w:t>
      </w:r>
      <w:proofErr w:type="spellStart"/>
      <w:r>
        <w:t>Cisterian</w:t>
      </w:r>
      <w:proofErr w:type="spellEnd"/>
      <w:r>
        <w:t xml:space="preserve"> around 1180 CE, then how they converted some of the buildings in 1535 CE for the mansion and farmhouse from the 18th or 19th century that is on site there now. The Cistercian also is not </w:t>
      </w:r>
      <w:r>
        <w:lastRenderedPageBreak/>
        <w:t xml:space="preserve">known for the exact location of where it may be, but there are known assumptions as to where it may be. That is the known movement that we have records from such as deeds or just other materials in the archives. Some of the known excavation finds that have come from the site were a cobblestone surface showing off the foundation and the formal gardens for the old mansion house that is on the land from the 1768 estate maps shown in the </w:t>
      </w:r>
      <w:r>
        <w:rPr>
          <w:b/>
        </w:rPr>
        <w:t>figure 1</w:t>
      </w:r>
      <w:r>
        <w:t xml:space="preserve">. </w:t>
      </w:r>
    </w:p>
    <w:p w14:paraId="07F2274F" w14:textId="77777777" w:rsidR="009F14BE" w:rsidRDefault="00000000">
      <w:pPr>
        <w:pBdr>
          <w:top w:val="nil"/>
          <w:left w:val="nil"/>
          <w:bottom w:val="nil"/>
          <w:right w:val="nil"/>
          <w:between w:val="nil"/>
        </w:pBdr>
        <w:jc w:val="center"/>
        <w:rPr>
          <w:b/>
        </w:rPr>
      </w:pPr>
      <w:r>
        <w:rPr>
          <w:b/>
        </w:rPr>
        <w:t>Mesolithic</w:t>
      </w:r>
    </w:p>
    <w:p w14:paraId="6FDAB7CB" w14:textId="77777777" w:rsidR="009F14BE" w:rsidRDefault="00000000">
      <w:pPr>
        <w:pBdr>
          <w:top w:val="nil"/>
          <w:left w:val="nil"/>
          <w:bottom w:val="nil"/>
          <w:right w:val="nil"/>
          <w:between w:val="nil"/>
        </w:pBdr>
      </w:pPr>
      <w:r>
        <w:tab/>
        <w:t xml:space="preserve">In Wales during this </w:t>
      </w:r>
      <w:proofErr w:type="gramStart"/>
      <w:r>
        <w:t>period in time</w:t>
      </w:r>
      <w:proofErr w:type="gramEnd"/>
      <w:r>
        <w:t xml:space="preserve">, it was the building block for the settlement movement. The landscape around </w:t>
      </w:r>
      <w:proofErr w:type="spellStart"/>
      <w:r>
        <w:t>Llanllyr</w:t>
      </w:r>
      <w:proofErr w:type="spellEnd"/>
      <w:r>
        <w:t xml:space="preserve"> would have provided a variety of resources for Mesolithic people to exploit. This could include hunting wild animals such as deer, boar, and small game, as well as gathering wild plants for food, medicine, and materials. Mesolithic communities would have utilized natural shelters such as caves, and rock overhangs, or constructed simple shelters using natural materials like branches and animal hides. These shelters helped society members from the elements and served as living spaces during their temporary stays. The land during the Mesolithic, noted in </w:t>
      </w:r>
      <w:r>
        <w:rPr>
          <w:b/>
        </w:rPr>
        <w:t>Figure 2</w:t>
      </w:r>
      <w:r>
        <w:t xml:space="preserve">, shows that the land has had movement towards the other places or coming in from the coast inward to the land. To show this is to gain a better understanding of how settlers would move around the area or the challenges they faced during this time such as the immense rainfall that is natural to Wales. In The Mesolithic era, </w:t>
      </w:r>
      <w:proofErr w:type="spellStart"/>
      <w:r>
        <w:t>Llanllyr</w:t>
      </w:r>
      <w:proofErr w:type="spellEnd"/>
      <w:r>
        <w:t xml:space="preserve"> and its surroundings would have been inhabited by small bands of hunter-gatherers who relied on the natural environment for their sustenance and survival. While direct evidence of Mesolithic activity in the area may be limited, archaeological research in nearby regions can provide insights into the lifestyles and behaviors of these ancient communities.</w:t>
      </w:r>
    </w:p>
    <w:p w14:paraId="34C9EC7E" w14:textId="77777777" w:rsidR="009F14BE" w:rsidRDefault="00000000">
      <w:pPr>
        <w:pBdr>
          <w:top w:val="nil"/>
          <w:left w:val="nil"/>
          <w:bottom w:val="nil"/>
          <w:right w:val="nil"/>
          <w:between w:val="nil"/>
        </w:pBdr>
        <w:jc w:val="center"/>
        <w:rPr>
          <w:b/>
        </w:rPr>
      </w:pPr>
      <w:r>
        <w:rPr>
          <w:b/>
        </w:rPr>
        <w:t xml:space="preserve">Neolithic </w:t>
      </w:r>
    </w:p>
    <w:p w14:paraId="41828074" w14:textId="77777777" w:rsidR="009F14BE" w:rsidRDefault="00000000">
      <w:pPr>
        <w:pBdr>
          <w:top w:val="nil"/>
          <w:left w:val="nil"/>
          <w:bottom w:val="nil"/>
          <w:right w:val="nil"/>
          <w:between w:val="nil"/>
        </w:pBdr>
        <w:jc w:val="center"/>
      </w:pPr>
      <w:r>
        <w:lastRenderedPageBreak/>
        <w:tab/>
        <w:t xml:space="preserve">In The Neolithic era, which lasted from around 4000 BC to 2000 BC in Wales, </w:t>
      </w:r>
      <w:proofErr w:type="spellStart"/>
      <w:r>
        <w:t>Llanllyr</w:t>
      </w:r>
      <w:proofErr w:type="spellEnd"/>
      <w:r>
        <w:t xml:space="preserve"> would have been very different from its present-day form. As an area with a long history of human habitation, the landscape around </w:t>
      </w:r>
      <w:proofErr w:type="spellStart"/>
      <w:r>
        <w:t>Llanllyr</w:t>
      </w:r>
      <w:proofErr w:type="spellEnd"/>
      <w:r>
        <w:t xml:space="preserve"> would likely have been utilized by early Neolithic communities for agriculture, hunting, and possibly ritual activities. Examples of what the area looked like in </w:t>
      </w:r>
      <w:r>
        <w:rPr>
          <w:b/>
        </w:rPr>
        <w:t>Figure 3</w:t>
      </w:r>
      <w:r>
        <w:t xml:space="preserve">, tie into the movement that was already progressing from the Mesolithic era of movement. While there are no known major Neolithic monuments directly in </w:t>
      </w:r>
      <w:proofErr w:type="spellStart"/>
      <w:r>
        <w:t>Llanllyr</w:t>
      </w:r>
      <w:proofErr w:type="spellEnd"/>
      <w:r>
        <w:t xml:space="preserve">, the surrounding area of Ceredigion and Wales </w:t>
      </w:r>
      <w:proofErr w:type="gramStart"/>
      <w:r>
        <w:t>as a whole is</w:t>
      </w:r>
      <w:proofErr w:type="gramEnd"/>
      <w:r>
        <w:t xml:space="preserve"> rich in such structures. Such as during the Mesolithic era, it was also the hunter-gatherer </w:t>
      </w:r>
      <w:proofErr w:type="gramStart"/>
      <w:r>
        <w:t>time</w:t>
      </w:r>
      <w:proofErr w:type="gramEnd"/>
      <w:r>
        <w:t xml:space="preserve"> but the tools started to see far advancements to fit they’re daily lifestyle. As well as shelter advancements with learning how certain materials can be altered to build the building blocks essentially to life. Challenges faced during this would be immense land change or the overall with the old river channel that used to be around that area.</w:t>
      </w:r>
    </w:p>
    <w:p w14:paraId="4686C472" w14:textId="77777777" w:rsidR="009F14BE" w:rsidRDefault="00000000">
      <w:pPr>
        <w:jc w:val="center"/>
        <w:rPr>
          <w:b/>
        </w:rPr>
      </w:pPr>
      <w:r>
        <w:rPr>
          <w:b/>
        </w:rPr>
        <w:t>Similarities</w:t>
      </w:r>
    </w:p>
    <w:p w14:paraId="3B2B2F3E" w14:textId="77777777" w:rsidR="009F14BE" w:rsidRDefault="00000000">
      <w:r>
        <w:rPr>
          <w:b/>
        </w:rPr>
        <w:tab/>
      </w:r>
      <w:r>
        <w:t xml:space="preserve">Mesolithic and Neolithic inhabitants of </w:t>
      </w:r>
      <w:proofErr w:type="spellStart"/>
      <w:r>
        <w:t>Llanllyr</w:t>
      </w:r>
      <w:proofErr w:type="spellEnd"/>
      <w:r>
        <w:t xml:space="preserve"> would have relied on the local landscape for resources such as food, water, and shelter. While their specific strategies and technologies may have differed, both groups would have been intimately familiar with the natural environment and its seasonal variations. Mesolithic and Neolithic periods are marked by distinctive material cultures, including stone tools, pottery, and other artifacts. While the types of tools and pottery may have changed over time due to technological advancements and cultural shifts, there would have been some continuity in the use of certain materials and techniques.</w:t>
      </w:r>
    </w:p>
    <w:p w14:paraId="02C03199"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pPr>
      <w:r>
        <w:t xml:space="preserve">While the specifics of social organization likely differed between the Mesolithic and Neolithic periods, both would have involved some form of social structure within communities. This could include kinship ties, leadership roles, and cooperative labor for tasks such as hunting, gathering, </w:t>
      </w:r>
      <w:r>
        <w:lastRenderedPageBreak/>
        <w:t xml:space="preserve">and later, agriculture, between periods involved active interaction with and adaptation to the local environment. Mesolithic and Neolithic communities in </w:t>
      </w:r>
      <w:proofErr w:type="spellStart"/>
      <w:r>
        <w:t>Llanllyr</w:t>
      </w:r>
      <w:proofErr w:type="spellEnd"/>
      <w:r>
        <w:t xml:space="preserve"> would have developed specialized knowledge of local flora and fauna, as well as seasonal patterns, </w:t>
      </w:r>
      <w:proofErr w:type="gramStart"/>
      <w:r>
        <w:t>in order to</w:t>
      </w:r>
      <w:proofErr w:type="gramEnd"/>
      <w:r>
        <w:t xml:space="preserve"> exploit resources effectively and sustainably. You can see in </w:t>
      </w:r>
      <w:r>
        <w:rPr>
          <w:b/>
        </w:rPr>
        <w:t>Figure 4</w:t>
      </w:r>
      <w:r>
        <w:t xml:space="preserve"> how much movement there was in </w:t>
      </w:r>
      <w:proofErr w:type="spellStart"/>
      <w:r>
        <w:t>Llanllyr</w:t>
      </w:r>
      <w:proofErr w:type="spellEnd"/>
      <w:r>
        <w:t xml:space="preserve"> between both periods in time, then how it slowed down to put down their mass roots. Such as a place that is always home, which </w:t>
      </w:r>
      <w:proofErr w:type="gramStart"/>
      <w:r>
        <w:t>helps out</w:t>
      </w:r>
      <w:proofErr w:type="gramEnd"/>
      <w:r>
        <w:t xml:space="preserve"> the process for more safety reasons or in a sense being able to have a certain class system start in civilization. </w:t>
      </w:r>
    </w:p>
    <w:p w14:paraId="223B666B"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jc w:val="center"/>
        <w:rPr>
          <w:b/>
        </w:rPr>
      </w:pPr>
      <w:r>
        <w:rPr>
          <w:b/>
        </w:rPr>
        <w:t xml:space="preserve">Differences </w:t>
      </w:r>
    </w:p>
    <w:p w14:paraId="5BD4D450"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pPr>
      <w:r>
        <w:rPr>
          <w:b/>
        </w:rPr>
        <w:tab/>
      </w:r>
      <w:r>
        <w:t xml:space="preserve">Mesolithic communities in </w:t>
      </w:r>
      <w:proofErr w:type="spellStart"/>
      <w:r>
        <w:t>Llanllyr</w:t>
      </w:r>
      <w:proofErr w:type="spellEnd"/>
      <w:r>
        <w:t xml:space="preserve"> were primarily hunter-gatherers, relying on hunting wild animals, fishing, and gathering wild plants for sustenance. They were mobile, following animal migrations and seasonal food sources. Neolithic communities transitioned to agriculture and the domestication of plants and animals. In </w:t>
      </w:r>
      <w:proofErr w:type="spellStart"/>
      <w:r>
        <w:t>Llanllyr</w:t>
      </w:r>
      <w:proofErr w:type="spellEnd"/>
      <w:r>
        <w:t xml:space="preserve">, this likely involved the cultivation of crops such as wheat, barley, and peas, as well as the domestication of animals like cattle, sheep, and pigs. Mesolithic communities in </w:t>
      </w:r>
      <w:proofErr w:type="spellStart"/>
      <w:r>
        <w:t>Llanllyr</w:t>
      </w:r>
      <w:proofErr w:type="spellEnd"/>
      <w:r>
        <w:t xml:space="preserve"> were nomadic or semi-nomadic, moving seasonally to exploit different resources. They likely used temporary shelters and campsites. Neolithic settlements in </w:t>
      </w:r>
      <w:proofErr w:type="spellStart"/>
      <w:r>
        <w:t>Llanllyr</w:t>
      </w:r>
      <w:proofErr w:type="spellEnd"/>
      <w:r>
        <w:t xml:space="preserve"> became more permanent as people established agricultural communities. Villages with houses, storage facilities, and other structures became common. Mesolithic communities likely had spiritual beliefs tied to the natural world, with rituals and practices related to hunting, gathering, and seasonal cycles. Neolithic societies developed more elaborate belief systems, as evidenced by the construction of megalithic monuments like stone circles and chambered tombs. These structures may have been used for religious rituals, burial practices, or communal gatherings. It also well pushes people to make the common good to make religion on their side almost in a sense with the nunnery. This is way before this </w:t>
      </w:r>
      <w:proofErr w:type="gramStart"/>
      <w:r>
        <w:t>period in time</w:t>
      </w:r>
      <w:proofErr w:type="gramEnd"/>
      <w:r>
        <w:t xml:space="preserve">, but it led to </w:t>
      </w:r>
      <w:r>
        <w:lastRenderedPageBreak/>
        <w:t xml:space="preserve">religious lands can be gratifying in that sense learning that there is a current mansion occupying the current land. The differences highlight the profound transformations that occurred in </w:t>
      </w:r>
      <w:proofErr w:type="spellStart"/>
      <w:r>
        <w:t>Llanllyr</w:t>
      </w:r>
      <w:proofErr w:type="spellEnd"/>
      <w:r>
        <w:t xml:space="preserve"> and other regions during the transition from the Mesolithic to the Neolithic period.</w:t>
      </w:r>
    </w:p>
    <w:p w14:paraId="0EE1EFCF"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jc w:val="center"/>
        <w:rPr>
          <w:b/>
        </w:rPr>
      </w:pPr>
      <w:r>
        <w:rPr>
          <w:b/>
        </w:rPr>
        <w:t>Conclusion</w:t>
      </w:r>
    </w:p>
    <w:p w14:paraId="0CB99D83"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pPr>
      <w:r>
        <w:rPr>
          <w:b/>
        </w:rPr>
        <w:tab/>
      </w:r>
      <w:proofErr w:type="gramStart"/>
      <w:r>
        <w:t>Overall</w:t>
      </w:r>
      <w:proofErr w:type="gramEnd"/>
      <w:r>
        <w:t xml:space="preserve"> the site at </w:t>
      </w:r>
      <w:proofErr w:type="spellStart"/>
      <w:r>
        <w:t>Llanllyr</w:t>
      </w:r>
      <w:proofErr w:type="spellEnd"/>
      <w:r>
        <w:t xml:space="preserve"> has a rich history behind it, with a small community that shows a lot of growth over time. As well for both periods in time, which they both can correlate with each other simultaneously of how a civilization starts. For that </w:t>
      </w:r>
      <w:proofErr w:type="gramStart"/>
      <w:r>
        <w:t>reason</w:t>
      </w:r>
      <w:proofErr w:type="gramEnd"/>
      <w:r>
        <w:t xml:space="preserve"> it shows the great differences or the overall growth that it takes from the land and people themselves, it’s not easy to navigate the land that is there so where they made it work, they laid down the first bricks. </w:t>
      </w:r>
      <w:proofErr w:type="spellStart"/>
      <w:r>
        <w:t>Llanllyr</w:t>
      </w:r>
      <w:proofErr w:type="spellEnd"/>
      <w:r>
        <w:t xml:space="preserve"> has amazing history awaiting to be rediscovered, I hope the excavation work being done on this site with the University of Wales Trinity St David. </w:t>
      </w:r>
    </w:p>
    <w:p w14:paraId="47DC5EBD"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6C2B62A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5775AE3D"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58AA2BE8"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136343A4"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6226B4A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01EE69B5"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3259E6D9"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3DF9DF1D"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35F12291"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7EC7F601"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583582B1"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pPr>
    </w:p>
    <w:p w14:paraId="17E3A3BC"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jc w:val="center"/>
        <w:rPr>
          <w:b/>
        </w:rPr>
      </w:pPr>
      <w:r>
        <w:rPr>
          <w:b/>
        </w:rPr>
        <w:lastRenderedPageBreak/>
        <w:t>Figures</w:t>
      </w:r>
    </w:p>
    <w:p w14:paraId="130D1833"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rPr>
          <w:b/>
        </w:rPr>
      </w:pPr>
      <w:r>
        <w:rPr>
          <w:b/>
        </w:rPr>
        <w:t>Figure 1:</w:t>
      </w:r>
      <w:r>
        <w:rPr>
          <w:noProof/>
        </w:rPr>
        <w:drawing>
          <wp:anchor distT="114300" distB="114300" distL="114300" distR="114300" simplePos="0" relativeHeight="251658240" behindDoc="0" locked="0" layoutInCell="1" hidden="0" allowOverlap="1" wp14:anchorId="367BF662" wp14:editId="4CA7CC64">
            <wp:simplePos x="0" y="0"/>
            <wp:positionH relativeFrom="column">
              <wp:posOffset>-761999</wp:posOffset>
            </wp:positionH>
            <wp:positionV relativeFrom="paragraph">
              <wp:posOffset>287685</wp:posOffset>
            </wp:positionV>
            <wp:extent cx="5943600" cy="417830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4178300"/>
                    </a:xfrm>
                    <a:prstGeom prst="rect">
                      <a:avLst/>
                    </a:prstGeom>
                    <a:ln/>
                  </pic:spPr>
                </pic:pic>
              </a:graphicData>
            </a:graphic>
          </wp:anchor>
        </w:drawing>
      </w:r>
    </w:p>
    <w:p w14:paraId="78661924"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7FDF7841"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3B155152"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3BDD8C6F"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3D614967"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5849CE68"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22804B64"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2ED90C7A"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57C0734B"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0D13EF52"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50D0E5EB"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79114CFF"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27C3D0AB"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t xml:space="preserve">This figure shows the site map guide during the 2014/2015 excavation the school carried out in that this shows off the trenches, how we conclude work, then what is labeled 3 in the picture is the cobbled surface they uncovered. </w:t>
      </w:r>
    </w:p>
    <w:p w14:paraId="1E28F7A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pPr>
    </w:p>
    <w:p w14:paraId="24B29399"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rPr>
          <w:b/>
        </w:rPr>
      </w:pPr>
      <w:r>
        <w:rPr>
          <w:b/>
        </w:rPr>
        <w:t>Figure 2:</w:t>
      </w:r>
      <w:r>
        <w:rPr>
          <w:noProof/>
        </w:rPr>
        <w:drawing>
          <wp:anchor distT="114300" distB="114300" distL="114300" distR="114300" simplePos="0" relativeHeight="251659264" behindDoc="0" locked="0" layoutInCell="1" hidden="0" allowOverlap="1" wp14:anchorId="5C58FA68" wp14:editId="5C8B5F11">
            <wp:simplePos x="0" y="0"/>
            <wp:positionH relativeFrom="column">
              <wp:posOffset>-590549</wp:posOffset>
            </wp:positionH>
            <wp:positionV relativeFrom="paragraph">
              <wp:posOffset>226219</wp:posOffset>
            </wp:positionV>
            <wp:extent cx="4267200" cy="3063776"/>
            <wp:effectExtent l="0" t="0" r="0" b="0"/>
            <wp:wrapNone/>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a:srcRect/>
                    <a:stretch>
                      <a:fillRect/>
                    </a:stretch>
                  </pic:blipFill>
                  <pic:spPr>
                    <a:xfrm>
                      <a:off x="0" y="0"/>
                      <a:ext cx="4267200" cy="3063776"/>
                    </a:xfrm>
                    <a:prstGeom prst="rect">
                      <a:avLst/>
                    </a:prstGeom>
                    <a:ln/>
                  </pic:spPr>
                </pic:pic>
              </a:graphicData>
            </a:graphic>
          </wp:anchor>
        </w:drawing>
      </w:r>
    </w:p>
    <w:p w14:paraId="71D50FB3"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jc w:val="right"/>
      </w:pPr>
      <w:r>
        <w:t xml:space="preserve">Figure 2 represent all the </w:t>
      </w:r>
      <w:proofErr w:type="gramStart"/>
      <w:r>
        <w:t>Mesolithic</w:t>
      </w:r>
      <w:proofErr w:type="gramEnd"/>
      <w:r>
        <w:t xml:space="preserve"> </w:t>
      </w:r>
    </w:p>
    <w:p w14:paraId="15C82BEF"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jc w:val="right"/>
      </w:pPr>
      <w:r>
        <w:t xml:space="preserve">sites, that surround the area our </w:t>
      </w:r>
      <w:proofErr w:type="gramStart"/>
      <w:r>
        <w:t>site</w:t>
      </w:r>
      <w:proofErr w:type="gramEnd"/>
      <w:r>
        <w:t xml:space="preserve"> </w:t>
      </w:r>
    </w:p>
    <w:p w14:paraId="3B4A2480"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jc w:val="right"/>
      </w:pPr>
      <w:r>
        <w:t>is between Aberaeron and Lampeter</w:t>
      </w:r>
    </w:p>
    <w:p w14:paraId="26671094"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jc w:val="right"/>
      </w:pPr>
    </w:p>
    <w:p w14:paraId="5AF3BB95"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jc w:val="center"/>
        <w:rPr>
          <w:b/>
        </w:rPr>
      </w:pPr>
    </w:p>
    <w:p w14:paraId="53701759"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0E3C9178"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44A55DCB"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170C0D3D"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4464A47E"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rPr>
          <w:b/>
        </w:rPr>
      </w:pPr>
      <w:r>
        <w:rPr>
          <w:b/>
        </w:rPr>
        <w:lastRenderedPageBreak/>
        <w:t xml:space="preserve">Figure 3: </w:t>
      </w:r>
      <w:r>
        <w:rPr>
          <w:noProof/>
        </w:rPr>
        <w:drawing>
          <wp:anchor distT="114300" distB="114300" distL="114300" distR="114300" simplePos="0" relativeHeight="251660288" behindDoc="0" locked="0" layoutInCell="1" hidden="0" allowOverlap="1" wp14:anchorId="69CAEF9B" wp14:editId="295704BF">
            <wp:simplePos x="0" y="0"/>
            <wp:positionH relativeFrom="column">
              <wp:posOffset>762000</wp:posOffset>
            </wp:positionH>
            <wp:positionV relativeFrom="paragraph">
              <wp:posOffset>152400</wp:posOffset>
            </wp:positionV>
            <wp:extent cx="3924300" cy="3319463"/>
            <wp:effectExtent l="0" t="0" r="0" b="0"/>
            <wp:wrapNone/>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a:stretch>
                      <a:fillRect/>
                    </a:stretch>
                  </pic:blipFill>
                  <pic:spPr>
                    <a:xfrm>
                      <a:off x="0" y="0"/>
                      <a:ext cx="3924300" cy="3319463"/>
                    </a:xfrm>
                    <a:prstGeom prst="rect">
                      <a:avLst/>
                    </a:prstGeom>
                    <a:ln/>
                  </pic:spPr>
                </pic:pic>
              </a:graphicData>
            </a:graphic>
          </wp:anchor>
        </w:drawing>
      </w:r>
    </w:p>
    <w:p w14:paraId="64074C9D"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071310E2"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017B6C85"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76FEE98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2C52D21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00538CB6"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2049E45B"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4DCA406A"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63160410"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5EA6C6AF"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t xml:space="preserve">Figure 3 represents what can be found during the Neolithic era, you can see the differences between both periods already showing off the mass more deposits that were left from settlers. </w:t>
      </w:r>
    </w:p>
    <w:p w14:paraId="3F20FE7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pPr>
    </w:p>
    <w:p w14:paraId="6FCFF639"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rPr>
          <w:b/>
        </w:rPr>
      </w:pPr>
      <w:r>
        <w:rPr>
          <w:b/>
        </w:rPr>
        <w:t xml:space="preserve">Figure 4: </w:t>
      </w:r>
      <w:r>
        <w:rPr>
          <w:noProof/>
        </w:rPr>
        <w:drawing>
          <wp:anchor distT="114300" distB="114300" distL="114300" distR="114300" simplePos="0" relativeHeight="251661312" behindDoc="0" locked="0" layoutInCell="1" hidden="0" allowOverlap="1" wp14:anchorId="0A5DDB65" wp14:editId="4DB67A85">
            <wp:simplePos x="0" y="0"/>
            <wp:positionH relativeFrom="column">
              <wp:posOffset>19051</wp:posOffset>
            </wp:positionH>
            <wp:positionV relativeFrom="paragraph">
              <wp:posOffset>194295</wp:posOffset>
            </wp:positionV>
            <wp:extent cx="5943600" cy="2136800"/>
            <wp:effectExtent l="0" t="0" r="0" b="0"/>
            <wp:wrapNone/>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943600" cy="2136800"/>
                    </a:xfrm>
                    <a:prstGeom prst="rect">
                      <a:avLst/>
                    </a:prstGeom>
                    <a:ln/>
                  </pic:spPr>
                </pic:pic>
              </a:graphicData>
            </a:graphic>
          </wp:anchor>
        </w:drawing>
      </w:r>
    </w:p>
    <w:p w14:paraId="1825C95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pPr>
    </w:p>
    <w:p w14:paraId="7CAADAE9"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419D0C96"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40F8BEB8"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21B965B9"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60802B9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30163C31"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jc w:val="center"/>
        <w:rPr>
          <w:b/>
        </w:rPr>
      </w:pPr>
    </w:p>
    <w:p w14:paraId="600FFDF0"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t xml:space="preserve">Figure 4 shows off the different popular sites and how close it is to our site in </w:t>
      </w:r>
      <w:proofErr w:type="spellStart"/>
      <w:r>
        <w:t>Llanllyr</w:t>
      </w:r>
      <w:proofErr w:type="spellEnd"/>
      <w:r>
        <w:t xml:space="preserve"> where the red star is placed. It shows the scale in a way to differentiate the mass deposits from other locations as well. </w:t>
      </w:r>
    </w:p>
    <w:p w14:paraId="608DCDBB"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rPr>
          <w:b/>
        </w:rPr>
      </w:pPr>
    </w:p>
    <w:p w14:paraId="3B1A6E34"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rPr>
          <w:b/>
        </w:rPr>
      </w:pPr>
    </w:p>
    <w:p w14:paraId="0002909E"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rPr>
          <w:b/>
        </w:rPr>
      </w:pPr>
    </w:p>
    <w:p w14:paraId="7D72BB10"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jc w:val="center"/>
        <w:rPr>
          <w:b/>
        </w:rPr>
      </w:pPr>
      <w:r>
        <w:rPr>
          <w:b/>
        </w:rPr>
        <w:lastRenderedPageBreak/>
        <w:t xml:space="preserve">Referencing </w:t>
      </w:r>
    </w:p>
    <w:p w14:paraId="357F4176"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t xml:space="preserve">Carseldine, A., &amp; Earwood, C. (2004). A Neolithic Wetland Site at </w:t>
      </w:r>
      <w:proofErr w:type="spellStart"/>
      <w:r>
        <w:t>Abercynafon</w:t>
      </w:r>
      <w:proofErr w:type="spellEnd"/>
      <w:r>
        <w:t xml:space="preserve">, </w:t>
      </w:r>
      <w:proofErr w:type="spellStart"/>
      <w:r>
        <w:t>Talybont</w:t>
      </w:r>
      <w:proofErr w:type="spellEnd"/>
      <w:r>
        <w:t xml:space="preserve">, South Wales. </w:t>
      </w:r>
      <w:r>
        <w:rPr>
          <w:i/>
        </w:rPr>
        <w:t>Journal of Wetland Archaeology</w:t>
      </w:r>
      <w:r>
        <w:t>,</w:t>
      </w:r>
    </w:p>
    <w:p w14:paraId="6DFF1BD0"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pPr>
    </w:p>
    <w:p w14:paraId="6EDAF37F"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t xml:space="preserve">Edmunds, W. (1861). ON SOME OLD FAMILIES IN THE NEIGHBOURHOOD OF LAMPETER, CARDIGANSHIRE. </w:t>
      </w:r>
      <w:proofErr w:type="spellStart"/>
      <w:r>
        <w:rPr>
          <w:i/>
        </w:rPr>
        <w:t>Archaeologia</w:t>
      </w:r>
      <w:proofErr w:type="spellEnd"/>
      <w:r>
        <w:rPr>
          <w:i/>
        </w:rPr>
        <w:t xml:space="preserve"> </w:t>
      </w:r>
      <w:proofErr w:type="spellStart"/>
      <w:r>
        <w:rPr>
          <w:i/>
        </w:rPr>
        <w:t>Cambrensis</w:t>
      </w:r>
      <w:proofErr w:type="spellEnd"/>
      <w:r>
        <w:t xml:space="preserve">, </w:t>
      </w:r>
      <w:r>
        <w:rPr>
          <w:i/>
        </w:rPr>
        <w:t>7</w:t>
      </w:r>
      <w:r>
        <w:t>(25), 23–28.</w:t>
      </w:r>
    </w:p>
    <w:p w14:paraId="60BC2F91"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pPr>
    </w:p>
    <w:p w14:paraId="2E79C530"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rPr>
          <w:highlight w:val="white"/>
        </w:rPr>
        <w:t xml:space="preserve">Gee, L. L. (2010). </w:t>
      </w:r>
      <w:r>
        <w:t xml:space="preserve">A very small corner of </w:t>
      </w:r>
      <w:proofErr w:type="gramStart"/>
      <w:r>
        <w:t>paradise</w:t>
      </w:r>
      <w:r>
        <w:rPr>
          <w:i/>
        </w:rPr>
        <w:t> :</w:t>
      </w:r>
      <w:proofErr w:type="gramEnd"/>
      <w:r>
        <w:rPr>
          <w:i/>
        </w:rPr>
        <w:t xml:space="preserve"> the story of </w:t>
      </w:r>
      <w:proofErr w:type="spellStart"/>
      <w:r>
        <w:rPr>
          <w:i/>
        </w:rPr>
        <w:t>Llanllŷr</w:t>
      </w:r>
      <w:proofErr w:type="spellEnd"/>
      <w:r>
        <w:rPr>
          <w:i/>
        </w:rPr>
        <w:t> : a garden in Wales</w:t>
      </w:r>
      <w:r>
        <w:rPr>
          <w:highlight w:val="white"/>
        </w:rPr>
        <w:t xml:space="preserve">. </w:t>
      </w:r>
      <w:proofErr w:type="spellStart"/>
      <w:r>
        <w:rPr>
          <w:highlight w:val="white"/>
        </w:rPr>
        <w:t>Lolfa</w:t>
      </w:r>
      <w:proofErr w:type="spellEnd"/>
      <w:r>
        <w:rPr>
          <w:highlight w:val="white"/>
        </w:rPr>
        <w:t>.</w:t>
      </w:r>
    </w:p>
    <w:p w14:paraId="108E916A"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rPr>
          <w:rFonts w:ascii="Arial" w:eastAsia="Arial" w:hAnsi="Arial" w:cs="Arial"/>
          <w:color w:val="3A3A3A"/>
          <w:sz w:val="23"/>
          <w:szCs w:val="23"/>
          <w:highlight w:val="white"/>
        </w:rPr>
      </w:pPr>
    </w:p>
    <w:p w14:paraId="486D5438"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rPr>
          <w:highlight w:val="white"/>
        </w:rPr>
      </w:pPr>
      <w:r>
        <w:rPr>
          <w:highlight w:val="white"/>
        </w:rPr>
        <w:t xml:space="preserve">Lewes, J. H. (1971). LLANLLYR, 1180 - 1980. </w:t>
      </w:r>
      <w:r>
        <w:rPr>
          <w:i/>
        </w:rPr>
        <w:t>Ceredigion</w:t>
      </w:r>
      <w:r>
        <w:rPr>
          <w:highlight w:val="white"/>
        </w:rPr>
        <w:t xml:space="preserve">, </w:t>
      </w:r>
      <w:r>
        <w:rPr>
          <w:i/>
        </w:rPr>
        <w:t>6</w:t>
      </w:r>
      <w:r>
        <w:rPr>
          <w:highlight w:val="white"/>
        </w:rPr>
        <w:t>(4), 341-.</w:t>
      </w:r>
    </w:p>
    <w:p w14:paraId="2544B17A" w14:textId="77777777" w:rsidR="009F14BE" w:rsidRDefault="00000000">
      <w:pPr>
        <w:pBdr>
          <w:top w:val="none" w:sz="0" w:space="0" w:color="E3E3E3"/>
          <w:left w:val="none" w:sz="0" w:space="0" w:color="E3E3E3"/>
          <w:bottom w:val="none" w:sz="0" w:space="0" w:color="E3E3E3"/>
          <w:right w:val="none" w:sz="0" w:space="0" w:color="E3E3E3"/>
          <w:between w:val="none" w:sz="0" w:space="0" w:color="E3E3E3"/>
        </w:pBdr>
        <w:spacing w:line="240" w:lineRule="auto"/>
      </w:pPr>
      <w:r>
        <w:t xml:space="preserve">Turner, S. (2007). Landscape Archaeology for the Past and Future: The Place of Historic Landscape </w:t>
      </w:r>
      <w:proofErr w:type="spellStart"/>
      <w:r>
        <w:t>Characterisation</w:t>
      </w:r>
      <w:proofErr w:type="spellEnd"/>
      <w:r>
        <w:t xml:space="preserve">. </w:t>
      </w:r>
      <w:r>
        <w:rPr>
          <w:i/>
        </w:rPr>
        <w:t>Landscapes</w:t>
      </w:r>
      <w:r>
        <w:t xml:space="preserve">, </w:t>
      </w:r>
      <w:r>
        <w:rPr>
          <w:i/>
        </w:rPr>
        <w:t>8</w:t>
      </w:r>
      <w:r>
        <w:t xml:space="preserve">(2), 40–49. </w:t>
      </w:r>
    </w:p>
    <w:p w14:paraId="57595396"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spacing w:line="240" w:lineRule="auto"/>
      </w:pPr>
    </w:p>
    <w:p w14:paraId="18E87929" w14:textId="77777777" w:rsidR="009F14BE" w:rsidRDefault="009F14BE">
      <w:pPr>
        <w:pBdr>
          <w:top w:val="none" w:sz="0" w:space="0" w:color="E3E3E3"/>
          <w:left w:val="none" w:sz="0" w:space="0" w:color="E3E3E3"/>
          <w:bottom w:val="none" w:sz="0" w:space="0" w:color="E3E3E3"/>
          <w:right w:val="none" w:sz="0" w:space="0" w:color="E3E3E3"/>
          <w:between w:val="none" w:sz="0" w:space="0" w:color="E3E3E3"/>
        </w:pBdr>
        <w:rPr>
          <w:b/>
        </w:rPr>
      </w:pPr>
    </w:p>
    <w:p w14:paraId="297CE14E" w14:textId="77777777" w:rsidR="009F14BE" w:rsidRDefault="009F14BE">
      <w:pPr>
        <w:rPr>
          <w:rFonts w:ascii="Roboto" w:eastAsia="Roboto" w:hAnsi="Roboto" w:cs="Roboto"/>
          <w:b/>
          <w:color w:val="ECECEC"/>
          <w:shd w:val="clear" w:color="auto" w:fill="212121"/>
        </w:rPr>
      </w:pPr>
    </w:p>
    <w:p w14:paraId="36DC24C9" w14:textId="77777777" w:rsidR="009F14BE" w:rsidRDefault="009F14BE">
      <w:pPr>
        <w:pBdr>
          <w:top w:val="nil"/>
          <w:left w:val="nil"/>
          <w:bottom w:val="nil"/>
          <w:right w:val="nil"/>
          <w:between w:val="nil"/>
        </w:pBdr>
        <w:ind w:left="720" w:hanging="720"/>
      </w:pPr>
    </w:p>
    <w:sectPr w:rsidR="009F14BE">
      <w:headerReference w:type="default" r:id="rId10"/>
      <w:headerReference w:type="firs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2DE34" w14:textId="77777777" w:rsidR="00AD3A58" w:rsidRDefault="00AD3A58">
      <w:pPr>
        <w:spacing w:line="240" w:lineRule="auto"/>
      </w:pPr>
      <w:r>
        <w:separator/>
      </w:r>
    </w:p>
  </w:endnote>
  <w:endnote w:type="continuationSeparator" w:id="0">
    <w:p w14:paraId="26F2901C" w14:textId="77777777" w:rsidR="00AD3A58" w:rsidRDefault="00AD3A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73D34C7B-6351-5E4A-8914-385C9E3B97F0}"/>
    <w:embedBold r:id="rId2" w:fontKey="{A619C7B0-5FDF-4B4B-A77A-3B6669015489}"/>
    <w:embedItalic r:id="rId3" w:fontKey="{62A135AA-8CF3-F746-B6A8-A5880EFB90D2}"/>
    <w:embedBoldItalic r:id="rId4" w:fontKey="{6636A0BE-E62B-D749-9D66-C1C116F131F9}"/>
  </w:font>
  <w:font w:name="Trebuchet MS">
    <w:panose1 w:val="020B0603020202020204"/>
    <w:charset w:val="00"/>
    <w:family w:val="auto"/>
    <w:pitch w:val="default"/>
    <w:embedRegular r:id="rId5" w:fontKey="{A4EE6691-F873-2243-AFAA-66F311A99F4A}"/>
    <w:embedItalic r:id="rId6" w:fontKey="{83337553-705B-0844-9BFB-094B1E2FCE42}"/>
  </w:font>
  <w:font w:name="Arial">
    <w:panose1 w:val="020B0604020202020204"/>
    <w:charset w:val="00"/>
    <w:family w:val="swiss"/>
    <w:pitch w:val="variable"/>
    <w:sig w:usb0="E0002AFF" w:usb1="C0007843" w:usb2="00000009" w:usb3="00000000" w:csb0="000001FF" w:csb1="00000000"/>
    <w:embedRegular r:id="rId7" w:fontKey="{26E3F284-3A31-1E41-AEFB-65A4284E63B1}"/>
  </w:font>
  <w:font w:name="Roboto">
    <w:panose1 w:val="02000000000000000000"/>
    <w:charset w:val="00"/>
    <w:family w:val="auto"/>
    <w:pitch w:val="variable"/>
    <w:sig w:usb0="E0000AFF" w:usb1="5000217F" w:usb2="00000021" w:usb3="00000000" w:csb0="0000019F" w:csb1="00000000"/>
    <w:embedRegular r:id="rId8" w:fontKey="{BBFECE38-25A5-3847-BD8C-13A3E5A939B5}"/>
    <w:embedBold r:id="rId9" w:fontKey="{CCEA1EB2-7BEC-514F-8C62-D9252146D265}"/>
  </w:font>
  <w:font w:name="Calibri">
    <w:panose1 w:val="020F0502020204030204"/>
    <w:charset w:val="00"/>
    <w:family w:val="swiss"/>
    <w:pitch w:val="variable"/>
    <w:sig w:usb0="E0002AFF" w:usb1="C000ACFF" w:usb2="00000009" w:usb3="00000000" w:csb0="000001FF" w:csb1="00000000"/>
    <w:embedRegular r:id="rId10" w:fontKey="{261CC324-4B78-EC4D-AA73-6850E3289EFA}"/>
  </w:font>
  <w:font w:name="Cambria">
    <w:panose1 w:val="02040503050406030204"/>
    <w:charset w:val="00"/>
    <w:family w:val="roman"/>
    <w:notTrueType/>
    <w:pitch w:val="default"/>
    <w:embedRegular r:id="rId11" w:fontKey="{ABE77D33-60D8-7242-B974-1E4353A2EBCB}"/>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9DAF0" w14:textId="77777777" w:rsidR="00AD3A58" w:rsidRDefault="00AD3A58">
      <w:pPr>
        <w:spacing w:line="240" w:lineRule="auto"/>
      </w:pPr>
      <w:r>
        <w:separator/>
      </w:r>
    </w:p>
  </w:footnote>
  <w:footnote w:type="continuationSeparator" w:id="0">
    <w:p w14:paraId="6AC260ED" w14:textId="77777777" w:rsidR="00AD3A58" w:rsidRDefault="00AD3A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890E1" w14:textId="77777777" w:rsidR="009F14BE" w:rsidRDefault="00000000">
    <w:pPr>
      <w:pBdr>
        <w:top w:val="nil"/>
        <w:left w:val="nil"/>
        <w:bottom w:val="nil"/>
        <w:right w:val="nil"/>
        <w:between w:val="nil"/>
      </w:pBdr>
      <w:tabs>
        <w:tab w:val="right" w:pos="9360"/>
      </w:tabs>
    </w:pPr>
    <w:r>
      <w:tab/>
      <w:t xml:space="preserve">Cendrowski </w:t>
    </w:r>
    <w:r>
      <w:fldChar w:fldCharType="begin"/>
    </w:r>
    <w:r>
      <w:instrText>PAGE</w:instrText>
    </w:r>
    <w:r>
      <w:fldChar w:fldCharType="separate"/>
    </w:r>
    <w:r w:rsidR="00043D19">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C43C1C" w14:textId="77777777" w:rsidR="009F14BE" w:rsidRDefault="00000000">
    <w:pPr>
      <w:pBdr>
        <w:top w:val="nil"/>
        <w:left w:val="nil"/>
        <w:bottom w:val="nil"/>
        <w:right w:val="nil"/>
        <w:between w:val="nil"/>
      </w:pBdr>
      <w:spacing w:before="960"/>
    </w:pPr>
    <w:r>
      <w:t>Running head: TITLE OF YOUR PAPER</w:t>
    </w:r>
    <w:r>
      <w:tab/>
    </w:r>
    <w:r>
      <w:tab/>
    </w:r>
    <w:r>
      <w:tab/>
    </w:r>
    <w:r>
      <w:tab/>
    </w:r>
    <w:r>
      <w:tab/>
    </w:r>
    <w:r>
      <w:tab/>
    </w:r>
    <w:r>
      <w:tab/>
    </w:r>
    <w:r>
      <w:fldChar w:fldCharType="begin"/>
    </w:r>
    <w:r>
      <w:instrText>PAGE</w:instrText>
    </w:r>
    <w:r>
      <w:fldChar w:fldCharType="separate"/>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4BE"/>
    <w:rsid w:val="00043D19"/>
    <w:rsid w:val="00826565"/>
    <w:rsid w:val="009F14BE"/>
    <w:rsid w:val="00AD3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DEE79F3"/>
  <w15:docId w15:val="{9666B825-BFA5-5646-AA55-28D3D9FF9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center"/>
      <w:outlineLvl w:val="0"/>
    </w:pPr>
    <w:rPr>
      <w:b/>
    </w:rPr>
  </w:style>
  <w:style w:type="paragraph" w:styleId="Heading2">
    <w:name w:val="heading 2"/>
    <w:basedOn w:val="Normal"/>
    <w:next w:val="Normal"/>
    <w:uiPriority w:val="9"/>
    <w:semiHidden/>
    <w:unhideWhenUsed/>
    <w:qFormat/>
    <w:pPr>
      <w:keepNext/>
      <w:keepLines/>
      <w:outlineLvl w:val="1"/>
    </w:pPr>
    <w:rPr>
      <w:b/>
    </w:rPr>
  </w:style>
  <w:style w:type="paragraph" w:styleId="Heading3">
    <w:name w:val="heading 3"/>
    <w:basedOn w:val="Normal"/>
    <w:next w:val="Normal"/>
    <w:uiPriority w:val="9"/>
    <w:semiHidden/>
    <w:unhideWhenUsed/>
    <w:qFormat/>
    <w:pPr>
      <w:keepNext/>
      <w:keepLines/>
      <w:outlineLvl w:val="2"/>
    </w:pPr>
    <w:rPr>
      <w:b/>
      <w:i/>
    </w:rPr>
  </w:style>
  <w:style w:type="paragraph" w:styleId="Heading4">
    <w:name w:val="heading 4"/>
    <w:basedOn w:val="Normal"/>
    <w:next w:val="Normal"/>
    <w:uiPriority w:val="9"/>
    <w:semiHidden/>
    <w:unhideWhenUsed/>
    <w:qFormat/>
    <w:pPr>
      <w:keepNext/>
      <w:keepLines/>
      <w:ind w:firstLine="720"/>
      <w:outlineLvl w:val="3"/>
    </w:pPr>
    <w:rPr>
      <w:b/>
      <w:i/>
    </w:rPr>
  </w:style>
  <w:style w:type="paragraph" w:styleId="Heading5">
    <w:name w:val="heading 5"/>
    <w:basedOn w:val="Normal"/>
    <w:next w:val="Normal"/>
    <w:uiPriority w:val="9"/>
    <w:semiHidden/>
    <w:unhideWhenUsed/>
    <w:qFormat/>
    <w:pPr>
      <w:keepNext/>
      <w:keepLines/>
      <w:outlineLvl w:val="4"/>
    </w:pPr>
    <w:rPr>
      <w:i/>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160"/>
      <w:jc w:val="center"/>
    </w:pPr>
    <w:rPr>
      <w:b/>
    </w:rPr>
  </w:style>
  <w:style w:type="paragraph" w:styleId="Subtitle">
    <w:name w:val="Subtitle"/>
    <w:basedOn w:val="Normal"/>
    <w:next w:val="Normal"/>
    <w:uiPriority w:val="11"/>
    <w:qFormat/>
    <w:pPr>
      <w:keepNext/>
      <w:keepLines/>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Metadata/LabelInfo.xml><?xml version="1.0" encoding="utf-8"?>
<clbl:labelList xmlns:clbl="http://schemas.microsoft.com/office/2020/mipLabelMetadata">
  <clbl:label id="{a2761ec8-7198-4440-bea0-e9dd2af28b51}" enabled="1" method="Standard" siteId="{73e15cf5-5dbb-46af-a862-753916269d73}" contentBits="0"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9</Pages>
  <Words>1562</Words>
  <Characters>8906</Characters>
  <Application>Microsoft Office Word</Application>
  <DocSecurity>0</DocSecurity>
  <Lines>74</Lines>
  <Paragraphs>20</Paragraphs>
  <ScaleCrop>false</ScaleCrop>
  <Company/>
  <LinksUpToDate>false</LinksUpToDate>
  <CharactersWithSpaces>10448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Caitlynn Cendrowski</cp:lastModifiedBy>
  <cp:revision>2</cp:revision>
  <dcterms:created xsi:type="dcterms:W3CDTF">2024-05-12T11:34:00Z</dcterms:created>
  <dcterms:modified xsi:type="dcterms:W3CDTF">2024-05-12T11:34:00Z</dcterms:modified>
</cp:coreProperties>
</file>