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111060534"/>
        <w:docPartObj>
          <w:docPartGallery w:val="Cover Pages"/>
          <w:docPartUnique/>
        </w:docPartObj>
      </w:sdtPr>
      <w:sdtEndPr>
        <w:rPr>
          <w:rFonts w:ascii="Calibri Light" w:eastAsia="Times New Roman" w:hAnsi="Calibri Light" w:cs="Calibri Light"/>
          <w:b/>
          <w:bCs/>
          <w:color w:val="auto"/>
          <w:sz w:val="32"/>
          <w:szCs w:val="32"/>
          <w:shd w:val="clear" w:color="auto" w:fill="FFFFFF"/>
          <w:lang w:eastAsia="en-GB"/>
        </w:rPr>
      </w:sdtEndPr>
      <w:sdtContent>
        <w:p w14:paraId="7331389F" w14:textId="0585E50E" w:rsidR="00106723" w:rsidRDefault="00106723">
          <w:pPr>
            <w:pStyle w:val="NoSpacing"/>
            <w:spacing w:before="1540" w:after="240"/>
            <w:jc w:val="center"/>
            <w:rPr>
              <w:color w:val="156082" w:themeColor="accent1"/>
            </w:rPr>
          </w:pPr>
          <w:r>
            <w:rPr>
              <w:noProof/>
              <w:color w:val="156082" w:themeColor="accent1"/>
            </w:rPr>
            <w:drawing>
              <wp:inline distT="0" distB="0" distL="0" distR="0" wp14:anchorId="1E01BDB7" wp14:editId="617D146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Theme="majorEastAsia" w:hAnsi="Calibri Light" w:cs="Calibri Light"/>
              <w:b/>
              <w:bCs/>
              <w:caps/>
              <w:sz w:val="72"/>
              <w:szCs w:val="72"/>
            </w:rPr>
            <w:alias w:val="Title"/>
            <w:tag w:val=""/>
            <w:id w:val="1735040861"/>
            <w:placeholder>
              <w:docPart w:val="D956B67C63BE44D7B38D94FA32A809FC"/>
            </w:placeholder>
            <w:dataBinding w:prefixMappings="xmlns:ns0='http://purl.org/dc/elements/1.1/' xmlns:ns1='http://schemas.openxmlformats.org/package/2006/metadata/core-properties' " w:xpath="/ns1:coreProperties[1]/ns0:title[1]" w:storeItemID="{6C3C8BC8-F283-45AE-878A-BAB7291924A1}"/>
            <w:text/>
          </w:sdtPr>
          <w:sdtContent>
            <w:p w14:paraId="42561F74" w14:textId="3A0B522A" w:rsidR="00106723" w:rsidRPr="00106723" w:rsidRDefault="003A501C">
              <w:pPr>
                <w:pStyle w:val="NoSpacing"/>
                <w:pBdr>
                  <w:top w:val="single" w:sz="6" w:space="6" w:color="156082" w:themeColor="accent1"/>
                  <w:bottom w:val="single" w:sz="6" w:space="6" w:color="156082" w:themeColor="accent1"/>
                </w:pBdr>
                <w:spacing w:after="240"/>
                <w:jc w:val="center"/>
                <w:rPr>
                  <w:rFonts w:ascii="Calibri Light" w:eastAsiaTheme="majorEastAsia" w:hAnsi="Calibri Light" w:cs="Calibri Light"/>
                  <w:b/>
                  <w:bCs/>
                  <w:caps/>
                  <w:sz w:val="80"/>
                  <w:szCs w:val="80"/>
                </w:rPr>
              </w:pPr>
              <w:r w:rsidRPr="003A501C">
                <w:rPr>
                  <w:rFonts w:ascii="Calibri Light" w:eastAsiaTheme="majorEastAsia" w:hAnsi="Calibri Light" w:cs="Calibri Light"/>
                  <w:b/>
                  <w:bCs/>
                  <w:caps/>
                  <w:sz w:val="72"/>
                  <w:szCs w:val="72"/>
                </w:rPr>
                <w:t>REPORT: Public Health Impact of Communicable Diseases: Measles</w:t>
              </w:r>
            </w:p>
          </w:sdtContent>
        </w:sdt>
        <w:p w14:paraId="7D0169FF" w14:textId="0DCE6A06" w:rsidR="00106723" w:rsidRDefault="00106723">
          <w:pPr>
            <w:pStyle w:val="NoSpacing"/>
            <w:jc w:val="center"/>
            <w:rPr>
              <w:color w:val="156082" w:themeColor="accent1"/>
              <w:sz w:val="28"/>
              <w:szCs w:val="28"/>
            </w:rPr>
          </w:pPr>
        </w:p>
        <w:p w14:paraId="3A4C5911" w14:textId="77777777" w:rsidR="00106723" w:rsidRDefault="00106723">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A253B14" wp14:editId="115849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Light" w:hAnsi="Calibri Light" w:cs="Calibri Light"/>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0E1CE138" w14:textId="5624A7E0" w:rsidR="00106723" w:rsidRPr="00106723" w:rsidRDefault="00106723">
                                    <w:pPr>
                                      <w:pStyle w:val="NoSpacing"/>
                                      <w:spacing w:after="40"/>
                                      <w:jc w:val="center"/>
                                      <w:rPr>
                                        <w:rFonts w:ascii="Calibri Light" w:hAnsi="Calibri Light" w:cs="Calibri Light"/>
                                        <w:b/>
                                        <w:bCs/>
                                        <w:caps/>
                                        <w:sz w:val="28"/>
                                        <w:szCs w:val="28"/>
                                      </w:rPr>
                                    </w:pPr>
                                    <w:r w:rsidRPr="00106723">
                                      <w:rPr>
                                        <w:rFonts w:ascii="Calibri Light" w:hAnsi="Calibri Light" w:cs="Calibri Light"/>
                                        <w:b/>
                                        <w:bCs/>
                                        <w:caps/>
                                        <w:sz w:val="28"/>
                                        <w:szCs w:val="28"/>
                                      </w:rPr>
                                      <w:t>May 3, 2024</w:t>
                                    </w:r>
                                  </w:p>
                                </w:sdtContent>
                              </w:sdt>
                              <w:p w14:paraId="04F8E861" w14:textId="07A463DA" w:rsidR="00106723" w:rsidRPr="00106723" w:rsidRDefault="00000000">
                                <w:pPr>
                                  <w:pStyle w:val="NoSpacing"/>
                                  <w:jc w:val="center"/>
                                  <w:rPr>
                                    <w:rFonts w:ascii="Calibri Light" w:hAnsi="Calibri Light" w:cs="Calibri Light"/>
                                    <w:b/>
                                    <w:bCs/>
                                  </w:rPr>
                                </w:pPr>
                                <w:sdt>
                                  <w:sdtPr>
                                    <w:rPr>
                                      <w:rFonts w:ascii="Calibri Light" w:hAnsi="Calibri Light" w:cs="Calibri Light"/>
                                      <w:b/>
                                      <w:bCs/>
                                      <w:caps/>
                                    </w:rPr>
                                    <w:alias w:val="Company"/>
                                    <w:tag w:val=""/>
                                    <w:id w:val="1390145197"/>
                                    <w:dataBinding w:prefixMappings="xmlns:ns0='http://schemas.openxmlformats.org/officeDocument/2006/extended-properties' " w:xpath="/ns0:Properties[1]/ns0:Company[1]" w:storeItemID="{6668398D-A668-4E3E-A5EB-62B293D839F1}"/>
                                    <w:text/>
                                  </w:sdtPr>
                                  <w:sdtContent>
                                    <w:r w:rsidR="00106723" w:rsidRPr="00106723">
                                      <w:rPr>
                                        <w:rFonts w:ascii="Calibri Light" w:hAnsi="Calibri Light" w:cs="Calibri Light"/>
                                        <w:b/>
                                        <w:bCs/>
                                        <w:caps/>
                                      </w:rPr>
                                      <w:t>Tobu imran ashraf (2206291)</w:t>
                                    </w:r>
                                  </w:sdtContent>
                                </w:sdt>
                              </w:p>
                              <w:p w14:paraId="5BF78C35" w14:textId="3C793B20" w:rsidR="00106723" w:rsidRPr="00106723" w:rsidRDefault="00000000">
                                <w:pPr>
                                  <w:pStyle w:val="NoSpacing"/>
                                  <w:jc w:val="center"/>
                                  <w:rPr>
                                    <w:rFonts w:ascii="Calibri Light" w:hAnsi="Calibri Light" w:cs="Calibri Light"/>
                                    <w:b/>
                                    <w:bCs/>
                                  </w:rPr>
                                </w:pPr>
                                <w:sdt>
                                  <w:sdtPr>
                                    <w:rPr>
                                      <w:rFonts w:ascii="Calibri Light" w:hAnsi="Calibri Light" w:cs="Calibri Light"/>
                                      <w:b/>
                                      <w:bCs/>
                                    </w:rPr>
                                    <w:alias w:val="Address"/>
                                    <w:tag w:val=""/>
                                    <w:id w:val="-726379553"/>
                                    <w:dataBinding w:prefixMappings="xmlns:ns0='http://schemas.microsoft.com/office/2006/coverPageProps' " w:xpath="/ns0:CoverPageProperties[1]/ns0:CompanyAddress[1]" w:storeItemID="{55AF091B-3C7A-41E3-B477-F2FDAA23CFDA}"/>
                                    <w:text/>
                                  </w:sdtPr>
                                  <w:sdtContent>
                                    <w:r w:rsidR="00106723" w:rsidRPr="00106723">
                                      <w:rPr>
                                        <w:rFonts w:ascii="Calibri Light" w:hAnsi="Calibri Light" w:cs="Calibri Light"/>
                                        <w:b/>
                                        <w:bCs/>
                                      </w:rPr>
                                      <w:t>University of Wales Trinity Saint David</w:t>
                                    </w:r>
                                  </w:sdtContent>
                                </w:sdt>
                              </w:p>
                              <w:p w14:paraId="2F0DED89" w14:textId="77777777" w:rsidR="00106723" w:rsidRDefault="00106723">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253B1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Calibri Light" w:hAnsi="Calibri Light" w:cs="Calibri Light"/>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4-05-03T00:00:00Z">
                              <w:dateFormat w:val="MMMM d, yyyy"/>
                              <w:lid w:val="en-US"/>
                              <w:storeMappedDataAs w:val="dateTime"/>
                              <w:calendar w:val="gregorian"/>
                            </w:date>
                          </w:sdtPr>
                          <w:sdtContent>
                            <w:p w14:paraId="0E1CE138" w14:textId="5624A7E0" w:rsidR="00106723" w:rsidRPr="00106723" w:rsidRDefault="00106723">
                              <w:pPr>
                                <w:pStyle w:val="NoSpacing"/>
                                <w:spacing w:after="40"/>
                                <w:jc w:val="center"/>
                                <w:rPr>
                                  <w:rFonts w:ascii="Calibri Light" w:hAnsi="Calibri Light" w:cs="Calibri Light"/>
                                  <w:b/>
                                  <w:bCs/>
                                  <w:caps/>
                                  <w:sz w:val="28"/>
                                  <w:szCs w:val="28"/>
                                </w:rPr>
                              </w:pPr>
                              <w:r w:rsidRPr="00106723">
                                <w:rPr>
                                  <w:rFonts w:ascii="Calibri Light" w:hAnsi="Calibri Light" w:cs="Calibri Light"/>
                                  <w:b/>
                                  <w:bCs/>
                                  <w:caps/>
                                  <w:sz w:val="28"/>
                                  <w:szCs w:val="28"/>
                                </w:rPr>
                                <w:t>May 3, 2024</w:t>
                              </w:r>
                            </w:p>
                          </w:sdtContent>
                        </w:sdt>
                        <w:p w14:paraId="04F8E861" w14:textId="07A463DA" w:rsidR="00106723" w:rsidRPr="00106723" w:rsidRDefault="00000000">
                          <w:pPr>
                            <w:pStyle w:val="NoSpacing"/>
                            <w:jc w:val="center"/>
                            <w:rPr>
                              <w:rFonts w:ascii="Calibri Light" w:hAnsi="Calibri Light" w:cs="Calibri Light"/>
                              <w:b/>
                              <w:bCs/>
                            </w:rPr>
                          </w:pPr>
                          <w:sdt>
                            <w:sdtPr>
                              <w:rPr>
                                <w:rFonts w:ascii="Calibri Light" w:hAnsi="Calibri Light" w:cs="Calibri Light"/>
                                <w:b/>
                                <w:bCs/>
                                <w:caps/>
                              </w:rPr>
                              <w:alias w:val="Company"/>
                              <w:tag w:val=""/>
                              <w:id w:val="1390145197"/>
                              <w:dataBinding w:prefixMappings="xmlns:ns0='http://schemas.openxmlformats.org/officeDocument/2006/extended-properties' " w:xpath="/ns0:Properties[1]/ns0:Company[1]" w:storeItemID="{6668398D-A668-4E3E-A5EB-62B293D839F1}"/>
                              <w:text/>
                            </w:sdtPr>
                            <w:sdtContent>
                              <w:r w:rsidR="00106723" w:rsidRPr="00106723">
                                <w:rPr>
                                  <w:rFonts w:ascii="Calibri Light" w:hAnsi="Calibri Light" w:cs="Calibri Light"/>
                                  <w:b/>
                                  <w:bCs/>
                                  <w:caps/>
                                </w:rPr>
                                <w:t>Tobu imran ashraf (2206291)</w:t>
                              </w:r>
                            </w:sdtContent>
                          </w:sdt>
                        </w:p>
                        <w:p w14:paraId="5BF78C35" w14:textId="3C793B20" w:rsidR="00106723" w:rsidRPr="00106723" w:rsidRDefault="00000000">
                          <w:pPr>
                            <w:pStyle w:val="NoSpacing"/>
                            <w:jc w:val="center"/>
                            <w:rPr>
                              <w:rFonts w:ascii="Calibri Light" w:hAnsi="Calibri Light" w:cs="Calibri Light"/>
                              <w:b/>
                              <w:bCs/>
                            </w:rPr>
                          </w:pPr>
                          <w:sdt>
                            <w:sdtPr>
                              <w:rPr>
                                <w:rFonts w:ascii="Calibri Light" w:hAnsi="Calibri Light" w:cs="Calibri Light"/>
                                <w:b/>
                                <w:bCs/>
                              </w:rPr>
                              <w:alias w:val="Address"/>
                              <w:tag w:val=""/>
                              <w:id w:val="-726379553"/>
                              <w:dataBinding w:prefixMappings="xmlns:ns0='http://schemas.microsoft.com/office/2006/coverPageProps' " w:xpath="/ns0:CoverPageProperties[1]/ns0:CompanyAddress[1]" w:storeItemID="{55AF091B-3C7A-41E3-B477-F2FDAA23CFDA}"/>
                              <w:text/>
                            </w:sdtPr>
                            <w:sdtContent>
                              <w:r w:rsidR="00106723" w:rsidRPr="00106723">
                                <w:rPr>
                                  <w:rFonts w:ascii="Calibri Light" w:hAnsi="Calibri Light" w:cs="Calibri Light"/>
                                  <w:b/>
                                  <w:bCs/>
                                </w:rPr>
                                <w:t>University of Wales Trinity Saint David</w:t>
                              </w:r>
                            </w:sdtContent>
                          </w:sdt>
                        </w:p>
                        <w:p w14:paraId="2F0DED89" w14:textId="77777777" w:rsidR="00106723" w:rsidRDefault="00106723">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031AE240" wp14:editId="16853BE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620051" w14:textId="05085C0C" w:rsidR="00106723" w:rsidRDefault="00106723">
          <w:pPr>
            <w:rPr>
              <w:rFonts w:ascii="Calibri Light" w:eastAsia="Times New Roman" w:hAnsi="Calibri Light" w:cs="Calibri Light"/>
              <w:b/>
              <w:bCs/>
              <w:sz w:val="32"/>
              <w:szCs w:val="32"/>
              <w:shd w:val="clear" w:color="auto" w:fill="FFFFFF"/>
              <w:lang w:eastAsia="en-GB"/>
            </w:rPr>
          </w:pPr>
          <w:r>
            <w:rPr>
              <w:rFonts w:ascii="Calibri Light" w:eastAsia="Times New Roman" w:hAnsi="Calibri Light" w:cs="Calibri Light"/>
              <w:b/>
              <w:bCs/>
              <w:sz w:val="32"/>
              <w:szCs w:val="32"/>
              <w:shd w:val="clear" w:color="auto" w:fill="FFFFFF"/>
              <w:lang w:eastAsia="en-GB"/>
            </w:rPr>
            <w:br w:type="page"/>
          </w:r>
        </w:p>
      </w:sdtContent>
    </w:sdt>
    <w:sdt>
      <w:sdtPr>
        <w:rPr>
          <w:rFonts w:asciiTheme="minorHAnsi" w:eastAsiaTheme="minorHAnsi" w:hAnsiTheme="minorHAnsi" w:cstheme="minorBidi"/>
          <w:color w:val="auto"/>
          <w:kern w:val="2"/>
          <w:sz w:val="22"/>
          <w:szCs w:val="22"/>
          <w:lang w:val="en-GB"/>
          <w14:ligatures w14:val="standardContextual"/>
        </w:rPr>
        <w:id w:val="1024524571"/>
        <w:docPartObj>
          <w:docPartGallery w:val="Table of Contents"/>
          <w:docPartUnique/>
        </w:docPartObj>
      </w:sdtPr>
      <w:sdtEndPr>
        <w:rPr>
          <w:b/>
          <w:bCs/>
          <w:noProof/>
        </w:rPr>
      </w:sdtEndPr>
      <w:sdtContent>
        <w:p w14:paraId="5CD836BE" w14:textId="192AEB12" w:rsidR="00106723" w:rsidRPr="00106723" w:rsidRDefault="00106723" w:rsidP="00106723">
          <w:pPr>
            <w:pStyle w:val="TOCHeading"/>
            <w:spacing w:line="360" w:lineRule="auto"/>
            <w:rPr>
              <w:rFonts w:ascii="Calibri Light" w:hAnsi="Calibri Light" w:cs="Calibri Light"/>
              <w:b/>
              <w:bCs/>
              <w:color w:val="auto"/>
            </w:rPr>
          </w:pPr>
          <w:r w:rsidRPr="00106723">
            <w:rPr>
              <w:rFonts w:ascii="Calibri Light" w:hAnsi="Calibri Light" w:cs="Calibri Light"/>
              <w:b/>
              <w:bCs/>
              <w:color w:val="auto"/>
            </w:rPr>
            <w:t>Contents</w:t>
          </w:r>
        </w:p>
        <w:p w14:paraId="6634085D" w14:textId="5C8D51A0" w:rsidR="005978A8" w:rsidRPr="005978A8" w:rsidRDefault="0010672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586699" w:history="1">
            <w:r w:rsidR="005978A8" w:rsidRPr="005978A8">
              <w:rPr>
                <w:rStyle w:val="Hyperlink"/>
                <w:rFonts w:ascii="Calibri Light" w:eastAsia="Times New Roman" w:hAnsi="Calibri Light" w:cs="Calibri Light"/>
                <w:noProof/>
                <w:shd w:val="clear" w:color="auto" w:fill="FFFFFF"/>
                <w:lang w:eastAsia="en-GB"/>
              </w:rPr>
              <w:t>Abstract</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_Toc164586699 \h </w:instrText>
            </w:r>
            <w:r w:rsidR="005978A8" w:rsidRPr="005978A8">
              <w:rPr>
                <w:noProof/>
                <w:webHidden/>
              </w:rPr>
            </w:r>
            <w:r w:rsidR="005978A8" w:rsidRPr="005978A8">
              <w:rPr>
                <w:noProof/>
                <w:webHidden/>
              </w:rPr>
              <w:fldChar w:fldCharType="separate"/>
            </w:r>
            <w:r w:rsidR="000D2DE9">
              <w:rPr>
                <w:noProof/>
                <w:webHidden/>
              </w:rPr>
              <w:t>2</w:t>
            </w:r>
            <w:r w:rsidR="005978A8" w:rsidRPr="005978A8">
              <w:rPr>
                <w:noProof/>
                <w:webHidden/>
              </w:rPr>
              <w:fldChar w:fldCharType="end"/>
            </w:r>
          </w:hyperlink>
        </w:p>
        <w:p w14:paraId="7531BD16" w14:textId="5DE8326D" w:rsidR="005978A8" w:rsidRPr="005978A8" w:rsidRDefault="00000000">
          <w:pPr>
            <w:pStyle w:val="TOC1"/>
            <w:tabs>
              <w:tab w:val="right" w:leader="dot" w:pos="9016"/>
            </w:tabs>
            <w:rPr>
              <w:rFonts w:eastAsiaTheme="minorEastAsia"/>
              <w:noProof/>
              <w:sz w:val="24"/>
              <w:szCs w:val="24"/>
              <w:lang w:eastAsia="en-GB"/>
            </w:rPr>
          </w:pPr>
          <w:hyperlink w:anchor="_Toc164586700" w:history="1">
            <w:r w:rsidR="005978A8" w:rsidRPr="005978A8">
              <w:rPr>
                <w:rStyle w:val="Hyperlink"/>
                <w:rFonts w:ascii="Calibri Light" w:eastAsia="Times New Roman" w:hAnsi="Calibri Light" w:cs="Calibri Light"/>
                <w:noProof/>
                <w:shd w:val="clear" w:color="auto" w:fill="FFFFFF"/>
                <w:lang w:eastAsia="en-GB"/>
              </w:rPr>
              <w:t>1.0 Introduction</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_Toc164586700 \h </w:instrText>
            </w:r>
            <w:r w:rsidR="005978A8" w:rsidRPr="005978A8">
              <w:rPr>
                <w:noProof/>
                <w:webHidden/>
              </w:rPr>
            </w:r>
            <w:r w:rsidR="005978A8" w:rsidRPr="005978A8">
              <w:rPr>
                <w:noProof/>
                <w:webHidden/>
              </w:rPr>
              <w:fldChar w:fldCharType="separate"/>
            </w:r>
            <w:r w:rsidR="000D2DE9">
              <w:rPr>
                <w:noProof/>
                <w:webHidden/>
              </w:rPr>
              <w:t>3</w:t>
            </w:r>
            <w:r w:rsidR="005978A8" w:rsidRPr="005978A8">
              <w:rPr>
                <w:noProof/>
                <w:webHidden/>
              </w:rPr>
              <w:fldChar w:fldCharType="end"/>
            </w:r>
          </w:hyperlink>
        </w:p>
        <w:p w14:paraId="102FE503" w14:textId="42E4AD17" w:rsidR="005978A8" w:rsidRPr="005978A8" w:rsidRDefault="00000000">
          <w:pPr>
            <w:pStyle w:val="TOC1"/>
            <w:tabs>
              <w:tab w:val="right" w:leader="dot" w:pos="9016"/>
            </w:tabs>
            <w:rPr>
              <w:rFonts w:eastAsiaTheme="minorEastAsia"/>
              <w:noProof/>
              <w:sz w:val="24"/>
              <w:szCs w:val="24"/>
              <w:lang w:eastAsia="en-GB"/>
            </w:rPr>
          </w:pPr>
          <w:hyperlink w:anchor="_Toc164586701" w:history="1">
            <w:r w:rsidR="005978A8" w:rsidRPr="005978A8">
              <w:rPr>
                <w:rStyle w:val="Hyperlink"/>
                <w:rFonts w:ascii="Calibri Light" w:eastAsia="Times New Roman" w:hAnsi="Calibri Light" w:cs="Calibri Light"/>
                <w:noProof/>
                <w:shd w:val="clear" w:color="auto" w:fill="FFFFFF"/>
                <w:lang w:eastAsia="en-GB"/>
              </w:rPr>
              <w:t>2.0 Main Body</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_Toc164586701 \h </w:instrText>
            </w:r>
            <w:r w:rsidR="005978A8" w:rsidRPr="005978A8">
              <w:rPr>
                <w:noProof/>
                <w:webHidden/>
              </w:rPr>
            </w:r>
            <w:r w:rsidR="005978A8" w:rsidRPr="005978A8">
              <w:rPr>
                <w:noProof/>
                <w:webHidden/>
              </w:rPr>
              <w:fldChar w:fldCharType="separate"/>
            </w:r>
            <w:r w:rsidR="000D2DE9">
              <w:rPr>
                <w:noProof/>
                <w:webHidden/>
              </w:rPr>
              <w:t>4</w:t>
            </w:r>
            <w:r w:rsidR="005978A8" w:rsidRPr="005978A8">
              <w:rPr>
                <w:noProof/>
                <w:webHidden/>
              </w:rPr>
              <w:fldChar w:fldCharType="end"/>
            </w:r>
          </w:hyperlink>
        </w:p>
        <w:p w14:paraId="18716CD9" w14:textId="44CC8085" w:rsidR="005978A8" w:rsidRPr="005978A8" w:rsidRDefault="00000000">
          <w:pPr>
            <w:pStyle w:val="TOC2"/>
            <w:tabs>
              <w:tab w:val="right" w:leader="dot" w:pos="9016"/>
            </w:tabs>
            <w:rPr>
              <w:rFonts w:eastAsiaTheme="minorEastAsia"/>
              <w:noProof/>
              <w:sz w:val="24"/>
              <w:szCs w:val="24"/>
              <w:lang w:eastAsia="en-GB"/>
            </w:rPr>
          </w:pPr>
          <w:hyperlink w:anchor="_Toc164586702" w:history="1">
            <w:r w:rsidR="005978A8" w:rsidRPr="005978A8">
              <w:rPr>
                <w:rStyle w:val="Hyperlink"/>
                <w:rFonts w:ascii="Calibri Light" w:eastAsia="Times New Roman" w:hAnsi="Calibri Light" w:cs="Calibri Light"/>
                <w:noProof/>
                <w:shd w:val="clear" w:color="auto" w:fill="FFFFFF"/>
                <w:lang w:eastAsia="en-GB"/>
              </w:rPr>
              <w:t>2.1 Communicable Disease: Measles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_Toc164586702 \h </w:instrText>
            </w:r>
            <w:r w:rsidR="005978A8" w:rsidRPr="005978A8">
              <w:rPr>
                <w:noProof/>
                <w:webHidden/>
              </w:rPr>
            </w:r>
            <w:r w:rsidR="005978A8" w:rsidRPr="005978A8">
              <w:rPr>
                <w:noProof/>
                <w:webHidden/>
              </w:rPr>
              <w:fldChar w:fldCharType="separate"/>
            </w:r>
            <w:r w:rsidR="000D2DE9">
              <w:rPr>
                <w:noProof/>
                <w:webHidden/>
              </w:rPr>
              <w:t>4</w:t>
            </w:r>
            <w:r w:rsidR="005978A8" w:rsidRPr="005978A8">
              <w:rPr>
                <w:noProof/>
                <w:webHidden/>
              </w:rPr>
              <w:fldChar w:fldCharType="end"/>
            </w:r>
          </w:hyperlink>
        </w:p>
        <w:p w14:paraId="5269829E" w14:textId="547F43E6" w:rsidR="005978A8" w:rsidRPr="005978A8" w:rsidRDefault="00000000">
          <w:pPr>
            <w:pStyle w:val="TOC2"/>
            <w:tabs>
              <w:tab w:val="right" w:leader="dot" w:pos="9016"/>
            </w:tabs>
            <w:rPr>
              <w:rFonts w:eastAsiaTheme="minorEastAsia"/>
              <w:noProof/>
              <w:sz w:val="24"/>
              <w:szCs w:val="24"/>
              <w:lang w:eastAsia="en-GB"/>
            </w:rPr>
          </w:pPr>
          <w:hyperlink w:anchor="_Toc164586703" w:history="1">
            <w:r w:rsidR="005978A8" w:rsidRPr="005978A8">
              <w:rPr>
                <w:rStyle w:val="Hyperlink"/>
                <w:rFonts w:ascii="Calibri Light" w:eastAsia="Times New Roman" w:hAnsi="Calibri Light" w:cs="Calibri Light"/>
                <w:noProof/>
                <w:shd w:val="clear" w:color="auto" w:fill="FFFFFF"/>
                <w:lang w:eastAsia="en-GB"/>
              </w:rPr>
              <w:t>2.2 Trends in Communicable Disease</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_Toc164586703 \h </w:instrText>
            </w:r>
            <w:r w:rsidR="005978A8" w:rsidRPr="005978A8">
              <w:rPr>
                <w:noProof/>
                <w:webHidden/>
              </w:rPr>
            </w:r>
            <w:r w:rsidR="005978A8" w:rsidRPr="005978A8">
              <w:rPr>
                <w:noProof/>
                <w:webHidden/>
              </w:rPr>
              <w:fldChar w:fldCharType="separate"/>
            </w:r>
            <w:r w:rsidR="000D2DE9">
              <w:rPr>
                <w:noProof/>
                <w:webHidden/>
              </w:rPr>
              <w:t>5</w:t>
            </w:r>
            <w:r w:rsidR="005978A8" w:rsidRPr="005978A8">
              <w:rPr>
                <w:noProof/>
                <w:webHidden/>
              </w:rPr>
              <w:fldChar w:fldCharType="end"/>
            </w:r>
          </w:hyperlink>
        </w:p>
        <w:p w14:paraId="34C4D3AC" w14:textId="4B6CF416" w:rsidR="005978A8" w:rsidRPr="005978A8" w:rsidRDefault="00000000">
          <w:pPr>
            <w:pStyle w:val="TOC3"/>
            <w:tabs>
              <w:tab w:val="right" w:leader="dot" w:pos="9016"/>
            </w:tabs>
            <w:rPr>
              <w:rFonts w:eastAsiaTheme="minorEastAsia"/>
              <w:noProof/>
              <w:sz w:val="24"/>
              <w:szCs w:val="24"/>
              <w:lang w:eastAsia="en-GB"/>
            </w:rPr>
          </w:pPr>
          <w:hyperlink w:anchor="_Toc164586704" w:history="1">
            <w:r w:rsidR="005978A8" w:rsidRPr="005978A8">
              <w:rPr>
                <w:rStyle w:val="Hyperlink"/>
                <w:rFonts w:ascii="Calibri Light" w:eastAsia="Times New Roman" w:hAnsi="Calibri Light" w:cs="Calibri Light"/>
                <w:noProof/>
                <w:shd w:val="clear" w:color="auto" w:fill="FFFFFF"/>
                <w:lang w:eastAsia="en-GB"/>
              </w:rPr>
              <w:t>2.2.1 Incidence Trends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_Toc164586704 \h </w:instrText>
            </w:r>
            <w:r w:rsidR="005978A8" w:rsidRPr="005978A8">
              <w:rPr>
                <w:noProof/>
                <w:webHidden/>
              </w:rPr>
            </w:r>
            <w:r w:rsidR="005978A8" w:rsidRPr="005978A8">
              <w:rPr>
                <w:noProof/>
                <w:webHidden/>
              </w:rPr>
              <w:fldChar w:fldCharType="separate"/>
            </w:r>
            <w:r w:rsidR="000D2DE9">
              <w:rPr>
                <w:noProof/>
                <w:webHidden/>
              </w:rPr>
              <w:t>5</w:t>
            </w:r>
            <w:r w:rsidR="005978A8" w:rsidRPr="005978A8">
              <w:rPr>
                <w:noProof/>
                <w:webHidden/>
              </w:rPr>
              <w:fldChar w:fldCharType="end"/>
            </w:r>
          </w:hyperlink>
        </w:p>
        <w:p w14:paraId="7DF93304" w14:textId="0ADE7A8E" w:rsidR="005978A8" w:rsidRPr="005978A8" w:rsidRDefault="00000000">
          <w:pPr>
            <w:pStyle w:val="TOC3"/>
            <w:tabs>
              <w:tab w:val="right" w:leader="dot" w:pos="9016"/>
            </w:tabs>
            <w:rPr>
              <w:rFonts w:eastAsiaTheme="minorEastAsia"/>
              <w:noProof/>
              <w:sz w:val="24"/>
              <w:szCs w:val="24"/>
              <w:lang w:eastAsia="en-GB"/>
            </w:rPr>
          </w:pPr>
          <w:hyperlink w:anchor="_Toc164586705" w:history="1">
            <w:r w:rsidR="005978A8" w:rsidRPr="005978A8">
              <w:rPr>
                <w:rStyle w:val="Hyperlink"/>
                <w:rFonts w:ascii="Calibri Light" w:eastAsia="Times New Roman" w:hAnsi="Calibri Light" w:cs="Calibri Light"/>
                <w:noProof/>
                <w:shd w:val="clear" w:color="auto" w:fill="FFFFFF"/>
                <w:lang w:eastAsia="en-GB"/>
              </w:rPr>
              <w:t>2.2.2 Prevalence Trends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_Toc164586705 \h </w:instrText>
            </w:r>
            <w:r w:rsidR="005978A8" w:rsidRPr="005978A8">
              <w:rPr>
                <w:noProof/>
                <w:webHidden/>
              </w:rPr>
            </w:r>
            <w:r w:rsidR="005978A8" w:rsidRPr="005978A8">
              <w:rPr>
                <w:noProof/>
                <w:webHidden/>
              </w:rPr>
              <w:fldChar w:fldCharType="separate"/>
            </w:r>
            <w:r w:rsidR="000D2DE9">
              <w:rPr>
                <w:noProof/>
                <w:webHidden/>
              </w:rPr>
              <w:t>5</w:t>
            </w:r>
            <w:r w:rsidR="005978A8" w:rsidRPr="005978A8">
              <w:rPr>
                <w:noProof/>
                <w:webHidden/>
              </w:rPr>
              <w:fldChar w:fldCharType="end"/>
            </w:r>
          </w:hyperlink>
        </w:p>
        <w:p w14:paraId="5C270FDF" w14:textId="4F04C085" w:rsidR="005978A8" w:rsidRPr="005978A8" w:rsidRDefault="00000000">
          <w:pPr>
            <w:pStyle w:val="TOC2"/>
            <w:tabs>
              <w:tab w:val="right" w:leader="dot" w:pos="9016"/>
            </w:tabs>
            <w:rPr>
              <w:rFonts w:eastAsiaTheme="minorEastAsia"/>
              <w:noProof/>
              <w:sz w:val="24"/>
              <w:szCs w:val="24"/>
              <w:lang w:eastAsia="en-GB"/>
            </w:rPr>
          </w:pPr>
          <w:hyperlink w:anchor="_Toc164586706" w:history="1">
            <w:r w:rsidR="005978A8" w:rsidRPr="005978A8">
              <w:rPr>
                <w:rStyle w:val="Hyperlink"/>
                <w:rFonts w:ascii="Calibri Light" w:eastAsia="Times New Roman" w:hAnsi="Calibri Light" w:cs="Calibri Light"/>
                <w:noProof/>
                <w:shd w:val="clear" w:color="auto" w:fill="FFFFFF"/>
                <w:lang w:eastAsia="en-GB"/>
              </w:rPr>
              <w:t>2.3 Public Health Response to Measles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_Toc164586706 \h </w:instrText>
            </w:r>
            <w:r w:rsidR="005978A8" w:rsidRPr="005978A8">
              <w:rPr>
                <w:noProof/>
                <w:webHidden/>
              </w:rPr>
            </w:r>
            <w:r w:rsidR="005978A8" w:rsidRPr="005978A8">
              <w:rPr>
                <w:noProof/>
                <w:webHidden/>
              </w:rPr>
              <w:fldChar w:fldCharType="separate"/>
            </w:r>
            <w:r w:rsidR="000D2DE9">
              <w:rPr>
                <w:noProof/>
                <w:webHidden/>
              </w:rPr>
              <w:t>6</w:t>
            </w:r>
            <w:r w:rsidR="005978A8" w:rsidRPr="005978A8">
              <w:rPr>
                <w:noProof/>
                <w:webHidden/>
              </w:rPr>
              <w:fldChar w:fldCharType="end"/>
            </w:r>
          </w:hyperlink>
        </w:p>
        <w:p w14:paraId="6198BBBF" w14:textId="21EC63C6" w:rsidR="005978A8" w:rsidRPr="005978A8" w:rsidRDefault="00000000">
          <w:pPr>
            <w:pStyle w:val="TOC3"/>
            <w:tabs>
              <w:tab w:val="right" w:leader="dot" w:pos="9016"/>
            </w:tabs>
            <w:rPr>
              <w:rFonts w:eastAsiaTheme="minorEastAsia"/>
              <w:noProof/>
              <w:sz w:val="24"/>
              <w:szCs w:val="24"/>
              <w:lang w:eastAsia="en-GB"/>
            </w:rPr>
          </w:pPr>
          <w:hyperlink w:anchor="_Toc164586707" w:history="1">
            <w:r w:rsidR="005978A8" w:rsidRPr="005978A8">
              <w:rPr>
                <w:rStyle w:val="Hyperlink"/>
                <w:rFonts w:ascii="Calibri Light" w:eastAsia="Times New Roman" w:hAnsi="Calibri Light" w:cs="Calibri Light"/>
                <w:noProof/>
                <w:shd w:val="clear" w:color="auto" w:fill="FFFFFF"/>
                <w:lang w:eastAsia="en-GB"/>
              </w:rPr>
              <w:t>2.3.1 Vaccination Programs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_Toc164586707 \h </w:instrText>
            </w:r>
            <w:r w:rsidR="005978A8" w:rsidRPr="005978A8">
              <w:rPr>
                <w:noProof/>
                <w:webHidden/>
              </w:rPr>
            </w:r>
            <w:r w:rsidR="005978A8" w:rsidRPr="005978A8">
              <w:rPr>
                <w:noProof/>
                <w:webHidden/>
              </w:rPr>
              <w:fldChar w:fldCharType="separate"/>
            </w:r>
            <w:r w:rsidR="000D2DE9">
              <w:rPr>
                <w:noProof/>
                <w:webHidden/>
              </w:rPr>
              <w:t>6</w:t>
            </w:r>
            <w:r w:rsidR="005978A8" w:rsidRPr="005978A8">
              <w:rPr>
                <w:noProof/>
                <w:webHidden/>
              </w:rPr>
              <w:fldChar w:fldCharType="end"/>
            </w:r>
          </w:hyperlink>
        </w:p>
        <w:p w14:paraId="3B677125" w14:textId="4862A46B" w:rsidR="005978A8" w:rsidRPr="005978A8" w:rsidRDefault="00000000">
          <w:pPr>
            <w:pStyle w:val="TOC3"/>
            <w:tabs>
              <w:tab w:val="right" w:leader="dot" w:pos="9016"/>
            </w:tabs>
            <w:rPr>
              <w:rFonts w:eastAsiaTheme="minorEastAsia"/>
              <w:noProof/>
              <w:sz w:val="24"/>
              <w:szCs w:val="24"/>
              <w:lang w:eastAsia="en-GB"/>
            </w:rPr>
          </w:pPr>
          <w:hyperlink w:anchor="_Toc164586708" w:history="1">
            <w:r w:rsidR="005978A8" w:rsidRPr="005978A8">
              <w:rPr>
                <w:rStyle w:val="Hyperlink"/>
                <w:rFonts w:ascii="Calibri" w:eastAsia="Times New Roman" w:hAnsi="Calibri" w:cs="Calibri"/>
                <w:noProof/>
                <w:shd w:val="clear" w:color="auto" w:fill="FFFFFF"/>
                <w:lang w:eastAsia="en-GB"/>
              </w:rPr>
              <w:t>2.3.2 Surveillance and Outbreak Response</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_Toc164586708 \h </w:instrText>
            </w:r>
            <w:r w:rsidR="005978A8" w:rsidRPr="005978A8">
              <w:rPr>
                <w:noProof/>
                <w:webHidden/>
              </w:rPr>
            </w:r>
            <w:r w:rsidR="005978A8" w:rsidRPr="005978A8">
              <w:rPr>
                <w:noProof/>
                <w:webHidden/>
              </w:rPr>
              <w:fldChar w:fldCharType="separate"/>
            </w:r>
            <w:r w:rsidR="000D2DE9">
              <w:rPr>
                <w:noProof/>
                <w:webHidden/>
              </w:rPr>
              <w:t>7</w:t>
            </w:r>
            <w:r w:rsidR="005978A8" w:rsidRPr="005978A8">
              <w:rPr>
                <w:noProof/>
                <w:webHidden/>
              </w:rPr>
              <w:fldChar w:fldCharType="end"/>
            </w:r>
          </w:hyperlink>
        </w:p>
        <w:p w14:paraId="0A6C5B5B" w14:textId="4376AD41" w:rsidR="005978A8" w:rsidRPr="005978A8" w:rsidRDefault="00000000">
          <w:pPr>
            <w:pStyle w:val="TOC3"/>
            <w:tabs>
              <w:tab w:val="right" w:leader="dot" w:pos="9016"/>
            </w:tabs>
            <w:rPr>
              <w:rFonts w:eastAsiaTheme="minorEastAsia"/>
              <w:noProof/>
              <w:sz w:val="24"/>
              <w:szCs w:val="24"/>
              <w:lang w:eastAsia="en-GB"/>
            </w:rPr>
          </w:pPr>
          <w:hyperlink w:anchor="_Toc164586709" w:history="1">
            <w:r w:rsidR="005978A8" w:rsidRPr="005978A8">
              <w:rPr>
                <w:rStyle w:val="Hyperlink"/>
                <w:rFonts w:ascii="Calibri Light" w:eastAsia="Times New Roman" w:hAnsi="Calibri Light" w:cs="Calibri Light"/>
                <w:noProof/>
                <w:shd w:val="clear" w:color="auto" w:fill="FFFFFF"/>
                <w:lang w:eastAsia="en-GB"/>
              </w:rPr>
              <w:t>2.3.3 Health Education and Risk Communication</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_Toc164586709 \h </w:instrText>
            </w:r>
            <w:r w:rsidR="005978A8" w:rsidRPr="005978A8">
              <w:rPr>
                <w:noProof/>
                <w:webHidden/>
              </w:rPr>
            </w:r>
            <w:r w:rsidR="005978A8" w:rsidRPr="005978A8">
              <w:rPr>
                <w:noProof/>
                <w:webHidden/>
              </w:rPr>
              <w:fldChar w:fldCharType="separate"/>
            </w:r>
            <w:r w:rsidR="000D2DE9">
              <w:rPr>
                <w:noProof/>
                <w:webHidden/>
              </w:rPr>
              <w:t>7</w:t>
            </w:r>
            <w:r w:rsidR="005978A8" w:rsidRPr="005978A8">
              <w:rPr>
                <w:noProof/>
                <w:webHidden/>
              </w:rPr>
              <w:fldChar w:fldCharType="end"/>
            </w:r>
          </w:hyperlink>
        </w:p>
        <w:p w14:paraId="79F96D66" w14:textId="750E6A89" w:rsidR="005978A8" w:rsidRPr="005978A8" w:rsidRDefault="00000000">
          <w:pPr>
            <w:pStyle w:val="TOC3"/>
            <w:tabs>
              <w:tab w:val="right" w:leader="dot" w:pos="9016"/>
            </w:tabs>
            <w:rPr>
              <w:rFonts w:eastAsiaTheme="minorEastAsia"/>
              <w:noProof/>
              <w:sz w:val="24"/>
              <w:szCs w:val="24"/>
              <w:lang w:eastAsia="en-GB"/>
            </w:rPr>
          </w:pPr>
          <w:hyperlink w:anchor="_Toc164586710" w:history="1">
            <w:r w:rsidR="005978A8" w:rsidRPr="005978A8">
              <w:rPr>
                <w:rStyle w:val="Hyperlink"/>
                <w:rFonts w:ascii="Calibri Light" w:eastAsia="Times New Roman" w:hAnsi="Calibri Light" w:cs="Calibri Light"/>
                <w:noProof/>
                <w:shd w:val="clear" w:color="auto" w:fill="FFFFFF"/>
                <w:lang w:eastAsia="en-GB"/>
              </w:rPr>
              <w:t>2.3.4 Legislative and Policy Interventions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_Toc164586710 \h </w:instrText>
            </w:r>
            <w:r w:rsidR="005978A8" w:rsidRPr="005978A8">
              <w:rPr>
                <w:noProof/>
                <w:webHidden/>
              </w:rPr>
            </w:r>
            <w:r w:rsidR="005978A8" w:rsidRPr="005978A8">
              <w:rPr>
                <w:noProof/>
                <w:webHidden/>
              </w:rPr>
              <w:fldChar w:fldCharType="separate"/>
            </w:r>
            <w:r w:rsidR="000D2DE9">
              <w:rPr>
                <w:noProof/>
                <w:webHidden/>
              </w:rPr>
              <w:t>8</w:t>
            </w:r>
            <w:r w:rsidR="005978A8" w:rsidRPr="005978A8">
              <w:rPr>
                <w:noProof/>
                <w:webHidden/>
              </w:rPr>
              <w:fldChar w:fldCharType="end"/>
            </w:r>
          </w:hyperlink>
        </w:p>
        <w:p w14:paraId="70E6DCDC" w14:textId="108AC366" w:rsidR="005978A8" w:rsidRPr="005978A8" w:rsidRDefault="00000000">
          <w:pPr>
            <w:pStyle w:val="TOC2"/>
            <w:tabs>
              <w:tab w:val="right" w:leader="dot" w:pos="9016"/>
            </w:tabs>
            <w:rPr>
              <w:rFonts w:eastAsiaTheme="minorEastAsia"/>
              <w:noProof/>
              <w:sz w:val="24"/>
              <w:szCs w:val="24"/>
              <w:lang w:eastAsia="en-GB"/>
            </w:rPr>
          </w:pPr>
          <w:hyperlink w:anchor="_Toc164586711" w:history="1">
            <w:r w:rsidR="005978A8" w:rsidRPr="005978A8">
              <w:rPr>
                <w:rStyle w:val="Hyperlink"/>
                <w:rFonts w:ascii="Calibri Light" w:eastAsia="Times New Roman" w:hAnsi="Calibri Light" w:cs="Calibri Light"/>
                <w:noProof/>
                <w:shd w:val="clear" w:color="auto" w:fill="FFFFFF"/>
                <w:lang w:eastAsia="en-GB"/>
              </w:rPr>
              <w:t>2.4 Impacts of Measles on Society, Healthcare Professionals and Services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_Toc164586711 \h </w:instrText>
            </w:r>
            <w:r w:rsidR="005978A8" w:rsidRPr="005978A8">
              <w:rPr>
                <w:noProof/>
                <w:webHidden/>
              </w:rPr>
            </w:r>
            <w:r w:rsidR="005978A8" w:rsidRPr="005978A8">
              <w:rPr>
                <w:noProof/>
                <w:webHidden/>
              </w:rPr>
              <w:fldChar w:fldCharType="separate"/>
            </w:r>
            <w:r w:rsidR="000D2DE9">
              <w:rPr>
                <w:noProof/>
                <w:webHidden/>
              </w:rPr>
              <w:t>8</w:t>
            </w:r>
            <w:r w:rsidR="005978A8" w:rsidRPr="005978A8">
              <w:rPr>
                <w:noProof/>
                <w:webHidden/>
              </w:rPr>
              <w:fldChar w:fldCharType="end"/>
            </w:r>
          </w:hyperlink>
        </w:p>
        <w:p w14:paraId="63B3D908" w14:textId="0AFF1328" w:rsidR="005978A8" w:rsidRPr="005978A8" w:rsidRDefault="00000000">
          <w:pPr>
            <w:pStyle w:val="TOC3"/>
            <w:tabs>
              <w:tab w:val="right" w:leader="dot" w:pos="9016"/>
            </w:tabs>
            <w:rPr>
              <w:rFonts w:eastAsiaTheme="minorEastAsia"/>
              <w:noProof/>
              <w:sz w:val="24"/>
              <w:szCs w:val="24"/>
              <w:lang w:eastAsia="en-GB"/>
            </w:rPr>
          </w:pPr>
          <w:hyperlink w:anchor="_Toc164586712" w:history="1">
            <w:r w:rsidR="005978A8" w:rsidRPr="005978A8">
              <w:rPr>
                <w:rStyle w:val="Hyperlink"/>
                <w:rFonts w:ascii="Calibri Light" w:eastAsia="Times New Roman" w:hAnsi="Calibri Light" w:cs="Calibri Light"/>
                <w:noProof/>
                <w:shd w:val="clear" w:color="auto" w:fill="FFFFFF"/>
                <w:lang w:eastAsia="en-GB"/>
              </w:rPr>
              <w:t>2.4.1 Societal Implications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_Toc164586712 \h </w:instrText>
            </w:r>
            <w:r w:rsidR="005978A8" w:rsidRPr="005978A8">
              <w:rPr>
                <w:noProof/>
                <w:webHidden/>
              </w:rPr>
            </w:r>
            <w:r w:rsidR="005978A8" w:rsidRPr="005978A8">
              <w:rPr>
                <w:noProof/>
                <w:webHidden/>
              </w:rPr>
              <w:fldChar w:fldCharType="separate"/>
            </w:r>
            <w:r w:rsidR="000D2DE9">
              <w:rPr>
                <w:noProof/>
                <w:webHidden/>
              </w:rPr>
              <w:t>8</w:t>
            </w:r>
            <w:r w:rsidR="005978A8" w:rsidRPr="005978A8">
              <w:rPr>
                <w:noProof/>
                <w:webHidden/>
              </w:rPr>
              <w:fldChar w:fldCharType="end"/>
            </w:r>
          </w:hyperlink>
        </w:p>
        <w:p w14:paraId="059A0484" w14:textId="5593EA4A" w:rsidR="005978A8" w:rsidRPr="005978A8" w:rsidRDefault="00000000">
          <w:pPr>
            <w:pStyle w:val="TOC3"/>
            <w:tabs>
              <w:tab w:val="right" w:leader="dot" w:pos="9016"/>
            </w:tabs>
            <w:rPr>
              <w:rFonts w:eastAsiaTheme="minorEastAsia"/>
              <w:noProof/>
              <w:sz w:val="24"/>
              <w:szCs w:val="24"/>
              <w:lang w:eastAsia="en-GB"/>
            </w:rPr>
          </w:pPr>
          <w:hyperlink w:anchor="_Toc164586713" w:history="1">
            <w:r w:rsidR="005978A8" w:rsidRPr="005978A8">
              <w:rPr>
                <w:rStyle w:val="Hyperlink"/>
                <w:rFonts w:ascii="Calibri Light" w:eastAsia="Times New Roman" w:hAnsi="Calibri Light" w:cs="Calibri Light"/>
                <w:noProof/>
                <w:shd w:val="clear" w:color="auto" w:fill="FFFFFF"/>
                <w:lang w:eastAsia="en-GB"/>
              </w:rPr>
              <w:t>2.4.2 Healthcare Professionals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_Toc164586713 \h </w:instrText>
            </w:r>
            <w:r w:rsidR="005978A8" w:rsidRPr="005978A8">
              <w:rPr>
                <w:noProof/>
                <w:webHidden/>
              </w:rPr>
            </w:r>
            <w:r w:rsidR="005978A8" w:rsidRPr="005978A8">
              <w:rPr>
                <w:noProof/>
                <w:webHidden/>
              </w:rPr>
              <w:fldChar w:fldCharType="separate"/>
            </w:r>
            <w:r w:rsidR="000D2DE9">
              <w:rPr>
                <w:noProof/>
                <w:webHidden/>
              </w:rPr>
              <w:t>9</w:t>
            </w:r>
            <w:r w:rsidR="005978A8" w:rsidRPr="005978A8">
              <w:rPr>
                <w:noProof/>
                <w:webHidden/>
              </w:rPr>
              <w:fldChar w:fldCharType="end"/>
            </w:r>
          </w:hyperlink>
        </w:p>
        <w:p w14:paraId="00ABF20E" w14:textId="7B65349E" w:rsidR="005978A8" w:rsidRPr="005978A8" w:rsidRDefault="00000000">
          <w:pPr>
            <w:pStyle w:val="TOC3"/>
            <w:tabs>
              <w:tab w:val="right" w:leader="dot" w:pos="9016"/>
            </w:tabs>
            <w:rPr>
              <w:rFonts w:eastAsiaTheme="minorEastAsia"/>
              <w:noProof/>
              <w:sz w:val="24"/>
              <w:szCs w:val="24"/>
              <w:lang w:eastAsia="en-GB"/>
            </w:rPr>
          </w:pPr>
          <w:hyperlink w:anchor="_Toc164586714" w:history="1">
            <w:r w:rsidR="005978A8" w:rsidRPr="005978A8">
              <w:rPr>
                <w:rStyle w:val="Hyperlink"/>
                <w:rFonts w:ascii="Calibri Light" w:eastAsia="Times New Roman" w:hAnsi="Calibri Light" w:cs="Calibri Light"/>
                <w:noProof/>
                <w:shd w:val="clear" w:color="auto" w:fill="FFFFFF"/>
                <w:lang w:eastAsia="en-GB"/>
              </w:rPr>
              <w:t>2.4.3 Health and Care Services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_Toc164586714 \h </w:instrText>
            </w:r>
            <w:r w:rsidR="005978A8" w:rsidRPr="005978A8">
              <w:rPr>
                <w:noProof/>
                <w:webHidden/>
              </w:rPr>
            </w:r>
            <w:r w:rsidR="005978A8" w:rsidRPr="005978A8">
              <w:rPr>
                <w:noProof/>
                <w:webHidden/>
              </w:rPr>
              <w:fldChar w:fldCharType="separate"/>
            </w:r>
            <w:r w:rsidR="000D2DE9">
              <w:rPr>
                <w:noProof/>
                <w:webHidden/>
              </w:rPr>
              <w:t>9</w:t>
            </w:r>
            <w:r w:rsidR="005978A8" w:rsidRPr="005978A8">
              <w:rPr>
                <w:noProof/>
                <w:webHidden/>
              </w:rPr>
              <w:fldChar w:fldCharType="end"/>
            </w:r>
          </w:hyperlink>
        </w:p>
        <w:p w14:paraId="5F71BC1B" w14:textId="4DB121B2" w:rsidR="005978A8" w:rsidRPr="005978A8" w:rsidRDefault="00000000">
          <w:pPr>
            <w:pStyle w:val="TOC1"/>
            <w:tabs>
              <w:tab w:val="right" w:leader="dot" w:pos="9016"/>
            </w:tabs>
            <w:rPr>
              <w:rFonts w:eastAsiaTheme="minorEastAsia"/>
              <w:noProof/>
              <w:sz w:val="24"/>
              <w:szCs w:val="24"/>
              <w:lang w:eastAsia="en-GB"/>
            </w:rPr>
          </w:pPr>
          <w:hyperlink w:anchor="_Toc164586715" w:history="1">
            <w:r w:rsidR="005978A8" w:rsidRPr="005978A8">
              <w:rPr>
                <w:rStyle w:val="Hyperlink"/>
                <w:rFonts w:ascii="Calibri Light" w:eastAsia="Times New Roman" w:hAnsi="Calibri Light" w:cs="Calibri Light"/>
                <w:noProof/>
                <w:shd w:val="clear" w:color="auto" w:fill="FFFFFF"/>
                <w:lang w:eastAsia="en-GB"/>
              </w:rPr>
              <w:t>3.0 Conclusion</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_Toc164586715 \h </w:instrText>
            </w:r>
            <w:r w:rsidR="005978A8" w:rsidRPr="005978A8">
              <w:rPr>
                <w:noProof/>
                <w:webHidden/>
              </w:rPr>
            </w:r>
            <w:r w:rsidR="005978A8" w:rsidRPr="005978A8">
              <w:rPr>
                <w:noProof/>
                <w:webHidden/>
              </w:rPr>
              <w:fldChar w:fldCharType="separate"/>
            </w:r>
            <w:r w:rsidR="000D2DE9">
              <w:rPr>
                <w:noProof/>
                <w:webHidden/>
              </w:rPr>
              <w:t>10</w:t>
            </w:r>
            <w:r w:rsidR="005978A8" w:rsidRPr="005978A8">
              <w:rPr>
                <w:noProof/>
                <w:webHidden/>
              </w:rPr>
              <w:fldChar w:fldCharType="end"/>
            </w:r>
          </w:hyperlink>
        </w:p>
        <w:p w14:paraId="294A3A6B" w14:textId="38B355D9" w:rsidR="005978A8" w:rsidRPr="005978A8" w:rsidRDefault="00000000">
          <w:pPr>
            <w:pStyle w:val="TOC1"/>
            <w:tabs>
              <w:tab w:val="right" w:leader="dot" w:pos="9016"/>
            </w:tabs>
            <w:rPr>
              <w:rFonts w:eastAsiaTheme="minorEastAsia"/>
              <w:noProof/>
              <w:sz w:val="24"/>
              <w:szCs w:val="24"/>
              <w:lang w:eastAsia="en-GB"/>
            </w:rPr>
          </w:pPr>
          <w:hyperlink w:anchor="_Toc164586716" w:history="1">
            <w:r w:rsidR="005978A8" w:rsidRPr="005978A8">
              <w:rPr>
                <w:rStyle w:val="Hyperlink"/>
                <w:rFonts w:ascii="Calibri Light" w:eastAsia="Times New Roman" w:hAnsi="Calibri Light" w:cs="Calibri Light"/>
                <w:noProof/>
                <w:shd w:val="clear" w:color="auto" w:fill="FFFFFF"/>
                <w:lang w:eastAsia="en-GB"/>
              </w:rPr>
              <w:t>4.0 References</w:t>
            </w:r>
            <w:r w:rsidR="005978A8" w:rsidRPr="005978A8">
              <w:rPr>
                <w:noProof/>
                <w:webHidden/>
              </w:rPr>
              <w:tab/>
            </w:r>
            <w:r w:rsidR="005978A8" w:rsidRPr="005978A8">
              <w:rPr>
                <w:noProof/>
                <w:webHidden/>
              </w:rPr>
              <w:fldChar w:fldCharType="begin"/>
            </w:r>
            <w:r w:rsidR="005978A8" w:rsidRPr="005978A8">
              <w:rPr>
                <w:noProof/>
                <w:webHidden/>
              </w:rPr>
              <w:instrText xml:space="preserve"> PAGEREF _Toc164586716 \h </w:instrText>
            </w:r>
            <w:r w:rsidR="005978A8" w:rsidRPr="005978A8">
              <w:rPr>
                <w:noProof/>
                <w:webHidden/>
              </w:rPr>
            </w:r>
            <w:r w:rsidR="005978A8" w:rsidRPr="005978A8">
              <w:rPr>
                <w:noProof/>
                <w:webHidden/>
              </w:rPr>
              <w:fldChar w:fldCharType="separate"/>
            </w:r>
            <w:r w:rsidR="000D2DE9">
              <w:rPr>
                <w:noProof/>
                <w:webHidden/>
              </w:rPr>
              <w:t>11</w:t>
            </w:r>
            <w:r w:rsidR="005978A8" w:rsidRPr="005978A8">
              <w:rPr>
                <w:noProof/>
                <w:webHidden/>
              </w:rPr>
              <w:fldChar w:fldCharType="end"/>
            </w:r>
          </w:hyperlink>
        </w:p>
        <w:p w14:paraId="6DB90D8F" w14:textId="1FAFDB50" w:rsidR="00106723" w:rsidRDefault="00106723">
          <w:r>
            <w:rPr>
              <w:b/>
              <w:bCs/>
              <w:noProof/>
            </w:rPr>
            <w:fldChar w:fldCharType="end"/>
          </w:r>
        </w:p>
      </w:sdtContent>
    </w:sdt>
    <w:p w14:paraId="07C2DEFD" w14:textId="77777777" w:rsidR="00106723" w:rsidRDefault="00106723">
      <w:pPr>
        <w:rPr>
          <w:rFonts w:ascii="Calibri Light" w:eastAsia="Times New Roman" w:hAnsi="Calibri Light" w:cs="Calibri Light"/>
          <w:b/>
          <w:bCs/>
          <w:sz w:val="32"/>
          <w:szCs w:val="32"/>
          <w:shd w:val="clear" w:color="auto" w:fill="FFFFFF"/>
          <w:lang w:eastAsia="en-GB"/>
        </w:rPr>
      </w:pPr>
      <w:r>
        <w:rPr>
          <w:rFonts w:ascii="Calibri Light" w:eastAsia="Times New Roman" w:hAnsi="Calibri Light" w:cs="Calibri Light"/>
          <w:b/>
          <w:bCs/>
          <w:sz w:val="32"/>
          <w:szCs w:val="32"/>
          <w:shd w:val="clear" w:color="auto" w:fill="FFFFFF"/>
          <w:lang w:eastAsia="en-GB"/>
        </w:rPr>
        <w:br w:type="page"/>
      </w:r>
    </w:p>
    <w:p w14:paraId="561D6088" w14:textId="77777777" w:rsidR="005978A8" w:rsidRDefault="00106723" w:rsidP="005978A8">
      <w:pPr>
        <w:pStyle w:val="Heading1"/>
        <w:spacing w:line="360" w:lineRule="auto"/>
        <w:rPr>
          <w:rFonts w:ascii="Calibri Light" w:eastAsia="Times New Roman" w:hAnsi="Calibri Light" w:cs="Calibri Light"/>
          <w:b/>
          <w:bCs/>
          <w:color w:val="auto"/>
          <w:sz w:val="32"/>
          <w:szCs w:val="32"/>
          <w:shd w:val="clear" w:color="auto" w:fill="FFFFFF"/>
          <w:lang w:eastAsia="en-GB"/>
        </w:rPr>
      </w:pPr>
      <w:bookmarkStart w:id="0" w:name="_Toc164586699"/>
      <w:r w:rsidRPr="00106723">
        <w:rPr>
          <w:rFonts w:ascii="Calibri Light" w:eastAsia="Times New Roman" w:hAnsi="Calibri Light" w:cs="Calibri Light"/>
          <w:b/>
          <w:bCs/>
          <w:color w:val="auto"/>
          <w:sz w:val="32"/>
          <w:szCs w:val="32"/>
          <w:shd w:val="clear" w:color="auto" w:fill="FFFFFF"/>
          <w:lang w:eastAsia="en-GB"/>
        </w:rPr>
        <w:lastRenderedPageBreak/>
        <w:t>Abstract</w:t>
      </w:r>
      <w:bookmarkEnd w:id="0"/>
    </w:p>
    <w:p w14:paraId="03442F06" w14:textId="55C20298" w:rsidR="00106723" w:rsidRPr="00106723" w:rsidRDefault="005978A8" w:rsidP="005978A8">
      <w:pPr>
        <w:spacing w:line="360" w:lineRule="auto"/>
        <w:rPr>
          <w:shd w:val="clear" w:color="auto" w:fill="FFFFFF"/>
          <w:lang w:eastAsia="en-GB"/>
        </w:rPr>
      </w:pPr>
      <w:r w:rsidRPr="005978A8">
        <w:rPr>
          <w:rFonts w:ascii="Calibri" w:hAnsi="Calibri" w:cs="Calibri"/>
          <w:sz w:val="24"/>
          <w:szCs w:val="24"/>
          <w:shd w:val="clear" w:color="auto" w:fill="FFFFFF"/>
          <w:lang w:eastAsia="en-GB"/>
        </w:rPr>
        <w:t>Communicable diseases pose ongoing challenges to global public health systems, with measles standing out due to its highly infectious nature and potential for widespread transmission. Despite the availability of an effective vaccine, measles continues to impact populations, especially in regions with suboptimal vaccination coverage and fragile health systems. This report examines the epidemiology, impact and control strategies of measles, focusing on occurrences within Wales, United Kingdom (UK) and its broader implications globally. Recent outbreaks in Wales underscore the importance of robust surveillance and vaccination programs, while globally, measles remains a significant public health concern fuelled by factors such as vaccine hesitancy and gaps in immuni</w:t>
      </w:r>
      <w:r>
        <w:rPr>
          <w:rFonts w:ascii="Calibri" w:hAnsi="Calibri" w:cs="Calibri"/>
          <w:sz w:val="24"/>
          <w:szCs w:val="24"/>
          <w:shd w:val="clear" w:color="auto" w:fill="FFFFFF"/>
          <w:lang w:eastAsia="en-GB"/>
        </w:rPr>
        <w:t>s</w:t>
      </w:r>
      <w:r w:rsidRPr="005978A8">
        <w:rPr>
          <w:rFonts w:ascii="Calibri" w:hAnsi="Calibri" w:cs="Calibri"/>
          <w:sz w:val="24"/>
          <w:szCs w:val="24"/>
          <w:shd w:val="clear" w:color="auto" w:fill="FFFFFF"/>
          <w:lang w:eastAsia="en-GB"/>
        </w:rPr>
        <w:t xml:space="preserve">ation coverage. The report highlights the importance of vaccination programs, surveillance systems and health education initiatives in preventing and controlling measles transmission. Measles outbreaks strain healthcare services, disrupting routine delivery, diverting resources and compromising patient care quality. Comprehensive prevention and control strategies are essential to mitigate the burden of measles, protect population health and promote health equity </w:t>
      </w:r>
      <w:r w:rsidR="001C7B25">
        <w:rPr>
          <w:rFonts w:ascii="Calibri" w:hAnsi="Calibri" w:cs="Calibri"/>
          <w:sz w:val="24"/>
          <w:szCs w:val="24"/>
          <w:shd w:val="clear" w:color="auto" w:fill="FFFFFF"/>
          <w:lang w:eastAsia="en-GB"/>
        </w:rPr>
        <w:t>in Wales, UK</w:t>
      </w:r>
      <w:r w:rsidRPr="005978A8">
        <w:rPr>
          <w:rFonts w:ascii="Calibri" w:hAnsi="Calibri" w:cs="Calibri"/>
          <w:sz w:val="24"/>
          <w:szCs w:val="24"/>
          <w:shd w:val="clear" w:color="auto" w:fill="FFFFFF"/>
          <w:lang w:eastAsia="en-GB"/>
        </w:rPr>
        <w:t xml:space="preserve"> and globally.</w:t>
      </w:r>
      <w:r w:rsidR="00106723" w:rsidRPr="00106723">
        <w:rPr>
          <w:shd w:val="clear" w:color="auto" w:fill="FFFFFF"/>
          <w:lang w:eastAsia="en-GB"/>
        </w:rPr>
        <w:br w:type="page"/>
      </w:r>
    </w:p>
    <w:p w14:paraId="04B881E4" w14:textId="45DE9DB6" w:rsidR="004549C0" w:rsidRPr="004549C0" w:rsidRDefault="007535BD" w:rsidP="007535BD">
      <w:pPr>
        <w:pStyle w:val="Heading1"/>
        <w:spacing w:before="0" w:line="360" w:lineRule="auto"/>
        <w:rPr>
          <w:rFonts w:ascii="Calibri" w:eastAsia="Times New Roman" w:hAnsi="Calibri" w:cs="Calibri"/>
          <w:b/>
          <w:bCs/>
          <w:sz w:val="24"/>
          <w:szCs w:val="24"/>
          <w:lang w:eastAsia="en-GB"/>
        </w:rPr>
      </w:pPr>
      <w:bookmarkStart w:id="1" w:name="_Toc164586700"/>
      <w:r>
        <w:rPr>
          <w:rFonts w:ascii="Calibri Light" w:eastAsia="Times New Roman" w:hAnsi="Calibri Light" w:cs="Calibri Light"/>
          <w:b/>
          <w:bCs/>
          <w:color w:val="auto"/>
          <w:sz w:val="32"/>
          <w:szCs w:val="32"/>
          <w:shd w:val="clear" w:color="auto" w:fill="FFFFFF"/>
          <w:lang w:eastAsia="en-GB"/>
        </w:rPr>
        <w:lastRenderedPageBreak/>
        <w:t xml:space="preserve">1.0 </w:t>
      </w:r>
      <w:r w:rsidR="004549C0" w:rsidRPr="004549C0">
        <w:rPr>
          <w:rFonts w:ascii="Calibri Light" w:eastAsia="Times New Roman" w:hAnsi="Calibri Light" w:cs="Calibri Light"/>
          <w:b/>
          <w:bCs/>
          <w:color w:val="auto"/>
          <w:sz w:val="32"/>
          <w:szCs w:val="32"/>
          <w:shd w:val="clear" w:color="auto" w:fill="FFFFFF"/>
          <w:lang w:eastAsia="en-GB"/>
        </w:rPr>
        <w:t>Introduction</w:t>
      </w:r>
      <w:bookmarkEnd w:id="1"/>
      <w:r w:rsidR="004549C0" w:rsidRPr="004549C0">
        <w:rPr>
          <w:rFonts w:ascii="Calibri Light" w:eastAsia="Times New Roman" w:hAnsi="Calibri Light" w:cs="Calibri Light"/>
          <w:b/>
          <w:bCs/>
          <w:color w:val="auto"/>
          <w:sz w:val="32"/>
          <w:szCs w:val="32"/>
          <w:shd w:val="clear" w:color="auto" w:fill="FFFFFF"/>
          <w:lang w:eastAsia="en-GB"/>
        </w:rPr>
        <w:t xml:space="preserve"> </w:t>
      </w:r>
      <w:r w:rsidR="004549C0" w:rsidRPr="004549C0">
        <w:rPr>
          <w:rFonts w:ascii="Calibri Light" w:eastAsia="Times New Roman" w:hAnsi="Calibri Light" w:cs="Calibri Light"/>
          <w:b/>
          <w:bCs/>
          <w:sz w:val="32"/>
          <w:szCs w:val="32"/>
          <w:shd w:val="clear" w:color="auto" w:fill="FFFFFF"/>
          <w:lang w:eastAsia="en-GB"/>
        </w:rPr>
        <w:t>  </w:t>
      </w:r>
    </w:p>
    <w:p w14:paraId="7EDE4E3A" w14:textId="26479D2F" w:rsidR="00EE6228" w:rsidRDefault="004549C0" w:rsidP="00106723">
      <w:pPr>
        <w:spacing w:after="0" w:line="360" w:lineRule="auto"/>
        <w:rPr>
          <w:rFonts w:ascii="Calibri" w:eastAsia="Times New Roman" w:hAnsi="Calibri" w:cs="Calibri"/>
          <w:color w:val="172B4D"/>
          <w:kern w:val="0"/>
          <w:sz w:val="24"/>
          <w:szCs w:val="24"/>
          <w:shd w:val="clear" w:color="auto" w:fill="FFFFFF"/>
          <w:lang w:eastAsia="en-GB"/>
          <w14:ligatures w14:val="none"/>
        </w:rPr>
      </w:pPr>
      <w:r w:rsidRPr="004549C0">
        <w:rPr>
          <w:rFonts w:ascii="Calibri" w:eastAsia="Times New Roman" w:hAnsi="Calibri" w:cs="Calibri"/>
          <w:color w:val="172B4D"/>
          <w:kern w:val="0"/>
          <w:sz w:val="24"/>
          <w:szCs w:val="24"/>
          <w:shd w:val="clear" w:color="auto" w:fill="FFFFFF"/>
          <w:lang w:eastAsia="en-GB"/>
          <w14:ligatures w14:val="none"/>
        </w:rPr>
        <w:t>Communicable diseases represent a persistent challenge to public health systems globally, with measles standing out as a notable concern due to its highly infectious nature and potential for widespread transmission</w:t>
      </w:r>
      <w:r w:rsidR="00DC0CB1">
        <w:rPr>
          <w:rFonts w:ascii="Calibri" w:eastAsia="Times New Roman" w:hAnsi="Calibri" w:cs="Calibri"/>
          <w:color w:val="172B4D"/>
          <w:kern w:val="0"/>
          <w:sz w:val="24"/>
          <w:szCs w:val="24"/>
          <w:shd w:val="clear" w:color="auto" w:fill="FFFFFF"/>
          <w:lang w:eastAsia="en-GB"/>
          <w14:ligatures w14:val="none"/>
        </w:rPr>
        <w:t xml:space="preserve"> </w:t>
      </w:r>
      <w:r w:rsidR="00DC0CB1" w:rsidRPr="00DC0CB1">
        <w:rPr>
          <w:rFonts w:ascii="Calibri" w:eastAsia="Times New Roman" w:hAnsi="Calibri" w:cs="Calibri"/>
          <w:color w:val="172B4D"/>
          <w:kern w:val="0"/>
          <w:sz w:val="24"/>
          <w:szCs w:val="24"/>
          <w:shd w:val="clear" w:color="auto" w:fill="FFFFFF"/>
          <w:lang w:eastAsia="en-GB"/>
          <w14:ligatures w14:val="none"/>
        </w:rPr>
        <w:t>(Minta, 2023)</w:t>
      </w:r>
      <w:r w:rsidRPr="004549C0">
        <w:rPr>
          <w:rFonts w:ascii="Calibri" w:eastAsia="Times New Roman" w:hAnsi="Calibri" w:cs="Calibri"/>
          <w:color w:val="172B4D"/>
          <w:kern w:val="0"/>
          <w:sz w:val="24"/>
          <w:szCs w:val="24"/>
          <w:shd w:val="clear" w:color="auto" w:fill="FFFFFF"/>
          <w:lang w:eastAsia="en-GB"/>
          <w14:ligatures w14:val="none"/>
        </w:rPr>
        <w:t xml:space="preserve">. Measles, caused by the measles virus (MeV), </w:t>
      </w:r>
      <w:r w:rsidR="00DC0CB1" w:rsidRPr="004549C0">
        <w:rPr>
          <w:rFonts w:ascii="Calibri" w:eastAsia="Times New Roman" w:hAnsi="Calibri" w:cs="Calibri"/>
          <w:color w:val="172B4D"/>
          <w:kern w:val="0"/>
          <w:sz w:val="24"/>
          <w:szCs w:val="24"/>
          <w:shd w:val="clear" w:color="auto" w:fill="FFFFFF"/>
          <w:lang w:eastAsia="en-GB"/>
          <w14:ligatures w14:val="none"/>
        </w:rPr>
        <w:t>shows</w:t>
      </w:r>
      <w:r w:rsidRPr="004549C0">
        <w:rPr>
          <w:rFonts w:ascii="Calibri" w:eastAsia="Times New Roman" w:hAnsi="Calibri" w:cs="Calibri"/>
          <w:color w:val="172B4D"/>
          <w:kern w:val="0"/>
          <w:sz w:val="24"/>
          <w:szCs w:val="24"/>
          <w:shd w:val="clear" w:color="auto" w:fill="FFFFFF"/>
          <w:lang w:eastAsia="en-GB"/>
          <w14:ligatures w14:val="none"/>
        </w:rPr>
        <w:t xml:space="preserve"> as a </w:t>
      </w:r>
      <w:r w:rsidR="00DC0CB1" w:rsidRPr="004549C0">
        <w:rPr>
          <w:rFonts w:ascii="Calibri" w:eastAsia="Times New Roman" w:hAnsi="Calibri" w:cs="Calibri"/>
          <w:color w:val="172B4D"/>
          <w:kern w:val="0"/>
          <w:sz w:val="24"/>
          <w:szCs w:val="24"/>
          <w:shd w:val="clear" w:color="auto" w:fill="FFFFFF"/>
          <w:lang w:eastAsia="en-GB"/>
          <w14:ligatures w14:val="none"/>
        </w:rPr>
        <w:t>fevered</w:t>
      </w:r>
      <w:r w:rsidRPr="004549C0">
        <w:rPr>
          <w:rFonts w:ascii="Calibri" w:eastAsia="Times New Roman" w:hAnsi="Calibri" w:cs="Calibri"/>
          <w:color w:val="172B4D"/>
          <w:kern w:val="0"/>
          <w:sz w:val="24"/>
          <w:szCs w:val="24"/>
          <w:shd w:val="clear" w:color="auto" w:fill="FFFFFF"/>
          <w:lang w:eastAsia="en-GB"/>
          <w14:ligatures w14:val="none"/>
        </w:rPr>
        <w:t xml:space="preserve"> illness characteri</w:t>
      </w:r>
      <w:r w:rsidR="00DC0CB1">
        <w:rPr>
          <w:rFonts w:ascii="Calibri" w:eastAsia="Times New Roman" w:hAnsi="Calibri" w:cs="Calibri"/>
          <w:color w:val="172B4D"/>
          <w:kern w:val="0"/>
          <w:sz w:val="24"/>
          <w:szCs w:val="24"/>
          <w:shd w:val="clear" w:color="auto" w:fill="FFFFFF"/>
          <w:lang w:eastAsia="en-GB"/>
          <w14:ligatures w14:val="none"/>
        </w:rPr>
        <w:t>s</w:t>
      </w:r>
      <w:r w:rsidRPr="004549C0">
        <w:rPr>
          <w:rFonts w:ascii="Calibri" w:eastAsia="Times New Roman" w:hAnsi="Calibri" w:cs="Calibri"/>
          <w:color w:val="172B4D"/>
          <w:kern w:val="0"/>
          <w:sz w:val="24"/>
          <w:szCs w:val="24"/>
          <w:shd w:val="clear" w:color="auto" w:fill="FFFFFF"/>
          <w:lang w:eastAsia="en-GB"/>
          <w14:ligatures w14:val="none"/>
        </w:rPr>
        <w:t>ed by respiratory symptoms, rash and complications such as pneumonia and encephalitis</w:t>
      </w:r>
      <w:r w:rsidR="00D14D0A">
        <w:rPr>
          <w:rFonts w:ascii="Calibri" w:eastAsia="Times New Roman" w:hAnsi="Calibri" w:cs="Calibri"/>
          <w:color w:val="172B4D"/>
          <w:kern w:val="0"/>
          <w:sz w:val="24"/>
          <w:szCs w:val="24"/>
          <w:shd w:val="clear" w:color="auto" w:fill="FFFFFF"/>
          <w:lang w:eastAsia="en-GB"/>
          <w14:ligatures w14:val="none"/>
        </w:rPr>
        <w:t xml:space="preserve"> </w:t>
      </w:r>
      <w:r w:rsidR="00D14D0A" w:rsidRPr="00D14D0A">
        <w:rPr>
          <w:rFonts w:ascii="Calibri" w:eastAsia="Times New Roman" w:hAnsi="Calibri" w:cs="Calibri"/>
          <w:color w:val="172B4D"/>
          <w:kern w:val="0"/>
          <w:sz w:val="24"/>
          <w:szCs w:val="24"/>
          <w:shd w:val="clear" w:color="auto" w:fill="FFFFFF"/>
          <w:lang w:eastAsia="en-GB"/>
          <w14:ligatures w14:val="none"/>
        </w:rPr>
        <w:t>(</w:t>
      </w:r>
      <w:r w:rsidR="0017380B">
        <w:rPr>
          <w:rFonts w:ascii="Calibri" w:eastAsia="Times New Roman" w:hAnsi="Calibri" w:cs="Calibri"/>
          <w:color w:val="172B4D"/>
          <w:kern w:val="0"/>
          <w:sz w:val="24"/>
          <w:szCs w:val="24"/>
          <w:shd w:val="clear" w:color="auto" w:fill="FFFFFF"/>
          <w:lang w:eastAsia="en-GB"/>
          <w14:ligatures w14:val="none"/>
        </w:rPr>
        <w:t xml:space="preserve">Harvy, 2022 and </w:t>
      </w:r>
      <w:r w:rsidR="00D14D0A" w:rsidRPr="00D14D0A">
        <w:rPr>
          <w:rFonts w:ascii="Calibri" w:eastAsia="Times New Roman" w:hAnsi="Calibri" w:cs="Calibri"/>
          <w:color w:val="172B4D"/>
          <w:kern w:val="0"/>
          <w:sz w:val="24"/>
          <w:szCs w:val="24"/>
          <w:shd w:val="clear" w:color="auto" w:fill="FFFFFF"/>
          <w:lang w:eastAsia="en-GB"/>
          <w14:ligatures w14:val="none"/>
        </w:rPr>
        <w:t>Miyahara et al., 2022)</w:t>
      </w:r>
      <w:r w:rsidRPr="004549C0">
        <w:rPr>
          <w:rFonts w:ascii="Calibri" w:eastAsia="Times New Roman" w:hAnsi="Calibri" w:cs="Calibri"/>
          <w:color w:val="172B4D"/>
          <w:kern w:val="0"/>
          <w:sz w:val="24"/>
          <w:szCs w:val="24"/>
          <w:shd w:val="clear" w:color="auto" w:fill="FFFFFF"/>
          <w:lang w:eastAsia="en-GB"/>
          <w14:ligatures w14:val="none"/>
        </w:rPr>
        <w:t xml:space="preserve">. Despite the availability of an effective vaccine, measles continues to impact populations, particularly in </w:t>
      </w:r>
      <w:r w:rsidR="001C7B25">
        <w:rPr>
          <w:rFonts w:ascii="Calibri" w:eastAsia="Times New Roman" w:hAnsi="Calibri" w:cs="Calibri"/>
          <w:color w:val="172B4D"/>
          <w:kern w:val="0"/>
          <w:sz w:val="24"/>
          <w:szCs w:val="24"/>
          <w:shd w:val="clear" w:color="auto" w:fill="FFFFFF"/>
          <w:lang w:eastAsia="en-GB"/>
          <w14:ligatures w14:val="none"/>
        </w:rPr>
        <w:t xml:space="preserve">Wales and </w:t>
      </w:r>
      <w:r w:rsidR="001C7B25" w:rsidRPr="004549C0">
        <w:rPr>
          <w:rFonts w:ascii="Calibri" w:eastAsia="Times New Roman" w:hAnsi="Calibri" w:cs="Calibri"/>
          <w:color w:val="172B4D"/>
          <w:kern w:val="0"/>
          <w:sz w:val="24"/>
          <w:szCs w:val="24"/>
          <w:shd w:val="clear" w:color="auto" w:fill="FFFFFF"/>
          <w:lang w:eastAsia="en-GB"/>
          <w14:ligatures w14:val="none"/>
        </w:rPr>
        <w:t xml:space="preserve">United Kingdom </w:t>
      </w:r>
      <w:r w:rsidR="001C7B25">
        <w:rPr>
          <w:rFonts w:ascii="Calibri" w:eastAsia="Times New Roman" w:hAnsi="Calibri" w:cs="Calibri"/>
          <w:color w:val="172B4D"/>
          <w:kern w:val="0"/>
          <w:sz w:val="24"/>
          <w:szCs w:val="24"/>
          <w:shd w:val="clear" w:color="auto" w:fill="FFFFFF"/>
          <w:lang w:eastAsia="en-GB"/>
          <w14:ligatures w14:val="none"/>
        </w:rPr>
        <w:t xml:space="preserve">(UK) </w:t>
      </w:r>
      <w:r w:rsidRPr="004549C0">
        <w:rPr>
          <w:rFonts w:ascii="Calibri" w:eastAsia="Times New Roman" w:hAnsi="Calibri" w:cs="Calibri"/>
          <w:color w:val="172B4D"/>
          <w:kern w:val="0"/>
          <w:sz w:val="24"/>
          <w:szCs w:val="24"/>
          <w:shd w:val="clear" w:color="auto" w:fill="FFFFFF"/>
          <w:lang w:eastAsia="en-GB"/>
          <w14:ligatures w14:val="none"/>
        </w:rPr>
        <w:t xml:space="preserve">with suboptimal vaccination coverage and fragile health systems. This report </w:t>
      </w:r>
      <w:r w:rsidR="00D14D0A" w:rsidRPr="004549C0">
        <w:rPr>
          <w:rFonts w:ascii="Calibri" w:eastAsia="Times New Roman" w:hAnsi="Calibri" w:cs="Calibri"/>
          <w:color w:val="172B4D"/>
          <w:kern w:val="0"/>
          <w:sz w:val="24"/>
          <w:szCs w:val="24"/>
          <w:shd w:val="clear" w:color="auto" w:fill="FFFFFF"/>
          <w:lang w:eastAsia="en-GB"/>
          <w14:ligatures w14:val="none"/>
        </w:rPr>
        <w:t>examines</w:t>
      </w:r>
      <w:r w:rsidRPr="004549C0">
        <w:rPr>
          <w:rFonts w:ascii="Calibri" w:eastAsia="Times New Roman" w:hAnsi="Calibri" w:cs="Calibri"/>
          <w:color w:val="172B4D"/>
          <w:kern w:val="0"/>
          <w:sz w:val="24"/>
          <w:szCs w:val="24"/>
          <w:shd w:val="clear" w:color="auto" w:fill="FFFFFF"/>
          <w:lang w:eastAsia="en-GB"/>
          <w14:ligatures w14:val="none"/>
        </w:rPr>
        <w:t xml:space="preserve"> into the epidemiology, impact and control strategies of measles, focusing on its occurrence within Wales, </w:t>
      </w:r>
      <w:r w:rsidR="008B40D7">
        <w:rPr>
          <w:rFonts w:ascii="Calibri" w:eastAsia="Times New Roman" w:hAnsi="Calibri" w:cs="Calibri"/>
          <w:color w:val="172B4D"/>
          <w:kern w:val="0"/>
          <w:sz w:val="24"/>
          <w:szCs w:val="24"/>
          <w:shd w:val="clear" w:color="auto" w:fill="FFFFFF"/>
          <w:lang w:eastAsia="en-GB"/>
          <w14:ligatures w14:val="none"/>
        </w:rPr>
        <w:t xml:space="preserve">the </w:t>
      </w:r>
      <w:r w:rsidR="001C7B25">
        <w:rPr>
          <w:rFonts w:ascii="Calibri" w:eastAsia="Times New Roman" w:hAnsi="Calibri" w:cs="Calibri"/>
          <w:color w:val="172B4D"/>
          <w:kern w:val="0"/>
          <w:sz w:val="24"/>
          <w:szCs w:val="24"/>
          <w:shd w:val="clear" w:color="auto" w:fill="FFFFFF"/>
          <w:lang w:eastAsia="en-GB"/>
          <w14:ligatures w14:val="none"/>
        </w:rPr>
        <w:t xml:space="preserve">UK </w:t>
      </w:r>
      <w:r w:rsidRPr="004549C0">
        <w:rPr>
          <w:rFonts w:ascii="Calibri" w:eastAsia="Times New Roman" w:hAnsi="Calibri" w:cs="Calibri"/>
          <w:color w:val="172B4D"/>
          <w:kern w:val="0"/>
          <w:sz w:val="24"/>
          <w:szCs w:val="24"/>
          <w:shd w:val="clear" w:color="auto" w:fill="FFFFFF"/>
          <w:lang w:eastAsia="en-GB"/>
          <w14:ligatures w14:val="none"/>
        </w:rPr>
        <w:t xml:space="preserve">and its broader implications on a global scale. </w:t>
      </w:r>
    </w:p>
    <w:p w14:paraId="15B978B3" w14:textId="77777777" w:rsidR="00EE6228" w:rsidRDefault="00EE6228" w:rsidP="00106723">
      <w:pPr>
        <w:spacing w:after="0" w:line="360" w:lineRule="auto"/>
        <w:rPr>
          <w:rFonts w:ascii="Calibri" w:eastAsia="Times New Roman" w:hAnsi="Calibri" w:cs="Calibri"/>
          <w:color w:val="172B4D"/>
          <w:kern w:val="0"/>
          <w:sz w:val="24"/>
          <w:szCs w:val="24"/>
          <w:shd w:val="clear" w:color="auto" w:fill="FFFFFF"/>
          <w:lang w:eastAsia="en-GB"/>
          <w14:ligatures w14:val="none"/>
        </w:rPr>
      </w:pPr>
    </w:p>
    <w:p w14:paraId="355BBDB4" w14:textId="6A836E30" w:rsidR="004549C0" w:rsidRPr="004549C0" w:rsidRDefault="004549C0" w:rsidP="00106723">
      <w:pPr>
        <w:spacing w:after="0" w:line="360" w:lineRule="auto"/>
        <w:rPr>
          <w:rFonts w:ascii="Calibri" w:eastAsia="Times New Roman" w:hAnsi="Calibri" w:cs="Calibri"/>
          <w:kern w:val="0"/>
          <w:sz w:val="24"/>
          <w:szCs w:val="24"/>
          <w:lang w:eastAsia="en-GB"/>
          <w14:ligatures w14:val="none"/>
        </w:rPr>
      </w:pPr>
      <w:r w:rsidRPr="004549C0">
        <w:rPr>
          <w:rFonts w:ascii="Calibri" w:eastAsia="Times New Roman" w:hAnsi="Calibri" w:cs="Calibri"/>
          <w:color w:val="172B4D"/>
          <w:kern w:val="0"/>
          <w:sz w:val="24"/>
          <w:szCs w:val="24"/>
          <w:shd w:val="clear" w:color="auto" w:fill="FFFFFF"/>
          <w:lang w:eastAsia="en-GB"/>
          <w14:ligatures w14:val="none"/>
        </w:rPr>
        <w:t xml:space="preserve">Within Wales, recent outbreaks have underscored the importance of </w:t>
      </w:r>
      <w:r w:rsidRPr="004549C0">
        <w:rPr>
          <w:rFonts w:ascii="Calibri" w:eastAsia="Times New Roman" w:hAnsi="Calibri" w:cs="Calibri"/>
          <w:kern w:val="0"/>
          <w:sz w:val="24"/>
          <w:szCs w:val="24"/>
          <w:shd w:val="clear" w:color="auto" w:fill="FFFFFF"/>
          <w:lang w:eastAsia="en-GB"/>
          <w14:ligatures w14:val="none"/>
        </w:rPr>
        <w:t>robust surveillance and vaccination programs to prevent resurgence and limit the spread of the virus</w:t>
      </w:r>
      <w:r w:rsidR="0017380B">
        <w:rPr>
          <w:rFonts w:ascii="Calibri" w:eastAsia="Times New Roman" w:hAnsi="Calibri" w:cs="Calibri"/>
          <w:kern w:val="0"/>
          <w:sz w:val="24"/>
          <w:szCs w:val="24"/>
          <w:shd w:val="clear" w:color="auto" w:fill="FFFFFF"/>
          <w:lang w:eastAsia="en-GB"/>
          <w14:ligatures w14:val="none"/>
        </w:rPr>
        <w:t xml:space="preserve"> </w:t>
      </w:r>
      <w:r w:rsidR="0017380B" w:rsidRPr="0017380B">
        <w:rPr>
          <w:rFonts w:ascii="Calibri" w:eastAsia="Times New Roman" w:hAnsi="Calibri" w:cs="Calibri"/>
          <w:kern w:val="0"/>
          <w:sz w:val="24"/>
          <w:szCs w:val="24"/>
          <w:shd w:val="clear" w:color="auto" w:fill="FFFFFF"/>
          <w:lang w:eastAsia="en-GB"/>
          <w14:ligatures w14:val="none"/>
        </w:rPr>
        <w:t>(Thompson et al., 2023)</w:t>
      </w:r>
      <w:r w:rsidRPr="004549C0">
        <w:rPr>
          <w:rFonts w:ascii="Calibri" w:eastAsia="Times New Roman" w:hAnsi="Calibri" w:cs="Calibri"/>
          <w:kern w:val="0"/>
          <w:sz w:val="24"/>
          <w:szCs w:val="24"/>
          <w:shd w:val="clear" w:color="auto" w:fill="FFFFFF"/>
          <w:lang w:eastAsia="en-GB"/>
          <w14:ligatures w14:val="none"/>
        </w:rPr>
        <w:t>. Globally, measles remains a significant public health concern, with outbreaks occurring in both developed and developing countries, often fuelled by factors such as vaccine hesitancy, population movement and gaps in immuni</w:t>
      </w:r>
      <w:r>
        <w:rPr>
          <w:rFonts w:ascii="Calibri" w:eastAsia="Times New Roman" w:hAnsi="Calibri" w:cs="Calibri"/>
          <w:kern w:val="0"/>
          <w:sz w:val="24"/>
          <w:szCs w:val="24"/>
          <w:shd w:val="clear" w:color="auto" w:fill="FFFFFF"/>
          <w:lang w:eastAsia="en-GB"/>
          <w14:ligatures w14:val="none"/>
        </w:rPr>
        <w:t>s</w:t>
      </w:r>
      <w:r w:rsidRPr="004549C0">
        <w:rPr>
          <w:rFonts w:ascii="Calibri" w:eastAsia="Times New Roman" w:hAnsi="Calibri" w:cs="Calibri"/>
          <w:kern w:val="0"/>
          <w:sz w:val="24"/>
          <w:szCs w:val="24"/>
          <w:shd w:val="clear" w:color="auto" w:fill="FFFFFF"/>
          <w:lang w:eastAsia="en-GB"/>
          <w14:ligatures w14:val="none"/>
        </w:rPr>
        <w:t xml:space="preserve">ation coverage. This report aims to provide a comprehensive understanding of the disease's burden and the strategies required to mitigate its impact on public health </w:t>
      </w:r>
      <w:r w:rsidR="008B40D7">
        <w:rPr>
          <w:rFonts w:ascii="Calibri" w:eastAsia="Times New Roman" w:hAnsi="Calibri" w:cs="Calibri"/>
          <w:kern w:val="0"/>
          <w:sz w:val="24"/>
          <w:szCs w:val="24"/>
          <w:shd w:val="clear" w:color="auto" w:fill="FFFFFF"/>
          <w:lang w:eastAsia="en-GB"/>
          <w14:ligatures w14:val="none"/>
        </w:rPr>
        <w:t>in Wales, the UK</w:t>
      </w:r>
      <w:r w:rsidRPr="004549C0">
        <w:rPr>
          <w:rFonts w:ascii="Calibri" w:eastAsia="Times New Roman" w:hAnsi="Calibri" w:cs="Calibri"/>
          <w:kern w:val="0"/>
          <w:sz w:val="24"/>
          <w:szCs w:val="24"/>
          <w:shd w:val="clear" w:color="auto" w:fill="FFFFFF"/>
          <w:lang w:eastAsia="en-GB"/>
          <w14:ligatures w14:val="none"/>
        </w:rPr>
        <w:t xml:space="preserve"> and globally.</w:t>
      </w:r>
    </w:p>
    <w:p w14:paraId="02226F9F" w14:textId="77777777" w:rsidR="004549C0" w:rsidRPr="004549C0" w:rsidRDefault="004549C0"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p>
    <w:p w14:paraId="5D968A01" w14:textId="4F2704DF" w:rsidR="00EE6228" w:rsidRDefault="004549C0"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 xml:space="preserve">Communicable diseases, also referred to as infectious diseases, encompass a broad spectrum of illnesses caused by pathogenic microorganisms, including bacteria, viruses, parasites and fungi. These diseases </w:t>
      </w:r>
      <w:r w:rsidR="00EE6228" w:rsidRPr="004549C0">
        <w:rPr>
          <w:rFonts w:ascii="Calibri" w:eastAsia="Times New Roman" w:hAnsi="Calibri" w:cs="Calibri"/>
          <w:color w:val="212121"/>
          <w:kern w:val="0"/>
          <w:sz w:val="24"/>
          <w:szCs w:val="24"/>
          <w:shd w:val="clear" w:color="auto" w:fill="FFFFFF"/>
          <w:lang w:eastAsia="en-GB"/>
          <w14:ligatures w14:val="none"/>
        </w:rPr>
        <w:t>can</w:t>
      </w:r>
      <w:r w:rsidRPr="004549C0">
        <w:rPr>
          <w:rFonts w:ascii="Calibri" w:eastAsia="Times New Roman" w:hAnsi="Calibri" w:cs="Calibri"/>
          <w:color w:val="212121"/>
          <w:kern w:val="0"/>
          <w:sz w:val="24"/>
          <w:szCs w:val="24"/>
          <w:shd w:val="clear" w:color="auto" w:fill="FFFFFF"/>
          <w:lang w:eastAsia="en-GB"/>
          <w14:ligatures w14:val="none"/>
        </w:rPr>
        <w:t xml:space="preserve"> spread from one person to another or from animals to humans, posing significant public health challenges in Wales, UK and globally</w:t>
      </w:r>
      <w:r w:rsidR="007535BD">
        <w:rPr>
          <w:rFonts w:ascii="Calibri" w:eastAsia="Times New Roman" w:hAnsi="Calibri" w:cs="Calibri"/>
          <w:color w:val="212121"/>
          <w:kern w:val="0"/>
          <w:sz w:val="24"/>
          <w:szCs w:val="24"/>
          <w:shd w:val="clear" w:color="auto" w:fill="FFFFFF"/>
          <w:lang w:eastAsia="en-GB"/>
          <w14:ligatures w14:val="none"/>
        </w:rPr>
        <w:t xml:space="preserve"> </w:t>
      </w:r>
      <w:r w:rsidR="007535BD" w:rsidRPr="007535BD">
        <w:rPr>
          <w:rFonts w:ascii="Calibri" w:eastAsia="Times New Roman" w:hAnsi="Calibri" w:cs="Calibri"/>
          <w:color w:val="212121"/>
          <w:kern w:val="0"/>
          <w:sz w:val="24"/>
          <w:szCs w:val="24"/>
          <w:shd w:val="clear" w:color="auto" w:fill="FFFFFF"/>
          <w:lang w:eastAsia="en-GB"/>
          <w14:ligatures w14:val="none"/>
        </w:rPr>
        <w:t>(Antabe and Ziegler, 2020)</w:t>
      </w:r>
      <w:r w:rsidRPr="004549C0">
        <w:rPr>
          <w:rFonts w:ascii="Calibri" w:eastAsia="Times New Roman" w:hAnsi="Calibri" w:cs="Calibri"/>
          <w:color w:val="212121"/>
          <w:kern w:val="0"/>
          <w:sz w:val="24"/>
          <w:szCs w:val="24"/>
          <w:shd w:val="clear" w:color="auto" w:fill="FFFFFF"/>
          <w:lang w:eastAsia="en-GB"/>
          <w14:ligatures w14:val="none"/>
        </w:rPr>
        <w:t>.</w:t>
      </w:r>
      <w:r w:rsidR="00EE6228">
        <w:rPr>
          <w:rFonts w:ascii="Calibri" w:eastAsia="Times New Roman" w:hAnsi="Calibri" w:cs="Calibri"/>
          <w:color w:val="212121"/>
          <w:kern w:val="0"/>
          <w:sz w:val="24"/>
          <w:szCs w:val="24"/>
          <w:shd w:val="clear" w:color="auto" w:fill="FFFFFF"/>
          <w:lang w:eastAsia="en-GB"/>
          <w14:ligatures w14:val="none"/>
        </w:rPr>
        <w:t xml:space="preserve"> </w:t>
      </w:r>
    </w:p>
    <w:p w14:paraId="73A54241" w14:textId="77777777" w:rsidR="00EE6228" w:rsidRDefault="00EE6228"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p>
    <w:p w14:paraId="5FAF9665" w14:textId="77777777" w:rsidR="00EE6228" w:rsidRDefault="00EE6228">
      <w:pPr>
        <w:rPr>
          <w:rFonts w:ascii="Calibri" w:eastAsia="Times New Roman" w:hAnsi="Calibri" w:cs="Calibri"/>
          <w:color w:val="212121"/>
          <w:kern w:val="0"/>
          <w:sz w:val="24"/>
          <w:szCs w:val="24"/>
          <w:shd w:val="clear" w:color="auto" w:fill="FFFFFF"/>
          <w:lang w:eastAsia="en-GB"/>
          <w14:ligatures w14:val="none"/>
        </w:rPr>
      </w:pPr>
      <w:r>
        <w:rPr>
          <w:rFonts w:ascii="Calibri" w:eastAsia="Times New Roman" w:hAnsi="Calibri" w:cs="Calibri"/>
          <w:color w:val="212121"/>
          <w:kern w:val="0"/>
          <w:sz w:val="24"/>
          <w:szCs w:val="24"/>
          <w:shd w:val="clear" w:color="auto" w:fill="FFFFFF"/>
          <w:lang w:eastAsia="en-GB"/>
          <w14:ligatures w14:val="none"/>
        </w:rPr>
        <w:br w:type="page"/>
      </w:r>
    </w:p>
    <w:p w14:paraId="4A00918D" w14:textId="42A0F7C3" w:rsidR="00EE6228" w:rsidRPr="00EE6228" w:rsidRDefault="00EE6228" w:rsidP="00EE6228">
      <w:pPr>
        <w:pStyle w:val="Heading1"/>
        <w:spacing w:line="360" w:lineRule="auto"/>
        <w:rPr>
          <w:rFonts w:ascii="Calibri Light" w:eastAsia="Times New Roman" w:hAnsi="Calibri Light" w:cs="Calibri Light"/>
          <w:b/>
          <w:bCs/>
          <w:color w:val="auto"/>
          <w:sz w:val="32"/>
          <w:szCs w:val="32"/>
          <w:shd w:val="clear" w:color="auto" w:fill="FFFFFF"/>
          <w:lang w:eastAsia="en-GB"/>
        </w:rPr>
      </w:pPr>
      <w:bookmarkStart w:id="2" w:name="_Toc164586701"/>
      <w:r>
        <w:rPr>
          <w:rFonts w:ascii="Calibri Light" w:eastAsia="Times New Roman" w:hAnsi="Calibri Light" w:cs="Calibri Light"/>
          <w:b/>
          <w:bCs/>
          <w:color w:val="auto"/>
          <w:sz w:val="32"/>
          <w:szCs w:val="32"/>
          <w:shd w:val="clear" w:color="auto" w:fill="FFFFFF"/>
          <w:lang w:eastAsia="en-GB"/>
        </w:rPr>
        <w:lastRenderedPageBreak/>
        <w:t>2.0 Main Body</w:t>
      </w:r>
      <w:bookmarkEnd w:id="2"/>
    </w:p>
    <w:p w14:paraId="6F555F68" w14:textId="35359950" w:rsidR="00EE6228" w:rsidRPr="00EE6228" w:rsidRDefault="00EE6228" w:rsidP="00A5414F">
      <w:pPr>
        <w:pStyle w:val="Heading2"/>
        <w:spacing w:line="360" w:lineRule="auto"/>
        <w:rPr>
          <w:rFonts w:ascii="Calibri Light" w:eastAsia="Times New Roman" w:hAnsi="Calibri Light" w:cs="Calibri Light"/>
          <w:b/>
          <w:bCs/>
          <w:color w:val="auto"/>
          <w:sz w:val="26"/>
          <w:szCs w:val="26"/>
          <w:shd w:val="clear" w:color="auto" w:fill="FFFFFF"/>
          <w:lang w:eastAsia="en-GB"/>
        </w:rPr>
      </w:pPr>
      <w:bookmarkStart w:id="3" w:name="_Toc164586702"/>
      <w:r w:rsidRPr="00EE6228">
        <w:rPr>
          <w:rFonts w:ascii="Calibri Light" w:eastAsia="Times New Roman" w:hAnsi="Calibri Light" w:cs="Calibri Light"/>
          <w:b/>
          <w:bCs/>
          <w:color w:val="auto"/>
          <w:sz w:val="26"/>
          <w:szCs w:val="26"/>
          <w:shd w:val="clear" w:color="auto" w:fill="FFFFFF"/>
          <w:lang w:eastAsia="en-GB"/>
        </w:rPr>
        <w:t>2.1 Communicable Disease: Measles</w:t>
      </w:r>
      <w:bookmarkEnd w:id="3"/>
    </w:p>
    <w:p w14:paraId="0654EF43" w14:textId="16EF6123" w:rsidR="004549C0" w:rsidRPr="004549C0" w:rsidRDefault="004549C0"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Measles, caused by the measles virus (MeV), is a prime example of a communicable disease with a notable impact on public health. It is highly contagious, primarily transmitted through respiratory droplets when an infected individual coughs or sneezes. Measles is characteri</w:t>
      </w:r>
      <w:r w:rsidR="008B40D7">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 xml:space="preserve">ed by fever, cough, coryza (runny nose), conjunctivitis (red, watery eyes) and a distinctive maculopapular rash. </w:t>
      </w:r>
      <w:r w:rsidR="008B40D7" w:rsidRPr="004549C0">
        <w:rPr>
          <w:rFonts w:ascii="Calibri" w:eastAsia="Times New Roman" w:hAnsi="Calibri" w:cs="Calibri"/>
          <w:color w:val="212121"/>
          <w:kern w:val="0"/>
          <w:sz w:val="24"/>
          <w:szCs w:val="24"/>
          <w:shd w:val="clear" w:color="auto" w:fill="FFFFFF"/>
          <w:lang w:eastAsia="en-GB"/>
          <w14:ligatures w14:val="none"/>
        </w:rPr>
        <w:t>Although measles is preventable through vaccination, outbreaks can occur, especially in areas with inadequate vaccination coverage (World Health Organization, 2023b).</w:t>
      </w:r>
      <w:r w:rsidR="008B40D7">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In Wales, measles remains a priority communicable disease despite vaccination efforts</w:t>
      </w:r>
      <w:r w:rsidR="007865F8" w:rsidRPr="007865F8">
        <w:t xml:space="preserve"> </w:t>
      </w:r>
      <w:r w:rsidR="007865F8" w:rsidRPr="007865F8">
        <w:rPr>
          <w:rFonts w:ascii="Calibri" w:eastAsia="Times New Roman" w:hAnsi="Calibri" w:cs="Calibri"/>
          <w:color w:val="212121"/>
          <w:kern w:val="0"/>
          <w:sz w:val="24"/>
          <w:szCs w:val="24"/>
          <w:shd w:val="clear" w:color="auto" w:fill="FFFFFF"/>
          <w:lang w:eastAsia="en-GB"/>
          <w14:ligatures w14:val="none"/>
        </w:rPr>
        <w:t>(Perry et al., 2023)</w:t>
      </w:r>
      <w:r w:rsidRPr="004549C0">
        <w:rPr>
          <w:rFonts w:ascii="Calibri" w:eastAsia="Times New Roman" w:hAnsi="Calibri" w:cs="Calibri"/>
          <w:color w:val="212121"/>
          <w:kern w:val="0"/>
          <w:sz w:val="24"/>
          <w:szCs w:val="24"/>
          <w:shd w:val="clear" w:color="auto" w:fill="FFFFFF"/>
          <w:lang w:eastAsia="en-GB"/>
          <w14:ligatures w14:val="none"/>
        </w:rPr>
        <w:t>. Periodic outbreaks highlight the importance of maintaining high vaccination rates to achieve herd immunity and prevent transmission within communities. Public health initiatives, including vaccination campaigns and surveillance systems, are critical for monitoring measles incidence, identifying outbreak clusters and implementing timely interventions to contain spread and protect vulnerable populations</w:t>
      </w:r>
      <w:r w:rsidR="002E2858" w:rsidRPr="002E2858">
        <w:t xml:space="preserve"> </w:t>
      </w:r>
      <w:r w:rsidR="002E2858" w:rsidRPr="002E2858">
        <w:rPr>
          <w:rFonts w:ascii="Calibri" w:eastAsia="Times New Roman" w:hAnsi="Calibri" w:cs="Calibri"/>
          <w:color w:val="212121"/>
          <w:kern w:val="0"/>
          <w:sz w:val="24"/>
          <w:szCs w:val="24"/>
          <w:shd w:val="clear" w:color="auto" w:fill="FFFFFF"/>
          <w:lang w:eastAsia="en-GB"/>
          <w14:ligatures w14:val="none"/>
        </w:rPr>
        <w:t>(Welsh Government, 2024)</w:t>
      </w:r>
      <w:r w:rsidRPr="004549C0">
        <w:rPr>
          <w:rFonts w:ascii="Calibri" w:eastAsia="Times New Roman" w:hAnsi="Calibri" w:cs="Calibri"/>
          <w:color w:val="212121"/>
          <w:kern w:val="0"/>
          <w:sz w:val="24"/>
          <w:szCs w:val="24"/>
          <w:shd w:val="clear" w:color="auto" w:fill="FFFFFF"/>
          <w:lang w:eastAsia="en-GB"/>
          <w14:ligatures w14:val="none"/>
        </w:rPr>
        <w:t>.</w:t>
      </w:r>
      <w:r w:rsidR="00EE6228">
        <w:rPr>
          <w:rFonts w:ascii="Calibri" w:eastAsia="Times New Roman" w:hAnsi="Calibri" w:cs="Calibri"/>
          <w:color w:val="212121"/>
          <w:kern w:val="0"/>
          <w:sz w:val="24"/>
          <w:szCs w:val="24"/>
          <w:shd w:val="clear" w:color="auto" w:fill="FFFFFF"/>
          <w:lang w:eastAsia="en-GB"/>
          <w14:ligatures w14:val="none"/>
        </w:rPr>
        <w:t xml:space="preserve"> </w:t>
      </w:r>
    </w:p>
    <w:p w14:paraId="036B8462" w14:textId="77777777" w:rsidR="004549C0" w:rsidRPr="004549C0" w:rsidRDefault="004549C0"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p>
    <w:p w14:paraId="75315605" w14:textId="0D99173C" w:rsidR="004549C0" w:rsidRPr="004549C0" w:rsidRDefault="004549C0"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 xml:space="preserve">Globally, measles continues to impact communities and strain healthcare systems, particularly in </w:t>
      </w:r>
      <w:r w:rsidR="00E07408">
        <w:rPr>
          <w:rFonts w:ascii="Calibri" w:eastAsia="Times New Roman" w:hAnsi="Calibri" w:cs="Calibri"/>
          <w:color w:val="212121"/>
          <w:kern w:val="0"/>
          <w:sz w:val="24"/>
          <w:szCs w:val="24"/>
          <w:shd w:val="clear" w:color="auto" w:fill="FFFFFF"/>
          <w:lang w:eastAsia="en-GB"/>
          <w14:ligatures w14:val="none"/>
        </w:rPr>
        <w:t>Wales and UK</w:t>
      </w:r>
      <w:r w:rsidRPr="004549C0">
        <w:rPr>
          <w:rFonts w:ascii="Calibri" w:eastAsia="Times New Roman" w:hAnsi="Calibri" w:cs="Calibri"/>
          <w:color w:val="212121"/>
          <w:kern w:val="0"/>
          <w:sz w:val="24"/>
          <w:szCs w:val="24"/>
          <w:shd w:val="clear" w:color="auto" w:fill="FFFFFF"/>
          <w:lang w:eastAsia="en-GB"/>
          <w14:ligatures w14:val="none"/>
        </w:rPr>
        <w:t xml:space="preserve"> with limited access to vaccination programs and healthcare services. The World Health Organization (WHO) and other international health organi</w:t>
      </w:r>
      <w:r w:rsidR="002E2858">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ations work to support countries in measles surveillance, vaccination efforts and outbreak response activities, promoting global health equity and security</w:t>
      </w:r>
      <w:r w:rsidR="00A5414F">
        <w:rPr>
          <w:rFonts w:ascii="Calibri" w:eastAsia="Times New Roman" w:hAnsi="Calibri" w:cs="Calibri"/>
          <w:color w:val="212121"/>
          <w:kern w:val="0"/>
          <w:sz w:val="24"/>
          <w:szCs w:val="24"/>
          <w:shd w:val="clear" w:color="auto" w:fill="FFFFFF"/>
          <w:lang w:eastAsia="en-GB"/>
          <w14:ligatures w14:val="none"/>
        </w:rPr>
        <w:t xml:space="preserve"> (World Health Organization, 2023a)</w:t>
      </w:r>
      <w:r w:rsidRPr="004549C0">
        <w:rPr>
          <w:rFonts w:ascii="Calibri" w:eastAsia="Times New Roman" w:hAnsi="Calibri" w:cs="Calibri"/>
          <w:color w:val="212121"/>
          <w:kern w:val="0"/>
          <w:sz w:val="24"/>
          <w:szCs w:val="24"/>
          <w:shd w:val="clear" w:color="auto" w:fill="FFFFFF"/>
          <w:lang w:eastAsia="en-GB"/>
          <w14:ligatures w14:val="none"/>
        </w:rPr>
        <w:t>.</w:t>
      </w:r>
      <w:r w:rsidR="002C25B8">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Effective prevention and control strategies for measles include routine immuni</w:t>
      </w:r>
      <w:r w:rsidR="00A5414F">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 targeted vaccination campaigns, surveillance, outbreak response measures and health education initiatives</w:t>
      </w:r>
      <w:r w:rsidR="002D4076" w:rsidRPr="002D4076">
        <w:t xml:space="preserve"> </w:t>
      </w:r>
      <w:r w:rsidR="002D4076">
        <w:t>(</w:t>
      </w:r>
      <w:r w:rsidR="002D4076" w:rsidRPr="002D4076">
        <w:rPr>
          <w:rFonts w:ascii="Calibri" w:eastAsia="Times New Roman" w:hAnsi="Calibri" w:cs="Calibri"/>
          <w:color w:val="212121"/>
          <w:kern w:val="0"/>
          <w:sz w:val="24"/>
          <w:szCs w:val="24"/>
          <w:shd w:val="clear" w:color="auto" w:fill="FFFFFF"/>
          <w:lang w:eastAsia="en-GB"/>
          <w14:ligatures w14:val="none"/>
        </w:rPr>
        <w:t>UKHSA</w:t>
      </w:r>
      <w:r w:rsidR="002D4076">
        <w:rPr>
          <w:rFonts w:ascii="Calibri" w:eastAsia="Times New Roman" w:hAnsi="Calibri" w:cs="Calibri"/>
          <w:color w:val="212121"/>
          <w:kern w:val="0"/>
          <w:sz w:val="24"/>
          <w:szCs w:val="24"/>
          <w:shd w:val="clear" w:color="auto" w:fill="FFFFFF"/>
          <w:lang w:eastAsia="en-GB"/>
          <w14:ligatures w14:val="none"/>
        </w:rPr>
        <w:t xml:space="preserve">, </w:t>
      </w:r>
      <w:r w:rsidR="002D4076" w:rsidRPr="002D4076">
        <w:rPr>
          <w:rFonts w:ascii="Calibri" w:eastAsia="Times New Roman" w:hAnsi="Calibri" w:cs="Calibri"/>
          <w:color w:val="212121"/>
          <w:kern w:val="0"/>
          <w:sz w:val="24"/>
          <w:szCs w:val="24"/>
          <w:shd w:val="clear" w:color="auto" w:fill="FFFFFF"/>
          <w:lang w:eastAsia="en-GB"/>
          <w14:ligatures w14:val="none"/>
        </w:rPr>
        <w:t>2024).</w:t>
      </w:r>
      <w:r w:rsidRPr="004549C0">
        <w:rPr>
          <w:rFonts w:ascii="Calibri" w:eastAsia="Times New Roman" w:hAnsi="Calibri" w:cs="Calibri"/>
          <w:color w:val="212121"/>
          <w:kern w:val="0"/>
          <w:sz w:val="24"/>
          <w:szCs w:val="24"/>
          <w:shd w:val="clear" w:color="auto" w:fill="FFFFFF"/>
          <w:lang w:eastAsia="en-GB"/>
          <w14:ligatures w14:val="none"/>
        </w:rPr>
        <w:t xml:space="preserve"> By addressing the specific challenges and contexts of measles transmission and control, policymakers, healthcare professionals and public health practitioners can work collaboratively to achieve measles elimination goals and promote health equity and resilience at the local and global levels.</w:t>
      </w:r>
    </w:p>
    <w:p w14:paraId="00BDF914" w14:textId="77777777" w:rsidR="004549C0" w:rsidRPr="004549C0" w:rsidRDefault="004549C0"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p>
    <w:p w14:paraId="1309201A" w14:textId="77777777" w:rsidR="004549C0" w:rsidRPr="004549C0" w:rsidRDefault="004549C0" w:rsidP="004549C0">
      <w:pPr>
        <w:spacing w:after="0" w:line="360" w:lineRule="auto"/>
        <w:rPr>
          <w:rFonts w:ascii="Calibri" w:eastAsia="Times New Roman" w:hAnsi="Calibri" w:cs="Calibri"/>
          <w:color w:val="212121"/>
          <w:kern w:val="0"/>
          <w:sz w:val="24"/>
          <w:szCs w:val="24"/>
          <w:shd w:val="clear" w:color="auto" w:fill="FFFFFF"/>
          <w:lang w:eastAsia="en-GB"/>
          <w14:ligatures w14:val="none"/>
        </w:rPr>
      </w:pPr>
    </w:p>
    <w:p w14:paraId="602142E3"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770FE1B4" w14:textId="3D45E875" w:rsidR="004549C0" w:rsidRPr="002C25B8" w:rsidRDefault="002C25B8" w:rsidP="002C25B8">
      <w:pPr>
        <w:pStyle w:val="Heading2"/>
        <w:spacing w:line="360" w:lineRule="auto"/>
        <w:rPr>
          <w:rFonts w:ascii="Calibri Light" w:eastAsia="Times New Roman" w:hAnsi="Calibri Light" w:cs="Calibri Light"/>
          <w:b/>
          <w:bCs/>
          <w:color w:val="auto"/>
          <w:sz w:val="26"/>
          <w:szCs w:val="26"/>
          <w:shd w:val="clear" w:color="auto" w:fill="FFFFFF"/>
          <w:lang w:eastAsia="en-GB"/>
        </w:rPr>
      </w:pPr>
      <w:bookmarkStart w:id="4" w:name="_Toc164586703"/>
      <w:r>
        <w:rPr>
          <w:rFonts w:ascii="Calibri Light" w:eastAsia="Times New Roman" w:hAnsi="Calibri Light" w:cs="Calibri Light"/>
          <w:b/>
          <w:bCs/>
          <w:color w:val="auto"/>
          <w:sz w:val="26"/>
          <w:szCs w:val="26"/>
          <w:shd w:val="clear" w:color="auto" w:fill="FFFFFF"/>
          <w:lang w:eastAsia="en-GB"/>
        </w:rPr>
        <w:lastRenderedPageBreak/>
        <w:t xml:space="preserve">2.2 </w:t>
      </w:r>
      <w:r w:rsidR="004549C0" w:rsidRPr="002C25B8">
        <w:rPr>
          <w:rFonts w:ascii="Calibri Light" w:eastAsia="Times New Roman" w:hAnsi="Calibri Light" w:cs="Calibri Light"/>
          <w:b/>
          <w:bCs/>
          <w:color w:val="auto"/>
          <w:sz w:val="26"/>
          <w:szCs w:val="26"/>
          <w:shd w:val="clear" w:color="auto" w:fill="FFFFFF"/>
          <w:lang w:eastAsia="en-GB"/>
        </w:rPr>
        <w:t>Trends in Communicable Disease</w:t>
      </w:r>
      <w:bookmarkEnd w:id="4"/>
    </w:p>
    <w:p w14:paraId="7BAF517A" w14:textId="43CE0C35"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Measles, a highly contagious viral infection caused by the measles virus (MeV), has exhibited distinct trends in incidence and prevalence over time, both within Wales, UK</w:t>
      </w:r>
      <w:r w:rsidR="002C25B8">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and on a global scale. An examination of these trends provides valuable insights into the epidemiology of measles and informs public health strategies for disease prevention and control</w:t>
      </w:r>
      <w:r w:rsidR="002C25B8" w:rsidRPr="002C25B8">
        <w:t xml:space="preserve"> </w:t>
      </w:r>
      <w:r w:rsidR="002C25B8" w:rsidRPr="002C25B8">
        <w:rPr>
          <w:rFonts w:ascii="Calibri" w:eastAsia="Times New Roman" w:hAnsi="Calibri" w:cs="Calibri"/>
          <w:color w:val="212121"/>
          <w:kern w:val="0"/>
          <w:sz w:val="24"/>
          <w:szCs w:val="24"/>
          <w:shd w:val="clear" w:color="auto" w:fill="FFFFFF"/>
          <w:lang w:eastAsia="en-GB"/>
          <w14:ligatures w14:val="none"/>
        </w:rPr>
        <w:t>(Wang et al., 2022)</w:t>
      </w:r>
      <w:r w:rsidRPr="004549C0">
        <w:rPr>
          <w:rFonts w:ascii="Calibri" w:eastAsia="Times New Roman" w:hAnsi="Calibri" w:cs="Calibri"/>
          <w:color w:val="212121"/>
          <w:kern w:val="0"/>
          <w:sz w:val="24"/>
          <w:szCs w:val="24"/>
          <w:shd w:val="clear" w:color="auto" w:fill="FFFFFF"/>
          <w:lang w:eastAsia="en-GB"/>
          <w14:ligatures w14:val="none"/>
        </w:rPr>
        <w:t>.</w:t>
      </w:r>
    </w:p>
    <w:p w14:paraId="0FD5AB43"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1317D939" w14:textId="5A0435B1" w:rsidR="004549C0" w:rsidRPr="002C25B8" w:rsidRDefault="002C25B8" w:rsidP="002C25B8">
      <w:pPr>
        <w:pStyle w:val="Heading3"/>
        <w:spacing w:before="0" w:line="360" w:lineRule="auto"/>
        <w:rPr>
          <w:rFonts w:ascii="Calibri Light" w:eastAsia="Times New Roman" w:hAnsi="Calibri Light" w:cs="Calibri Light"/>
          <w:b/>
          <w:bCs/>
          <w:color w:val="auto"/>
          <w:sz w:val="24"/>
          <w:szCs w:val="24"/>
          <w:shd w:val="clear" w:color="auto" w:fill="FFFFFF"/>
          <w:lang w:eastAsia="en-GB"/>
        </w:rPr>
      </w:pPr>
      <w:bookmarkStart w:id="5" w:name="_Toc164586704"/>
      <w:r>
        <w:rPr>
          <w:rFonts w:ascii="Calibri Light" w:eastAsia="Times New Roman" w:hAnsi="Calibri Light" w:cs="Calibri Light"/>
          <w:b/>
          <w:bCs/>
          <w:color w:val="auto"/>
          <w:sz w:val="24"/>
          <w:szCs w:val="24"/>
          <w:shd w:val="clear" w:color="auto" w:fill="FFFFFF"/>
          <w:lang w:eastAsia="en-GB"/>
        </w:rPr>
        <w:t xml:space="preserve">2.2.1 </w:t>
      </w:r>
      <w:r w:rsidR="004549C0" w:rsidRPr="002C25B8">
        <w:rPr>
          <w:rFonts w:ascii="Calibri Light" w:eastAsia="Times New Roman" w:hAnsi="Calibri Light" w:cs="Calibri Light"/>
          <w:b/>
          <w:bCs/>
          <w:color w:val="auto"/>
          <w:sz w:val="24"/>
          <w:szCs w:val="24"/>
          <w:shd w:val="clear" w:color="auto" w:fill="FFFFFF"/>
          <w:lang w:eastAsia="en-GB"/>
        </w:rPr>
        <w:t>Incidence Trends</w:t>
      </w:r>
      <w:bookmarkEnd w:id="5"/>
    </w:p>
    <w:p w14:paraId="2D1F4A9E" w14:textId="70542559"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Historically, Wales, UK and many other regions globally experienced endemic transmission of measles, resulting in periodic outbreaks and significant morbidity and mortality, particularly among unvaccinated populations. However, the implementation of routine childhood vaccination programs, such as the measles, mumps and rubella (MMR) vaccine, has led to a substantial decline in measles incidence in vaccinated populations</w:t>
      </w:r>
      <w:r w:rsidR="002C25B8">
        <w:rPr>
          <w:rFonts w:ascii="Calibri" w:eastAsia="Times New Roman" w:hAnsi="Calibri" w:cs="Calibri"/>
          <w:color w:val="212121"/>
          <w:kern w:val="0"/>
          <w:sz w:val="24"/>
          <w:szCs w:val="24"/>
          <w:shd w:val="clear" w:color="auto" w:fill="FFFFFF"/>
          <w:lang w:eastAsia="en-GB"/>
          <w14:ligatures w14:val="none"/>
        </w:rPr>
        <w:t xml:space="preserve"> (World Health Organization, 2023a)</w:t>
      </w:r>
      <w:r w:rsidRPr="004549C0">
        <w:rPr>
          <w:rFonts w:ascii="Calibri" w:eastAsia="Times New Roman" w:hAnsi="Calibri" w:cs="Calibri"/>
          <w:color w:val="212121"/>
          <w:kern w:val="0"/>
          <w:sz w:val="24"/>
          <w:szCs w:val="24"/>
          <w:shd w:val="clear" w:color="auto" w:fill="FFFFFF"/>
          <w:lang w:eastAsia="en-GB"/>
          <w14:ligatures w14:val="none"/>
        </w:rPr>
        <w:t>.</w:t>
      </w:r>
      <w:r w:rsidR="0050433C">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Despite progress in vaccination coverage, recent years have seen a resurgence of measles outbreaks in various parts of the world, including Wales, UK. Factors contributing to these outbreaks include suboptimal vaccination rates, vaccine hesitancy, and gaps in immunity among certain age groups. Measles outbreaks often occur in clusters, highlighting the importance of targeted interventions to address pockets of susceptibility within communities</w:t>
      </w:r>
      <w:r w:rsidR="0050433C">
        <w:rPr>
          <w:rFonts w:ascii="Calibri" w:eastAsia="Times New Roman" w:hAnsi="Calibri" w:cs="Calibri"/>
          <w:color w:val="212121"/>
          <w:kern w:val="0"/>
          <w:sz w:val="24"/>
          <w:szCs w:val="24"/>
          <w:shd w:val="clear" w:color="auto" w:fill="FFFFFF"/>
          <w:lang w:eastAsia="en-GB"/>
          <w14:ligatures w14:val="none"/>
        </w:rPr>
        <w:t xml:space="preserve"> </w:t>
      </w:r>
      <w:r w:rsidR="0050433C" w:rsidRPr="0050433C">
        <w:rPr>
          <w:rFonts w:ascii="Calibri" w:eastAsia="Times New Roman" w:hAnsi="Calibri" w:cs="Calibri"/>
          <w:color w:val="212121"/>
          <w:kern w:val="0"/>
          <w:sz w:val="24"/>
          <w:szCs w:val="24"/>
          <w:shd w:val="clear" w:color="auto" w:fill="FFFFFF"/>
          <w:lang w:eastAsia="en-GB"/>
          <w14:ligatures w14:val="none"/>
        </w:rPr>
        <w:t>(Perry et al., 2023)</w:t>
      </w:r>
      <w:r w:rsidRPr="004549C0">
        <w:rPr>
          <w:rFonts w:ascii="Calibri" w:eastAsia="Times New Roman" w:hAnsi="Calibri" w:cs="Calibri"/>
          <w:color w:val="212121"/>
          <w:kern w:val="0"/>
          <w:sz w:val="24"/>
          <w:szCs w:val="24"/>
          <w:shd w:val="clear" w:color="auto" w:fill="FFFFFF"/>
          <w:lang w:eastAsia="en-GB"/>
          <w14:ligatures w14:val="none"/>
        </w:rPr>
        <w:t>.</w:t>
      </w:r>
    </w:p>
    <w:p w14:paraId="247E52FC"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1D42613F" w14:textId="5CC24063" w:rsidR="004549C0" w:rsidRPr="0050433C" w:rsidRDefault="0050433C" w:rsidP="0050433C">
      <w:pPr>
        <w:pStyle w:val="Heading3"/>
        <w:spacing w:line="360" w:lineRule="auto"/>
        <w:rPr>
          <w:rFonts w:ascii="Calibri Light" w:eastAsia="Times New Roman" w:hAnsi="Calibri Light" w:cs="Calibri Light"/>
          <w:b/>
          <w:bCs/>
          <w:color w:val="auto"/>
          <w:sz w:val="24"/>
          <w:szCs w:val="24"/>
          <w:shd w:val="clear" w:color="auto" w:fill="FFFFFF"/>
          <w:lang w:eastAsia="en-GB"/>
        </w:rPr>
      </w:pPr>
      <w:bookmarkStart w:id="6" w:name="_Toc164586705"/>
      <w:r>
        <w:rPr>
          <w:rFonts w:ascii="Calibri Light" w:eastAsia="Times New Roman" w:hAnsi="Calibri Light" w:cs="Calibri Light"/>
          <w:b/>
          <w:bCs/>
          <w:color w:val="auto"/>
          <w:sz w:val="24"/>
          <w:szCs w:val="24"/>
          <w:shd w:val="clear" w:color="auto" w:fill="FFFFFF"/>
          <w:lang w:eastAsia="en-GB"/>
        </w:rPr>
        <w:t xml:space="preserve">2.2.2 </w:t>
      </w:r>
      <w:r w:rsidR="004549C0" w:rsidRPr="0050433C">
        <w:rPr>
          <w:rFonts w:ascii="Calibri Light" w:eastAsia="Times New Roman" w:hAnsi="Calibri Light" w:cs="Calibri Light"/>
          <w:b/>
          <w:bCs/>
          <w:color w:val="auto"/>
          <w:sz w:val="24"/>
          <w:szCs w:val="24"/>
          <w:shd w:val="clear" w:color="auto" w:fill="FFFFFF"/>
          <w:lang w:eastAsia="en-GB"/>
        </w:rPr>
        <w:t>Prevalence Trends</w:t>
      </w:r>
      <w:bookmarkEnd w:id="6"/>
    </w:p>
    <w:p w14:paraId="017E8F45" w14:textId="1B4656DF" w:rsid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Prevalence of measles reflects the overall burden of the disease within populations and is influenced by factors such as vaccination coverage, population immunity and the occurrence of outbreaks. In Wales, UK, successful vaccination programs have led to a reduction in endemic transmission and a decline in measles prevalence among vaccinated individuals</w:t>
      </w:r>
      <w:r w:rsidR="00233BC1">
        <w:rPr>
          <w:rFonts w:ascii="Calibri" w:eastAsia="Times New Roman" w:hAnsi="Calibri" w:cs="Calibri"/>
          <w:color w:val="212121"/>
          <w:kern w:val="0"/>
          <w:sz w:val="24"/>
          <w:szCs w:val="24"/>
          <w:shd w:val="clear" w:color="auto" w:fill="FFFFFF"/>
          <w:lang w:eastAsia="en-GB"/>
          <w14:ligatures w14:val="none"/>
        </w:rPr>
        <w:t xml:space="preserve"> </w:t>
      </w:r>
      <w:r w:rsidR="00233BC1" w:rsidRPr="00233BC1">
        <w:rPr>
          <w:rFonts w:ascii="Calibri" w:eastAsia="Times New Roman" w:hAnsi="Calibri" w:cs="Calibri"/>
          <w:color w:val="212121"/>
          <w:kern w:val="0"/>
          <w:sz w:val="24"/>
          <w:szCs w:val="24"/>
          <w:shd w:val="clear" w:color="auto" w:fill="FFFFFF"/>
          <w:lang w:eastAsia="en-GB"/>
          <w14:ligatures w14:val="none"/>
        </w:rPr>
        <w:t>(Davis</w:t>
      </w:r>
      <w:r w:rsidR="00233BC1">
        <w:rPr>
          <w:rFonts w:ascii="Calibri" w:eastAsia="Times New Roman" w:hAnsi="Calibri" w:cs="Calibri"/>
          <w:color w:val="212121"/>
          <w:kern w:val="0"/>
          <w:sz w:val="24"/>
          <w:szCs w:val="24"/>
          <w:shd w:val="clear" w:color="auto" w:fill="FFFFFF"/>
          <w:lang w:eastAsia="en-GB"/>
          <w14:ligatures w14:val="none"/>
        </w:rPr>
        <w:t xml:space="preserve">, </w:t>
      </w:r>
      <w:r w:rsidR="00233BC1" w:rsidRPr="00233BC1">
        <w:rPr>
          <w:rFonts w:ascii="Calibri" w:eastAsia="Times New Roman" w:hAnsi="Calibri" w:cs="Calibri"/>
          <w:color w:val="212121"/>
          <w:kern w:val="0"/>
          <w:sz w:val="24"/>
          <w:szCs w:val="24"/>
          <w:shd w:val="clear" w:color="auto" w:fill="FFFFFF"/>
          <w:lang w:eastAsia="en-GB"/>
          <w14:ligatures w14:val="none"/>
        </w:rPr>
        <w:t>2024)</w:t>
      </w:r>
      <w:r w:rsidRPr="004549C0">
        <w:rPr>
          <w:rFonts w:ascii="Calibri" w:eastAsia="Times New Roman" w:hAnsi="Calibri" w:cs="Calibri"/>
          <w:color w:val="212121"/>
          <w:kern w:val="0"/>
          <w:sz w:val="24"/>
          <w:szCs w:val="24"/>
          <w:shd w:val="clear" w:color="auto" w:fill="FFFFFF"/>
          <w:lang w:eastAsia="en-GB"/>
          <w14:ligatures w14:val="none"/>
        </w:rPr>
        <w:t>.</w:t>
      </w:r>
      <w:r w:rsidR="000E4731">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 xml:space="preserve">Globally, measles prevalence varies widely across </w:t>
      </w:r>
      <w:r w:rsidR="00A81C4B">
        <w:rPr>
          <w:rFonts w:ascii="Calibri" w:eastAsia="Times New Roman" w:hAnsi="Calibri" w:cs="Calibri"/>
          <w:color w:val="212121"/>
          <w:kern w:val="0"/>
          <w:sz w:val="24"/>
          <w:szCs w:val="24"/>
          <w:shd w:val="clear" w:color="auto" w:fill="FFFFFF"/>
          <w:lang w:eastAsia="en-GB"/>
          <w14:ligatures w14:val="none"/>
        </w:rPr>
        <w:t>Wales and UK</w:t>
      </w:r>
      <w:r w:rsidRPr="004549C0">
        <w:rPr>
          <w:rFonts w:ascii="Calibri" w:eastAsia="Times New Roman" w:hAnsi="Calibri" w:cs="Calibri"/>
          <w:color w:val="212121"/>
          <w:kern w:val="0"/>
          <w:sz w:val="24"/>
          <w:szCs w:val="24"/>
          <w:shd w:val="clear" w:color="auto" w:fill="FFFFFF"/>
          <w:lang w:eastAsia="en-GB"/>
          <w14:ligatures w14:val="none"/>
        </w:rPr>
        <w:t xml:space="preserve">, </w:t>
      </w:r>
      <w:r w:rsidR="00A81C4B">
        <w:rPr>
          <w:rFonts w:ascii="Calibri" w:eastAsia="Calibri" w:hAnsi="Calibri" w:cs="Calibri"/>
          <w:color w:val="212121"/>
          <w:sz w:val="24"/>
          <w:szCs w:val="24"/>
          <w:highlight w:val="white"/>
        </w:rPr>
        <w:t xml:space="preserve">with technology-enhanced vaccination strategies and predictive modelling playing a crucial role in optimising vaccination coverage and healthcare resource allocation. Disparities in vaccination coverage and healthcare infrastructure contribute to the differential disease burden observed between regions. While some countries have achieved remarkable progress towards measles elimination or control through innovative interventions, others </w:t>
      </w:r>
      <w:r w:rsidR="00A81C4B">
        <w:rPr>
          <w:rFonts w:ascii="Calibri" w:eastAsia="Calibri" w:hAnsi="Calibri" w:cs="Calibri"/>
          <w:color w:val="212121"/>
          <w:sz w:val="24"/>
          <w:szCs w:val="24"/>
          <w:highlight w:val="white"/>
        </w:rPr>
        <w:lastRenderedPageBreak/>
        <w:t xml:space="preserve">continue to </w:t>
      </w:r>
      <w:r w:rsidR="00E07408">
        <w:rPr>
          <w:rFonts w:ascii="Calibri" w:eastAsia="Calibri" w:hAnsi="Calibri" w:cs="Calibri"/>
          <w:color w:val="212121"/>
          <w:sz w:val="24"/>
          <w:szCs w:val="24"/>
          <w:highlight w:val="white"/>
        </w:rPr>
        <w:t>struggle</w:t>
      </w:r>
      <w:r w:rsidR="00A81C4B">
        <w:rPr>
          <w:rFonts w:ascii="Calibri" w:eastAsia="Calibri" w:hAnsi="Calibri" w:cs="Calibri"/>
          <w:color w:val="212121"/>
          <w:sz w:val="24"/>
          <w:szCs w:val="24"/>
          <w:highlight w:val="white"/>
        </w:rPr>
        <w:t xml:space="preserve"> with endemic transmission and periodic outbreaks. Measles remains a formidable challenge, exacerbated by socio-economic disparities and limited access to healthcare services and vaccination programs in low- and middle-income countries (Gastañaduy et al., 2021). Advanced surveillance and early warning systems offer promising avenues for detecting and responding to measles outbreaks swiftly, potentially reducing morbidity and mortality rates worldwide.</w:t>
      </w:r>
    </w:p>
    <w:p w14:paraId="210AB0E2" w14:textId="4B1A1A99"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323097AF" w14:textId="28B6BFB1" w:rsidR="004549C0" w:rsidRPr="000E4731" w:rsidRDefault="000E4731" w:rsidP="000E4731">
      <w:pPr>
        <w:pStyle w:val="Heading2"/>
        <w:spacing w:line="360" w:lineRule="auto"/>
        <w:rPr>
          <w:rFonts w:ascii="Calibri Light" w:eastAsia="Times New Roman" w:hAnsi="Calibri Light" w:cs="Calibri Light"/>
          <w:b/>
          <w:bCs/>
          <w:color w:val="auto"/>
          <w:sz w:val="26"/>
          <w:szCs w:val="26"/>
          <w:shd w:val="clear" w:color="auto" w:fill="FFFFFF"/>
          <w:lang w:eastAsia="en-GB"/>
        </w:rPr>
      </w:pPr>
      <w:bookmarkStart w:id="7" w:name="_Toc164586706"/>
      <w:r w:rsidRPr="000E4731">
        <w:rPr>
          <w:rFonts w:ascii="Calibri Light" w:eastAsia="Times New Roman" w:hAnsi="Calibri Light" w:cs="Calibri Light"/>
          <w:b/>
          <w:bCs/>
          <w:color w:val="auto"/>
          <w:sz w:val="26"/>
          <w:szCs w:val="26"/>
          <w:shd w:val="clear" w:color="auto" w:fill="FFFFFF"/>
          <w:lang w:eastAsia="en-GB"/>
        </w:rPr>
        <w:t xml:space="preserve">2.3 </w:t>
      </w:r>
      <w:r w:rsidR="004549C0" w:rsidRPr="000E4731">
        <w:rPr>
          <w:rFonts w:ascii="Calibri Light" w:eastAsia="Times New Roman" w:hAnsi="Calibri Light" w:cs="Calibri Light"/>
          <w:b/>
          <w:bCs/>
          <w:color w:val="auto"/>
          <w:sz w:val="26"/>
          <w:szCs w:val="26"/>
          <w:shd w:val="clear" w:color="auto" w:fill="FFFFFF"/>
          <w:lang w:eastAsia="en-GB"/>
        </w:rPr>
        <w:t>Public Health Response to Measles</w:t>
      </w:r>
      <w:bookmarkEnd w:id="7"/>
    </w:p>
    <w:p w14:paraId="4047CF4F" w14:textId="4F1E3F2D" w:rsidR="004549C0" w:rsidRDefault="007F67B8"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7F67B8">
        <w:rPr>
          <w:rFonts w:ascii="Calibri" w:eastAsia="Times New Roman" w:hAnsi="Calibri" w:cs="Calibri"/>
          <w:color w:val="212121"/>
          <w:kern w:val="0"/>
          <w:sz w:val="24"/>
          <w:szCs w:val="24"/>
          <w:shd w:val="clear" w:color="auto" w:fill="FFFFFF"/>
          <w:lang w:eastAsia="en-GB"/>
          <w14:ligatures w14:val="none"/>
        </w:rPr>
        <w:t>Measles outbreaks provide substantial public health challenges in Wales, the UK, and worldwide, leading governments and public health agencies to implement comprehensive measures to prevent and manage the transmission of the disease. This section explores the comprehensive public health measures taken to address the measles outbreak.</w:t>
      </w:r>
    </w:p>
    <w:p w14:paraId="519F6898" w14:textId="77777777" w:rsidR="007F67B8" w:rsidRPr="004549C0" w:rsidRDefault="007F67B8"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07DBB46D" w14:textId="5299DC67" w:rsidR="004549C0" w:rsidRPr="004549C0" w:rsidRDefault="000E4731" w:rsidP="000E4731">
      <w:pPr>
        <w:pStyle w:val="Heading3"/>
        <w:spacing w:line="360" w:lineRule="auto"/>
        <w:rPr>
          <w:rFonts w:ascii="Calibri" w:eastAsia="Times New Roman" w:hAnsi="Calibri" w:cs="Calibri"/>
          <w:color w:val="212121"/>
          <w:kern w:val="0"/>
          <w:sz w:val="24"/>
          <w:szCs w:val="24"/>
          <w:shd w:val="clear" w:color="auto" w:fill="FFFFFF"/>
          <w:lang w:eastAsia="en-GB"/>
          <w14:ligatures w14:val="none"/>
        </w:rPr>
      </w:pPr>
      <w:bookmarkStart w:id="8" w:name="_Toc164586707"/>
      <w:r w:rsidRPr="000E4731">
        <w:rPr>
          <w:rFonts w:ascii="Calibri Light" w:eastAsia="Times New Roman" w:hAnsi="Calibri Light" w:cs="Calibri Light"/>
          <w:b/>
          <w:bCs/>
          <w:color w:val="auto"/>
          <w:sz w:val="24"/>
          <w:szCs w:val="24"/>
          <w:shd w:val="clear" w:color="auto" w:fill="FFFFFF"/>
          <w:lang w:eastAsia="en-GB"/>
        </w:rPr>
        <w:t xml:space="preserve">2.3.1 </w:t>
      </w:r>
      <w:r w:rsidR="004549C0" w:rsidRPr="000E4731">
        <w:rPr>
          <w:rFonts w:ascii="Calibri Light" w:eastAsia="Times New Roman" w:hAnsi="Calibri Light" w:cs="Calibri Light"/>
          <w:b/>
          <w:bCs/>
          <w:color w:val="auto"/>
          <w:sz w:val="24"/>
          <w:szCs w:val="24"/>
          <w:shd w:val="clear" w:color="auto" w:fill="FFFFFF"/>
          <w:lang w:eastAsia="en-GB"/>
        </w:rPr>
        <w:t>Vaccination Programs</w:t>
      </w:r>
      <w:bookmarkEnd w:id="8"/>
    </w:p>
    <w:p w14:paraId="12A55D44" w14:textId="62BCCB63"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Governmental bodies in Wales, UK, have prioriti</w:t>
      </w:r>
      <w:r w:rsidR="000E4731">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ed vaccination programs as a cornerstone of measles control efforts. The National Health Service (NHS) administers the measles, mumps, and rubella (MMR) vaccine as part of routine childhood immunizations, aiming to achieve high vaccination coverage rates and prevent measles transmission within communities</w:t>
      </w:r>
      <w:r w:rsidR="007F67B8">
        <w:rPr>
          <w:rFonts w:ascii="Calibri" w:eastAsia="Times New Roman" w:hAnsi="Calibri" w:cs="Calibri"/>
          <w:color w:val="212121"/>
          <w:kern w:val="0"/>
          <w:sz w:val="24"/>
          <w:szCs w:val="24"/>
          <w:shd w:val="clear" w:color="auto" w:fill="FFFFFF"/>
          <w:lang w:eastAsia="en-GB"/>
          <w14:ligatures w14:val="none"/>
        </w:rPr>
        <w:t xml:space="preserve"> (NHS, 2024)</w:t>
      </w:r>
      <w:r w:rsidRPr="004549C0">
        <w:rPr>
          <w:rFonts w:ascii="Calibri" w:eastAsia="Times New Roman" w:hAnsi="Calibri" w:cs="Calibri"/>
          <w:color w:val="212121"/>
          <w:kern w:val="0"/>
          <w:sz w:val="24"/>
          <w:szCs w:val="24"/>
          <w:shd w:val="clear" w:color="auto" w:fill="FFFFFF"/>
          <w:lang w:eastAsia="en-GB"/>
          <w14:ligatures w14:val="none"/>
        </w:rPr>
        <w:t>. In addition to routine vaccination, supplemental vaccination campaigns may be implemented in response to outbreaks or to target underserved populations with suboptimal vaccination coverage.</w:t>
      </w:r>
    </w:p>
    <w:p w14:paraId="6CF7BEDC"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7761F0DC" w14:textId="571CC9E3" w:rsid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Globally, organi</w:t>
      </w:r>
      <w:r>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ations such as the World Health Organization (WHO) advocate for measles vaccination as a core component of childhood immuni</w:t>
      </w:r>
      <w:r w:rsidR="00D62866">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 programs, promoting the Expanded Programme on Immuni</w:t>
      </w:r>
      <w:r w:rsidR="00E07408">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 (EPI) to ensure equitable access to vaccines in low- and middle-income countries</w:t>
      </w:r>
      <w:r w:rsidR="00D62866">
        <w:rPr>
          <w:rFonts w:ascii="Calibri" w:eastAsia="Times New Roman" w:hAnsi="Calibri" w:cs="Calibri"/>
          <w:color w:val="212121"/>
          <w:kern w:val="0"/>
          <w:sz w:val="24"/>
          <w:szCs w:val="24"/>
          <w:shd w:val="clear" w:color="auto" w:fill="FFFFFF"/>
          <w:lang w:eastAsia="en-GB"/>
          <w14:ligatures w14:val="none"/>
        </w:rPr>
        <w:t xml:space="preserve"> (World Health Organization, 2024)</w:t>
      </w:r>
      <w:r w:rsidRPr="004549C0">
        <w:rPr>
          <w:rFonts w:ascii="Calibri" w:eastAsia="Times New Roman" w:hAnsi="Calibri" w:cs="Calibri"/>
          <w:color w:val="212121"/>
          <w:kern w:val="0"/>
          <w:sz w:val="24"/>
          <w:szCs w:val="24"/>
          <w:shd w:val="clear" w:color="auto" w:fill="FFFFFF"/>
          <w:lang w:eastAsia="en-GB"/>
          <w14:ligatures w14:val="none"/>
        </w:rPr>
        <w:t>. Measles vaccination campaigns, including mass immuni</w:t>
      </w:r>
      <w:r w:rsidR="00D62866">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 drives and catch-up campaigns, are conducted to reach vulnerable populations and achieve measles elimination goals.</w:t>
      </w:r>
    </w:p>
    <w:p w14:paraId="2A3AC633" w14:textId="77777777" w:rsidR="007865F8" w:rsidRDefault="007865F8"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302373B2" w14:textId="11E648C9" w:rsidR="002D3BE4" w:rsidRDefault="007865F8" w:rsidP="007865F8">
      <w:pPr>
        <w:shd w:val="clear" w:color="auto" w:fill="FFFFFF"/>
        <w:spacing w:after="0" w:line="360" w:lineRule="auto"/>
        <w:rPr>
          <w:rFonts w:ascii="Calibri" w:eastAsia="Calibri" w:hAnsi="Calibri" w:cs="Calibri"/>
          <w:color w:val="212121"/>
          <w:sz w:val="24"/>
          <w:szCs w:val="24"/>
          <w:highlight w:val="white"/>
        </w:rPr>
      </w:pPr>
      <w:r>
        <w:rPr>
          <w:rFonts w:ascii="Calibri" w:eastAsia="Calibri" w:hAnsi="Calibri" w:cs="Calibri"/>
          <w:color w:val="212121"/>
          <w:sz w:val="24"/>
          <w:szCs w:val="24"/>
          <w:highlight w:val="white"/>
        </w:rPr>
        <w:lastRenderedPageBreak/>
        <w:t xml:space="preserve">However, </w:t>
      </w:r>
      <w:r>
        <w:rPr>
          <w:rFonts w:ascii="Calibri" w:eastAsia="Calibri" w:hAnsi="Calibri" w:cs="Calibri"/>
          <w:color w:val="212121"/>
          <w:sz w:val="24"/>
          <w:szCs w:val="24"/>
          <w:highlight w:val="white"/>
        </w:rPr>
        <w:t>Andrew Wakefield, a former British physician, became notorious for his now discredited 1998 study that falsely linked the MMR (measles, mumps and rubella) vaccine to autism. Despite widespread scientific consensus debunking his claims and the retraction of his study by the journal that published it, Wakefield's misinformation sparked a global public health crisis. His actions led to a decline in vaccination rates, outbreaks of vaccine-preventable diseases, and a loss of public trust in vaccines. Wakefield's deception and manipulation of data not only harmed countless individuals by perpetuating unfounded fears about vaccine safety but also undermined public health efforts to control and eradicate preventable diseases</w:t>
      </w:r>
      <w:r w:rsidR="002D3BE4">
        <w:rPr>
          <w:rFonts w:ascii="Calibri" w:eastAsia="Calibri" w:hAnsi="Calibri" w:cs="Calibri"/>
          <w:color w:val="212121"/>
          <w:sz w:val="24"/>
          <w:szCs w:val="24"/>
          <w:highlight w:val="white"/>
        </w:rPr>
        <w:t xml:space="preserve"> </w:t>
      </w:r>
      <w:r w:rsidR="002D3BE4" w:rsidRPr="002D3BE4">
        <w:rPr>
          <w:rFonts w:ascii="Calibri" w:eastAsia="Calibri" w:hAnsi="Calibri" w:cs="Calibri"/>
          <w:color w:val="212121"/>
          <w:sz w:val="24"/>
          <w:szCs w:val="24"/>
        </w:rPr>
        <w:t>(Goldenberg, 2021</w:t>
      </w:r>
      <w:r w:rsidR="002D3BE4">
        <w:rPr>
          <w:rFonts w:ascii="Calibri" w:eastAsia="Calibri" w:hAnsi="Calibri" w:cs="Calibri"/>
          <w:color w:val="212121"/>
          <w:sz w:val="24"/>
          <w:szCs w:val="24"/>
        </w:rPr>
        <w:t xml:space="preserve">; </w:t>
      </w:r>
      <w:r w:rsidR="002D3BE4" w:rsidRPr="002D3BE4">
        <w:rPr>
          <w:rFonts w:ascii="Calibri" w:eastAsia="Calibri" w:hAnsi="Calibri" w:cs="Calibri"/>
          <w:color w:val="212121"/>
          <w:sz w:val="24"/>
          <w:szCs w:val="24"/>
        </w:rPr>
        <w:t>Novella and Wakefield, 2009)</w:t>
      </w:r>
      <w:r>
        <w:rPr>
          <w:rFonts w:ascii="Calibri" w:eastAsia="Calibri" w:hAnsi="Calibri" w:cs="Calibri"/>
          <w:color w:val="212121"/>
          <w:sz w:val="24"/>
          <w:szCs w:val="24"/>
          <w:highlight w:val="white"/>
        </w:rPr>
        <w:t>.</w:t>
      </w:r>
    </w:p>
    <w:p w14:paraId="03621A57"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65993D2A" w14:textId="12C6563A" w:rsidR="004549C0" w:rsidRPr="000E4731" w:rsidRDefault="000E4731" w:rsidP="000E4731">
      <w:pPr>
        <w:pStyle w:val="Heading3"/>
        <w:spacing w:line="360" w:lineRule="auto"/>
        <w:rPr>
          <w:rFonts w:ascii="Calibri" w:eastAsia="Times New Roman" w:hAnsi="Calibri" w:cs="Calibri"/>
          <w:b/>
          <w:bCs/>
          <w:color w:val="auto"/>
          <w:sz w:val="24"/>
          <w:szCs w:val="24"/>
          <w:shd w:val="clear" w:color="auto" w:fill="FFFFFF"/>
          <w:lang w:eastAsia="en-GB"/>
        </w:rPr>
      </w:pPr>
      <w:bookmarkStart w:id="9" w:name="_Toc164586708"/>
      <w:r w:rsidRPr="000E4731">
        <w:rPr>
          <w:rFonts w:ascii="Calibri" w:eastAsia="Times New Roman" w:hAnsi="Calibri" w:cs="Calibri"/>
          <w:b/>
          <w:bCs/>
          <w:color w:val="auto"/>
          <w:sz w:val="24"/>
          <w:szCs w:val="24"/>
          <w:shd w:val="clear" w:color="auto" w:fill="FFFFFF"/>
          <w:lang w:eastAsia="en-GB"/>
        </w:rPr>
        <w:t xml:space="preserve">2.3.2 </w:t>
      </w:r>
      <w:r w:rsidR="004549C0" w:rsidRPr="000E4731">
        <w:rPr>
          <w:rFonts w:ascii="Calibri" w:eastAsia="Times New Roman" w:hAnsi="Calibri" w:cs="Calibri"/>
          <w:b/>
          <w:bCs/>
          <w:color w:val="auto"/>
          <w:sz w:val="24"/>
          <w:szCs w:val="24"/>
          <w:shd w:val="clear" w:color="auto" w:fill="FFFFFF"/>
          <w:lang w:eastAsia="en-GB"/>
        </w:rPr>
        <w:t>Surveillance and Outbreak Response</w:t>
      </w:r>
      <w:bookmarkEnd w:id="9"/>
    </w:p>
    <w:p w14:paraId="383DC8CF" w14:textId="1CF4A5B9"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Governmental health agencies in Wales, UK and internationally play a crucial role in measles surveillance, monitoring disease incidence, outbreak clusters and vaccination coverage levels. Surveillance systems, such as the National Measles and Rubella Enhanced Surveillance System (MRESS) in the UK, collect data on suspected and confirmed measles cases, facilitating rapid detection and response to outbreaks</w:t>
      </w:r>
      <w:r w:rsidR="00D62866">
        <w:rPr>
          <w:rFonts w:ascii="Calibri" w:eastAsia="Times New Roman" w:hAnsi="Calibri" w:cs="Calibri"/>
          <w:color w:val="212121"/>
          <w:kern w:val="0"/>
          <w:sz w:val="24"/>
          <w:szCs w:val="24"/>
          <w:shd w:val="clear" w:color="auto" w:fill="FFFFFF"/>
          <w:lang w:eastAsia="en-GB"/>
          <w14:ligatures w14:val="none"/>
        </w:rPr>
        <w:t xml:space="preserve"> (NHS Wales, 2024)</w:t>
      </w:r>
      <w:r w:rsidRPr="004549C0">
        <w:rPr>
          <w:rFonts w:ascii="Calibri" w:eastAsia="Times New Roman" w:hAnsi="Calibri" w:cs="Calibri"/>
          <w:color w:val="212121"/>
          <w:kern w:val="0"/>
          <w:sz w:val="24"/>
          <w:szCs w:val="24"/>
          <w:shd w:val="clear" w:color="auto" w:fill="FFFFFF"/>
          <w:lang w:eastAsia="en-GB"/>
          <w14:ligatures w14:val="none"/>
        </w:rPr>
        <w:t>.</w:t>
      </w:r>
    </w:p>
    <w:p w14:paraId="354D7522"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77935B36" w14:textId="415B1F3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In response to measles outbreaks, governmental bodies deploy a range of control measures, including case investigation, contact tracing, quarantine of exposed individuals and administration of post-exposure prophylaxis or vaccination. Public health authorities collaborate with healthcare providers, laboratories and community stakeholders to coordinate outbreak response efforts and ensure timely access to diagnostic testing and medical care for affected individuals</w:t>
      </w:r>
      <w:r w:rsidR="003C0906">
        <w:rPr>
          <w:rFonts w:ascii="Calibri" w:eastAsia="Times New Roman" w:hAnsi="Calibri" w:cs="Calibri"/>
          <w:color w:val="212121"/>
          <w:kern w:val="0"/>
          <w:sz w:val="24"/>
          <w:szCs w:val="24"/>
          <w:shd w:val="clear" w:color="auto" w:fill="FFFFFF"/>
          <w:lang w:eastAsia="en-GB"/>
          <w14:ligatures w14:val="none"/>
        </w:rPr>
        <w:t xml:space="preserve"> (UKHSA, 2024)</w:t>
      </w:r>
      <w:r w:rsidRPr="004549C0">
        <w:rPr>
          <w:rFonts w:ascii="Calibri" w:eastAsia="Times New Roman" w:hAnsi="Calibri" w:cs="Calibri"/>
          <w:color w:val="212121"/>
          <w:kern w:val="0"/>
          <w:sz w:val="24"/>
          <w:szCs w:val="24"/>
          <w:shd w:val="clear" w:color="auto" w:fill="FFFFFF"/>
          <w:lang w:eastAsia="en-GB"/>
          <w14:ligatures w14:val="none"/>
        </w:rPr>
        <w:t>.</w:t>
      </w:r>
    </w:p>
    <w:p w14:paraId="6B1F19DB"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232FCE7C" w14:textId="27A27F65" w:rsidR="004549C0" w:rsidRPr="000E4731" w:rsidRDefault="000E4731" w:rsidP="000E4731">
      <w:pPr>
        <w:pStyle w:val="Heading3"/>
        <w:spacing w:line="360" w:lineRule="auto"/>
        <w:rPr>
          <w:rFonts w:ascii="Calibri Light" w:eastAsia="Times New Roman" w:hAnsi="Calibri Light" w:cs="Calibri Light"/>
          <w:b/>
          <w:bCs/>
          <w:color w:val="auto"/>
          <w:sz w:val="24"/>
          <w:szCs w:val="24"/>
          <w:shd w:val="clear" w:color="auto" w:fill="FFFFFF"/>
          <w:lang w:eastAsia="en-GB"/>
        </w:rPr>
      </w:pPr>
      <w:bookmarkStart w:id="10" w:name="_Toc164586709"/>
      <w:r w:rsidRPr="000E4731">
        <w:rPr>
          <w:rFonts w:ascii="Calibri Light" w:eastAsia="Times New Roman" w:hAnsi="Calibri Light" w:cs="Calibri Light"/>
          <w:b/>
          <w:bCs/>
          <w:color w:val="auto"/>
          <w:sz w:val="24"/>
          <w:szCs w:val="24"/>
          <w:shd w:val="clear" w:color="auto" w:fill="FFFFFF"/>
          <w:lang w:eastAsia="en-GB"/>
        </w:rPr>
        <w:t xml:space="preserve">2.3.3 </w:t>
      </w:r>
      <w:r w:rsidR="004549C0" w:rsidRPr="000E4731">
        <w:rPr>
          <w:rFonts w:ascii="Calibri Light" w:eastAsia="Times New Roman" w:hAnsi="Calibri Light" w:cs="Calibri Light"/>
          <w:b/>
          <w:bCs/>
          <w:color w:val="auto"/>
          <w:sz w:val="24"/>
          <w:szCs w:val="24"/>
          <w:shd w:val="clear" w:color="auto" w:fill="FFFFFF"/>
          <w:lang w:eastAsia="en-GB"/>
        </w:rPr>
        <w:t>Health Education and Risk Communication</w:t>
      </w:r>
      <w:bookmarkEnd w:id="10"/>
    </w:p>
    <w:p w14:paraId="3D308E47" w14:textId="7B011DB1"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 xml:space="preserve">Governmental bodies engage in health education and risk communication initiatives to raise awareness about measles, its symptoms, transmission routes and the importance of vaccination. Public health campaigns disseminate evidence-based information through various channels, including mass media, social media platforms, educational materials and community outreach events. These efforts aim to address vaccine hesitancy, combat </w:t>
      </w:r>
      <w:r w:rsidRPr="004549C0">
        <w:rPr>
          <w:rFonts w:ascii="Calibri" w:eastAsia="Times New Roman" w:hAnsi="Calibri" w:cs="Calibri"/>
          <w:color w:val="212121"/>
          <w:kern w:val="0"/>
          <w:sz w:val="24"/>
          <w:szCs w:val="24"/>
          <w:shd w:val="clear" w:color="auto" w:fill="FFFFFF"/>
          <w:lang w:eastAsia="en-GB"/>
          <w14:ligatures w14:val="none"/>
        </w:rPr>
        <w:lastRenderedPageBreak/>
        <w:t xml:space="preserve">misinformation, and empower individuals to make informed decisions about vaccination and preventive health </w:t>
      </w:r>
      <w:r w:rsidR="007E621C" w:rsidRPr="004549C0">
        <w:rPr>
          <w:rFonts w:ascii="Calibri" w:eastAsia="Times New Roman" w:hAnsi="Calibri" w:cs="Calibri"/>
          <w:color w:val="212121"/>
          <w:kern w:val="0"/>
          <w:sz w:val="24"/>
          <w:szCs w:val="24"/>
          <w:shd w:val="clear" w:color="auto" w:fill="FFFFFF"/>
          <w:lang w:eastAsia="en-GB"/>
          <w14:ligatures w14:val="none"/>
        </w:rPr>
        <w:t>behaviours</w:t>
      </w:r>
      <w:r w:rsidR="00AF125C" w:rsidRPr="00AF125C">
        <w:t xml:space="preserve"> </w:t>
      </w:r>
      <w:r w:rsidR="00AF125C" w:rsidRPr="00AF125C">
        <w:rPr>
          <w:rFonts w:ascii="Calibri" w:eastAsia="Times New Roman" w:hAnsi="Calibri" w:cs="Calibri"/>
          <w:color w:val="212121"/>
          <w:kern w:val="0"/>
          <w:sz w:val="24"/>
          <w:szCs w:val="24"/>
          <w:shd w:val="clear" w:color="auto" w:fill="FFFFFF"/>
          <w:lang w:eastAsia="en-GB"/>
          <w14:ligatures w14:val="none"/>
        </w:rPr>
        <w:t>(Gastañaduy et al., 2018)</w:t>
      </w:r>
      <w:r w:rsidRPr="004549C0">
        <w:rPr>
          <w:rFonts w:ascii="Calibri" w:eastAsia="Times New Roman" w:hAnsi="Calibri" w:cs="Calibri"/>
          <w:color w:val="212121"/>
          <w:kern w:val="0"/>
          <w:sz w:val="24"/>
          <w:szCs w:val="24"/>
          <w:shd w:val="clear" w:color="auto" w:fill="FFFFFF"/>
          <w:lang w:eastAsia="en-GB"/>
          <w14:ligatures w14:val="none"/>
        </w:rPr>
        <w:t>.</w:t>
      </w:r>
    </w:p>
    <w:p w14:paraId="0ACEFDC2"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41E9A549" w14:textId="79C4670B" w:rsidR="004549C0" w:rsidRPr="007E621C" w:rsidRDefault="007E621C" w:rsidP="007E621C">
      <w:pPr>
        <w:pStyle w:val="Heading3"/>
        <w:spacing w:line="360" w:lineRule="auto"/>
        <w:rPr>
          <w:rFonts w:ascii="Calibri Light" w:eastAsia="Times New Roman" w:hAnsi="Calibri Light" w:cs="Calibri Light"/>
          <w:b/>
          <w:bCs/>
          <w:color w:val="auto"/>
          <w:sz w:val="24"/>
          <w:szCs w:val="24"/>
          <w:shd w:val="clear" w:color="auto" w:fill="FFFFFF"/>
          <w:lang w:eastAsia="en-GB"/>
        </w:rPr>
      </w:pPr>
      <w:bookmarkStart w:id="11" w:name="_Toc164586710"/>
      <w:r w:rsidRPr="007E621C">
        <w:rPr>
          <w:rFonts w:ascii="Calibri Light" w:eastAsia="Times New Roman" w:hAnsi="Calibri Light" w:cs="Calibri Light"/>
          <w:b/>
          <w:bCs/>
          <w:color w:val="auto"/>
          <w:sz w:val="24"/>
          <w:szCs w:val="24"/>
          <w:shd w:val="clear" w:color="auto" w:fill="FFFFFF"/>
          <w:lang w:eastAsia="en-GB"/>
        </w:rPr>
        <w:t xml:space="preserve">2.3.4 </w:t>
      </w:r>
      <w:r w:rsidR="004549C0" w:rsidRPr="007E621C">
        <w:rPr>
          <w:rFonts w:ascii="Calibri Light" w:eastAsia="Times New Roman" w:hAnsi="Calibri Light" w:cs="Calibri Light"/>
          <w:b/>
          <w:bCs/>
          <w:color w:val="auto"/>
          <w:sz w:val="24"/>
          <w:szCs w:val="24"/>
          <w:shd w:val="clear" w:color="auto" w:fill="FFFFFF"/>
          <w:lang w:eastAsia="en-GB"/>
        </w:rPr>
        <w:t>Legislative and Policy Interventions</w:t>
      </w:r>
      <w:bookmarkEnd w:id="11"/>
    </w:p>
    <w:p w14:paraId="5709B28E" w14:textId="3EB374FA"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Governmental bodies may enact legislative and policy interventions to strengthen measles control efforts and enhance public health infrastructure. This may include legislation mandating vaccination requirements for school entry or employment in certain sectors, regulations governing vaccine storage and administration practices, and funding allocations to support immuni</w:t>
      </w:r>
      <w:r w:rsidR="00AF125C">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 programs, surveillance systems and outbreak response activities</w:t>
      </w:r>
      <w:r w:rsidR="00071CA8">
        <w:rPr>
          <w:rFonts w:ascii="Calibri" w:eastAsia="Times New Roman" w:hAnsi="Calibri" w:cs="Calibri"/>
          <w:color w:val="212121"/>
          <w:kern w:val="0"/>
          <w:sz w:val="24"/>
          <w:szCs w:val="24"/>
          <w:shd w:val="clear" w:color="auto" w:fill="FFFFFF"/>
          <w:lang w:eastAsia="en-GB"/>
          <w14:ligatures w14:val="none"/>
        </w:rPr>
        <w:t xml:space="preserve"> (NHS, 2023)</w:t>
      </w:r>
      <w:r w:rsidRPr="004549C0">
        <w:rPr>
          <w:rFonts w:ascii="Calibri" w:eastAsia="Times New Roman" w:hAnsi="Calibri" w:cs="Calibri"/>
          <w:color w:val="212121"/>
          <w:kern w:val="0"/>
          <w:sz w:val="24"/>
          <w:szCs w:val="24"/>
          <w:shd w:val="clear" w:color="auto" w:fill="FFFFFF"/>
          <w:lang w:eastAsia="en-GB"/>
          <w14:ligatures w14:val="none"/>
        </w:rPr>
        <w:t>.</w:t>
      </w:r>
    </w:p>
    <w:p w14:paraId="2A13DC36"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56F3C94D"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617E65F6" w14:textId="5502E403" w:rsidR="004549C0" w:rsidRPr="007E621C" w:rsidRDefault="007E621C" w:rsidP="007E621C">
      <w:pPr>
        <w:pStyle w:val="Heading2"/>
        <w:spacing w:line="360" w:lineRule="auto"/>
        <w:rPr>
          <w:rFonts w:ascii="Calibri Light" w:eastAsia="Times New Roman" w:hAnsi="Calibri Light" w:cs="Calibri Light"/>
          <w:b/>
          <w:bCs/>
          <w:color w:val="auto"/>
          <w:sz w:val="26"/>
          <w:szCs w:val="26"/>
          <w:shd w:val="clear" w:color="auto" w:fill="FFFFFF"/>
          <w:lang w:eastAsia="en-GB"/>
        </w:rPr>
      </w:pPr>
      <w:bookmarkStart w:id="12" w:name="_Toc164586711"/>
      <w:r>
        <w:rPr>
          <w:rFonts w:ascii="Calibri Light" w:eastAsia="Times New Roman" w:hAnsi="Calibri Light" w:cs="Calibri Light"/>
          <w:b/>
          <w:bCs/>
          <w:color w:val="auto"/>
          <w:sz w:val="26"/>
          <w:szCs w:val="26"/>
          <w:shd w:val="clear" w:color="auto" w:fill="FFFFFF"/>
          <w:lang w:eastAsia="en-GB"/>
        </w:rPr>
        <w:t xml:space="preserve">2.4 </w:t>
      </w:r>
      <w:r w:rsidRPr="007E621C">
        <w:rPr>
          <w:rFonts w:ascii="Calibri Light" w:eastAsia="Times New Roman" w:hAnsi="Calibri Light" w:cs="Calibri Light"/>
          <w:b/>
          <w:bCs/>
          <w:color w:val="auto"/>
          <w:sz w:val="26"/>
          <w:szCs w:val="26"/>
          <w:shd w:val="clear" w:color="auto" w:fill="FFFFFF"/>
          <w:lang w:eastAsia="en-GB"/>
        </w:rPr>
        <w:t>Impacts of Measles on Society, Healthcare Professionals and Services</w:t>
      </w:r>
      <w:bookmarkEnd w:id="12"/>
    </w:p>
    <w:p w14:paraId="1A32B058" w14:textId="0980CA3F"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Measles outbreaks have significant implications for wider society, healthcare professionals, and health and care services in Wales, UK and globally. Understanding these impacts is crucial for informing public health policies and interventions aimed at mitigating the burden of measles and protecting population health.</w:t>
      </w:r>
    </w:p>
    <w:p w14:paraId="25A3DFF6"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1AD3987E" w14:textId="78CF527E" w:rsidR="004549C0" w:rsidRPr="007E621C" w:rsidRDefault="007E621C" w:rsidP="007E621C">
      <w:pPr>
        <w:pStyle w:val="Heading3"/>
        <w:spacing w:line="360" w:lineRule="auto"/>
        <w:rPr>
          <w:rFonts w:ascii="Calibri Light" w:eastAsia="Times New Roman" w:hAnsi="Calibri Light" w:cs="Calibri Light"/>
          <w:b/>
          <w:bCs/>
          <w:color w:val="auto"/>
          <w:sz w:val="24"/>
          <w:szCs w:val="24"/>
          <w:shd w:val="clear" w:color="auto" w:fill="FFFFFF"/>
          <w:lang w:eastAsia="en-GB"/>
        </w:rPr>
      </w:pPr>
      <w:bookmarkStart w:id="13" w:name="_Toc164586712"/>
      <w:r w:rsidRPr="007E621C">
        <w:rPr>
          <w:rFonts w:ascii="Calibri Light" w:eastAsia="Times New Roman" w:hAnsi="Calibri Light" w:cs="Calibri Light"/>
          <w:b/>
          <w:bCs/>
          <w:color w:val="auto"/>
          <w:sz w:val="24"/>
          <w:szCs w:val="24"/>
          <w:shd w:val="clear" w:color="auto" w:fill="FFFFFF"/>
          <w:lang w:eastAsia="en-GB"/>
        </w:rPr>
        <w:t xml:space="preserve">2.4.1 </w:t>
      </w:r>
      <w:r w:rsidR="004549C0" w:rsidRPr="007E621C">
        <w:rPr>
          <w:rFonts w:ascii="Calibri Light" w:eastAsia="Times New Roman" w:hAnsi="Calibri Light" w:cs="Calibri Light"/>
          <w:b/>
          <w:bCs/>
          <w:color w:val="auto"/>
          <w:sz w:val="24"/>
          <w:szCs w:val="24"/>
          <w:shd w:val="clear" w:color="auto" w:fill="FFFFFF"/>
          <w:lang w:eastAsia="en-GB"/>
        </w:rPr>
        <w:t>Societal Implications</w:t>
      </w:r>
      <w:bookmarkEnd w:id="13"/>
    </w:p>
    <w:p w14:paraId="554FBEB0" w14:textId="1E6CBB78"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Measles outbreaks can disrupt societal norms and routines, leading to school closures, restrictions on public gatherings</w:t>
      </w:r>
      <w:r w:rsidR="00071CA8">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and disruptions to travel and commerce</w:t>
      </w:r>
      <w:r w:rsidR="00451759" w:rsidRPr="00451759">
        <w:t xml:space="preserve"> </w:t>
      </w:r>
      <w:r w:rsidR="00451759" w:rsidRPr="00451759">
        <w:rPr>
          <w:rFonts w:ascii="Calibri" w:eastAsia="Times New Roman" w:hAnsi="Calibri" w:cs="Calibri"/>
          <w:color w:val="212121"/>
          <w:kern w:val="0"/>
          <w:sz w:val="24"/>
          <w:szCs w:val="24"/>
          <w:shd w:val="clear" w:color="auto" w:fill="FFFFFF"/>
          <w:lang w:eastAsia="en-GB"/>
          <w14:ligatures w14:val="none"/>
        </w:rPr>
        <w:t>(Pike et al., 2021)</w:t>
      </w:r>
      <w:r w:rsidRPr="004549C0">
        <w:rPr>
          <w:rFonts w:ascii="Calibri" w:eastAsia="Times New Roman" w:hAnsi="Calibri" w:cs="Calibri"/>
          <w:color w:val="212121"/>
          <w:kern w:val="0"/>
          <w:sz w:val="24"/>
          <w:szCs w:val="24"/>
          <w:shd w:val="clear" w:color="auto" w:fill="FFFFFF"/>
          <w:lang w:eastAsia="en-GB"/>
          <w14:ligatures w14:val="none"/>
        </w:rPr>
        <w:t>. These measures, while necessary for controlling disease transmission, can impact social interactions, economic activities and individual freedoms within affected communities. Moreover, measles outbreaks may exacerbate existing health disparities, disproportionately affecting vulnerable populations with limited access to healthcare services or socioeconomic resources.</w:t>
      </w:r>
    </w:p>
    <w:p w14:paraId="6F534B63"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7162A83F" w14:textId="17799A42" w:rsidR="004549C0" w:rsidRPr="004549C0" w:rsidRDefault="007E621C" w:rsidP="007E621C">
      <w:pPr>
        <w:pStyle w:val="Heading3"/>
        <w:spacing w:line="360" w:lineRule="auto"/>
        <w:rPr>
          <w:rFonts w:ascii="Calibri" w:eastAsia="Times New Roman" w:hAnsi="Calibri" w:cs="Calibri"/>
          <w:color w:val="212121"/>
          <w:kern w:val="0"/>
          <w:sz w:val="24"/>
          <w:szCs w:val="24"/>
          <w:shd w:val="clear" w:color="auto" w:fill="FFFFFF"/>
          <w:lang w:eastAsia="en-GB"/>
          <w14:ligatures w14:val="none"/>
        </w:rPr>
      </w:pPr>
      <w:bookmarkStart w:id="14" w:name="_Toc164586713"/>
      <w:r w:rsidRPr="007E621C">
        <w:rPr>
          <w:rFonts w:ascii="Calibri Light" w:eastAsia="Times New Roman" w:hAnsi="Calibri Light" w:cs="Calibri Light"/>
          <w:b/>
          <w:bCs/>
          <w:color w:val="auto"/>
          <w:sz w:val="24"/>
          <w:szCs w:val="24"/>
          <w:shd w:val="clear" w:color="auto" w:fill="FFFFFF"/>
          <w:lang w:eastAsia="en-GB"/>
        </w:rPr>
        <w:lastRenderedPageBreak/>
        <w:t xml:space="preserve">2.4.2 </w:t>
      </w:r>
      <w:r w:rsidR="004549C0" w:rsidRPr="007E621C">
        <w:rPr>
          <w:rFonts w:ascii="Calibri Light" w:eastAsia="Times New Roman" w:hAnsi="Calibri Light" w:cs="Calibri Light"/>
          <w:b/>
          <w:bCs/>
          <w:color w:val="auto"/>
          <w:sz w:val="24"/>
          <w:szCs w:val="24"/>
          <w:shd w:val="clear" w:color="auto" w:fill="FFFFFF"/>
          <w:lang w:eastAsia="en-GB"/>
        </w:rPr>
        <w:t>Healthcare Professionals</w:t>
      </w:r>
      <w:bookmarkEnd w:id="14"/>
    </w:p>
    <w:p w14:paraId="70DD61C9" w14:textId="55F1133E"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Measles outbreaks place significant demands on healthcare professionals, including doctors, nurses</w:t>
      </w:r>
      <w:r w:rsidR="00F336F1">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and public health practitioners, who play a central role in disease surveillance, diagnosis, treatment and outbreak response efforts. Healthcare professionals may face increased workloads, heightened stress and burnout and exposure to occupational risks associated with caring for infectious patients. Moreover, addressing vaccine hesitancy and combating misinformation requires effective communication skills, cultural competence, and collaboration with community stakeholders, adding to the responsibilities and challenges faced by healthcare professionals in measles control efforts</w:t>
      </w:r>
      <w:r w:rsidR="00F336F1" w:rsidRPr="00F336F1">
        <w:t xml:space="preserve"> </w:t>
      </w:r>
      <w:r w:rsidR="00F336F1" w:rsidRPr="00F336F1">
        <w:rPr>
          <w:rFonts w:ascii="Calibri" w:eastAsia="Times New Roman" w:hAnsi="Calibri" w:cs="Calibri"/>
          <w:color w:val="212121"/>
          <w:kern w:val="0"/>
          <w:sz w:val="24"/>
          <w:szCs w:val="24"/>
          <w:shd w:val="clear" w:color="auto" w:fill="FFFFFF"/>
          <w:lang w:eastAsia="en-GB"/>
          <w14:ligatures w14:val="none"/>
        </w:rPr>
        <w:t>(McKinley et al., 2020)</w:t>
      </w:r>
      <w:r w:rsidRPr="004549C0">
        <w:rPr>
          <w:rFonts w:ascii="Calibri" w:eastAsia="Times New Roman" w:hAnsi="Calibri" w:cs="Calibri"/>
          <w:color w:val="212121"/>
          <w:kern w:val="0"/>
          <w:sz w:val="24"/>
          <w:szCs w:val="24"/>
          <w:shd w:val="clear" w:color="auto" w:fill="FFFFFF"/>
          <w:lang w:eastAsia="en-GB"/>
          <w14:ligatures w14:val="none"/>
        </w:rPr>
        <w:t>.</w:t>
      </w:r>
    </w:p>
    <w:p w14:paraId="77FD413F"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715D01EF" w14:textId="37AEE2B1" w:rsidR="004549C0" w:rsidRPr="004549C0" w:rsidRDefault="007E621C" w:rsidP="007E621C">
      <w:pPr>
        <w:pStyle w:val="Heading3"/>
        <w:spacing w:line="360" w:lineRule="auto"/>
        <w:rPr>
          <w:rFonts w:ascii="Calibri" w:eastAsia="Times New Roman" w:hAnsi="Calibri" w:cs="Calibri"/>
          <w:color w:val="212121"/>
          <w:kern w:val="0"/>
          <w:sz w:val="24"/>
          <w:szCs w:val="24"/>
          <w:shd w:val="clear" w:color="auto" w:fill="FFFFFF"/>
          <w:lang w:eastAsia="en-GB"/>
          <w14:ligatures w14:val="none"/>
        </w:rPr>
      </w:pPr>
      <w:bookmarkStart w:id="15" w:name="_Toc164586714"/>
      <w:r w:rsidRPr="007E621C">
        <w:rPr>
          <w:rFonts w:ascii="Calibri Light" w:eastAsia="Times New Roman" w:hAnsi="Calibri Light" w:cs="Calibri Light"/>
          <w:b/>
          <w:bCs/>
          <w:color w:val="auto"/>
          <w:sz w:val="24"/>
          <w:szCs w:val="24"/>
          <w:shd w:val="clear" w:color="auto" w:fill="FFFFFF"/>
          <w:lang w:eastAsia="en-GB"/>
        </w:rPr>
        <w:t xml:space="preserve">2.4.3 </w:t>
      </w:r>
      <w:r w:rsidR="004549C0" w:rsidRPr="007E621C">
        <w:rPr>
          <w:rFonts w:ascii="Calibri Light" w:eastAsia="Times New Roman" w:hAnsi="Calibri Light" w:cs="Calibri Light"/>
          <w:b/>
          <w:bCs/>
          <w:color w:val="auto"/>
          <w:sz w:val="24"/>
          <w:szCs w:val="24"/>
          <w:shd w:val="clear" w:color="auto" w:fill="FFFFFF"/>
          <w:lang w:eastAsia="en-GB"/>
        </w:rPr>
        <w:t>Health and Care Services</w:t>
      </w:r>
      <w:bookmarkEnd w:id="15"/>
    </w:p>
    <w:p w14:paraId="1820117B" w14:textId="11521B3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Measles outbreaks strain health and care services, disrupting routine healthcare delivery, diverting resources away from other essential services</w:t>
      </w:r>
      <w:r w:rsidR="00F336F1">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 xml:space="preserve">and compromising the quality of care provided to patients. Hospitals and healthcare facilities may experience surges </w:t>
      </w:r>
      <w:r w:rsidR="00286FA7" w:rsidRPr="004549C0">
        <w:rPr>
          <w:rFonts w:ascii="Calibri" w:eastAsia="Times New Roman" w:hAnsi="Calibri" w:cs="Calibri"/>
          <w:color w:val="212121"/>
          <w:kern w:val="0"/>
          <w:sz w:val="24"/>
          <w:szCs w:val="24"/>
          <w:shd w:val="clear" w:color="auto" w:fill="FFFFFF"/>
          <w:lang w:eastAsia="en-GB"/>
          <w14:ligatures w14:val="none"/>
        </w:rPr>
        <w:t>inpatient</w:t>
      </w:r>
      <w:r w:rsidRPr="004549C0">
        <w:rPr>
          <w:rFonts w:ascii="Calibri" w:eastAsia="Times New Roman" w:hAnsi="Calibri" w:cs="Calibri"/>
          <w:color w:val="212121"/>
          <w:kern w:val="0"/>
          <w:sz w:val="24"/>
          <w:szCs w:val="24"/>
          <w:shd w:val="clear" w:color="auto" w:fill="FFFFFF"/>
          <w:lang w:eastAsia="en-GB"/>
          <w14:ligatures w14:val="none"/>
        </w:rPr>
        <w:t xml:space="preserve"> admissions, particularly among individuals with severe complications of measles, such as pneumonia or encephalitis. This increased demand for healthcare services may lead to delays in accessing care, overcrowding in emergency departments and resource shortages, compromising patient outcomes and exacerbating healthcare disparities</w:t>
      </w:r>
      <w:r w:rsidR="00AC3720">
        <w:rPr>
          <w:rFonts w:ascii="Calibri" w:eastAsia="Times New Roman" w:hAnsi="Calibri" w:cs="Calibri"/>
          <w:color w:val="212121"/>
          <w:kern w:val="0"/>
          <w:sz w:val="24"/>
          <w:szCs w:val="24"/>
          <w:shd w:val="clear" w:color="auto" w:fill="FFFFFF"/>
          <w:lang w:eastAsia="en-GB"/>
          <w14:ligatures w14:val="none"/>
        </w:rPr>
        <w:t xml:space="preserve"> </w:t>
      </w:r>
      <w:r w:rsidR="00AC3720" w:rsidRPr="00AC3720">
        <w:rPr>
          <w:rFonts w:ascii="Calibri" w:eastAsia="Times New Roman" w:hAnsi="Calibri" w:cs="Calibri"/>
          <w:color w:val="212121"/>
          <w:kern w:val="0"/>
          <w:sz w:val="24"/>
          <w:szCs w:val="24"/>
          <w:shd w:val="clear" w:color="auto" w:fill="FFFFFF"/>
          <w:lang w:eastAsia="en-GB"/>
          <w14:ligatures w14:val="none"/>
        </w:rPr>
        <w:t>(Kostandova et al., 2022)</w:t>
      </w:r>
      <w:r w:rsidRPr="004549C0">
        <w:rPr>
          <w:rFonts w:ascii="Calibri" w:eastAsia="Times New Roman" w:hAnsi="Calibri" w:cs="Calibri"/>
          <w:color w:val="212121"/>
          <w:kern w:val="0"/>
          <w:sz w:val="24"/>
          <w:szCs w:val="24"/>
          <w:shd w:val="clear" w:color="auto" w:fill="FFFFFF"/>
          <w:lang w:eastAsia="en-GB"/>
          <w14:ligatures w14:val="none"/>
        </w:rPr>
        <w:t>.</w:t>
      </w:r>
    </w:p>
    <w:p w14:paraId="214B65A4"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648702C4" w14:textId="00C2C4B8"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In Wales, UK and globally, the impacts of measles on society, healthcare professionals and health and care services underscore the importance of comprehensive prevention and control strategies. Vaccination programs, surveillance systems, health education initiatives, and multidisciplinary collaborations are essential for minimizing the burden of measles and protecting population health. By addressing the societal, professional, and systemic implications of measles outbreaks, policymakers, healthcare leaders and public health practitioners can work together to strengthen resilience, promote equity and safeguard public health in Wales, UK and across the globe.</w:t>
      </w:r>
    </w:p>
    <w:p w14:paraId="2A821044" w14:textId="77777777" w:rsidR="004549C0" w:rsidRPr="004549C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5AB6CC3B" w14:textId="768C8F39" w:rsidR="000E4731" w:rsidRDefault="000E4731">
      <w:pPr>
        <w:rPr>
          <w:rFonts w:ascii="Calibri" w:eastAsia="Times New Roman" w:hAnsi="Calibri" w:cs="Calibri"/>
          <w:color w:val="212121"/>
          <w:kern w:val="0"/>
          <w:sz w:val="24"/>
          <w:szCs w:val="24"/>
          <w:shd w:val="clear" w:color="auto" w:fill="FFFFFF"/>
          <w:lang w:eastAsia="en-GB"/>
          <w14:ligatures w14:val="none"/>
        </w:rPr>
      </w:pPr>
      <w:r>
        <w:rPr>
          <w:rFonts w:ascii="Calibri" w:eastAsia="Times New Roman" w:hAnsi="Calibri" w:cs="Calibri"/>
          <w:color w:val="212121"/>
          <w:kern w:val="0"/>
          <w:sz w:val="24"/>
          <w:szCs w:val="24"/>
          <w:shd w:val="clear" w:color="auto" w:fill="FFFFFF"/>
          <w:lang w:eastAsia="en-GB"/>
          <w14:ligatures w14:val="none"/>
        </w:rPr>
        <w:br w:type="page"/>
      </w:r>
    </w:p>
    <w:p w14:paraId="31C5D0DF" w14:textId="662B2450" w:rsidR="004549C0" w:rsidRPr="000E4731" w:rsidRDefault="000E4731" w:rsidP="00AC2970">
      <w:pPr>
        <w:pStyle w:val="Heading1"/>
        <w:spacing w:line="360" w:lineRule="auto"/>
        <w:rPr>
          <w:rFonts w:ascii="Calibri Light" w:eastAsia="Times New Roman" w:hAnsi="Calibri Light" w:cs="Calibri Light"/>
          <w:b/>
          <w:bCs/>
          <w:color w:val="auto"/>
          <w:sz w:val="32"/>
          <w:szCs w:val="32"/>
          <w:shd w:val="clear" w:color="auto" w:fill="FFFFFF"/>
          <w:lang w:eastAsia="en-GB"/>
        </w:rPr>
      </w:pPr>
      <w:bookmarkStart w:id="16" w:name="_Toc164586715"/>
      <w:r>
        <w:rPr>
          <w:rFonts w:ascii="Calibri Light" w:eastAsia="Times New Roman" w:hAnsi="Calibri Light" w:cs="Calibri Light"/>
          <w:b/>
          <w:bCs/>
          <w:color w:val="auto"/>
          <w:sz w:val="32"/>
          <w:szCs w:val="32"/>
          <w:shd w:val="clear" w:color="auto" w:fill="FFFFFF"/>
          <w:lang w:eastAsia="en-GB"/>
        </w:rPr>
        <w:lastRenderedPageBreak/>
        <w:t xml:space="preserve">3.0 </w:t>
      </w:r>
      <w:r w:rsidR="004549C0" w:rsidRPr="000E4731">
        <w:rPr>
          <w:rFonts w:ascii="Calibri Light" w:eastAsia="Times New Roman" w:hAnsi="Calibri Light" w:cs="Calibri Light"/>
          <w:b/>
          <w:bCs/>
          <w:color w:val="auto"/>
          <w:sz w:val="32"/>
          <w:szCs w:val="32"/>
          <w:shd w:val="clear" w:color="auto" w:fill="FFFFFF"/>
          <w:lang w:eastAsia="en-GB"/>
        </w:rPr>
        <w:t>Conclusion</w:t>
      </w:r>
      <w:bookmarkEnd w:id="16"/>
    </w:p>
    <w:p w14:paraId="42B09453" w14:textId="77777777" w:rsidR="00AC3720"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Measles remains a significant public health challenge within Wales, UK, and globally, despite advances in vaccination and disease control efforts. This report has provided a comprehensive analysis of measles epidemiology, prevention, impacts, and public health responses, highlighting the multifaceted nature of the disease and its implications for society, healthcare professionals, and health and care </w:t>
      </w:r>
      <w:r w:rsidR="00D62866" w:rsidRPr="004549C0">
        <w:rPr>
          <w:rFonts w:ascii="Calibri" w:eastAsia="Times New Roman" w:hAnsi="Calibri" w:cs="Calibri"/>
          <w:color w:val="212121"/>
          <w:kern w:val="0"/>
          <w:sz w:val="24"/>
          <w:szCs w:val="24"/>
          <w:shd w:val="clear" w:color="auto" w:fill="FFFFFF"/>
          <w:lang w:eastAsia="en-GB"/>
          <w14:ligatures w14:val="none"/>
        </w:rPr>
        <w:t>services. In</w:t>
      </w:r>
      <w:r w:rsidRPr="004549C0">
        <w:rPr>
          <w:rFonts w:ascii="Calibri" w:eastAsia="Times New Roman" w:hAnsi="Calibri" w:cs="Calibri"/>
          <w:color w:val="212121"/>
          <w:kern w:val="0"/>
          <w:sz w:val="24"/>
          <w:szCs w:val="24"/>
          <w:shd w:val="clear" w:color="auto" w:fill="FFFFFF"/>
          <w:lang w:eastAsia="en-GB"/>
          <w14:ligatures w14:val="none"/>
        </w:rPr>
        <w:t xml:space="preserve"> Wales, vaccination programs, surveillance systems, and outbreak response measures play essential roles in preventing and controlling measles transmission. </w:t>
      </w:r>
    </w:p>
    <w:p w14:paraId="5B234F4E" w14:textId="77777777" w:rsidR="00AC3720" w:rsidRDefault="00AC372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p>
    <w:p w14:paraId="251D4197" w14:textId="2ACB624D" w:rsidR="00DC0CB1" w:rsidRDefault="004549C0" w:rsidP="004549C0">
      <w:pPr>
        <w:shd w:val="clear" w:color="auto" w:fill="FFFFFF"/>
        <w:spacing w:after="0" w:line="360" w:lineRule="auto"/>
        <w:rPr>
          <w:rFonts w:ascii="Calibri" w:eastAsia="Times New Roman" w:hAnsi="Calibri" w:cs="Calibri"/>
          <w:color w:val="212121"/>
          <w:kern w:val="0"/>
          <w:sz w:val="24"/>
          <w:szCs w:val="24"/>
          <w:shd w:val="clear" w:color="auto" w:fill="FFFFFF"/>
          <w:lang w:eastAsia="en-GB"/>
          <w14:ligatures w14:val="none"/>
        </w:rPr>
      </w:pPr>
      <w:r w:rsidRPr="004549C0">
        <w:rPr>
          <w:rFonts w:ascii="Calibri" w:eastAsia="Times New Roman" w:hAnsi="Calibri" w:cs="Calibri"/>
          <w:color w:val="212121"/>
          <w:kern w:val="0"/>
          <w:sz w:val="24"/>
          <w:szCs w:val="24"/>
          <w:shd w:val="clear" w:color="auto" w:fill="FFFFFF"/>
          <w:lang w:eastAsia="en-GB"/>
          <w14:ligatures w14:val="none"/>
        </w:rPr>
        <w:t>However, periodic outbreaks and pockets of vaccine hesitancy underscore the need for sustained efforts to maintain high vaccination coverage rates and address barriers to immuni</w:t>
      </w:r>
      <w:r w:rsidR="00AC3720">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 access and acceptance. Globally, measles elimination goals and vaccination campaigns aim to reduce measles incidence and mortality, particularly in regions with limited healthcare resources and infrastructure. Despite progress, challenges such as vaccine supply chain issues, funding gaps and vaccine misinformation persist, requiring coordinated action by governmental bodies, international organi</w:t>
      </w:r>
      <w:r w:rsidR="00AC3720">
        <w:rPr>
          <w:rFonts w:ascii="Calibri" w:eastAsia="Times New Roman" w:hAnsi="Calibri" w:cs="Calibri"/>
          <w:color w:val="212121"/>
          <w:kern w:val="0"/>
          <w:sz w:val="24"/>
          <w:szCs w:val="24"/>
          <w:shd w:val="clear" w:color="auto" w:fill="FFFFFF"/>
          <w:lang w:eastAsia="en-GB"/>
          <w14:ligatures w14:val="none"/>
        </w:rPr>
        <w:t>s</w:t>
      </w:r>
      <w:r w:rsidRPr="004549C0">
        <w:rPr>
          <w:rFonts w:ascii="Calibri" w:eastAsia="Times New Roman" w:hAnsi="Calibri" w:cs="Calibri"/>
          <w:color w:val="212121"/>
          <w:kern w:val="0"/>
          <w:sz w:val="24"/>
          <w:szCs w:val="24"/>
          <w:shd w:val="clear" w:color="auto" w:fill="FFFFFF"/>
          <w:lang w:eastAsia="en-GB"/>
          <w14:ligatures w14:val="none"/>
        </w:rPr>
        <w:t>ations and civil society stakeholders.</w:t>
      </w:r>
      <w:r>
        <w:rPr>
          <w:rFonts w:ascii="Calibri" w:eastAsia="Times New Roman" w:hAnsi="Calibri" w:cs="Calibri"/>
          <w:color w:val="212121"/>
          <w:kern w:val="0"/>
          <w:sz w:val="24"/>
          <w:szCs w:val="24"/>
          <w:shd w:val="clear" w:color="auto" w:fill="FFFFFF"/>
          <w:lang w:eastAsia="en-GB"/>
          <w14:ligatures w14:val="none"/>
        </w:rPr>
        <w:t xml:space="preserve"> </w:t>
      </w:r>
      <w:r w:rsidRPr="004549C0">
        <w:rPr>
          <w:rFonts w:ascii="Calibri" w:eastAsia="Times New Roman" w:hAnsi="Calibri" w:cs="Calibri"/>
          <w:color w:val="212121"/>
          <w:kern w:val="0"/>
          <w:sz w:val="24"/>
          <w:szCs w:val="24"/>
          <w:shd w:val="clear" w:color="auto" w:fill="FFFFFF"/>
          <w:lang w:eastAsia="en-GB"/>
          <w14:ligatures w14:val="none"/>
        </w:rPr>
        <w:t>The impacts of measles extend beyond individual health outcomes, affecting societal norms, healthcare delivery and public health infrastructure. Measles outbreaks strain healthcare professionals and services, disrupt social and economic activities and exacerbate health disparities, highlighting the interconnectedness of health outcomes and the importance of comprehensive prevention and control strategies.</w:t>
      </w:r>
    </w:p>
    <w:p w14:paraId="07EA6BD2" w14:textId="77777777" w:rsidR="00DC0CB1" w:rsidRDefault="00DC0CB1">
      <w:pPr>
        <w:rPr>
          <w:rFonts w:ascii="Calibri" w:eastAsia="Times New Roman" w:hAnsi="Calibri" w:cs="Calibri"/>
          <w:color w:val="212121"/>
          <w:kern w:val="0"/>
          <w:sz w:val="24"/>
          <w:szCs w:val="24"/>
          <w:shd w:val="clear" w:color="auto" w:fill="FFFFFF"/>
          <w:lang w:eastAsia="en-GB"/>
          <w14:ligatures w14:val="none"/>
        </w:rPr>
      </w:pPr>
      <w:r>
        <w:rPr>
          <w:rFonts w:ascii="Calibri" w:eastAsia="Times New Roman" w:hAnsi="Calibri" w:cs="Calibri"/>
          <w:color w:val="212121"/>
          <w:kern w:val="0"/>
          <w:sz w:val="24"/>
          <w:szCs w:val="24"/>
          <w:shd w:val="clear" w:color="auto" w:fill="FFFFFF"/>
          <w:lang w:eastAsia="en-GB"/>
          <w14:ligatures w14:val="none"/>
        </w:rPr>
        <w:br w:type="page"/>
      </w:r>
    </w:p>
    <w:p w14:paraId="03727C6E" w14:textId="3BBA5CD3" w:rsidR="004549C0" w:rsidRDefault="000E4731" w:rsidP="0050433C">
      <w:pPr>
        <w:pStyle w:val="Heading1"/>
        <w:spacing w:line="360" w:lineRule="auto"/>
        <w:rPr>
          <w:rFonts w:ascii="Calibri Light" w:eastAsia="Times New Roman" w:hAnsi="Calibri Light" w:cs="Calibri Light"/>
          <w:b/>
          <w:bCs/>
          <w:color w:val="auto"/>
          <w:sz w:val="32"/>
          <w:szCs w:val="32"/>
          <w:shd w:val="clear" w:color="auto" w:fill="FFFFFF"/>
          <w:lang w:eastAsia="en-GB"/>
        </w:rPr>
      </w:pPr>
      <w:bookmarkStart w:id="17" w:name="_Toc164586716"/>
      <w:r>
        <w:rPr>
          <w:rFonts w:ascii="Calibri Light" w:eastAsia="Times New Roman" w:hAnsi="Calibri Light" w:cs="Calibri Light"/>
          <w:b/>
          <w:bCs/>
          <w:color w:val="auto"/>
          <w:sz w:val="32"/>
          <w:szCs w:val="32"/>
          <w:shd w:val="clear" w:color="auto" w:fill="FFFFFF"/>
          <w:lang w:eastAsia="en-GB"/>
        </w:rPr>
        <w:lastRenderedPageBreak/>
        <w:t xml:space="preserve">4.0 </w:t>
      </w:r>
      <w:r w:rsidR="00DC0CB1" w:rsidRPr="00DC0CB1">
        <w:rPr>
          <w:rFonts w:ascii="Calibri Light" w:eastAsia="Times New Roman" w:hAnsi="Calibri Light" w:cs="Calibri Light"/>
          <w:b/>
          <w:bCs/>
          <w:color w:val="auto"/>
          <w:sz w:val="32"/>
          <w:szCs w:val="32"/>
          <w:shd w:val="clear" w:color="auto" w:fill="FFFFFF"/>
          <w:lang w:eastAsia="en-GB"/>
        </w:rPr>
        <w:t>References</w:t>
      </w:r>
      <w:bookmarkEnd w:id="17"/>
    </w:p>
    <w:p w14:paraId="749C1BC9" w14:textId="67F9C0A1" w:rsidR="007535BD" w:rsidRPr="00233BC1" w:rsidRDefault="007535BD" w:rsidP="007535BD">
      <w:pPr>
        <w:pStyle w:val="NormalWeb"/>
        <w:spacing w:before="0" w:beforeAutospacing="0" w:after="240" w:afterAutospacing="0" w:line="360" w:lineRule="auto"/>
        <w:rPr>
          <w:rFonts w:ascii="Calibri" w:hAnsi="Calibri" w:cs="Calibri"/>
        </w:rPr>
      </w:pPr>
      <w:r w:rsidRPr="00233BC1">
        <w:rPr>
          <w:rFonts w:ascii="Calibri" w:hAnsi="Calibri" w:cs="Calibri"/>
        </w:rPr>
        <w:t xml:space="preserve">Antabe, R. and Ziegler, B.R. (2020). Diseases, Emerging and Infectious. </w:t>
      </w:r>
      <w:r w:rsidRPr="00233BC1">
        <w:rPr>
          <w:rFonts w:ascii="Calibri" w:hAnsi="Calibri" w:cs="Calibri"/>
          <w:i/>
          <w:iCs/>
        </w:rPr>
        <w:t>International Encyclopedia of Human Geography</w:t>
      </w:r>
      <w:r w:rsidRPr="00233BC1">
        <w:rPr>
          <w:rFonts w:ascii="Calibri" w:hAnsi="Calibri" w:cs="Calibri"/>
        </w:rPr>
        <w:t xml:space="preserve">, [online] pp.389–391. </w:t>
      </w:r>
      <w:r w:rsidR="00AC2970" w:rsidRPr="00233BC1">
        <w:rPr>
          <w:rFonts w:ascii="Calibri" w:hAnsi="Calibri" w:cs="Calibri"/>
        </w:rPr>
        <w:t>Doi</w:t>
      </w:r>
      <w:r w:rsidRPr="00233BC1">
        <w:rPr>
          <w:rFonts w:ascii="Calibri" w:hAnsi="Calibri" w:cs="Calibri"/>
        </w:rPr>
        <w:t>:</w:t>
      </w:r>
      <w:r w:rsidR="00233BC1">
        <w:rPr>
          <w:rFonts w:ascii="Calibri" w:hAnsi="Calibri" w:cs="Calibri"/>
        </w:rPr>
        <w:t xml:space="preserve"> </w:t>
      </w:r>
      <w:hyperlink r:id="rId10" w:history="1">
        <w:r w:rsidR="00C612BC" w:rsidRPr="008C63BB">
          <w:rPr>
            <w:rStyle w:val="Hyperlink"/>
            <w:rFonts w:ascii="Calibri" w:hAnsi="Calibri" w:cs="Calibri"/>
          </w:rPr>
          <w:t>https://doi.org/10.1016/b978-0-08-102295-5.10439-1</w:t>
        </w:r>
      </w:hyperlink>
      <w:r w:rsidRPr="00233BC1">
        <w:rPr>
          <w:rFonts w:ascii="Calibri" w:hAnsi="Calibri" w:cs="Calibri"/>
        </w:rPr>
        <w:t>.</w:t>
      </w:r>
    </w:p>
    <w:p w14:paraId="1CE40FCE" w14:textId="3BEEEFB4" w:rsidR="00233BC1" w:rsidRDefault="00233BC1" w:rsidP="00233BC1">
      <w:pPr>
        <w:pStyle w:val="NormalWeb"/>
        <w:spacing w:before="0" w:beforeAutospacing="0" w:after="240" w:afterAutospacing="0" w:line="360" w:lineRule="auto"/>
        <w:rPr>
          <w:rFonts w:ascii="Calibri" w:hAnsi="Calibri" w:cs="Calibri"/>
        </w:rPr>
      </w:pPr>
      <w:r w:rsidRPr="00233BC1">
        <w:rPr>
          <w:rFonts w:ascii="Calibri" w:hAnsi="Calibri" w:cs="Calibri"/>
        </w:rPr>
        <w:t xml:space="preserve">Davis, N. (2024). UK measles outbreaks: why are cases rising and vaccination rates falling? </w:t>
      </w:r>
      <w:r w:rsidRPr="00233BC1">
        <w:rPr>
          <w:rFonts w:ascii="Calibri" w:hAnsi="Calibri" w:cs="Calibri"/>
          <w:i/>
          <w:iCs/>
        </w:rPr>
        <w:t>The Guardian</w:t>
      </w:r>
      <w:r w:rsidRPr="00233BC1">
        <w:rPr>
          <w:rFonts w:ascii="Calibri" w:hAnsi="Calibri" w:cs="Calibri"/>
        </w:rPr>
        <w:t xml:space="preserve">. [online] 20 Jan. Available at: </w:t>
      </w:r>
      <w:hyperlink r:id="rId11" w:history="1">
        <w:r w:rsidR="00C612BC" w:rsidRPr="008C63BB">
          <w:rPr>
            <w:rStyle w:val="Hyperlink"/>
            <w:rFonts w:ascii="Calibri" w:hAnsi="Calibri" w:cs="Calibri"/>
          </w:rPr>
          <w:t>https://www.theguardian.com/society/2024/jan/20/uk-measles-outbreaks-why-are-cases-rising-and-vaccination-rates-falling</w:t>
        </w:r>
      </w:hyperlink>
      <w:r w:rsidRPr="00233BC1">
        <w:rPr>
          <w:rFonts w:ascii="Calibri" w:hAnsi="Calibri" w:cs="Calibri"/>
        </w:rPr>
        <w:t xml:space="preserve"> [Accessed 20 Apr. 2024].</w:t>
      </w:r>
    </w:p>
    <w:p w14:paraId="29CB446B" w14:textId="3EA38A56" w:rsidR="00071CA8" w:rsidRPr="00071CA8" w:rsidRDefault="00071CA8" w:rsidP="00071CA8">
      <w:pPr>
        <w:pStyle w:val="NormalWeb"/>
        <w:spacing w:before="0" w:beforeAutospacing="0" w:after="240" w:afterAutospacing="0" w:line="360" w:lineRule="auto"/>
        <w:rPr>
          <w:rFonts w:ascii="Calibri" w:hAnsi="Calibri" w:cs="Calibri"/>
        </w:rPr>
      </w:pPr>
      <w:r w:rsidRPr="00071CA8">
        <w:rPr>
          <w:rFonts w:ascii="Calibri" w:hAnsi="Calibri" w:cs="Calibri"/>
        </w:rPr>
        <w:t xml:space="preserve">Gastañaduy, P.A., Banerjee, E., DeBolt, C., Bravo-Alcántara, P., Samad, S.A., Pastor, D., Rota, P.A., Patel, M., Crowcroft, N.S. and Durrheim, D.N. (2018). Public Health Responses during Measles Outbreaks in Elimination settings: Strategies and Challenges. </w:t>
      </w:r>
      <w:r w:rsidRPr="00071CA8">
        <w:rPr>
          <w:rFonts w:ascii="Calibri" w:hAnsi="Calibri" w:cs="Calibri"/>
          <w:i/>
          <w:iCs/>
        </w:rPr>
        <w:t>Human Vaccines &amp; Immunotherapeutics</w:t>
      </w:r>
      <w:r w:rsidRPr="00071CA8">
        <w:rPr>
          <w:rFonts w:ascii="Calibri" w:hAnsi="Calibri" w:cs="Calibri"/>
        </w:rPr>
        <w:t xml:space="preserve">, 14(9), pp.2222–2238. </w:t>
      </w:r>
      <w:r w:rsidR="00AC2970" w:rsidRPr="00071CA8">
        <w:rPr>
          <w:rFonts w:ascii="Calibri" w:hAnsi="Calibri" w:cs="Calibri"/>
        </w:rPr>
        <w:t>Doi</w:t>
      </w:r>
      <w:r w:rsidRPr="00071CA8">
        <w:rPr>
          <w:rFonts w:ascii="Calibri" w:hAnsi="Calibri" w:cs="Calibri"/>
        </w:rPr>
        <w:t>:</w:t>
      </w:r>
      <w:r>
        <w:rPr>
          <w:rFonts w:ascii="Calibri" w:hAnsi="Calibri" w:cs="Calibri"/>
        </w:rPr>
        <w:t xml:space="preserve"> </w:t>
      </w:r>
      <w:hyperlink r:id="rId12" w:history="1">
        <w:r w:rsidR="00C612BC" w:rsidRPr="008C63BB">
          <w:rPr>
            <w:rStyle w:val="Hyperlink"/>
            <w:rFonts w:ascii="Calibri" w:hAnsi="Calibri" w:cs="Calibri"/>
          </w:rPr>
          <w:t>https://doi.org/10.1080/21645515.2018.1474310</w:t>
        </w:r>
      </w:hyperlink>
      <w:r w:rsidRPr="00071CA8">
        <w:rPr>
          <w:rFonts w:ascii="Calibri" w:hAnsi="Calibri" w:cs="Calibri"/>
        </w:rPr>
        <w:t>.</w:t>
      </w:r>
    </w:p>
    <w:p w14:paraId="53940BEA" w14:textId="28256A44" w:rsidR="000E4731" w:rsidRDefault="000E4731" w:rsidP="000E4731">
      <w:pPr>
        <w:pStyle w:val="NormalWeb"/>
        <w:spacing w:before="0" w:beforeAutospacing="0" w:after="240" w:afterAutospacing="0" w:line="360" w:lineRule="auto"/>
        <w:rPr>
          <w:rFonts w:ascii="Calibri" w:hAnsi="Calibri" w:cs="Calibri"/>
        </w:rPr>
      </w:pPr>
      <w:r w:rsidRPr="000E4731">
        <w:rPr>
          <w:rFonts w:ascii="Calibri" w:hAnsi="Calibri" w:cs="Calibri"/>
        </w:rPr>
        <w:t xml:space="preserve">Gastañaduy, P.A., Goodson, J.L., Panagiotakopoulos, L., Rota, P.A., Orenstein, W.A. and Patel, M. (2021). Measles in the 21st Century: Progress Toward Achieving and Sustaining Elimination. </w:t>
      </w:r>
      <w:r w:rsidRPr="000E4731">
        <w:rPr>
          <w:rFonts w:ascii="Calibri" w:hAnsi="Calibri" w:cs="Calibri"/>
          <w:i/>
          <w:iCs/>
        </w:rPr>
        <w:t>The Journal of Infectious Diseases</w:t>
      </w:r>
      <w:r w:rsidRPr="000E4731">
        <w:rPr>
          <w:rFonts w:ascii="Calibri" w:hAnsi="Calibri" w:cs="Calibri"/>
        </w:rPr>
        <w:t>, [online] 224(Supplement_4), pp.</w:t>
      </w:r>
      <w:r w:rsidR="00071CA8">
        <w:rPr>
          <w:rFonts w:ascii="Calibri" w:hAnsi="Calibri" w:cs="Calibri"/>
        </w:rPr>
        <w:t xml:space="preserve"> </w:t>
      </w:r>
      <w:r w:rsidRPr="000E4731">
        <w:rPr>
          <w:rFonts w:ascii="Calibri" w:hAnsi="Calibri" w:cs="Calibri"/>
        </w:rPr>
        <w:t xml:space="preserve">S420–S428. </w:t>
      </w:r>
      <w:r w:rsidR="00AC2970" w:rsidRPr="000E4731">
        <w:rPr>
          <w:rFonts w:ascii="Calibri" w:hAnsi="Calibri" w:cs="Calibri"/>
        </w:rPr>
        <w:t>Doi</w:t>
      </w:r>
      <w:r w:rsidRPr="000E4731">
        <w:rPr>
          <w:rFonts w:ascii="Calibri" w:hAnsi="Calibri" w:cs="Calibri"/>
        </w:rPr>
        <w:t xml:space="preserve">: </w:t>
      </w:r>
      <w:hyperlink r:id="rId13" w:history="1">
        <w:r w:rsidR="00C612BC" w:rsidRPr="008C63BB">
          <w:rPr>
            <w:rStyle w:val="Hyperlink"/>
            <w:rFonts w:ascii="Calibri" w:hAnsi="Calibri" w:cs="Calibri"/>
          </w:rPr>
          <w:t>https://doi.org/10.1093/infdis/jiaa793</w:t>
        </w:r>
      </w:hyperlink>
      <w:r w:rsidRPr="000E4731">
        <w:rPr>
          <w:rFonts w:ascii="Calibri" w:hAnsi="Calibri" w:cs="Calibri"/>
        </w:rPr>
        <w:t>.</w:t>
      </w:r>
    </w:p>
    <w:p w14:paraId="6ADDA419" w14:textId="59F0882F" w:rsidR="007865F8" w:rsidRPr="000E4731" w:rsidRDefault="007865F8" w:rsidP="000E4731">
      <w:pPr>
        <w:pStyle w:val="NormalWeb"/>
        <w:spacing w:before="0" w:beforeAutospacing="0" w:after="240" w:afterAutospacing="0" w:line="360" w:lineRule="auto"/>
        <w:rPr>
          <w:rFonts w:ascii="Calibri" w:hAnsi="Calibri" w:cs="Calibri"/>
        </w:rPr>
      </w:pPr>
      <w:r w:rsidRPr="007865F8">
        <w:rPr>
          <w:rFonts w:ascii="Calibri" w:hAnsi="Calibri" w:cs="Calibri"/>
        </w:rPr>
        <w:t xml:space="preserve">Goldenberg, M.J. (2021). </w:t>
      </w:r>
      <w:r w:rsidRPr="002D3BE4">
        <w:rPr>
          <w:rFonts w:ascii="Calibri" w:hAnsi="Calibri" w:cs="Calibri"/>
          <w:i/>
          <w:iCs/>
        </w:rPr>
        <w:t xml:space="preserve">Vaccine hesitancy: public trust, expertise, and the war on science. </w:t>
      </w:r>
      <w:r w:rsidRPr="007865F8">
        <w:rPr>
          <w:rFonts w:ascii="Calibri" w:hAnsi="Calibri" w:cs="Calibri"/>
        </w:rPr>
        <w:t xml:space="preserve">Pittsburgh, Pa.: University </w:t>
      </w:r>
      <w:r w:rsidR="000D2DE9" w:rsidRPr="007865F8">
        <w:rPr>
          <w:rFonts w:ascii="Calibri" w:hAnsi="Calibri" w:cs="Calibri"/>
        </w:rPr>
        <w:t>of</w:t>
      </w:r>
      <w:r w:rsidRPr="007865F8">
        <w:rPr>
          <w:rFonts w:ascii="Calibri" w:hAnsi="Calibri" w:cs="Calibri"/>
        </w:rPr>
        <w:t xml:space="preserve"> Pittsburgh Press.</w:t>
      </w:r>
    </w:p>
    <w:p w14:paraId="4D2B3E9C" w14:textId="435E4B20" w:rsidR="0017380B" w:rsidRDefault="0017380B" w:rsidP="0017380B">
      <w:pPr>
        <w:pStyle w:val="NormalWeb"/>
        <w:spacing w:before="0" w:beforeAutospacing="0" w:after="240" w:afterAutospacing="0" w:line="360" w:lineRule="auto"/>
        <w:rPr>
          <w:rFonts w:ascii="Calibri" w:hAnsi="Calibri" w:cs="Calibri"/>
        </w:rPr>
      </w:pPr>
      <w:r w:rsidRPr="00233BC1">
        <w:rPr>
          <w:rFonts w:ascii="Calibri" w:hAnsi="Calibri" w:cs="Calibri"/>
        </w:rPr>
        <w:t xml:space="preserve">Harvy, K. (2022). </w:t>
      </w:r>
      <w:r w:rsidRPr="00233BC1">
        <w:rPr>
          <w:rFonts w:ascii="Calibri" w:hAnsi="Calibri" w:cs="Calibri"/>
          <w:i/>
          <w:iCs/>
        </w:rPr>
        <w:t>MEASLES COUNTERVAIL GUIDE: The Revolution Guide Which Discloses</w:t>
      </w:r>
      <w:r w:rsidR="00233BC1">
        <w:rPr>
          <w:rFonts w:ascii="Calibri" w:hAnsi="Calibri" w:cs="Calibri"/>
          <w:i/>
          <w:iCs/>
        </w:rPr>
        <w:t xml:space="preserve"> </w:t>
      </w:r>
      <w:r w:rsidRPr="00233BC1">
        <w:rPr>
          <w:rFonts w:ascii="Calibri" w:hAnsi="Calibri" w:cs="Calibri"/>
          <w:i/>
          <w:iCs/>
        </w:rPr>
        <w:t>The Advanced Means For Treatment, Prevention, Using Alternative Cures, And More</w:t>
      </w:r>
      <w:r w:rsidRPr="00233BC1">
        <w:rPr>
          <w:rFonts w:ascii="Calibri" w:hAnsi="Calibri" w:cs="Calibri"/>
        </w:rPr>
        <w:t>. Independently Published.</w:t>
      </w:r>
    </w:p>
    <w:p w14:paraId="6B6A0F74" w14:textId="16B5D828" w:rsidR="00AC3720" w:rsidRPr="00AC3720" w:rsidRDefault="00AC3720" w:rsidP="00AC3720">
      <w:pPr>
        <w:pStyle w:val="NormalWeb"/>
        <w:spacing w:before="0" w:beforeAutospacing="0" w:after="240" w:afterAutospacing="0" w:line="360" w:lineRule="auto"/>
        <w:rPr>
          <w:rFonts w:ascii="Calibri" w:hAnsi="Calibri" w:cs="Calibri"/>
        </w:rPr>
      </w:pPr>
      <w:r w:rsidRPr="00AC3720">
        <w:rPr>
          <w:rFonts w:ascii="Calibri" w:hAnsi="Calibri" w:cs="Calibri"/>
        </w:rPr>
        <w:t xml:space="preserve">Kostandova, N., Loisate, S., Winter, A., Moss, W.J., Giles, J.R., Metcalf, C.J.E., Mutembo, S. and Wesolowski, A. (2022). Impact of disruptions to routine vaccination programs, quantifying burden of measles, and mapping targeted supplementary immunization activities. </w:t>
      </w:r>
      <w:r w:rsidRPr="00AC3720">
        <w:rPr>
          <w:rFonts w:ascii="Calibri" w:hAnsi="Calibri" w:cs="Calibri"/>
          <w:i/>
          <w:iCs/>
        </w:rPr>
        <w:t>Epidemics</w:t>
      </w:r>
      <w:r w:rsidRPr="00AC3720">
        <w:rPr>
          <w:rFonts w:ascii="Calibri" w:hAnsi="Calibri" w:cs="Calibri"/>
        </w:rPr>
        <w:t xml:space="preserve">, 41, p.100647. </w:t>
      </w:r>
      <w:r w:rsidR="00AC2970" w:rsidRPr="00AC3720">
        <w:rPr>
          <w:rFonts w:ascii="Calibri" w:hAnsi="Calibri" w:cs="Calibri"/>
        </w:rPr>
        <w:t>Doi</w:t>
      </w:r>
      <w:r w:rsidRPr="00AC3720">
        <w:rPr>
          <w:rFonts w:ascii="Calibri" w:hAnsi="Calibri" w:cs="Calibri"/>
        </w:rPr>
        <w:t xml:space="preserve">: </w:t>
      </w:r>
      <w:hyperlink r:id="rId14" w:history="1">
        <w:r w:rsidR="00C612BC" w:rsidRPr="008C63BB">
          <w:rPr>
            <w:rStyle w:val="Hyperlink"/>
            <w:rFonts w:ascii="Calibri" w:hAnsi="Calibri" w:cs="Calibri"/>
          </w:rPr>
          <w:t>https://doi.org/10.1016/j.epidem.2022.100647</w:t>
        </w:r>
      </w:hyperlink>
      <w:r w:rsidRPr="00AC3720">
        <w:rPr>
          <w:rFonts w:ascii="Calibri" w:hAnsi="Calibri" w:cs="Calibri"/>
        </w:rPr>
        <w:t>.</w:t>
      </w:r>
    </w:p>
    <w:p w14:paraId="6AFFCD80" w14:textId="77777777" w:rsidR="00AC3720" w:rsidRDefault="00AC3720" w:rsidP="0017380B">
      <w:pPr>
        <w:pStyle w:val="NormalWeb"/>
        <w:spacing w:before="0" w:beforeAutospacing="0" w:after="240" w:afterAutospacing="0" w:line="360" w:lineRule="auto"/>
        <w:rPr>
          <w:rFonts w:ascii="Calibri" w:hAnsi="Calibri" w:cs="Calibri"/>
        </w:rPr>
      </w:pPr>
    </w:p>
    <w:p w14:paraId="12C6D34D" w14:textId="75F24FD7" w:rsidR="00F336F1" w:rsidRPr="00F336F1" w:rsidRDefault="00F336F1" w:rsidP="00F336F1">
      <w:pPr>
        <w:pStyle w:val="NormalWeb"/>
        <w:spacing w:before="0" w:beforeAutospacing="0" w:after="240" w:afterAutospacing="0" w:line="360" w:lineRule="auto"/>
        <w:rPr>
          <w:rFonts w:ascii="Calibri" w:hAnsi="Calibri" w:cs="Calibri"/>
        </w:rPr>
      </w:pPr>
      <w:r w:rsidRPr="00F336F1">
        <w:rPr>
          <w:rFonts w:ascii="Calibri" w:hAnsi="Calibri" w:cs="Calibri"/>
        </w:rPr>
        <w:lastRenderedPageBreak/>
        <w:t xml:space="preserve">McKinley, N., McCain, R.S., Convie, L., Clarke, M., Dempster, M., Campbell, W.J. and Kirk, S.J. (2020). Resilience, burnout and coping mechanisms in UK doctors: a cross-sectional study. </w:t>
      </w:r>
      <w:r w:rsidRPr="00F336F1">
        <w:rPr>
          <w:rFonts w:ascii="Calibri" w:hAnsi="Calibri" w:cs="Calibri"/>
          <w:i/>
          <w:iCs/>
        </w:rPr>
        <w:t>BMJ Open</w:t>
      </w:r>
      <w:r w:rsidRPr="00F336F1">
        <w:rPr>
          <w:rFonts w:ascii="Calibri" w:hAnsi="Calibri" w:cs="Calibri"/>
        </w:rPr>
        <w:t xml:space="preserve">, [online] 10(1), p.e031765. </w:t>
      </w:r>
      <w:r w:rsidR="00AC2970" w:rsidRPr="00F336F1">
        <w:rPr>
          <w:rFonts w:ascii="Calibri" w:hAnsi="Calibri" w:cs="Calibri"/>
        </w:rPr>
        <w:t>Doi</w:t>
      </w:r>
      <w:r w:rsidRPr="00F336F1">
        <w:rPr>
          <w:rFonts w:ascii="Calibri" w:hAnsi="Calibri" w:cs="Calibri"/>
        </w:rPr>
        <w:t xml:space="preserve">: </w:t>
      </w:r>
      <w:hyperlink r:id="rId15" w:history="1">
        <w:r w:rsidR="00C612BC" w:rsidRPr="008C63BB">
          <w:rPr>
            <w:rStyle w:val="Hyperlink"/>
            <w:rFonts w:ascii="Calibri" w:hAnsi="Calibri" w:cs="Calibri"/>
          </w:rPr>
          <w:t>https://doi.org/10.1136/bmjopen-2019-031765</w:t>
        </w:r>
      </w:hyperlink>
      <w:r w:rsidRPr="00F336F1">
        <w:rPr>
          <w:rFonts w:ascii="Calibri" w:hAnsi="Calibri" w:cs="Calibri"/>
        </w:rPr>
        <w:t>.</w:t>
      </w:r>
    </w:p>
    <w:p w14:paraId="3FE78E69" w14:textId="22C7B7AC" w:rsidR="00DC0CB1" w:rsidRPr="00233BC1" w:rsidRDefault="00DC0CB1" w:rsidP="00DC0CB1">
      <w:pPr>
        <w:pStyle w:val="NormalWeb"/>
        <w:spacing w:before="0" w:beforeAutospacing="0" w:after="240" w:afterAutospacing="0" w:line="360" w:lineRule="auto"/>
        <w:rPr>
          <w:rFonts w:ascii="Calibri" w:hAnsi="Calibri" w:cs="Calibri"/>
        </w:rPr>
      </w:pPr>
      <w:r w:rsidRPr="00233BC1">
        <w:rPr>
          <w:rFonts w:ascii="Calibri" w:hAnsi="Calibri" w:cs="Calibri"/>
        </w:rPr>
        <w:t xml:space="preserve">Minta, A.A. (2023). Progress Toward Measles Elimination — Worldwide, 2000–2022. </w:t>
      </w:r>
      <w:r w:rsidRPr="00233BC1">
        <w:rPr>
          <w:rFonts w:ascii="Calibri" w:hAnsi="Calibri" w:cs="Calibri"/>
          <w:i/>
          <w:iCs/>
        </w:rPr>
        <w:t>MMWR. Morbidity and Mortality Weekly Report</w:t>
      </w:r>
      <w:r w:rsidRPr="00233BC1">
        <w:rPr>
          <w:rFonts w:ascii="Calibri" w:hAnsi="Calibri" w:cs="Calibri"/>
        </w:rPr>
        <w:t xml:space="preserve">, [online] 72. </w:t>
      </w:r>
      <w:r w:rsidR="00AC2970" w:rsidRPr="00233BC1">
        <w:rPr>
          <w:rFonts w:ascii="Calibri" w:hAnsi="Calibri" w:cs="Calibri"/>
        </w:rPr>
        <w:t>Doi</w:t>
      </w:r>
      <w:r w:rsidRPr="00233BC1">
        <w:rPr>
          <w:rFonts w:ascii="Calibri" w:hAnsi="Calibri" w:cs="Calibri"/>
        </w:rPr>
        <w:t xml:space="preserve">: </w:t>
      </w:r>
      <w:hyperlink r:id="rId16" w:history="1">
        <w:r w:rsidR="00D14D0A" w:rsidRPr="00233BC1">
          <w:rPr>
            <w:rStyle w:val="Hyperlink"/>
            <w:rFonts w:ascii="Calibri" w:hAnsi="Calibri" w:cs="Calibri"/>
          </w:rPr>
          <w:t>https://doi.org/10.15585/mmwr.mm7246a3</w:t>
        </w:r>
      </w:hyperlink>
      <w:r w:rsidRPr="00233BC1">
        <w:rPr>
          <w:rFonts w:ascii="Calibri" w:hAnsi="Calibri" w:cs="Calibri"/>
        </w:rPr>
        <w:t>.</w:t>
      </w:r>
    </w:p>
    <w:p w14:paraId="7BF66F89" w14:textId="786D0EA4" w:rsidR="00D14D0A" w:rsidRPr="00233BC1" w:rsidRDefault="00D14D0A" w:rsidP="00D14D0A">
      <w:pPr>
        <w:pStyle w:val="NormalWeb"/>
        <w:spacing w:before="0" w:beforeAutospacing="0" w:after="240" w:afterAutospacing="0" w:line="360" w:lineRule="auto"/>
        <w:rPr>
          <w:rFonts w:ascii="Calibri" w:hAnsi="Calibri" w:cs="Calibri"/>
        </w:rPr>
      </w:pPr>
      <w:r w:rsidRPr="00233BC1">
        <w:rPr>
          <w:rFonts w:ascii="Calibri" w:hAnsi="Calibri" w:cs="Calibri"/>
        </w:rPr>
        <w:t xml:space="preserve">Miyahara, H., Akagi, A., Riku, Y., Sone, J., Otsuka, Y., Sakai, M., Kuru, S., Hasegawa, M., Yoshida, M., Kakita, A. and Iwasaki, Y. (2022). Independent distribution between tauopathy secondary to subacute sclerotic panencephalitis and measles virus: An immunohistochemical analysis in autopsy cases including cases treated with aggressive antiviral therapies. </w:t>
      </w:r>
      <w:r w:rsidRPr="00233BC1">
        <w:rPr>
          <w:rFonts w:ascii="Calibri" w:hAnsi="Calibri" w:cs="Calibri"/>
          <w:i/>
          <w:iCs/>
        </w:rPr>
        <w:t>Brain Pathology</w:t>
      </w:r>
      <w:r w:rsidRPr="00233BC1">
        <w:rPr>
          <w:rFonts w:ascii="Calibri" w:hAnsi="Calibri" w:cs="Calibri"/>
        </w:rPr>
        <w:t xml:space="preserve">. </w:t>
      </w:r>
      <w:r w:rsidR="00AC2970" w:rsidRPr="00233BC1">
        <w:rPr>
          <w:rFonts w:ascii="Calibri" w:hAnsi="Calibri" w:cs="Calibri"/>
        </w:rPr>
        <w:t>Doi</w:t>
      </w:r>
      <w:r w:rsidRPr="00233BC1">
        <w:rPr>
          <w:rFonts w:ascii="Calibri" w:hAnsi="Calibri" w:cs="Calibri"/>
        </w:rPr>
        <w:t xml:space="preserve">: </w:t>
      </w:r>
      <w:hyperlink r:id="rId17" w:history="1">
        <w:r w:rsidR="0017380B" w:rsidRPr="00233BC1">
          <w:rPr>
            <w:rStyle w:val="Hyperlink"/>
            <w:rFonts w:ascii="Calibri" w:hAnsi="Calibri" w:cs="Calibri"/>
          </w:rPr>
          <w:t>https://doi.org/10.1111/bpa.13069</w:t>
        </w:r>
      </w:hyperlink>
      <w:r w:rsidRPr="00233BC1">
        <w:rPr>
          <w:rFonts w:ascii="Calibri" w:hAnsi="Calibri" w:cs="Calibri"/>
        </w:rPr>
        <w:t>.</w:t>
      </w:r>
    </w:p>
    <w:p w14:paraId="29CF66AA" w14:textId="0AC7DB61" w:rsidR="0050433C" w:rsidRDefault="0050433C" w:rsidP="0050433C">
      <w:pPr>
        <w:pStyle w:val="NormalWeb"/>
        <w:spacing w:before="0" w:beforeAutospacing="0" w:after="240" w:afterAutospacing="0" w:line="360" w:lineRule="auto"/>
        <w:rPr>
          <w:rFonts w:ascii="Calibri" w:hAnsi="Calibri" w:cs="Calibri"/>
        </w:rPr>
      </w:pPr>
      <w:r w:rsidRPr="00233BC1">
        <w:rPr>
          <w:rFonts w:ascii="Calibri" w:hAnsi="Calibri" w:cs="Calibri"/>
        </w:rPr>
        <w:t xml:space="preserve">Perry, M., Cottrell, S., Gravenor, M.B. and Griffiths, L. (2023). Determinants of Equity in Coverage of Measles-Containing Vaccines in Wales, UK, during the Elimination Era. </w:t>
      </w:r>
      <w:r w:rsidRPr="00233BC1">
        <w:rPr>
          <w:rFonts w:ascii="Calibri" w:hAnsi="Calibri" w:cs="Calibri"/>
          <w:i/>
          <w:iCs/>
        </w:rPr>
        <w:t>Vaccines</w:t>
      </w:r>
      <w:r w:rsidRPr="00233BC1">
        <w:rPr>
          <w:rFonts w:ascii="Calibri" w:hAnsi="Calibri" w:cs="Calibri"/>
        </w:rPr>
        <w:t xml:space="preserve">, 11(3), p.680. </w:t>
      </w:r>
      <w:r w:rsidR="00AC2970" w:rsidRPr="00233BC1">
        <w:rPr>
          <w:rFonts w:ascii="Calibri" w:hAnsi="Calibri" w:cs="Calibri"/>
        </w:rPr>
        <w:t>Doi</w:t>
      </w:r>
      <w:r w:rsidRPr="00233BC1">
        <w:rPr>
          <w:rFonts w:ascii="Calibri" w:hAnsi="Calibri" w:cs="Calibri"/>
        </w:rPr>
        <w:t xml:space="preserve">: </w:t>
      </w:r>
      <w:hyperlink r:id="rId18" w:history="1">
        <w:r w:rsidR="007F67B8" w:rsidRPr="001D05B6">
          <w:rPr>
            <w:rStyle w:val="Hyperlink"/>
            <w:rFonts w:ascii="Calibri" w:hAnsi="Calibri" w:cs="Calibri"/>
          </w:rPr>
          <w:t>https://doi.org/10.3390/vaccines11030680</w:t>
        </w:r>
      </w:hyperlink>
      <w:r w:rsidRPr="00233BC1">
        <w:rPr>
          <w:rFonts w:ascii="Calibri" w:hAnsi="Calibri" w:cs="Calibri"/>
        </w:rPr>
        <w:t>.</w:t>
      </w:r>
    </w:p>
    <w:p w14:paraId="38328F27" w14:textId="65CBB174" w:rsidR="00F336F1" w:rsidRPr="00F336F1" w:rsidRDefault="00F336F1" w:rsidP="00F336F1">
      <w:pPr>
        <w:pStyle w:val="NormalWeb"/>
        <w:spacing w:before="0" w:beforeAutospacing="0" w:after="240" w:afterAutospacing="0" w:line="360" w:lineRule="auto"/>
        <w:rPr>
          <w:rFonts w:ascii="Calibri" w:hAnsi="Calibri" w:cs="Calibri"/>
        </w:rPr>
      </w:pPr>
      <w:r w:rsidRPr="00F336F1">
        <w:rPr>
          <w:rFonts w:ascii="Calibri" w:hAnsi="Calibri" w:cs="Calibri"/>
        </w:rPr>
        <w:t xml:space="preserve">Pike, J., Melnick, A., Gastañaduy, P.A., Kay, M., Harbison, J., Leidner, A.J., Rice, S., Asato, K., Schwartz, L. and DeBolt, C. (2021). Societal Costs of a Measles Outbreak. </w:t>
      </w:r>
      <w:r w:rsidRPr="00F336F1">
        <w:rPr>
          <w:rFonts w:ascii="Calibri" w:hAnsi="Calibri" w:cs="Calibri"/>
          <w:i/>
          <w:iCs/>
        </w:rPr>
        <w:t>Pediatrics</w:t>
      </w:r>
      <w:r w:rsidRPr="00F336F1">
        <w:rPr>
          <w:rFonts w:ascii="Calibri" w:hAnsi="Calibri" w:cs="Calibri"/>
        </w:rPr>
        <w:t xml:space="preserve">, [online] 147(4). </w:t>
      </w:r>
      <w:r w:rsidR="00AC2970" w:rsidRPr="00F336F1">
        <w:rPr>
          <w:rFonts w:ascii="Calibri" w:hAnsi="Calibri" w:cs="Calibri"/>
        </w:rPr>
        <w:t>Doi</w:t>
      </w:r>
      <w:r w:rsidRPr="00F336F1">
        <w:rPr>
          <w:rFonts w:ascii="Calibri" w:hAnsi="Calibri" w:cs="Calibri"/>
        </w:rPr>
        <w:t xml:space="preserve">: </w:t>
      </w:r>
      <w:hyperlink r:id="rId19" w:history="1">
        <w:r w:rsidR="00C612BC" w:rsidRPr="008C63BB">
          <w:rPr>
            <w:rStyle w:val="Hyperlink"/>
            <w:rFonts w:ascii="Calibri" w:hAnsi="Calibri" w:cs="Calibri"/>
          </w:rPr>
          <w:t>https://doi.org/10.1542/peds.2020-027037</w:t>
        </w:r>
      </w:hyperlink>
      <w:r w:rsidRPr="00F336F1">
        <w:rPr>
          <w:rFonts w:ascii="Calibri" w:hAnsi="Calibri" w:cs="Calibri"/>
        </w:rPr>
        <w:t>.</w:t>
      </w:r>
    </w:p>
    <w:p w14:paraId="3F19D0A3" w14:textId="7D84D13B" w:rsidR="00071CA8" w:rsidRPr="00071CA8" w:rsidRDefault="00071CA8" w:rsidP="00071CA8">
      <w:pPr>
        <w:pStyle w:val="NormalWeb"/>
        <w:spacing w:before="0" w:beforeAutospacing="0" w:after="240" w:afterAutospacing="0" w:line="360" w:lineRule="auto"/>
        <w:rPr>
          <w:rFonts w:ascii="Calibri" w:hAnsi="Calibri" w:cs="Calibri"/>
        </w:rPr>
      </w:pPr>
      <w:r w:rsidRPr="00071CA8">
        <w:rPr>
          <w:rFonts w:ascii="Calibri" w:hAnsi="Calibri" w:cs="Calibri"/>
        </w:rPr>
        <w:t xml:space="preserve">NHS (2023). </w:t>
      </w:r>
      <w:r w:rsidRPr="00071CA8">
        <w:rPr>
          <w:rFonts w:ascii="Calibri" w:hAnsi="Calibri" w:cs="Calibri"/>
          <w:i/>
          <w:iCs/>
        </w:rPr>
        <w:t>NHS England» NHS vaccination strategy</w:t>
      </w:r>
      <w:r w:rsidRPr="00071CA8">
        <w:rPr>
          <w:rFonts w:ascii="Calibri" w:hAnsi="Calibri" w:cs="Calibri"/>
        </w:rPr>
        <w:t xml:space="preserve">. [online] www.england.nhs.uk. Available at: </w:t>
      </w:r>
      <w:hyperlink r:id="rId20" w:history="1">
        <w:r w:rsidR="00C612BC" w:rsidRPr="008C63BB">
          <w:rPr>
            <w:rStyle w:val="Hyperlink"/>
            <w:rFonts w:ascii="Calibri" w:hAnsi="Calibri" w:cs="Calibri"/>
          </w:rPr>
          <w:t>https://www.england.nhs.uk/long-read/nhs-vaccination-strategy/</w:t>
        </w:r>
      </w:hyperlink>
      <w:r w:rsidR="00C612BC">
        <w:rPr>
          <w:rFonts w:ascii="Calibri" w:hAnsi="Calibri" w:cs="Calibri"/>
        </w:rPr>
        <w:t xml:space="preserve"> </w:t>
      </w:r>
      <w:r w:rsidRPr="00071CA8">
        <w:rPr>
          <w:rFonts w:ascii="Calibri" w:hAnsi="Calibri" w:cs="Calibri"/>
        </w:rPr>
        <w:t>[Accessed 21 Apr. 2024].</w:t>
      </w:r>
    </w:p>
    <w:p w14:paraId="14D00BE4" w14:textId="5617596D" w:rsidR="007F67B8" w:rsidRDefault="007F67B8" w:rsidP="007F67B8">
      <w:pPr>
        <w:pStyle w:val="NormalWeb"/>
        <w:spacing w:before="0" w:beforeAutospacing="0" w:after="240" w:afterAutospacing="0" w:line="360" w:lineRule="auto"/>
        <w:rPr>
          <w:rFonts w:ascii="Calibri" w:hAnsi="Calibri" w:cs="Calibri"/>
        </w:rPr>
      </w:pPr>
      <w:r w:rsidRPr="007F67B8">
        <w:rPr>
          <w:rFonts w:ascii="Calibri" w:hAnsi="Calibri" w:cs="Calibri"/>
        </w:rPr>
        <w:t xml:space="preserve">NHS (2024). </w:t>
      </w:r>
      <w:r w:rsidRPr="007F67B8">
        <w:rPr>
          <w:rFonts w:ascii="Calibri" w:hAnsi="Calibri" w:cs="Calibri"/>
          <w:i/>
          <w:iCs/>
        </w:rPr>
        <w:t>MMR (measles, mumps and rubella) vaccine</w:t>
      </w:r>
      <w:r w:rsidRPr="007F67B8">
        <w:rPr>
          <w:rFonts w:ascii="Calibri" w:hAnsi="Calibri" w:cs="Calibri"/>
        </w:rPr>
        <w:t xml:space="preserve">. [online] nhs.uk. Available at: </w:t>
      </w:r>
      <w:hyperlink r:id="rId21" w:history="1">
        <w:r w:rsidR="00C612BC" w:rsidRPr="008C63BB">
          <w:rPr>
            <w:rStyle w:val="Hyperlink"/>
            <w:rFonts w:ascii="Calibri" w:hAnsi="Calibri" w:cs="Calibri"/>
          </w:rPr>
          <w:t>https://www.nhs.uk/vaccinations/mmr-vaccine/</w:t>
        </w:r>
      </w:hyperlink>
      <w:r w:rsidR="00C612BC">
        <w:rPr>
          <w:rFonts w:ascii="Calibri" w:hAnsi="Calibri" w:cs="Calibri"/>
        </w:rPr>
        <w:t xml:space="preserve"> </w:t>
      </w:r>
      <w:r w:rsidRPr="007F67B8">
        <w:rPr>
          <w:rFonts w:ascii="Calibri" w:hAnsi="Calibri" w:cs="Calibri"/>
        </w:rPr>
        <w:t>[Accessed 20 Apr. 2024].</w:t>
      </w:r>
    </w:p>
    <w:p w14:paraId="6DFB71C9" w14:textId="4D09CA24" w:rsidR="00D62866" w:rsidRDefault="00D62866" w:rsidP="007F67B8">
      <w:pPr>
        <w:pStyle w:val="NormalWeb"/>
        <w:spacing w:before="0" w:beforeAutospacing="0" w:after="240" w:afterAutospacing="0" w:line="360" w:lineRule="auto"/>
        <w:rPr>
          <w:rFonts w:ascii="Calibri" w:hAnsi="Calibri" w:cs="Calibri"/>
        </w:rPr>
      </w:pPr>
      <w:r w:rsidRPr="00D62866">
        <w:rPr>
          <w:rFonts w:ascii="Calibri" w:hAnsi="Calibri" w:cs="Calibri"/>
        </w:rPr>
        <w:t xml:space="preserve">NHS Wales (2024). </w:t>
      </w:r>
      <w:r w:rsidRPr="00D62866">
        <w:rPr>
          <w:rFonts w:ascii="Calibri" w:hAnsi="Calibri" w:cs="Calibri"/>
          <w:i/>
          <w:iCs/>
        </w:rPr>
        <w:t>Measles surveillance and epidemiology</w:t>
      </w:r>
      <w:r w:rsidRPr="00D62866">
        <w:rPr>
          <w:rFonts w:ascii="Calibri" w:hAnsi="Calibri" w:cs="Calibri"/>
        </w:rPr>
        <w:t xml:space="preserve">. [online] Public Health Wales. Available at: </w:t>
      </w:r>
      <w:hyperlink r:id="rId22" w:history="1">
        <w:r w:rsidR="00C612BC" w:rsidRPr="008C63BB">
          <w:rPr>
            <w:rStyle w:val="Hyperlink"/>
            <w:rFonts w:ascii="Calibri" w:hAnsi="Calibri" w:cs="Calibri"/>
          </w:rPr>
          <w:t>https://phw.nhs.wales/topics/immunisation-and-vaccines/immunisation-surveillance/measles-surveillance-and-epidemiology/</w:t>
        </w:r>
      </w:hyperlink>
      <w:r w:rsidR="00C612BC">
        <w:rPr>
          <w:rFonts w:ascii="Calibri" w:hAnsi="Calibri" w:cs="Calibri"/>
        </w:rPr>
        <w:t xml:space="preserve"> </w:t>
      </w:r>
      <w:r w:rsidRPr="00D62866">
        <w:rPr>
          <w:rFonts w:ascii="Calibri" w:hAnsi="Calibri" w:cs="Calibri"/>
        </w:rPr>
        <w:t>[Accessed 20 Apr. 2024].</w:t>
      </w:r>
    </w:p>
    <w:p w14:paraId="4321AED3" w14:textId="6521D398" w:rsidR="002D3BE4" w:rsidRPr="007F67B8" w:rsidRDefault="002D3BE4" w:rsidP="007F67B8">
      <w:pPr>
        <w:pStyle w:val="NormalWeb"/>
        <w:spacing w:before="0" w:beforeAutospacing="0" w:after="240" w:afterAutospacing="0" w:line="360" w:lineRule="auto"/>
        <w:rPr>
          <w:rFonts w:ascii="Calibri" w:hAnsi="Calibri" w:cs="Calibri"/>
        </w:rPr>
      </w:pPr>
      <w:r w:rsidRPr="002D3BE4">
        <w:rPr>
          <w:rFonts w:ascii="Calibri" w:hAnsi="Calibri" w:cs="Calibri"/>
        </w:rPr>
        <w:lastRenderedPageBreak/>
        <w:t xml:space="preserve">Novella, S. and Wakefield, A. (2009). </w:t>
      </w:r>
      <w:r w:rsidRPr="002D3BE4">
        <w:rPr>
          <w:rFonts w:ascii="Calibri" w:hAnsi="Calibri" w:cs="Calibri"/>
          <w:i/>
          <w:iCs/>
        </w:rPr>
        <w:t>Autism-Vaccine Link Researcher Andrew Wakefield Accused of Faking His Data</w:t>
      </w:r>
      <w:r w:rsidRPr="002D3BE4">
        <w:rPr>
          <w:rFonts w:ascii="Calibri" w:hAnsi="Calibri" w:cs="Calibri"/>
        </w:rPr>
        <w:t xml:space="preserve">. [online] Available at: </w:t>
      </w:r>
      <w:hyperlink r:id="rId23" w:history="1">
        <w:r w:rsidRPr="00400A11">
          <w:rPr>
            <w:rStyle w:val="Hyperlink"/>
            <w:rFonts w:ascii="Calibri" w:hAnsi="Calibri" w:cs="Calibri"/>
          </w:rPr>
          <w:t>https://cdn.centerforinquiry.org/wp-content/uploads/sites/29/2009/05/22164441/p05.pdf</w:t>
        </w:r>
      </w:hyperlink>
      <w:r>
        <w:rPr>
          <w:rFonts w:ascii="Calibri" w:hAnsi="Calibri" w:cs="Calibri"/>
        </w:rPr>
        <w:t xml:space="preserve"> </w:t>
      </w:r>
      <w:r w:rsidRPr="002D3BE4">
        <w:rPr>
          <w:rFonts w:ascii="Calibri" w:hAnsi="Calibri" w:cs="Calibri"/>
        </w:rPr>
        <w:t>[Accessed 24 Apr. 2024].</w:t>
      </w:r>
    </w:p>
    <w:p w14:paraId="15F165BC" w14:textId="5472FE57" w:rsidR="0017380B" w:rsidRPr="00233BC1" w:rsidRDefault="0017380B" w:rsidP="0017380B">
      <w:pPr>
        <w:pStyle w:val="NormalWeb"/>
        <w:spacing w:before="0" w:beforeAutospacing="0" w:after="240" w:afterAutospacing="0" w:line="360" w:lineRule="auto"/>
        <w:rPr>
          <w:rFonts w:ascii="Calibri" w:hAnsi="Calibri" w:cs="Calibri"/>
        </w:rPr>
      </w:pPr>
      <w:r w:rsidRPr="00233BC1">
        <w:rPr>
          <w:rFonts w:ascii="Calibri" w:hAnsi="Calibri" w:cs="Calibri"/>
        </w:rPr>
        <w:t xml:space="preserve">Thompson, S., Meyer, J.C., Burnett, R.J. and Campbell, S.M. (2023). Mitigating Vaccine Hesitancy and Building Trust to Prevent Future Measles Outbreaks in England. </w:t>
      </w:r>
      <w:r w:rsidRPr="00233BC1">
        <w:rPr>
          <w:rFonts w:ascii="Calibri" w:hAnsi="Calibri" w:cs="Calibri"/>
          <w:i/>
          <w:iCs/>
        </w:rPr>
        <w:t>Vaccines</w:t>
      </w:r>
      <w:r w:rsidRPr="00233BC1">
        <w:rPr>
          <w:rFonts w:ascii="Calibri" w:hAnsi="Calibri" w:cs="Calibri"/>
        </w:rPr>
        <w:t xml:space="preserve">, 11(2), p.288. </w:t>
      </w:r>
      <w:r w:rsidR="00AC2970" w:rsidRPr="00233BC1">
        <w:rPr>
          <w:rFonts w:ascii="Calibri" w:hAnsi="Calibri" w:cs="Calibri"/>
        </w:rPr>
        <w:t>Doi</w:t>
      </w:r>
      <w:r w:rsidRPr="00233BC1">
        <w:rPr>
          <w:rFonts w:ascii="Calibri" w:hAnsi="Calibri" w:cs="Calibri"/>
        </w:rPr>
        <w:t xml:space="preserve">: </w:t>
      </w:r>
      <w:hyperlink r:id="rId24" w:history="1">
        <w:r w:rsidR="002E2858" w:rsidRPr="00233BC1">
          <w:rPr>
            <w:rStyle w:val="Hyperlink"/>
            <w:rFonts w:ascii="Calibri" w:hAnsi="Calibri" w:cs="Calibri"/>
          </w:rPr>
          <w:t>https://doi.org/10.3390/vaccines11020288</w:t>
        </w:r>
      </w:hyperlink>
      <w:r w:rsidRPr="00233BC1">
        <w:rPr>
          <w:rFonts w:ascii="Calibri" w:hAnsi="Calibri" w:cs="Calibri"/>
        </w:rPr>
        <w:t>.</w:t>
      </w:r>
    </w:p>
    <w:p w14:paraId="1C384245" w14:textId="2BE7645F" w:rsidR="002D4076" w:rsidRPr="00233BC1" w:rsidRDefault="002D4076" w:rsidP="002D4076">
      <w:pPr>
        <w:pStyle w:val="NormalWeb"/>
        <w:spacing w:before="0" w:beforeAutospacing="0" w:after="240" w:afterAutospacing="0" w:line="360" w:lineRule="auto"/>
        <w:rPr>
          <w:rFonts w:ascii="Calibri" w:hAnsi="Calibri" w:cs="Calibri"/>
        </w:rPr>
      </w:pPr>
      <w:r w:rsidRPr="00233BC1">
        <w:rPr>
          <w:rFonts w:ascii="Calibri" w:hAnsi="Calibri" w:cs="Calibri"/>
        </w:rPr>
        <w:t xml:space="preserve">UKHSA (2024). </w:t>
      </w:r>
      <w:r w:rsidRPr="00233BC1">
        <w:rPr>
          <w:rFonts w:ascii="Calibri" w:hAnsi="Calibri" w:cs="Calibri"/>
          <w:i/>
          <w:iCs/>
        </w:rPr>
        <w:t>National measles guidelines April 2024</w:t>
      </w:r>
      <w:r w:rsidRPr="00233BC1">
        <w:rPr>
          <w:rFonts w:ascii="Calibri" w:hAnsi="Calibri" w:cs="Calibri"/>
        </w:rPr>
        <w:t xml:space="preserve">. [online] UK Health Security Agency. Available at: </w:t>
      </w:r>
      <w:hyperlink r:id="rId25" w:history="1">
        <w:r w:rsidR="00C612BC" w:rsidRPr="008C63BB">
          <w:rPr>
            <w:rStyle w:val="Hyperlink"/>
            <w:rFonts w:ascii="Calibri" w:hAnsi="Calibri" w:cs="Calibri"/>
          </w:rPr>
          <w:t>https://assets.publishing.service.gov.uk/media/6616573be49ee0998d3ea70a/National_measles_guidelines_April2024.pdf</w:t>
        </w:r>
      </w:hyperlink>
      <w:r w:rsidR="00C612BC">
        <w:rPr>
          <w:rFonts w:ascii="Calibri" w:hAnsi="Calibri" w:cs="Calibri"/>
        </w:rPr>
        <w:t xml:space="preserve"> </w:t>
      </w:r>
      <w:r w:rsidRPr="00233BC1">
        <w:rPr>
          <w:rFonts w:ascii="Calibri" w:hAnsi="Calibri" w:cs="Calibri"/>
        </w:rPr>
        <w:t>[Accessed 20 Apr. 2024].</w:t>
      </w:r>
    </w:p>
    <w:p w14:paraId="5CF7C84C" w14:textId="0148E91E" w:rsidR="002C25B8" w:rsidRPr="00233BC1" w:rsidRDefault="002C25B8" w:rsidP="002C25B8">
      <w:pPr>
        <w:pStyle w:val="NormalWeb"/>
        <w:spacing w:before="0" w:beforeAutospacing="0" w:after="240" w:afterAutospacing="0" w:line="360" w:lineRule="auto"/>
        <w:rPr>
          <w:rFonts w:ascii="Calibri" w:hAnsi="Calibri" w:cs="Calibri"/>
        </w:rPr>
      </w:pPr>
      <w:r w:rsidRPr="00233BC1">
        <w:rPr>
          <w:rFonts w:ascii="Calibri" w:hAnsi="Calibri" w:cs="Calibri"/>
        </w:rPr>
        <w:t xml:space="preserve">Wang, R., Jing, W., Liu, M. and Liu, J. (2022). Trends of the Global, Regional, and National Incidence of Measles, Vaccine Coverage, and Risk Factors in 204 Countries From 1990 to 2019. </w:t>
      </w:r>
      <w:r w:rsidRPr="00233BC1">
        <w:rPr>
          <w:rFonts w:ascii="Calibri" w:hAnsi="Calibri" w:cs="Calibri"/>
          <w:i/>
          <w:iCs/>
        </w:rPr>
        <w:t>Frontiers in Medicine</w:t>
      </w:r>
      <w:r w:rsidRPr="00233BC1">
        <w:rPr>
          <w:rFonts w:ascii="Calibri" w:hAnsi="Calibri" w:cs="Calibri"/>
        </w:rPr>
        <w:t xml:space="preserve">, 8. </w:t>
      </w:r>
      <w:r w:rsidR="00AC2970" w:rsidRPr="00233BC1">
        <w:rPr>
          <w:rFonts w:ascii="Calibri" w:hAnsi="Calibri" w:cs="Calibri"/>
        </w:rPr>
        <w:t>Doi</w:t>
      </w:r>
      <w:r w:rsidRPr="00233BC1">
        <w:rPr>
          <w:rFonts w:ascii="Calibri" w:hAnsi="Calibri" w:cs="Calibri"/>
        </w:rPr>
        <w:t xml:space="preserve">: </w:t>
      </w:r>
      <w:hyperlink r:id="rId26" w:history="1">
        <w:r w:rsidR="00C612BC" w:rsidRPr="008C63BB">
          <w:rPr>
            <w:rStyle w:val="Hyperlink"/>
            <w:rFonts w:ascii="Calibri" w:hAnsi="Calibri" w:cs="Calibri"/>
          </w:rPr>
          <w:t>https://doi.org/10.3389/fmed.2021.798031</w:t>
        </w:r>
      </w:hyperlink>
      <w:r w:rsidRPr="00233BC1">
        <w:rPr>
          <w:rFonts w:ascii="Calibri" w:hAnsi="Calibri" w:cs="Calibri"/>
        </w:rPr>
        <w:t>.</w:t>
      </w:r>
    </w:p>
    <w:p w14:paraId="596F2079" w14:textId="3046A04E" w:rsidR="002E2858" w:rsidRPr="00233BC1" w:rsidRDefault="002E2858" w:rsidP="002E2858">
      <w:pPr>
        <w:pStyle w:val="NormalWeb"/>
        <w:spacing w:before="0" w:beforeAutospacing="0" w:after="240" w:afterAutospacing="0" w:line="360" w:lineRule="auto"/>
        <w:rPr>
          <w:rFonts w:ascii="Calibri" w:hAnsi="Calibri" w:cs="Calibri"/>
        </w:rPr>
      </w:pPr>
      <w:r w:rsidRPr="00233BC1">
        <w:rPr>
          <w:rFonts w:ascii="Calibri" w:hAnsi="Calibri" w:cs="Calibri"/>
        </w:rPr>
        <w:t xml:space="preserve">Welsh Government (2024). </w:t>
      </w:r>
      <w:r w:rsidRPr="00233BC1">
        <w:rPr>
          <w:rFonts w:ascii="Calibri" w:hAnsi="Calibri" w:cs="Calibri"/>
          <w:i/>
          <w:iCs/>
        </w:rPr>
        <w:t>Call for all parents in Wales to urgently check their children’s MMR vaccination status amid rising concerns over measles | GOV.WALES</w:t>
      </w:r>
      <w:r w:rsidRPr="00233BC1">
        <w:rPr>
          <w:rFonts w:ascii="Calibri" w:hAnsi="Calibri" w:cs="Calibri"/>
        </w:rPr>
        <w:t xml:space="preserve">. [online] www.gov.wales. Available at: </w:t>
      </w:r>
      <w:hyperlink r:id="rId27" w:history="1">
        <w:r w:rsidR="00C612BC" w:rsidRPr="008C63BB">
          <w:rPr>
            <w:rStyle w:val="Hyperlink"/>
            <w:rFonts w:ascii="Calibri" w:hAnsi="Calibri" w:cs="Calibri"/>
          </w:rPr>
          <w:t>https://www.gov.wales/call-all-parents-wales-urgently-check-their-childrens-mmr-vaccination-status-amid-rising-concerns</w:t>
        </w:r>
      </w:hyperlink>
      <w:r w:rsidR="00C612BC">
        <w:rPr>
          <w:rFonts w:ascii="Calibri" w:hAnsi="Calibri" w:cs="Calibri"/>
        </w:rPr>
        <w:t xml:space="preserve"> </w:t>
      </w:r>
      <w:r w:rsidRPr="00233BC1">
        <w:rPr>
          <w:rFonts w:ascii="Calibri" w:hAnsi="Calibri" w:cs="Calibri"/>
        </w:rPr>
        <w:t>[Accessed 20 Apr. 2024].</w:t>
      </w:r>
    </w:p>
    <w:p w14:paraId="111E6293" w14:textId="56FD6258" w:rsidR="00A5414F" w:rsidRPr="00233BC1" w:rsidRDefault="00A5414F" w:rsidP="00A5414F">
      <w:pPr>
        <w:pStyle w:val="NormalWeb"/>
        <w:spacing w:before="0" w:beforeAutospacing="0" w:after="240" w:afterAutospacing="0" w:line="360" w:lineRule="auto"/>
        <w:rPr>
          <w:rFonts w:ascii="Calibri" w:hAnsi="Calibri" w:cs="Calibri"/>
        </w:rPr>
      </w:pPr>
      <w:r w:rsidRPr="00233BC1">
        <w:rPr>
          <w:rFonts w:ascii="Calibri" w:hAnsi="Calibri" w:cs="Calibri"/>
        </w:rPr>
        <w:t xml:space="preserve">World Health Organization (2023a). </w:t>
      </w:r>
      <w:r w:rsidRPr="00233BC1">
        <w:rPr>
          <w:rFonts w:ascii="Calibri" w:hAnsi="Calibri" w:cs="Calibri"/>
          <w:i/>
          <w:iCs/>
        </w:rPr>
        <w:t>History of Measles Vaccination</w:t>
      </w:r>
      <w:r w:rsidRPr="00233BC1">
        <w:rPr>
          <w:rFonts w:ascii="Calibri" w:hAnsi="Calibri" w:cs="Calibri"/>
        </w:rPr>
        <w:t xml:space="preserve">. [online] www.who.int. Available at: </w:t>
      </w:r>
      <w:hyperlink r:id="rId28" w:history="1">
        <w:r w:rsidR="00C612BC" w:rsidRPr="008C63BB">
          <w:rPr>
            <w:rStyle w:val="Hyperlink"/>
            <w:rFonts w:ascii="Calibri" w:hAnsi="Calibri" w:cs="Calibri"/>
          </w:rPr>
          <w:t>https://www.who.int/news-room/spotlight/history-of-vaccination/history-of-measles-vaccination</w:t>
        </w:r>
      </w:hyperlink>
      <w:r w:rsidR="00C612BC">
        <w:rPr>
          <w:rFonts w:ascii="Calibri" w:hAnsi="Calibri" w:cs="Calibri"/>
        </w:rPr>
        <w:t xml:space="preserve"> </w:t>
      </w:r>
      <w:r w:rsidRPr="00233BC1">
        <w:rPr>
          <w:rFonts w:ascii="Calibri" w:hAnsi="Calibri" w:cs="Calibri"/>
        </w:rPr>
        <w:t>[Accessed 20 Apr. 2024].</w:t>
      </w:r>
    </w:p>
    <w:p w14:paraId="6771565D" w14:textId="140A15DD" w:rsidR="007535BD" w:rsidRPr="00233BC1" w:rsidRDefault="007535BD" w:rsidP="007535BD">
      <w:pPr>
        <w:pStyle w:val="NormalWeb"/>
        <w:spacing w:before="0" w:beforeAutospacing="0" w:after="240" w:afterAutospacing="0" w:line="360" w:lineRule="auto"/>
        <w:rPr>
          <w:rFonts w:ascii="Calibri" w:hAnsi="Calibri" w:cs="Calibri"/>
        </w:rPr>
      </w:pPr>
      <w:r w:rsidRPr="00233BC1">
        <w:rPr>
          <w:rFonts w:ascii="Calibri" w:hAnsi="Calibri" w:cs="Calibri"/>
        </w:rPr>
        <w:t>World Health Organization (2023</w:t>
      </w:r>
      <w:r w:rsidR="00A5414F" w:rsidRPr="00233BC1">
        <w:rPr>
          <w:rFonts w:ascii="Calibri" w:hAnsi="Calibri" w:cs="Calibri"/>
        </w:rPr>
        <w:t>b</w:t>
      </w:r>
      <w:r w:rsidRPr="00233BC1">
        <w:rPr>
          <w:rFonts w:ascii="Calibri" w:hAnsi="Calibri" w:cs="Calibri"/>
        </w:rPr>
        <w:t xml:space="preserve">). </w:t>
      </w:r>
      <w:r w:rsidRPr="00233BC1">
        <w:rPr>
          <w:rFonts w:ascii="Calibri" w:hAnsi="Calibri" w:cs="Calibri"/>
          <w:i/>
          <w:iCs/>
        </w:rPr>
        <w:t>Measles</w:t>
      </w:r>
      <w:r w:rsidRPr="00233BC1">
        <w:rPr>
          <w:rFonts w:ascii="Calibri" w:hAnsi="Calibri" w:cs="Calibri"/>
        </w:rPr>
        <w:t xml:space="preserve">. [online] World Health Organization. Available at: </w:t>
      </w:r>
      <w:hyperlink r:id="rId29" w:history="1">
        <w:r w:rsidR="00C612BC" w:rsidRPr="008C63BB">
          <w:rPr>
            <w:rStyle w:val="Hyperlink"/>
            <w:rFonts w:ascii="Calibri" w:hAnsi="Calibri" w:cs="Calibri"/>
          </w:rPr>
          <w:t>https://www.who.int/news-room/fact-sheets/detail/measles</w:t>
        </w:r>
      </w:hyperlink>
      <w:r w:rsidR="00C612BC">
        <w:rPr>
          <w:rFonts w:ascii="Calibri" w:hAnsi="Calibri" w:cs="Calibri"/>
        </w:rPr>
        <w:t xml:space="preserve"> </w:t>
      </w:r>
      <w:r w:rsidRPr="00233BC1">
        <w:rPr>
          <w:rFonts w:ascii="Calibri" w:hAnsi="Calibri" w:cs="Calibri"/>
        </w:rPr>
        <w:t>[Accessed 20 Apr. 2024].</w:t>
      </w:r>
    </w:p>
    <w:p w14:paraId="7A7110FA" w14:textId="0D32AF01" w:rsidR="00DC0CB1" w:rsidRPr="00DC0CB1" w:rsidRDefault="00D62866" w:rsidP="000D2DE9">
      <w:pPr>
        <w:pStyle w:val="NormalWeb"/>
        <w:spacing w:before="0" w:beforeAutospacing="0" w:after="240" w:afterAutospacing="0" w:line="360" w:lineRule="auto"/>
        <w:rPr>
          <w:rFonts w:ascii="Calibri" w:hAnsi="Calibri" w:cs="Calibri"/>
        </w:rPr>
      </w:pPr>
      <w:r w:rsidRPr="00D62866">
        <w:rPr>
          <w:rFonts w:ascii="Calibri" w:hAnsi="Calibri" w:cs="Calibri"/>
        </w:rPr>
        <w:t xml:space="preserve">World Health Organization (2024). </w:t>
      </w:r>
      <w:r w:rsidRPr="00D62866">
        <w:rPr>
          <w:rFonts w:ascii="Calibri" w:hAnsi="Calibri" w:cs="Calibri"/>
          <w:i/>
          <w:iCs/>
        </w:rPr>
        <w:t>50th anniversary of the Expanded Programme on Immunization (EPI)</w:t>
      </w:r>
      <w:r w:rsidRPr="00D62866">
        <w:rPr>
          <w:rFonts w:ascii="Calibri" w:hAnsi="Calibri" w:cs="Calibri"/>
        </w:rPr>
        <w:t xml:space="preserve">. [online] www.who.int. Available at: </w:t>
      </w:r>
      <w:hyperlink r:id="rId30" w:history="1">
        <w:r w:rsidR="00C612BC" w:rsidRPr="008C63BB">
          <w:rPr>
            <w:rStyle w:val="Hyperlink"/>
            <w:rFonts w:ascii="Calibri" w:hAnsi="Calibri" w:cs="Calibri"/>
          </w:rPr>
          <w:t>https://www.who.int/news-room/events/detail/2024/01/01/default-calendar/50th-anniversary-of-the-expanded-programme-on-immunization-(epi)</w:t>
        </w:r>
      </w:hyperlink>
      <w:r w:rsidR="00C612BC">
        <w:rPr>
          <w:rFonts w:ascii="Calibri" w:hAnsi="Calibri" w:cs="Calibri"/>
        </w:rPr>
        <w:t xml:space="preserve"> </w:t>
      </w:r>
      <w:r w:rsidRPr="00D62866">
        <w:rPr>
          <w:rFonts w:ascii="Calibri" w:hAnsi="Calibri" w:cs="Calibri"/>
        </w:rPr>
        <w:t>[Accessed 20 Apr. 2024].</w:t>
      </w:r>
    </w:p>
    <w:p w14:paraId="59BB46BA" w14:textId="77777777" w:rsidR="00C7712F" w:rsidRDefault="00C7712F"/>
    <w:sectPr w:rsidR="00C7712F" w:rsidSect="00FD773E">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3FD857" w14:textId="77777777" w:rsidR="00FD773E" w:rsidRDefault="00FD773E" w:rsidP="005978A8">
      <w:pPr>
        <w:spacing w:after="0" w:line="240" w:lineRule="auto"/>
      </w:pPr>
      <w:r>
        <w:separator/>
      </w:r>
    </w:p>
  </w:endnote>
  <w:endnote w:type="continuationSeparator" w:id="0">
    <w:p w14:paraId="3B28389A" w14:textId="77777777" w:rsidR="00FD773E" w:rsidRDefault="00FD773E" w:rsidP="00597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62980878"/>
      <w:docPartObj>
        <w:docPartGallery w:val="Page Numbers (Bottom of Page)"/>
        <w:docPartUnique/>
      </w:docPartObj>
    </w:sdtPr>
    <w:sdtEndPr>
      <w:rPr>
        <w:noProof/>
      </w:rPr>
    </w:sdtEndPr>
    <w:sdtContent>
      <w:p w14:paraId="3960066E" w14:textId="3B8332CA" w:rsidR="005978A8" w:rsidRDefault="005978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0065B7" w14:textId="77777777" w:rsidR="005978A8" w:rsidRDefault="00597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5D04B5" w14:textId="77777777" w:rsidR="00FD773E" w:rsidRDefault="00FD773E" w:rsidP="005978A8">
      <w:pPr>
        <w:spacing w:after="0" w:line="240" w:lineRule="auto"/>
      </w:pPr>
      <w:r>
        <w:separator/>
      </w:r>
    </w:p>
  </w:footnote>
  <w:footnote w:type="continuationSeparator" w:id="0">
    <w:p w14:paraId="4CC00DAE" w14:textId="77777777" w:rsidR="00FD773E" w:rsidRDefault="00FD773E" w:rsidP="005978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9C0"/>
    <w:rsid w:val="00071CA8"/>
    <w:rsid w:val="000D2DE9"/>
    <w:rsid w:val="000E4731"/>
    <w:rsid w:val="00106723"/>
    <w:rsid w:val="0017380B"/>
    <w:rsid w:val="001C7B25"/>
    <w:rsid w:val="002332E5"/>
    <w:rsid w:val="00233BC1"/>
    <w:rsid w:val="00286FA7"/>
    <w:rsid w:val="002B734F"/>
    <w:rsid w:val="002C25B8"/>
    <w:rsid w:val="002D3BE4"/>
    <w:rsid w:val="002D4076"/>
    <w:rsid w:val="002E2858"/>
    <w:rsid w:val="00352809"/>
    <w:rsid w:val="003A501C"/>
    <w:rsid w:val="003C0906"/>
    <w:rsid w:val="00427F6A"/>
    <w:rsid w:val="00451759"/>
    <w:rsid w:val="004549C0"/>
    <w:rsid w:val="0050433C"/>
    <w:rsid w:val="005978A8"/>
    <w:rsid w:val="005A167D"/>
    <w:rsid w:val="007535BD"/>
    <w:rsid w:val="007865F8"/>
    <w:rsid w:val="007E621C"/>
    <w:rsid w:val="007F67B8"/>
    <w:rsid w:val="00852A8A"/>
    <w:rsid w:val="00852E64"/>
    <w:rsid w:val="008B40D7"/>
    <w:rsid w:val="008E6C8F"/>
    <w:rsid w:val="00A2002E"/>
    <w:rsid w:val="00A5414F"/>
    <w:rsid w:val="00A81C4B"/>
    <w:rsid w:val="00AC2970"/>
    <w:rsid w:val="00AC3720"/>
    <w:rsid w:val="00AF125C"/>
    <w:rsid w:val="00B56538"/>
    <w:rsid w:val="00C612BC"/>
    <w:rsid w:val="00C7712F"/>
    <w:rsid w:val="00D14D0A"/>
    <w:rsid w:val="00D615A5"/>
    <w:rsid w:val="00D62866"/>
    <w:rsid w:val="00DC0CB1"/>
    <w:rsid w:val="00E07408"/>
    <w:rsid w:val="00EE6228"/>
    <w:rsid w:val="00F336F1"/>
    <w:rsid w:val="00FD7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4583E"/>
  <w15:chartTrackingRefBased/>
  <w15:docId w15:val="{402BBC28-9739-430D-9E57-B0B104B75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9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49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549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9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9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9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9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9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9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9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49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549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49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49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4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9C0"/>
    <w:rPr>
      <w:rFonts w:eastAsiaTheme="majorEastAsia" w:cstheme="majorBidi"/>
      <w:color w:val="272727" w:themeColor="text1" w:themeTint="D8"/>
    </w:rPr>
  </w:style>
  <w:style w:type="paragraph" w:styleId="Title">
    <w:name w:val="Title"/>
    <w:basedOn w:val="Normal"/>
    <w:next w:val="Normal"/>
    <w:link w:val="TitleChar"/>
    <w:uiPriority w:val="10"/>
    <w:qFormat/>
    <w:rsid w:val="004549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9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9C0"/>
    <w:pPr>
      <w:spacing w:before="160"/>
      <w:jc w:val="center"/>
    </w:pPr>
    <w:rPr>
      <w:i/>
      <w:iCs/>
      <w:color w:val="404040" w:themeColor="text1" w:themeTint="BF"/>
    </w:rPr>
  </w:style>
  <w:style w:type="character" w:customStyle="1" w:styleId="QuoteChar">
    <w:name w:val="Quote Char"/>
    <w:basedOn w:val="DefaultParagraphFont"/>
    <w:link w:val="Quote"/>
    <w:uiPriority w:val="29"/>
    <w:rsid w:val="004549C0"/>
    <w:rPr>
      <w:i/>
      <w:iCs/>
      <w:color w:val="404040" w:themeColor="text1" w:themeTint="BF"/>
    </w:rPr>
  </w:style>
  <w:style w:type="paragraph" w:styleId="ListParagraph">
    <w:name w:val="List Paragraph"/>
    <w:basedOn w:val="Normal"/>
    <w:uiPriority w:val="34"/>
    <w:qFormat/>
    <w:rsid w:val="004549C0"/>
    <w:pPr>
      <w:ind w:left="720"/>
      <w:contextualSpacing/>
    </w:pPr>
  </w:style>
  <w:style w:type="character" w:styleId="IntenseEmphasis">
    <w:name w:val="Intense Emphasis"/>
    <w:basedOn w:val="DefaultParagraphFont"/>
    <w:uiPriority w:val="21"/>
    <w:qFormat/>
    <w:rsid w:val="004549C0"/>
    <w:rPr>
      <w:i/>
      <w:iCs/>
      <w:color w:val="0F4761" w:themeColor="accent1" w:themeShade="BF"/>
    </w:rPr>
  </w:style>
  <w:style w:type="paragraph" w:styleId="IntenseQuote">
    <w:name w:val="Intense Quote"/>
    <w:basedOn w:val="Normal"/>
    <w:next w:val="Normal"/>
    <w:link w:val="IntenseQuoteChar"/>
    <w:uiPriority w:val="30"/>
    <w:qFormat/>
    <w:rsid w:val="004549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9C0"/>
    <w:rPr>
      <w:i/>
      <w:iCs/>
      <w:color w:val="0F4761" w:themeColor="accent1" w:themeShade="BF"/>
    </w:rPr>
  </w:style>
  <w:style w:type="character" w:styleId="IntenseReference">
    <w:name w:val="Intense Reference"/>
    <w:basedOn w:val="DefaultParagraphFont"/>
    <w:uiPriority w:val="32"/>
    <w:qFormat/>
    <w:rsid w:val="004549C0"/>
    <w:rPr>
      <w:b/>
      <w:bCs/>
      <w:smallCaps/>
      <w:color w:val="0F4761" w:themeColor="accent1" w:themeShade="BF"/>
      <w:spacing w:val="5"/>
    </w:rPr>
  </w:style>
  <w:style w:type="character" w:styleId="Hyperlink">
    <w:name w:val="Hyperlink"/>
    <w:basedOn w:val="DefaultParagraphFont"/>
    <w:uiPriority w:val="99"/>
    <w:unhideWhenUsed/>
    <w:rsid w:val="004549C0"/>
    <w:rPr>
      <w:color w:val="0000FF"/>
      <w:u w:val="single"/>
    </w:rPr>
  </w:style>
  <w:style w:type="paragraph" w:styleId="NoSpacing">
    <w:name w:val="No Spacing"/>
    <w:link w:val="NoSpacingChar"/>
    <w:uiPriority w:val="1"/>
    <w:qFormat/>
    <w:rsid w:val="0010672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6723"/>
    <w:rPr>
      <w:rFonts w:eastAsiaTheme="minorEastAsia"/>
      <w:kern w:val="0"/>
      <w:lang w:val="en-US"/>
      <w14:ligatures w14:val="none"/>
    </w:rPr>
  </w:style>
  <w:style w:type="paragraph" w:styleId="TOCHeading">
    <w:name w:val="TOC Heading"/>
    <w:basedOn w:val="Heading1"/>
    <w:next w:val="Normal"/>
    <w:uiPriority w:val="39"/>
    <w:unhideWhenUsed/>
    <w:qFormat/>
    <w:rsid w:val="0010672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06723"/>
    <w:pPr>
      <w:spacing w:after="100"/>
    </w:pPr>
  </w:style>
  <w:style w:type="paragraph" w:styleId="NormalWeb">
    <w:name w:val="Normal (Web)"/>
    <w:basedOn w:val="Normal"/>
    <w:uiPriority w:val="99"/>
    <w:unhideWhenUsed/>
    <w:rsid w:val="00DC0C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14D0A"/>
    <w:rPr>
      <w:color w:val="605E5C"/>
      <w:shd w:val="clear" w:color="auto" w:fill="E1DFDD"/>
    </w:rPr>
  </w:style>
  <w:style w:type="paragraph" w:styleId="TOC2">
    <w:name w:val="toc 2"/>
    <w:basedOn w:val="Normal"/>
    <w:next w:val="Normal"/>
    <w:autoRedefine/>
    <w:uiPriority w:val="39"/>
    <w:unhideWhenUsed/>
    <w:rsid w:val="007E621C"/>
    <w:pPr>
      <w:spacing w:after="100"/>
      <w:ind w:left="220"/>
    </w:pPr>
  </w:style>
  <w:style w:type="paragraph" w:styleId="TOC3">
    <w:name w:val="toc 3"/>
    <w:basedOn w:val="Normal"/>
    <w:next w:val="Normal"/>
    <w:autoRedefine/>
    <w:uiPriority w:val="39"/>
    <w:unhideWhenUsed/>
    <w:rsid w:val="007E621C"/>
    <w:pPr>
      <w:spacing w:after="100"/>
      <w:ind w:left="440"/>
    </w:pPr>
  </w:style>
  <w:style w:type="paragraph" w:styleId="Header">
    <w:name w:val="header"/>
    <w:basedOn w:val="Normal"/>
    <w:link w:val="HeaderChar"/>
    <w:uiPriority w:val="99"/>
    <w:unhideWhenUsed/>
    <w:rsid w:val="005978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8A8"/>
  </w:style>
  <w:style w:type="paragraph" w:styleId="Footer">
    <w:name w:val="footer"/>
    <w:basedOn w:val="Normal"/>
    <w:link w:val="FooterChar"/>
    <w:uiPriority w:val="99"/>
    <w:unhideWhenUsed/>
    <w:rsid w:val="005978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8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58983">
      <w:bodyDiv w:val="1"/>
      <w:marLeft w:val="0"/>
      <w:marRight w:val="0"/>
      <w:marTop w:val="0"/>
      <w:marBottom w:val="0"/>
      <w:divBdr>
        <w:top w:val="none" w:sz="0" w:space="0" w:color="auto"/>
        <w:left w:val="none" w:sz="0" w:space="0" w:color="auto"/>
        <w:bottom w:val="none" w:sz="0" w:space="0" w:color="auto"/>
        <w:right w:val="none" w:sz="0" w:space="0" w:color="auto"/>
      </w:divBdr>
      <w:divsChild>
        <w:div w:id="1168835389">
          <w:marLeft w:val="0"/>
          <w:marRight w:val="0"/>
          <w:marTop w:val="0"/>
          <w:marBottom w:val="0"/>
          <w:divBdr>
            <w:top w:val="none" w:sz="0" w:space="0" w:color="auto"/>
            <w:left w:val="none" w:sz="0" w:space="0" w:color="auto"/>
            <w:bottom w:val="none" w:sz="0" w:space="0" w:color="auto"/>
            <w:right w:val="none" w:sz="0" w:space="0" w:color="auto"/>
          </w:divBdr>
        </w:div>
        <w:div w:id="1381854955">
          <w:marLeft w:val="0"/>
          <w:marRight w:val="0"/>
          <w:marTop w:val="0"/>
          <w:marBottom w:val="0"/>
          <w:divBdr>
            <w:top w:val="none" w:sz="0" w:space="0" w:color="auto"/>
            <w:left w:val="none" w:sz="0" w:space="0" w:color="auto"/>
            <w:bottom w:val="none" w:sz="0" w:space="0" w:color="auto"/>
            <w:right w:val="none" w:sz="0" w:space="0" w:color="auto"/>
          </w:divBdr>
        </w:div>
        <w:div w:id="1485126451">
          <w:marLeft w:val="0"/>
          <w:marRight w:val="0"/>
          <w:marTop w:val="0"/>
          <w:marBottom w:val="0"/>
          <w:divBdr>
            <w:top w:val="none" w:sz="0" w:space="0" w:color="auto"/>
            <w:left w:val="none" w:sz="0" w:space="0" w:color="auto"/>
            <w:bottom w:val="none" w:sz="0" w:space="0" w:color="auto"/>
            <w:right w:val="none" w:sz="0" w:space="0" w:color="auto"/>
          </w:divBdr>
        </w:div>
        <w:div w:id="1061058717">
          <w:marLeft w:val="0"/>
          <w:marRight w:val="0"/>
          <w:marTop w:val="0"/>
          <w:marBottom w:val="0"/>
          <w:divBdr>
            <w:top w:val="none" w:sz="0" w:space="0" w:color="auto"/>
            <w:left w:val="none" w:sz="0" w:space="0" w:color="auto"/>
            <w:bottom w:val="none" w:sz="0" w:space="0" w:color="auto"/>
            <w:right w:val="none" w:sz="0" w:space="0" w:color="auto"/>
          </w:divBdr>
        </w:div>
        <w:div w:id="171454534">
          <w:marLeft w:val="0"/>
          <w:marRight w:val="0"/>
          <w:marTop w:val="0"/>
          <w:marBottom w:val="0"/>
          <w:divBdr>
            <w:top w:val="none" w:sz="0" w:space="0" w:color="auto"/>
            <w:left w:val="none" w:sz="0" w:space="0" w:color="auto"/>
            <w:bottom w:val="none" w:sz="0" w:space="0" w:color="auto"/>
            <w:right w:val="none" w:sz="0" w:space="0" w:color="auto"/>
          </w:divBdr>
          <w:divsChild>
            <w:div w:id="1512799711">
              <w:marLeft w:val="0"/>
              <w:marRight w:val="0"/>
              <w:marTop w:val="0"/>
              <w:marBottom w:val="0"/>
              <w:divBdr>
                <w:top w:val="none" w:sz="0" w:space="0" w:color="auto"/>
                <w:left w:val="none" w:sz="0" w:space="0" w:color="auto"/>
                <w:bottom w:val="none" w:sz="0" w:space="0" w:color="auto"/>
                <w:right w:val="none" w:sz="0" w:space="0" w:color="auto"/>
              </w:divBdr>
              <w:divsChild>
                <w:div w:id="1170293560">
                  <w:marLeft w:val="0"/>
                  <w:marRight w:val="0"/>
                  <w:marTop w:val="0"/>
                  <w:marBottom w:val="0"/>
                  <w:divBdr>
                    <w:top w:val="none" w:sz="0" w:space="0" w:color="auto"/>
                    <w:left w:val="none" w:sz="0" w:space="0" w:color="auto"/>
                    <w:bottom w:val="none" w:sz="0" w:space="0" w:color="auto"/>
                    <w:right w:val="none" w:sz="0" w:space="0" w:color="auto"/>
                  </w:divBdr>
                  <w:divsChild>
                    <w:div w:id="1114596144">
                      <w:marLeft w:val="0"/>
                      <w:marRight w:val="0"/>
                      <w:marTop w:val="0"/>
                      <w:marBottom w:val="0"/>
                      <w:divBdr>
                        <w:top w:val="none" w:sz="0" w:space="0" w:color="auto"/>
                        <w:left w:val="none" w:sz="0" w:space="0" w:color="auto"/>
                        <w:bottom w:val="none" w:sz="0" w:space="0" w:color="auto"/>
                        <w:right w:val="none" w:sz="0" w:space="0" w:color="auto"/>
                      </w:divBdr>
                      <w:divsChild>
                        <w:div w:id="1444575849">
                          <w:marLeft w:val="0"/>
                          <w:marRight w:val="0"/>
                          <w:marTop w:val="0"/>
                          <w:marBottom w:val="0"/>
                          <w:divBdr>
                            <w:top w:val="none" w:sz="0" w:space="0" w:color="auto"/>
                            <w:left w:val="none" w:sz="0" w:space="0" w:color="auto"/>
                            <w:bottom w:val="none" w:sz="0" w:space="0" w:color="auto"/>
                            <w:right w:val="none" w:sz="0" w:space="0" w:color="auto"/>
                          </w:divBdr>
                        </w:div>
                        <w:div w:id="822699399">
                          <w:marLeft w:val="0"/>
                          <w:marRight w:val="0"/>
                          <w:marTop w:val="0"/>
                          <w:marBottom w:val="0"/>
                          <w:divBdr>
                            <w:top w:val="none" w:sz="0" w:space="0" w:color="auto"/>
                            <w:left w:val="none" w:sz="0" w:space="0" w:color="auto"/>
                            <w:bottom w:val="none" w:sz="0" w:space="0" w:color="auto"/>
                            <w:right w:val="none" w:sz="0" w:space="0" w:color="auto"/>
                          </w:divBdr>
                        </w:div>
                        <w:div w:id="464471942">
                          <w:marLeft w:val="0"/>
                          <w:marRight w:val="0"/>
                          <w:marTop w:val="0"/>
                          <w:marBottom w:val="0"/>
                          <w:divBdr>
                            <w:top w:val="none" w:sz="0" w:space="0" w:color="auto"/>
                            <w:left w:val="none" w:sz="0" w:space="0" w:color="auto"/>
                            <w:bottom w:val="none" w:sz="0" w:space="0" w:color="auto"/>
                            <w:right w:val="none" w:sz="0" w:space="0" w:color="auto"/>
                          </w:divBdr>
                        </w:div>
                        <w:div w:id="169949572">
                          <w:marLeft w:val="0"/>
                          <w:marRight w:val="0"/>
                          <w:marTop w:val="0"/>
                          <w:marBottom w:val="0"/>
                          <w:divBdr>
                            <w:top w:val="none" w:sz="0" w:space="0" w:color="auto"/>
                            <w:left w:val="none" w:sz="0" w:space="0" w:color="auto"/>
                            <w:bottom w:val="none" w:sz="0" w:space="0" w:color="auto"/>
                            <w:right w:val="none" w:sz="0" w:space="0" w:color="auto"/>
                          </w:divBdr>
                        </w:div>
                        <w:div w:id="494758124">
                          <w:marLeft w:val="0"/>
                          <w:marRight w:val="0"/>
                          <w:marTop w:val="0"/>
                          <w:marBottom w:val="0"/>
                          <w:divBdr>
                            <w:top w:val="none" w:sz="0" w:space="0" w:color="auto"/>
                            <w:left w:val="none" w:sz="0" w:space="0" w:color="auto"/>
                            <w:bottom w:val="none" w:sz="0" w:space="0" w:color="auto"/>
                            <w:right w:val="none" w:sz="0" w:space="0" w:color="auto"/>
                          </w:divBdr>
                        </w:div>
                        <w:div w:id="1418134739">
                          <w:marLeft w:val="0"/>
                          <w:marRight w:val="0"/>
                          <w:marTop w:val="0"/>
                          <w:marBottom w:val="0"/>
                          <w:divBdr>
                            <w:top w:val="none" w:sz="0" w:space="0" w:color="auto"/>
                            <w:left w:val="none" w:sz="0" w:space="0" w:color="auto"/>
                            <w:bottom w:val="none" w:sz="0" w:space="0" w:color="auto"/>
                            <w:right w:val="none" w:sz="0" w:space="0" w:color="auto"/>
                          </w:divBdr>
                        </w:div>
                        <w:div w:id="692803116">
                          <w:marLeft w:val="0"/>
                          <w:marRight w:val="0"/>
                          <w:marTop w:val="0"/>
                          <w:marBottom w:val="0"/>
                          <w:divBdr>
                            <w:top w:val="none" w:sz="0" w:space="0" w:color="auto"/>
                            <w:left w:val="none" w:sz="0" w:space="0" w:color="auto"/>
                            <w:bottom w:val="none" w:sz="0" w:space="0" w:color="auto"/>
                            <w:right w:val="none" w:sz="0" w:space="0" w:color="auto"/>
                          </w:divBdr>
                        </w:div>
                        <w:div w:id="2068451685">
                          <w:marLeft w:val="0"/>
                          <w:marRight w:val="0"/>
                          <w:marTop w:val="0"/>
                          <w:marBottom w:val="0"/>
                          <w:divBdr>
                            <w:top w:val="none" w:sz="0" w:space="0" w:color="auto"/>
                            <w:left w:val="none" w:sz="0" w:space="0" w:color="auto"/>
                            <w:bottom w:val="none" w:sz="0" w:space="0" w:color="auto"/>
                            <w:right w:val="none" w:sz="0" w:space="0" w:color="auto"/>
                          </w:divBdr>
                        </w:div>
                        <w:div w:id="1513959629">
                          <w:marLeft w:val="0"/>
                          <w:marRight w:val="0"/>
                          <w:marTop w:val="0"/>
                          <w:marBottom w:val="0"/>
                          <w:divBdr>
                            <w:top w:val="none" w:sz="0" w:space="0" w:color="auto"/>
                            <w:left w:val="none" w:sz="0" w:space="0" w:color="auto"/>
                            <w:bottom w:val="none" w:sz="0" w:space="0" w:color="auto"/>
                            <w:right w:val="none" w:sz="0" w:space="0" w:color="auto"/>
                          </w:divBdr>
                        </w:div>
                        <w:div w:id="863906168">
                          <w:marLeft w:val="0"/>
                          <w:marRight w:val="0"/>
                          <w:marTop w:val="0"/>
                          <w:marBottom w:val="0"/>
                          <w:divBdr>
                            <w:top w:val="none" w:sz="0" w:space="0" w:color="auto"/>
                            <w:left w:val="none" w:sz="0" w:space="0" w:color="auto"/>
                            <w:bottom w:val="none" w:sz="0" w:space="0" w:color="auto"/>
                            <w:right w:val="none" w:sz="0" w:space="0" w:color="auto"/>
                          </w:divBdr>
                        </w:div>
                        <w:div w:id="1851680561">
                          <w:marLeft w:val="0"/>
                          <w:marRight w:val="0"/>
                          <w:marTop w:val="0"/>
                          <w:marBottom w:val="0"/>
                          <w:divBdr>
                            <w:top w:val="none" w:sz="0" w:space="0" w:color="auto"/>
                            <w:left w:val="none" w:sz="0" w:space="0" w:color="auto"/>
                            <w:bottom w:val="none" w:sz="0" w:space="0" w:color="auto"/>
                            <w:right w:val="none" w:sz="0" w:space="0" w:color="auto"/>
                          </w:divBdr>
                        </w:div>
                        <w:div w:id="1826701549">
                          <w:marLeft w:val="0"/>
                          <w:marRight w:val="0"/>
                          <w:marTop w:val="0"/>
                          <w:marBottom w:val="0"/>
                          <w:divBdr>
                            <w:top w:val="none" w:sz="0" w:space="0" w:color="auto"/>
                            <w:left w:val="none" w:sz="0" w:space="0" w:color="auto"/>
                            <w:bottom w:val="none" w:sz="0" w:space="0" w:color="auto"/>
                            <w:right w:val="none" w:sz="0" w:space="0" w:color="auto"/>
                          </w:divBdr>
                        </w:div>
                        <w:div w:id="1566145132">
                          <w:marLeft w:val="0"/>
                          <w:marRight w:val="0"/>
                          <w:marTop w:val="0"/>
                          <w:marBottom w:val="0"/>
                          <w:divBdr>
                            <w:top w:val="none" w:sz="0" w:space="0" w:color="auto"/>
                            <w:left w:val="none" w:sz="0" w:space="0" w:color="auto"/>
                            <w:bottom w:val="none" w:sz="0" w:space="0" w:color="auto"/>
                            <w:right w:val="none" w:sz="0" w:space="0" w:color="auto"/>
                          </w:divBdr>
                        </w:div>
                        <w:div w:id="741947134">
                          <w:marLeft w:val="0"/>
                          <w:marRight w:val="0"/>
                          <w:marTop w:val="0"/>
                          <w:marBottom w:val="0"/>
                          <w:divBdr>
                            <w:top w:val="none" w:sz="0" w:space="0" w:color="auto"/>
                            <w:left w:val="none" w:sz="0" w:space="0" w:color="auto"/>
                            <w:bottom w:val="none" w:sz="0" w:space="0" w:color="auto"/>
                            <w:right w:val="none" w:sz="0" w:space="0" w:color="auto"/>
                          </w:divBdr>
                        </w:div>
                        <w:div w:id="1829445449">
                          <w:marLeft w:val="0"/>
                          <w:marRight w:val="0"/>
                          <w:marTop w:val="0"/>
                          <w:marBottom w:val="0"/>
                          <w:divBdr>
                            <w:top w:val="none" w:sz="0" w:space="0" w:color="auto"/>
                            <w:left w:val="none" w:sz="0" w:space="0" w:color="auto"/>
                            <w:bottom w:val="none" w:sz="0" w:space="0" w:color="auto"/>
                            <w:right w:val="none" w:sz="0" w:space="0" w:color="auto"/>
                          </w:divBdr>
                          <w:divsChild>
                            <w:div w:id="1453397620">
                              <w:marLeft w:val="0"/>
                              <w:marRight w:val="0"/>
                              <w:marTop w:val="0"/>
                              <w:marBottom w:val="0"/>
                              <w:divBdr>
                                <w:top w:val="none" w:sz="0" w:space="0" w:color="auto"/>
                                <w:left w:val="none" w:sz="0" w:space="0" w:color="auto"/>
                                <w:bottom w:val="none" w:sz="0" w:space="0" w:color="auto"/>
                                <w:right w:val="none" w:sz="0" w:space="0" w:color="auto"/>
                              </w:divBdr>
                            </w:div>
                            <w:div w:id="1710841764">
                              <w:marLeft w:val="0"/>
                              <w:marRight w:val="0"/>
                              <w:marTop w:val="0"/>
                              <w:marBottom w:val="0"/>
                              <w:divBdr>
                                <w:top w:val="none" w:sz="0" w:space="0" w:color="auto"/>
                                <w:left w:val="none" w:sz="0" w:space="0" w:color="auto"/>
                                <w:bottom w:val="none" w:sz="0" w:space="0" w:color="auto"/>
                                <w:right w:val="none" w:sz="0" w:space="0" w:color="auto"/>
                              </w:divBdr>
                            </w:div>
                            <w:div w:id="719400976">
                              <w:marLeft w:val="0"/>
                              <w:marRight w:val="0"/>
                              <w:marTop w:val="0"/>
                              <w:marBottom w:val="0"/>
                              <w:divBdr>
                                <w:top w:val="none" w:sz="0" w:space="0" w:color="auto"/>
                                <w:left w:val="none" w:sz="0" w:space="0" w:color="auto"/>
                                <w:bottom w:val="none" w:sz="0" w:space="0" w:color="auto"/>
                                <w:right w:val="none" w:sz="0" w:space="0" w:color="auto"/>
                              </w:divBdr>
                            </w:div>
                            <w:div w:id="2074084995">
                              <w:marLeft w:val="0"/>
                              <w:marRight w:val="0"/>
                              <w:marTop w:val="0"/>
                              <w:marBottom w:val="0"/>
                              <w:divBdr>
                                <w:top w:val="none" w:sz="0" w:space="0" w:color="auto"/>
                                <w:left w:val="none" w:sz="0" w:space="0" w:color="auto"/>
                                <w:bottom w:val="none" w:sz="0" w:space="0" w:color="auto"/>
                                <w:right w:val="none" w:sz="0" w:space="0" w:color="auto"/>
                              </w:divBdr>
                            </w:div>
                            <w:div w:id="1555005306">
                              <w:marLeft w:val="0"/>
                              <w:marRight w:val="0"/>
                              <w:marTop w:val="0"/>
                              <w:marBottom w:val="0"/>
                              <w:divBdr>
                                <w:top w:val="none" w:sz="0" w:space="0" w:color="auto"/>
                                <w:left w:val="none" w:sz="0" w:space="0" w:color="auto"/>
                                <w:bottom w:val="none" w:sz="0" w:space="0" w:color="auto"/>
                                <w:right w:val="none" w:sz="0" w:space="0" w:color="auto"/>
                              </w:divBdr>
                            </w:div>
                            <w:div w:id="439184210">
                              <w:marLeft w:val="0"/>
                              <w:marRight w:val="0"/>
                              <w:marTop w:val="0"/>
                              <w:marBottom w:val="0"/>
                              <w:divBdr>
                                <w:top w:val="none" w:sz="0" w:space="0" w:color="auto"/>
                                <w:left w:val="none" w:sz="0" w:space="0" w:color="auto"/>
                                <w:bottom w:val="none" w:sz="0" w:space="0" w:color="auto"/>
                                <w:right w:val="none" w:sz="0" w:space="0" w:color="auto"/>
                              </w:divBdr>
                            </w:div>
                            <w:div w:id="1061367342">
                              <w:marLeft w:val="0"/>
                              <w:marRight w:val="0"/>
                              <w:marTop w:val="0"/>
                              <w:marBottom w:val="0"/>
                              <w:divBdr>
                                <w:top w:val="none" w:sz="0" w:space="0" w:color="auto"/>
                                <w:left w:val="none" w:sz="0" w:space="0" w:color="auto"/>
                                <w:bottom w:val="none" w:sz="0" w:space="0" w:color="auto"/>
                                <w:right w:val="none" w:sz="0" w:space="0" w:color="auto"/>
                              </w:divBdr>
                            </w:div>
                            <w:div w:id="518933646">
                              <w:marLeft w:val="0"/>
                              <w:marRight w:val="0"/>
                              <w:marTop w:val="0"/>
                              <w:marBottom w:val="0"/>
                              <w:divBdr>
                                <w:top w:val="none" w:sz="0" w:space="0" w:color="auto"/>
                                <w:left w:val="none" w:sz="0" w:space="0" w:color="auto"/>
                                <w:bottom w:val="none" w:sz="0" w:space="0" w:color="auto"/>
                                <w:right w:val="none" w:sz="0" w:space="0" w:color="auto"/>
                              </w:divBdr>
                            </w:div>
                            <w:div w:id="1927568842">
                              <w:marLeft w:val="0"/>
                              <w:marRight w:val="0"/>
                              <w:marTop w:val="0"/>
                              <w:marBottom w:val="0"/>
                              <w:divBdr>
                                <w:top w:val="none" w:sz="0" w:space="0" w:color="auto"/>
                                <w:left w:val="none" w:sz="0" w:space="0" w:color="auto"/>
                                <w:bottom w:val="none" w:sz="0" w:space="0" w:color="auto"/>
                                <w:right w:val="none" w:sz="0" w:space="0" w:color="auto"/>
                              </w:divBdr>
                            </w:div>
                            <w:div w:id="1010569406">
                              <w:marLeft w:val="0"/>
                              <w:marRight w:val="0"/>
                              <w:marTop w:val="0"/>
                              <w:marBottom w:val="0"/>
                              <w:divBdr>
                                <w:top w:val="none" w:sz="0" w:space="0" w:color="auto"/>
                                <w:left w:val="none" w:sz="0" w:space="0" w:color="auto"/>
                                <w:bottom w:val="none" w:sz="0" w:space="0" w:color="auto"/>
                                <w:right w:val="none" w:sz="0" w:space="0" w:color="auto"/>
                              </w:divBdr>
                            </w:div>
                            <w:div w:id="1629118098">
                              <w:marLeft w:val="0"/>
                              <w:marRight w:val="0"/>
                              <w:marTop w:val="0"/>
                              <w:marBottom w:val="0"/>
                              <w:divBdr>
                                <w:top w:val="none" w:sz="0" w:space="0" w:color="auto"/>
                                <w:left w:val="none" w:sz="0" w:space="0" w:color="auto"/>
                                <w:bottom w:val="none" w:sz="0" w:space="0" w:color="auto"/>
                                <w:right w:val="none" w:sz="0" w:space="0" w:color="auto"/>
                              </w:divBdr>
                            </w:div>
                            <w:div w:id="480078377">
                              <w:marLeft w:val="0"/>
                              <w:marRight w:val="0"/>
                              <w:marTop w:val="0"/>
                              <w:marBottom w:val="0"/>
                              <w:divBdr>
                                <w:top w:val="none" w:sz="0" w:space="0" w:color="auto"/>
                                <w:left w:val="none" w:sz="0" w:space="0" w:color="auto"/>
                                <w:bottom w:val="none" w:sz="0" w:space="0" w:color="auto"/>
                                <w:right w:val="none" w:sz="0" w:space="0" w:color="auto"/>
                              </w:divBdr>
                            </w:div>
                            <w:div w:id="1231964415">
                              <w:marLeft w:val="0"/>
                              <w:marRight w:val="0"/>
                              <w:marTop w:val="0"/>
                              <w:marBottom w:val="0"/>
                              <w:divBdr>
                                <w:top w:val="none" w:sz="0" w:space="0" w:color="auto"/>
                                <w:left w:val="none" w:sz="0" w:space="0" w:color="auto"/>
                                <w:bottom w:val="none" w:sz="0" w:space="0" w:color="auto"/>
                                <w:right w:val="none" w:sz="0" w:space="0" w:color="auto"/>
                              </w:divBdr>
                            </w:div>
                            <w:div w:id="107704996">
                              <w:marLeft w:val="0"/>
                              <w:marRight w:val="0"/>
                              <w:marTop w:val="0"/>
                              <w:marBottom w:val="0"/>
                              <w:divBdr>
                                <w:top w:val="none" w:sz="0" w:space="0" w:color="auto"/>
                                <w:left w:val="none" w:sz="0" w:space="0" w:color="auto"/>
                                <w:bottom w:val="none" w:sz="0" w:space="0" w:color="auto"/>
                                <w:right w:val="none" w:sz="0" w:space="0" w:color="auto"/>
                              </w:divBdr>
                            </w:div>
                            <w:div w:id="813523551">
                              <w:marLeft w:val="0"/>
                              <w:marRight w:val="0"/>
                              <w:marTop w:val="0"/>
                              <w:marBottom w:val="0"/>
                              <w:divBdr>
                                <w:top w:val="none" w:sz="0" w:space="0" w:color="auto"/>
                                <w:left w:val="none" w:sz="0" w:space="0" w:color="auto"/>
                                <w:bottom w:val="none" w:sz="0" w:space="0" w:color="auto"/>
                                <w:right w:val="none" w:sz="0" w:space="0" w:color="auto"/>
                              </w:divBdr>
                            </w:div>
                            <w:div w:id="2051956700">
                              <w:marLeft w:val="0"/>
                              <w:marRight w:val="0"/>
                              <w:marTop w:val="0"/>
                              <w:marBottom w:val="0"/>
                              <w:divBdr>
                                <w:top w:val="none" w:sz="0" w:space="0" w:color="auto"/>
                                <w:left w:val="none" w:sz="0" w:space="0" w:color="auto"/>
                                <w:bottom w:val="none" w:sz="0" w:space="0" w:color="auto"/>
                                <w:right w:val="none" w:sz="0" w:space="0" w:color="auto"/>
                              </w:divBdr>
                            </w:div>
                            <w:div w:id="510024756">
                              <w:marLeft w:val="0"/>
                              <w:marRight w:val="0"/>
                              <w:marTop w:val="0"/>
                              <w:marBottom w:val="0"/>
                              <w:divBdr>
                                <w:top w:val="none" w:sz="0" w:space="0" w:color="auto"/>
                                <w:left w:val="none" w:sz="0" w:space="0" w:color="auto"/>
                                <w:bottom w:val="none" w:sz="0" w:space="0" w:color="auto"/>
                                <w:right w:val="none" w:sz="0" w:space="0" w:color="auto"/>
                              </w:divBdr>
                            </w:div>
                            <w:div w:id="1263222190">
                              <w:marLeft w:val="0"/>
                              <w:marRight w:val="0"/>
                              <w:marTop w:val="0"/>
                              <w:marBottom w:val="0"/>
                              <w:divBdr>
                                <w:top w:val="none" w:sz="0" w:space="0" w:color="auto"/>
                                <w:left w:val="none" w:sz="0" w:space="0" w:color="auto"/>
                                <w:bottom w:val="none" w:sz="0" w:space="0" w:color="auto"/>
                                <w:right w:val="none" w:sz="0" w:space="0" w:color="auto"/>
                              </w:divBdr>
                            </w:div>
                            <w:div w:id="1644189339">
                              <w:marLeft w:val="0"/>
                              <w:marRight w:val="0"/>
                              <w:marTop w:val="0"/>
                              <w:marBottom w:val="0"/>
                              <w:divBdr>
                                <w:top w:val="none" w:sz="0" w:space="0" w:color="auto"/>
                                <w:left w:val="none" w:sz="0" w:space="0" w:color="auto"/>
                                <w:bottom w:val="none" w:sz="0" w:space="0" w:color="auto"/>
                                <w:right w:val="none" w:sz="0" w:space="0" w:color="auto"/>
                              </w:divBdr>
                            </w:div>
                            <w:div w:id="223181128">
                              <w:marLeft w:val="0"/>
                              <w:marRight w:val="0"/>
                              <w:marTop w:val="0"/>
                              <w:marBottom w:val="0"/>
                              <w:divBdr>
                                <w:top w:val="none" w:sz="0" w:space="0" w:color="auto"/>
                                <w:left w:val="none" w:sz="0" w:space="0" w:color="auto"/>
                                <w:bottom w:val="none" w:sz="0" w:space="0" w:color="auto"/>
                                <w:right w:val="none" w:sz="0" w:space="0" w:color="auto"/>
                              </w:divBdr>
                            </w:div>
                            <w:div w:id="1935047048">
                              <w:marLeft w:val="0"/>
                              <w:marRight w:val="0"/>
                              <w:marTop w:val="0"/>
                              <w:marBottom w:val="0"/>
                              <w:divBdr>
                                <w:top w:val="none" w:sz="0" w:space="0" w:color="auto"/>
                                <w:left w:val="none" w:sz="0" w:space="0" w:color="auto"/>
                                <w:bottom w:val="none" w:sz="0" w:space="0" w:color="auto"/>
                                <w:right w:val="none" w:sz="0" w:space="0" w:color="auto"/>
                              </w:divBdr>
                            </w:div>
                            <w:div w:id="357704488">
                              <w:marLeft w:val="0"/>
                              <w:marRight w:val="0"/>
                              <w:marTop w:val="0"/>
                              <w:marBottom w:val="0"/>
                              <w:divBdr>
                                <w:top w:val="none" w:sz="0" w:space="0" w:color="auto"/>
                                <w:left w:val="none" w:sz="0" w:space="0" w:color="auto"/>
                                <w:bottom w:val="none" w:sz="0" w:space="0" w:color="auto"/>
                                <w:right w:val="none" w:sz="0" w:space="0" w:color="auto"/>
                              </w:divBdr>
                            </w:div>
                            <w:div w:id="1307658759">
                              <w:marLeft w:val="0"/>
                              <w:marRight w:val="0"/>
                              <w:marTop w:val="0"/>
                              <w:marBottom w:val="0"/>
                              <w:divBdr>
                                <w:top w:val="none" w:sz="0" w:space="0" w:color="auto"/>
                                <w:left w:val="none" w:sz="0" w:space="0" w:color="auto"/>
                                <w:bottom w:val="none" w:sz="0" w:space="0" w:color="auto"/>
                                <w:right w:val="none" w:sz="0" w:space="0" w:color="auto"/>
                              </w:divBdr>
                            </w:div>
                            <w:div w:id="425924950">
                              <w:marLeft w:val="0"/>
                              <w:marRight w:val="0"/>
                              <w:marTop w:val="0"/>
                              <w:marBottom w:val="0"/>
                              <w:divBdr>
                                <w:top w:val="none" w:sz="0" w:space="0" w:color="auto"/>
                                <w:left w:val="none" w:sz="0" w:space="0" w:color="auto"/>
                                <w:bottom w:val="none" w:sz="0" w:space="0" w:color="auto"/>
                                <w:right w:val="none" w:sz="0" w:space="0" w:color="auto"/>
                              </w:divBdr>
                            </w:div>
                            <w:div w:id="2097557730">
                              <w:marLeft w:val="0"/>
                              <w:marRight w:val="0"/>
                              <w:marTop w:val="0"/>
                              <w:marBottom w:val="0"/>
                              <w:divBdr>
                                <w:top w:val="none" w:sz="0" w:space="0" w:color="auto"/>
                                <w:left w:val="none" w:sz="0" w:space="0" w:color="auto"/>
                                <w:bottom w:val="none" w:sz="0" w:space="0" w:color="auto"/>
                                <w:right w:val="none" w:sz="0" w:space="0" w:color="auto"/>
                              </w:divBdr>
                            </w:div>
                            <w:div w:id="1737359800">
                              <w:marLeft w:val="0"/>
                              <w:marRight w:val="0"/>
                              <w:marTop w:val="0"/>
                              <w:marBottom w:val="0"/>
                              <w:divBdr>
                                <w:top w:val="none" w:sz="0" w:space="0" w:color="auto"/>
                                <w:left w:val="none" w:sz="0" w:space="0" w:color="auto"/>
                                <w:bottom w:val="none" w:sz="0" w:space="0" w:color="auto"/>
                                <w:right w:val="none" w:sz="0" w:space="0" w:color="auto"/>
                              </w:divBdr>
                            </w:div>
                            <w:div w:id="1977374378">
                              <w:marLeft w:val="0"/>
                              <w:marRight w:val="0"/>
                              <w:marTop w:val="0"/>
                              <w:marBottom w:val="0"/>
                              <w:divBdr>
                                <w:top w:val="none" w:sz="0" w:space="0" w:color="auto"/>
                                <w:left w:val="none" w:sz="0" w:space="0" w:color="auto"/>
                                <w:bottom w:val="none" w:sz="0" w:space="0" w:color="auto"/>
                                <w:right w:val="none" w:sz="0" w:space="0" w:color="auto"/>
                              </w:divBdr>
                            </w:div>
                            <w:div w:id="1451780638">
                              <w:marLeft w:val="0"/>
                              <w:marRight w:val="0"/>
                              <w:marTop w:val="0"/>
                              <w:marBottom w:val="0"/>
                              <w:divBdr>
                                <w:top w:val="none" w:sz="0" w:space="0" w:color="auto"/>
                                <w:left w:val="none" w:sz="0" w:space="0" w:color="auto"/>
                                <w:bottom w:val="none" w:sz="0" w:space="0" w:color="auto"/>
                                <w:right w:val="none" w:sz="0" w:space="0" w:color="auto"/>
                              </w:divBdr>
                            </w:div>
                            <w:div w:id="369189227">
                              <w:marLeft w:val="0"/>
                              <w:marRight w:val="0"/>
                              <w:marTop w:val="0"/>
                              <w:marBottom w:val="0"/>
                              <w:divBdr>
                                <w:top w:val="none" w:sz="0" w:space="0" w:color="auto"/>
                                <w:left w:val="none" w:sz="0" w:space="0" w:color="auto"/>
                                <w:bottom w:val="none" w:sz="0" w:space="0" w:color="auto"/>
                                <w:right w:val="none" w:sz="0" w:space="0" w:color="auto"/>
                              </w:divBdr>
                            </w:div>
                            <w:div w:id="1656837521">
                              <w:marLeft w:val="0"/>
                              <w:marRight w:val="0"/>
                              <w:marTop w:val="0"/>
                              <w:marBottom w:val="0"/>
                              <w:divBdr>
                                <w:top w:val="none" w:sz="0" w:space="0" w:color="auto"/>
                                <w:left w:val="none" w:sz="0" w:space="0" w:color="auto"/>
                                <w:bottom w:val="none" w:sz="0" w:space="0" w:color="auto"/>
                                <w:right w:val="none" w:sz="0" w:space="0" w:color="auto"/>
                              </w:divBdr>
                            </w:div>
                            <w:div w:id="1248536442">
                              <w:marLeft w:val="0"/>
                              <w:marRight w:val="0"/>
                              <w:marTop w:val="0"/>
                              <w:marBottom w:val="0"/>
                              <w:divBdr>
                                <w:top w:val="none" w:sz="0" w:space="0" w:color="auto"/>
                                <w:left w:val="none" w:sz="0" w:space="0" w:color="auto"/>
                                <w:bottom w:val="none" w:sz="0" w:space="0" w:color="auto"/>
                                <w:right w:val="none" w:sz="0" w:space="0" w:color="auto"/>
                              </w:divBdr>
                            </w:div>
                            <w:div w:id="151530746">
                              <w:marLeft w:val="0"/>
                              <w:marRight w:val="0"/>
                              <w:marTop w:val="0"/>
                              <w:marBottom w:val="0"/>
                              <w:divBdr>
                                <w:top w:val="none" w:sz="0" w:space="0" w:color="auto"/>
                                <w:left w:val="none" w:sz="0" w:space="0" w:color="auto"/>
                                <w:bottom w:val="none" w:sz="0" w:space="0" w:color="auto"/>
                                <w:right w:val="none" w:sz="0" w:space="0" w:color="auto"/>
                              </w:divBdr>
                            </w:div>
                            <w:div w:id="314990798">
                              <w:marLeft w:val="0"/>
                              <w:marRight w:val="0"/>
                              <w:marTop w:val="0"/>
                              <w:marBottom w:val="0"/>
                              <w:divBdr>
                                <w:top w:val="none" w:sz="0" w:space="0" w:color="auto"/>
                                <w:left w:val="none" w:sz="0" w:space="0" w:color="auto"/>
                                <w:bottom w:val="none" w:sz="0" w:space="0" w:color="auto"/>
                                <w:right w:val="none" w:sz="0" w:space="0" w:color="auto"/>
                              </w:divBdr>
                            </w:div>
                            <w:div w:id="1364332502">
                              <w:marLeft w:val="0"/>
                              <w:marRight w:val="0"/>
                              <w:marTop w:val="0"/>
                              <w:marBottom w:val="0"/>
                              <w:divBdr>
                                <w:top w:val="none" w:sz="0" w:space="0" w:color="auto"/>
                                <w:left w:val="none" w:sz="0" w:space="0" w:color="auto"/>
                                <w:bottom w:val="none" w:sz="0" w:space="0" w:color="auto"/>
                                <w:right w:val="none" w:sz="0" w:space="0" w:color="auto"/>
                              </w:divBdr>
                            </w:div>
                            <w:div w:id="328363340">
                              <w:marLeft w:val="0"/>
                              <w:marRight w:val="0"/>
                              <w:marTop w:val="0"/>
                              <w:marBottom w:val="0"/>
                              <w:divBdr>
                                <w:top w:val="none" w:sz="0" w:space="0" w:color="auto"/>
                                <w:left w:val="none" w:sz="0" w:space="0" w:color="auto"/>
                                <w:bottom w:val="none" w:sz="0" w:space="0" w:color="auto"/>
                                <w:right w:val="none" w:sz="0" w:space="0" w:color="auto"/>
                              </w:divBdr>
                            </w:div>
                            <w:div w:id="585462918">
                              <w:marLeft w:val="0"/>
                              <w:marRight w:val="0"/>
                              <w:marTop w:val="0"/>
                              <w:marBottom w:val="0"/>
                              <w:divBdr>
                                <w:top w:val="none" w:sz="0" w:space="0" w:color="auto"/>
                                <w:left w:val="none" w:sz="0" w:space="0" w:color="auto"/>
                                <w:bottom w:val="none" w:sz="0" w:space="0" w:color="auto"/>
                                <w:right w:val="none" w:sz="0" w:space="0" w:color="auto"/>
                              </w:divBdr>
                            </w:div>
                            <w:div w:id="1931351309">
                              <w:marLeft w:val="0"/>
                              <w:marRight w:val="0"/>
                              <w:marTop w:val="0"/>
                              <w:marBottom w:val="0"/>
                              <w:divBdr>
                                <w:top w:val="none" w:sz="0" w:space="0" w:color="auto"/>
                                <w:left w:val="none" w:sz="0" w:space="0" w:color="auto"/>
                                <w:bottom w:val="none" w:sz="0" w:space="0" w:color="auto"/>
                                <w:right w:val="none" w:sz="0" w:space="0" w:color="auto"/>
                              </w:divBdr>
                            </w:div>
                            <w:div w:id="315845578">
                              <w:marLeft w:val="0"/>
                              <w:marRight w:val="0"/>
                              <w:marTop w:val="0"/>
                              <w:marBottom w:val="0"/>
                              <w:divBdr>
                                <w:top w:val="none" w:sz="0" w:space="0" w:color="auto"/>
                                <w:left w:val="none" w:sz="0" w:space="0" w:color="auto"/>
                                <w:bottom w:val="none" w:sz="0" w:space="0" w:color="auto"/>
                                <w:right w:val="none" w:sz="0" w:space="0" w:color="auto"/>
                              </w:divBdr>
                            </w:div>
                            <w:div w:id="1260993090">
                              <w:marLeft w:val="0"/>
                              <w:marRight w:val="0"/>
                              <w:marTop w:val="0"/>
                              <w:marBottom w:val="0"/>
                              <w:divBdr>
                                <w:top w:val="none" w:sz="0" w:space="0" w:color="auto"/>
                                <w:left w:val="none" w:sz="0" w:space="0" w:color="auto"/>
                                <w:bottom w:val="none" w:sz="0" w:space="0" w:color="auto"/>
                                <w:right w:val="none" w:sz="0" w:space="0" w:color="auto"/>
                              </w:divBdr>
                            </w:div>
                            <w:div w:id="450829020">
                              <w:marLeft w:val="0"/>
                              <w:marRight w:val="0"/>
                              <w:marTop w:val="0"/>
                              <w:marBottom w:val="0"/>
                              <w:divBdr>
                                <w:top w:val="none" w:sz="0" w:space="0" w:color="auto"/>
                                <w:left w:val="none" w:sz="0" w:space="0" w:color="auto"/>
                                <w:bottom w:val="none" w:sz="0" w:space="0" w:color="auto"/>
                                <w:right w:val="none" w:sz="0" w:space="0" w:color="auto"/>
                              </w:divBdr>
                            </w:div>
                            <w:div w:id="1853837595">
                              <w:marLeft w:val="0"/>
                              <w:marRight w:val="0"/>
                              <w:marTop w:val="0"/>
                              <w:marBottom w:val="0"/>
                              <w:divBdr>
                                <w:top w:val="none" w:sz="0" w:space="0" w:color="auto"/>
                                <w:left w:val="none" w:sz="0" w:space="0" w:color="auto"/>
                                <w:bottom w:val="none" w:sz="0" w:space="0" w:color="auto"/>
                                <w:right w:val="none" w:sz="0" w:space="0" w:color="auto"/>
                              </w:divBdr>
                            </w:div>
                            <w:div w:id="396975943">
                              <w:marLeft w:val="0"/>
                              <w:marRight w:val="0"/>
                              <w:marTop w:val="0"/>
                              <w:marBottom w:val="0"/>
                              <w:divBdr>
                                <w:top w:val="none" w:sz="0" w:space="0" w:color="auto"/>
                                <w:left w:val="none" w:sz="0" w:space="0" w:color="auto"/>
                                <w:bottom w:val="none" w:sz="0" w:space="0" w:color="auto"/>
                                <w:right w:val="none" w:sz="0" w:space="0" w:color="auto"/>
                              </w:divBdr>
                            </w:div>
                            <w:div w:id="1418134204">
                              <w:marLeft w:val="0"/>
                              <w:marRight w:val="0"/>
                              <w:marTop w:val="0"/>
                              <w:marBottom w:val="0"/>
                              <w:divBdr>
                                <w:top w:val="none" w:sz="0" w:space="0" w:color="auto"/>
                                <w:left w:val="none" w:sz="0" w:space="0" w:color="auto"/>
                                <w:bottom w:val="none" w:sz="0" w:space="0" w:color="auto"/>
                                <w:right w:val="none" w:sz="0" w:space="0" w:color="auto"/>
                              </w:divBdr>
                            </w:div>
                            <w:div w:id="175099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77556">
      <w:bodyDiv w:val="1"/>
      <w:marLeft w:val="0"/>
      <w:marRight w:val="0"/>
      <w:marTop w:val="0"/>
      <w:marBottom w:val="0"/>
      <w:divBdr>
        <w:top w:val="none" w:sz="0" w:space="0" w:color="auto"/>
        <w:left w:val="none" w:sz="0" w:space="0" w:color="auto"/>
        <w:bottom w:val="none" w:sz="0" w:space="0" w:color="auto"/>
        <w:right w:val="none" w:sz="0" w:space="0" w:color="auto"/>
      </w:divBdr>
      <w:divsChild>
        <w:div w:id="526722864">
          <w:marLeft w:val="0"/>
          <w:marRight w:val="0"/>
          <w:marTop w:val="0"/>
          <w:marBottom w:val="0"/>
          <w:divBdr>
            <w:top w:val="none" w:sz="0" w:space="0" w:color="auto"/>
            <w:left w:val="none" w:sz="0" w:space="0" w:color="auto"/>
            <w:bottom w:val="none" w:sz="0" w:space="0" w:color="auto"/>
            <w:right w:val="none" w:sz="0" w:space="0" w:color="auto"/>
          </w:divBdr>
        </w:div>
      </w:divsChild>
    </w:div>
    <w:div w:id="52395462">
      <w:bodyDiv w:val="1"/>
      <w:marLeft w:val="0"/>
      <w:marRight w:val="0"/>
      <w:marTop w:val="0"/>
      <w:marBottom w:val="0"/>
      <w:divBdr>
        <w:top w:val="none" w:sz="0" w:space="0" w:color="auto"/>
        <w:left w:val="none" w:sz="0" w:space="0" w:color="auto"/>
        <w:bottom w:val="none" w:sz="0" w:space="0" w:color="auto"/>
        <w:right w:val="none" w:sz="0" w:space="0" w:color="auto"/>
      </w:divBdr>
      <w:divsChild>
        <w:div w:id="1361474555">
          <w:marLeft w:val="0"/>
          <w:marRight w:val="0"/>
          <w:marTop w:val="0"/>
          <w:marBottom w:val="0"/>
          <w:divBdr>
            <w:top w:val="none" w:sz="0" w:space="0" w:color="auto"/>
            <w:left w:val="none" w:sz="0" w:space="0" w:color="auto"/>
            <w:bottom w:val="none" w:sz="0" w:space="0" w:color="auto"/>
            <w:right w:val="none" w:sz="0" w:space="0" w:color="auto"/>
          </w:divBdr>
        </w:div>
      </w:divsChild>
    </w:div>
    <w:div w:id="133181622">
      <w:bodyDiv w:val="1"/>
      <w:marLeft w:val="0"/>
      <w:marRight w:val="0"/>
      <w:marTop w:val="0"/>
      <w:marBottom w:val="0"/>
      <w:divBdr>
        <w:top w:val="none" w:sz="0" w:space="0" w:color="auto"/>
        <w:left w:val="none" w:sz="0" w:space="0" w:color="auto"/>
        <w:bottom w:val="none" w:sz="0" w:space="0" w:color="auto"/>
        <w:right w:val="none" w:sz="0" w:space="0" w:color="auto"/>
      </w:divBdr>
      <w:divsChild>
        <w:div w:id="1012486650">
          <w:marLeft w:val="0"/>
          <w:marRight w:val="0"/>
          <w:marTop w:val="0"/>
          <w:marBottom w:val="0"/>
          <w:divBdr>
            <w:top w:val="none" w:sz="0" w:space="0" w:color="auto"/>
            <w:left w:val="none" w:sz="0" w:space="0" w:color="auto"/>
            <w:bottom w:val="none" w:sz="0" w:space="0" w:color="auto"/>
            <w:right w:val="none" w:sz="0" w:space="0" w:color="auto"/>
          </w:divBdr>
        </w:div>
      </w:divsChild>
    </w:div>
    <w:div w:id="165751289">
      <w:bodyDiv w:val="1"/>
      <w:marLeft w:val="0"/>
      <w:marRight w:val="0"/>
      <w:marTop w:val="0"/>
      <w:marBottom w:val="0"/>
      <w:divBdr>
        <w:top w:val="none" w:sz="0" w:space="0" w:color="auto"/>
        <w:left w:val="none" w:sz="0" w:space="0" w:color="auto"/>
        <w:bottom w:val="none" w:sz="0" w:space="0" w:color="auto"/>
        <w:right w:val="none" w:sz="0" w:space="0" w:color="auto"/>
      </w:divBdr>
      <w:divsChild>
        <w:div w:id="1317994573">
          <w:marLeft w:val="0"/>
          <w:marRight w:val="0"/>
          <w:marTop w:val="0"/>
          <w:marBottom w:val="0"/>
          <w:divBdr>
            <w:top w:val="none" w:sz="0" w:space="0" w:color="auto"/>
            <w:left w:val="none" w:sz="0" w:space="0" w:color="auto"/>
            <w:bottom w:val="none" w:sz="0" w:space="0" w:color="auto"/>
            <w:right w:val="none" w:sz="0" w:space="0" w:color="auto"/>
          </w:divBdr>
        </w:div>
      </w:divsChild>
    </w:div>
    <w:div w:id="183133178">
      <w:bodyDiv w:val="1"/>
      <w:marLeft w:val="0"/>
      <w:marRight w:val="0"/>
      <w:marTop w:val="0"/>
      <w:marBottom w:val="0"/>
      <w:divBdr>
        <w:top w:val="none" w:sz="0" w:space="0" w:color="auto"/>
        <w:left w:val="none" w:sz="0" w:space="0" w:color="auto"/>
        <w:bottom w:val="none" w:sz="0" w:space="0" w:color="auto"/>
        <w:right w:val="none" w:sz="0" w:space="0" w:color="auto"/>
      </w:divBdr>
      <w:divsChild>
        <w:div w:id="435057953">
          <w:marLeft w:val="0"/>
          <w:marRight w:val="0"/>
          <w:marTop w:val="0"/>
          <w:marBottom w:val="0"/>
          <w:divBdr>
            <w:top w:val="none" w:sz="0" w:space="0" w:color="auto"/>
            <w:left w:val="none" w:sz="0" w:space="0" w:color="auto"/>
            <w:bottom w:val="none" w:sz="0" w:space="0" w:color="auto"/>
            <w:right w:val="none" w:sz="0" w:space="0" w:color="auto"/>
          </w:divBdr>
        </w:div>
      </w:divsChild>
    </w:div>
    <w:div w:id="228613493">
      <w:bodyDiv w:val="1"/>
      <w:marLeft w:val="0"/>
      <w:marRight w:val="0"/>
      <w:marTop w:val="0"/>
      <w:marBottom w:val="0"/>
      <w:divBdr>
        <w:top w:val="none" w:sz="0" w:space="0" w:color="auto"/>
        <w:left w:val="none" w:sz="0" w:space="0" w:color="auto"/>
        <w:bottom w:val="none" w:sz="0" w:space="0" w:color="auto"/>
        <w:right w:val="none" w:sz="0" w:space="0" w:color="auto"/>
      </w:divBdr>
      <w:divsChild>
        <w:div w:id="1351838958">
          <w:marLeft w:val="0"/>
          <w:marRight w:val="0"/>
          <w:marTop w:val="0"/>
          <w:marBottom w:val="180"/>
          <w:divBdr>
            <w:top w:val="none" w:sz="0" w:space="0" w:color="auto"/>
            <w:left w:val="none" w:sz="0" w:space="0" w:color="auto"/>
            <w:bottom w:val="none" w:sz="0" w:space="0" w:color="auto"/>
            <w:right w:val="none" w:sz="0" w:space="0" w:color="auto"/>
          </w:divBdr>
          <w:divsChild>
            <w:div w:id="843056073">
              <w:marLeft w:val="0"/>
              <w:marRight w:val="0"/>
              <w:marTop w:val="0"/>
              <w:marBottom w:val="0"/>
              <w:divBdr>
                <w:top w:val="none" w:sz="0" w:space="0" w:color="auto"/>
                <w:left w:val="none" w:sz="0" w:space="0" w:color="auto"/>
                <w:bottom w:val="none" w:sz="0" w:space="0" w:color="auto"/>
                <w:right w:val="none" w:sz="0" w:space="0" w:color="auto"/>
              </w:divBdr>
              <w:divsChild>
                <w:div w:id="852454215">
                  <w:marLeft w:val="0"/>
                  <w:marRight w:val="0"/>
                  <w:marTop w:val="0"/>
                  <w:marBottom w:val="0"/>
                  <w:divBdr>
                    <w:top w:val="none" w:sz="0" w:space="0" w:color="auto"/>
                    <w:left w:val="none" w:sz="0" w:space="0" w:color="auto"/>
                    <w:bottom w:val="none" w:sz="0" w:space="0" w:color="auto"/>
                    <w:right w:val="none" w:sz="0" w:space="0" w:color="auto"/>
                  </w:divBdr>
                  <w:divsChild>
                    <w:div w:id="1603341985">
                      <w:marLeft w:val="0"/>
                      <w:marRight w:val="0"/>
                      <w:marTop w:val="0"/>
                      <w:marBottom w:val="0"/>
                      <w:divBdr>
                        <w:top w:val="none" w:sz="0" w:space="0" w:color="auto"/>
                        <w:left w:val="none" w:sz="0" w:space="0" w:color="auto"/>
                        <w:bottom w:val="none" w:sz="0" w:space="0" w:color="auto"/>
                        <w:right w:val="none" w:sz="0" w:space="0" w:color="auto"/>
                      </w:divBdr>
                      <w:divsChild>
                        <w:div w:id="388380925">
                          <w:marLeft w:val="0"/>
                          <w:marRight w:val="0"/>
                          <w:marTop w:val="0"/>
                          <w:marBottom w:val="0"/>
                          <w:divBdr>
                            <w:top w:val="none" w:sz="0" w:space="0" w:color="auto"/>
                            <w:left w:val="none" w:sz="0" w:space="0" w:color="auto"/>
                            <w:bottom w:val="none" w:sz="0" w:space="0" w:color="auto"/>
                            <w:right w:val="none" w:sz="0" w:space="0" w:color="auto"/>
                          </w:divBdr>
                          <w:divsChild>
                            <w:div w:id="222065487">
                              <w:marLeft w:val="0"/>
                              <w:marRight w:val="0"/>
                              <w:marTop w:val="0"/>
                              <w:marBottom w:val="0"/>
                              <w:divBdr>
                                <w:top w:val="none" w:sz="0" w:space="0" w:color="auto"/>
                                <w:left w:val="none" w:sz="0" w:space="0" w:color="auto"/>
                                <w:bottom w:val="none" w:sz="0" w:space="0" w:color="auto"/>
                                <w:right w:val="none" w:sz="0" w:space="0" w:color="auto"/>
                              </w:divBdr>
                            </w:div>
                            <w:div w:id="922493110">
                              <w:marLeft w:val="0"/>
                              <w:marRight w:val="0"/>
                              <w:marTop w:val="0"/>
                              <w:marBottom w:val="0"/>
                              <w:divBdr>
                                <w:top w:val="none" w:sz="0" w:space="0" w:color="auto"/>
                                <w:left w:val="none" w:sz="0" w:space="0" w:color="auto"/>
                                <w:bottom w:val="none" w:sz="0" w:space="0" w:color="auto"/>
                                <w:right w:val="none" w:sz="0" w:space="0" w:color="auto"/>
                              </w:divBdr>
                            </w:div>
                            <w:div w:id="1773359141">
                              <w:marLeft w:val="0"/>
                              <w:marRight w:val="0"/>
                              <w:marTop w:val="0"/>
                              <w:marBottom w:val="0"/>
                              <w:divBdr>
                                <w:top w:val="none" w:sz="0" w:space="0" w:color="auto"/>
                                <w:left w:val="none" w:sz="0" w:space="0" w:color="auto"/>
                                <w:bottom w:val="none" w:sz="0" w:space="0" w:color="auto"/>
                                <w:right w:val="none" w:sz="0" w:space="0" w:color="auto"/>
                              </w:divBdr>
                            </w:div>
                            <w:div w:id="927269855">
                              <w:marLeft w:val="0"/>
                              <w:marRight w:val="0"/>
                              <w:marTop w:val="0"/>
                              <w:marBottom w:val="0"/>
                              <w:divBdr>
                                <w:top w:val="none" w:sz="0" w:space="0" w:color="auto"/>
                                <w:left w:val="none" w:sz="0" w:space="0" w:color="auto"/>
                                <w:bottom w:val="none" w:sz="0" w:space="0" w:color="auto"/>
                                <w:right w:val="none" w:sz="0" w:space="0" w:color="auto"/>
                              </w:divBdr>
                            </w:div>
                            <w:div w:id="214665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3365541">
          <w:marLeft w:val="0"/>
          <w:marRight w:val="0"/>
          <w:marTop w:val="0"/>
          <w:marBottom w:val="180"/>
          <w:divBdr>
            <w:top w:val="none" w:sz="0" w:space="0" w:color="auto"/>
            <w:left w:val="none" w:sz="0" w:space="0" w:color="auto"/>
            <w:bottom w:val="none" w:sz="0" w:space="0" w:color="auto"/>
            <w:right w:val="none" w:sz="0" w:space="0" w:color="auto"/>
          </w:divBdr>
          <w:divsChild>
            <w:div w:id="1384020739">
              <w:marLeft w:val="0"/>
              <w:marRight w:val="0"/>
              <w:marTop w:val="0"/>
              <w:marBottom w:val="0"/>
              <w:divBdr>
                <w:top w:val="none" w:sz="0" w:space="0" w:color="auto"/>
                <w:left w:val="none" w:sz="0" w:space="0" w:color="auto"/>
                <w:bottom w:val="none" w:sz="0" w:space="0" w:color="auto"/>
                <w:right w:val="none" w:sz="0" w:space="0" w:color="auto"/>
              </w:divBdr>
              <w:divsChild>
                <w:div w:id="178156050">
                  <w:marLeft w:val="0"/>
                  <w:marRight w:val="0"/>
                  <w:marTop w:val="0"/>
                  <w:marBottom w:val="0"/>
                  <w:divBdr>
                    <w:top w:val="none" w:sz="0" w:space="0" w:color="auto"/>
                    <w:left w:val="none" w:sz="0" w:space="0" w:color="auto"/>
                    <w:bottom w:val="none" w:sz="0" w:space="0" w:color="auto"/>
                    <w:right w:val="none" w:sz="0" w:space="0" w:color="auto"/>
                  </w:divBdr>
                  <w:divsChild>
                    <w:div w:id="236717590">
                      <w:marLeft w:val="0"/>
                      <w:marRight w:val="0"/>
                      <w:marTop w:val="0"/>
                      <w:marBottom w:val="0"/>
                      <w:divBdr>
                        <w:top w:val="none" w:sz="0" w:space="0" w:color="auto"/>
                        <w:left w:val="none" w:sz="0" w:space="0" w:color="auto"/>
                        <w:bottom w:val="none" w:sz="0" w:space="0" w:color="auto"/>
                        <w:right w:val="none" w:sz="0" w:space="0" w:color="auto"/>
                      </w:divBdr>
                      <w:divsChild>
                        <w:div w:id="2145198376">
                          <w:marLeft w:val="0"/>
                          <w:marRight w:val="0"/>
                          <w:marTop w:val="0"/>
                          <w:marBottom w:val="0"/>
                          <w:divBdr>
                            <w:top w:val="none" w:sz="0" w:space="0" w:color="auto"/>
                            <w:left w:val="none" w:sz="0" w:space="0" w:color="auto"/>
                            <w:bottom w:val="none" w:sz="0" w:space="0" w:color="auto"/>
                            <w:right w:val="none" w:sz="0" w:space="0" w:color="auto"/>
                          </w:divBdr>
                          <w:divsChild>
                            <w:div w:id="62916019">
                              <w:marLeft w:val="0"/>
                              <w:marRight w:val="0"/>
                              <w:marTop w:val="0"/>
                              <w:marBottom w:val="0"/>
                              <w:divBdr>
                                <w:top w:val="none" w:sz="0" w:space="0" w:color="auto"/>
                                <w:left w:val="none" w:sz="0" w:space="0" w:color="auto"/>
                                <w:bottom w:val="none" w:sz="0" w:space="0" w:color="auto"/>
                                <w:right w:val="none" w:sz="0" w:space="0" w:color="auto"/>
                              </w:divBdr>
                            </w:div>
                            <w:div w:id="812330508">
                              <w:marLeft w:val="0"/>
                              <w:marRight w:val="0"/>
                              <w:marTop w:val="0"/>
                              <w:marBottom w:val="0"/>
                              <w:divBdr>
                                <w:top w:val="none" w:sz="0" w:space="0" w:color="auto"/>
                                <w:left w:val="none" w:sz="0" w:space="0" w:color="auto"/>
                                <w:bottom w:val="none" w:sz="0" w:space="0" w:color="auto"/>
                                <w:right w:val="none" w:sz="0" w:space="0" w:color="auto"/>
                              </w:divBdr>
                            </w:div>
                            <w:div w:id="636840510">
                              <w:marLeft w:val="0"/>
                              <w:marRight w:val="0"/>
                              <w:marTop w:val="0"/>
                              <w:marBottom w:val="0"/>
                              <w:divBdr>
                                <w:top w:val="none" w:sz="0" w:space="0" w:color="auto"/>
                                <w:left w:val="none" w:sz="0" w:space="0" w:color="auto"/>
                                <w:bottom w:val="none" w:sz="0" w:space="0" w:color="auto"/>
                                <w:right w:val="none" w:sz="0" w:space="0" w:color="auto"/>
                              </w:divBdr>
                            </w:div>
                            <w:div w:id="1896618709">
                              <w:marLeft w:val="0"/>
                              <w:marRight w:val="0"/>
                              <w:marTop w:val="0"/>
                              <w:marBottom w:val="0"/>
                              <w:divBdr>
                                <w:top w:val="none" w:sz="0" w:space="0" w:color="auto"/>
                                <w:left w:val="none" w:sz="0" w:space="0" w:color="auto"/>
                                <w:bottom w:val="none" w:sz="0" w:space="0" w:color="auto"/>
                                <w:right w:val="none" w:sz="0" w:space="0" w:color="auto"/>
                              </w:divBdr>
                            </w:div>
                            <w:div w:id="2001499167">
                              <w:marLeft w:val="0"/>
                              <w:marRight w:val="0"/>
                              <w:marTop w:val="0"/>
                              <w:marBottom w:val="0"/>
                              <w:divBdr>
                                <w:top w:val="none" w:sz="0" w:space="0" w:color="auto"/>
                                <w:left w:val="none" w:sz="0" w:space="0" w:color="auto"/>
                                <w:bottom w:val="none" w:sz="0" w:space="0" w:color="auto"/>
                                <w:right w:val="none" w:sz="0" w:space="0" w:color="auto"/>
                              </w:divBdr>
                            </w:div>
                            <w:div w:id="31812656">
                              <w:marLeft w:val="0"/>
                              <w:marRight w:val="0"/>
                              <w:marTop w:val="0"/>
                              <w:marBottom w:val="0"/>
                              <w:divBdr>
                                <w:top w:val="none" w:sz="0" w:space="0" w:color="auto"/>
                                <w:left w:val="none" w:sz="0" w:space="0" w:color="auto"/>
                                <w:bottom w:val="none" w:sz="0" w:space="0" w:color="auto"/>
                                <w:right w:val="none" w:sz="0" w:space="0" w:color="auto"/>
                              </w:divBdr>
                            </w:div>
                            <w:div w:id="19288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6816409">
      <w:bodyDiv w:val="1"/>
      <w:marLeft w:val="0"/>
      <w:marRight w:val="0"/>
      <w:marTop w:val="0"/>
      <w:marBottom w:val="0"/>
      <w:divBdr>
        <w:top w:val="none" w:sz="0" w:space="0" w:color="auto"/>
        <w:left w:val="none" w:sz="0" w:space="0" w:color="auto"/>
        <w:bottom w:val="none" w:sz="0" w:space="0" w:color="auto"/>
        <w:right w:val="none" w:sz="0" w:space="0" w:color="auto"/>
      </w:divBdr>
    </w:div>
    <w:div w:id="320087533">
      <w:bodyDiv w:val="1"/>
      <w:marLeft w:val="0"/>
      <w:marRight w:val="0"/>
      <w:marTop w:val="0"/>
      <w:marBottom w:val="0"/>
      <w:divBdr>
        <w:top w:val="none" w:sz="0" w:space="0" w:color="auto"/>
        <w:left w:val="none" w:sz="0" w:space="0" w:color="auto"/>
        <w:bottom w:val="none" w:sz="0" w:space="0" w:color="auto"/>
        <w:right w:val="none" w:sz="0" w:space="0" w:color="auto"/>
      </w:divBdr>
      <w:divsChild>
        <w:div w:id="1549367735">
          <w:marLeft w:val="0"/>
          <w:marRight w:val="0"/>
          <w:marTop w:val="0"/>
          <w:marBottom w:val="0"/>
          <w:divBdr>
            <w:top w:val="none" w:sz="0" w:space="0" w:color="auto"/>
            <w:left w:val="none" w:sz="0" w:space="0" w:color="auto"/>
            <w:bottom w:val="none" w:sz="0" w:space="0" w:color="auto"/>
            <w:right w:val="none" w:sz="0" w:space="0" w:color="auto"/>
          </w:divBdr>
        </w:div>
      </w:divsChild>
    </w:div>
    <w:div w:id="327834659">
      <w:bodyDiv w:val="1"/>
      <w:marLeft w:val="0"/>
      <w:marRight w:val="0"/>
      <w:marTop w:val="0"/>
      <w:marBottom w:val="0"/>
      <w:divBdr>
        <w:top w:val="none" w:sz="0" w:space="0" w:color="auto"/>
        <w:left w:val="none" w:sz="0" w:space="0" w:color="auto"/>
        <w:bottom w:val="none" w:sz="0" w:space="0" w:color="auto"/>
        <w:right w:val="none" w:sz="0" w:space="0" w:color="auto"/>
      </w:divBdr>
      <w:divsChild>
        <w:div w:id="136069322">
          <w:marLeft w:val="0"/>
          <w:marRight w:val="0"/>
          <w:marTop w:val="0"/>
          <w:marBottom w:val="0"/>
          <w:divBdr>
            <w:top w:val="none" w:sz="0" w:space="0" w:color="auto"/>
            <w:left w:val="none" w:sz="0" w:space="0" w:color="auto"/>
            <w:bottom w:val="none" w:sz="0" w:space="0" w:color="auto"/>
            <w:right w:val="none" w:sz="0" w:space="0" w:color="auto"/>
          </w:divBdr>
        </w:div>
      </w:divsChild>
    </w:div>
    <w:div w:id="420839250">
      <w:bodyDiv w:val="1"/>
      <w:marLeft w:val="0"/>
      <w:marRight w:val="0"/>
      <w:marTop w:val="0"/>
      <w:marBottom w:val="0"/>
      <w:divBdr>
        <w:top w:val="none" w:sz="0" w:space="0" w:color="auto"/>
        <w:left w:val="none" w:sz="0" w:space="0" w:color="auto"/>
        <w:bottom w:val="none" w:sz="0" w:space="0" w:color="auto"/>
        <w:right w:val="none" w:sz="0" w:space="0" w:color="auto"/>
      </w:divBdr>
      <w:divsChild>
        <w:div w:id="611787042">
          <w:marLeft w:val="0"/>
          <w:marRight w:val="0"/>
          <w:marTop w:val="0"/>
          <w:marBottom w:val="0"/>
          <w:divBdr>
            <w:top w:val="none" w:sz="0" w:space="0" w:color="auto"/>
            <w:left w:val="none" w:sz="0" w:space="0" w:color="auto"/>
            <w:bottom w:val="none" w:sz="0" w:space="0" w:color="auto"/>
            <w:right w:val="none" w:sz="0" w:space="0" w:color="auto"/>
          </w:divBdr>
        </w:div>
      </w:divsChild>
    </w:div>
    <w:div w:id="423887226">
      <w:bodyDiv w:val="1"/>
      <w:marLeft w:val="0"/>
      <w:marRight w:val="0"/>
      <w:marTop w:val="0"/>
      <w:marBottom w:val="0"/>
      <w:divBdr>
        <w:top w:val="none" w:sz="0" w:space="0" w:color="auto"/>
        <w:left w:val="none" w:sz="0" w:space="0" w:color="auto"/>
        <w:bottom w:val="none" w:sz="0" w:space="0" w:color="auto"/>
        <w:right w:val="none" w:sz="0" w:space="0" w:color="auto"/>
      </w:divBdr>
      <w:divsChild>
        <w:div w:id="19741007">
          <w:marLeft w:val="0"/>
          <w:marRight w:val="0"/>
          <w:marTop w:val="0"/>
          <w:marBottom w:val="0"/>
          <w:divBdr>
            <w:top w:val="none" w:sz="0" w:space="0" w:color="auto"/>
            <w:left w:val="none" w:sz="0" w:space="0" w:color="auto"/>
            <w:bottom w:val="none" w:sz="0" w:space="0" w:color="auto"/>
            <w:right w:val="none" w:sz="0" w:space="0" w:color="auto"/>
          </w:divBdr>
        </w:div>
      </w:divsChild>
    </w:div>
    <w:div w:id="457799574">
      <w:bodyDiv w:val="1"/>
      <w:marLeft w:val="0"/>
      <w:marRight w:val="0"/>
      <w:marTop w:val="0"/>
      <w:marBottom w:val="0"/>
      <w:divBdr>
        <w:top w:val="none" w:sz="0" w:space="0" w:color="auto"/>
        <w:left w:val="none" w:sz="0" w:space="0" w:color="auto"/>
        <w:bottom w:val="none" w:sz="0" w:space="0" w:color="auto"/>
        <w:right w:val="none" w:sz="0" w:space="0" w:color="auto"/>
      </w:divBdr>
      <w:divsChild>
        <w:div w:id="993491587">
          <w:marLeft w:val="0"/>
          <w:marRight w:val="0"/>
          <w:marTop w:val="0"/>
          <w:marBottom w:val="0"/>
          <w:divBdr>
            <w:top w:val="none" w:sz="0" w:space="0" w:color="auto"/>
            <w:left w:val="none" w:sz="0" w:space="0" w:color="auto"/>
            <w:bottom w:val="none" w:sz="0" w:space="0" w:color="auto"/>
            <w:right w:val="none" w:sz="0" w:space="0" w:color="auto"/>
          </w:divBdr>
        </w:div>
      </w:divsChild>
    </w:div>
    <w:div w:id="518591817">
      <w:bodyDiv w:val="1"/>
      <w:marLeft w:val="0"/>
      <w:marRight w:val="0"/>
      <w:marTop w:val="0"/>
      <w:marBottom w:val="0"/>
      <w:divBdr>
        <w:top w:val="none" w:sz="0" w:space="0" w:color="auto"/>
        <w:left w:val="none" w:sz="0" w:space="0" w:color="auto"/>
        <w:bottom w:val="none" w:sz="0" w:space="0" w:color="auto"/>
        <w:right w:val="none" w:sz="0" w:space="0" w:color="auto"/>
      </w:divBdr>
      <w:divsChild>
        <w:div w:id="761297059">
          <w:marLeft w:val="0"/>
          <w:marRight w:val="0"/>
          <w:marTop w:val="0"/>
          <w:marBottom w:val="0"/>
          <w:divBdr>
            <w:top w:val="none" w:sz="0" w:space="0" w:color="auto"/>
            <w:left w:val="none" w:sz="0" w:space="0" w:color="auto"/>
            <w:bottom w:val="none" w:sz="0" w:space="0" w:color="auto"/>
            <w:right w:val="none" w:sz="0" w:space="0" w:color="auto"/>
          </w:divBdr>
        </w:div>
      </w:divsChild>
    </w:div>
    <w:div w:id="561138579">
      <w:bodyDiv w:val="1"/>
      <w:marLeft w:val="0"/>
      <w:marRight w:val="0"/>
      <w:marTop w:val="0"/>
      <w:marBottom w:val="0"/>
      <w:divBdr>
        <w:top w:val="none" w:sz="0" w:space="0" w:color="auto"/>
        <w:left w:val="none" w:sz="0" w:space="0" w:color="auto"/>
        <w:bottom w:val="none" w:sz="0" w:space="0" w:color="auto"/>
        <w:right w:val="none" w:sz="0" w:space="0" w:color="auto"/>
      </w:divBdr>
      <w:divsChild>
        <w:div w:id="1867522985">
          <w:marLeft w:val="0"/>
          <w:marRight w:val="0"/>
          <w:marTop w:val="0"/>
          <w:marBottom w:val="0"/>
          <w:divBdr>
            <w:top w:val="none" w:sz="0" w:space="0" w:color="auto"/>
            <w:left w:val="none" w:sz="0" w:space="0" w:color="auto"/>
            <w:bottom w:val="none" w:sz="0" w:space="0" w:color="auto"/>
            <w:right w:val="none" w:sz="0" w:space="0" w:color="auto"/>
          </w:divBdr>
        </w:div>
      </w:divsChild>
    </w:div>
    <w:div w:id="615597093">
      <w:bodyDiv w:val="1"/>
      <w:marLeft w:val="0"/>
      <w:marRight w:val="0"/>
      <w:marTop w:val="0"/>
      <w:marBottom w:val="0"/>
      <w:divBdr>
        <w:top w:val="none" w:sz="0" w:space="0" w:color="auto"/>
        <w:left w:val="none" w:sz="0" w:space="0" w:color="auto"/>
        <w:bottom w:val="none" w:sz="0" w:space="0" w:color="auto"/>
        <w:right w:val="none" w:sz="0" w:space="0" w:color="auto"/>
      </w:divBdr>
    </w:div>
    <w:div w:id="633408021">
      <w:bodyDiv w:val="1"/>
      <w:marLeft w:val="0"/>
      <w:marRight w:val="0"/>
      <w:marTop w:val="0"/>
      <w:marBottom w:val="0"/>
      <w:divBdr>
        <w:top w:val="none" w:sz="0" w:space="0" w:color="auto"/>
        <w:left w:val="none" w:sz="0" w:space="0" w:color="auto"/>
        <w:bottom w:val="none" w:sz="0" w:space="0" w:color="auto"/>
        <w:right w:val="none" w:sz="0" w:space="0" w:color="auto"/>
      </w:divBdr>
      <w:divsChild>
        <w:div w:id="1577933811">
          <w:marLeft w:val="0"/>
          <w:marRight w:val="0"/>
          <w:marTop w:val="0"/>
          <w:marBottom w:val="0"/>
          <w:divBdr>
            <w:top w:val="none" w:sz="0" w:space="0" w:color="auto"/>
            <w:left w:val="none" w:sz="0" w:space="0" w:color="auto"/>
            <w:bottom w:val="none" w:sz="0" w:space="0" w:color="auto"/>
            <w:right w:val="none" w:sz="0" w:space="0" w:color="auto"/>
          </w:divBdr>
        </w:div>
      </w:divsChild>
    </w:div>
    <w:div w:id="635916251">
      <w:bodyDiv w:val="1"/>
      <w:marLeft w:val="0"/>
      <w:marRight w:val="0"/>
      <w:marTop w:val="0"/>
      <w:marBottom w:val="0"/>
      <w:divBdr>
        <w:top w:val="none" w:sz="0" w:space="0" w:color="auto"/>
        <w:left w:val="none" w:sz="0" w:space="0" w:color="auto"/>
        <w:bottom w:val="none" w:sz="0" w:space="0" w:color="auto"/>
        <w:right w:val="none" w:sz="0" w:space="0" w:color="auto"/>
      </w:divBdr>
    </w:div>
    <w:div w:id="659818619">
      <w:bodyDiv w:val="1"/>
      <w:marLeft w:val="0"/>
      <w:marRight w:val="0"/>
      <w:marTop w:val="0"/>
      <w:marBottom w:val="0"/>
      <w:divBdr>
        <w:top w:val="none" w:sz="0" w:space="0" w:color="auto"/>
        <w:left w:val="none" w:sz="0" w:space="0" w:color="auto"/>
        <w:bottom w:val="none" w:sz="0" w:space="0" w:color="auto"/>
        <w:right w:val="none" w:sz="0" w:space="0" w:color="auto"/>
      </w:divBdr>
      <w:divsChild>
        <w:div w:id="1682394929">
          <w:marLeft w:val="0"/>
          <w:marRight w:val="0"/>
          <w:marTop w:val="0"/>
          <w:marBottom w:val="0"/>
          <w:divBdr>
            <w:top w:val="none" w:sz="0" w:space="0" w:color="auto"/>
            <w:left w:val="none" w:sz="0" w:space="0" w:color="auto"/>
            <w:bottom w:val="none" w:sz="0" w:space="0" w:color="auto"/>
            <w:right w:val="none" w:sz="0" w:space="0" w:color="auto"/>
          </w:divBdr>
        </w:div>
      </w:divsChild>
    </w:div>
    <w:div w:id="682318825">
      <w:bodyDiv w:val="1"/>
      <w:marLeft w:val="0"/>
      <w:marRight w:val="0"/>
      <w:marTop w:val="0"/>
      <w:marBottom w:val="0"/>
      <w:divBdr>
        <w:top w:val="none" w:sz="0" w:space="0" w:color="auto"/>
        <w:left w:val="none" w:sz="0" w:space="0" w:color="auto"/>
        <w:bottom w:val="none" w:sz="0" w:space="0" w:color="auto"/>
        <w:right w:val="none" w:sz="0" w:space="0" w:color="auto"/>
      </w:divBdr>
    </w:div>
    <w:div w:id="1108355387">
      <w:bodyDiv w:val="1"/>
      <w:marLeft w:val="0"/>
      <w:marRight w:val="0"/>
      <w:marTop w:val="0"/>
      <w:marBottom w:val="0"/>
      <w:divBdr>
        <w:top w:val="none" w:sz="0" w:space="0" w:color="auto"/>
        <w:left w:val="none" w:sz="0" w:space="0" w:color="auto"/>
        <w:bottom w:val="none" w:sz="0" w:space="0" w:color="auto"/>
        <w:right w:val="none" w:sz="0" w:space="0" w:color="auto"/>
      </w:divBdr>
      <w:divsChild>
        <w:div w:id="543756307">
          <w:marLeft w:val="0"/>
          <w:marRight w:val="0"/>
          <w:marTop w:val="0"/>
          <w:marBottom w:val="0"/>
          <w:divBdr>
            <w:top w:val="none" w:sz="0" w:space="0" w:color="auto"/>
            <w:left w:val="none" w:sz="0" w:space="0" w:color="auto"/>
            <w:bottom w:val="none" w:sz="0" w:space="0" w:color="auto"/>
            <w:right w:val="none" w:sz="0" w:space="0" w:color="auto"/>
          </w:divBdr>
        </w:div>
      </w:divsChild>
    </w:div>
    <w:div w:id="1188562404">
      <w:bodyDiv w:val="1"/>
      <w:marLeft w:val="0"/>
      <w:marRight w:val="0"/>
      <w:marTop w:val="0"/>
      <w:marBottom w:val="0"/>
      <w:divBdr>
        <w:top w:val="none" w:sz="0" w:space="0" w:color="auto"/>
        <w:left w:val="none" w:sz="0" w:space="0" w:color="auto"/>
        <w:bottom w:val="none" w:sz="0" w:space="0" w:color="auto"/>
        <w:right w:val="none" w:sz="0" w:space="0" w:color="auto"/>
      </w:divBdr>
      <w:divsChild>
        <w:div w:id="554391970">
          <w:marLeft w:val="0"/>
          <w:marRight w:val="0"/>
          <w:marTop w:val="0"/>
          <w:marBottom w:val="0"/>
          <w:divBdr>
            <w:top w:val="none" w:sz="0" w:space="0" w:color="auto"/>
            <w:left w:val="none" w:sz="0" w:space="0" w:color="auto"/>
            <w:bottom w:val="none" w:sz="0" w:space="0" w:color="auto"/>
            <w:right w:val="none" w:sz="0" w:space="0" w:color="auto"/>
          </w:divBdr>
        </w:div>
      </w:divsChild>
    </w:div>
    <w:div w:id="1320158968">
      <w:bodyDiv w:val="1"/>
      <w:marLeft w:val="0"/>
      <w:marRight w:val="0"/>
      <w:marTop w:val="0"/>
      <w:marBottom w:val="0"/>
      <w:divBdr>
        <w:top w:val="none" w:sz="0" w:space="0" w:color="auto"/>
        <w:left w:val="none" w:sz="0" w:space="0" w:color="auto"/>
        <w:bottom w:val="none" w:sz="0" w:space="0" w:color="auto"/>
        <w:right w:val="none" w:sz="0" w:space="0" w:color="auto"/>
      </w:divBdr>
      <w:divsChild>
        <w:div w:id="1581255669">
          <w:marLeft w:val="0"/>
          <w:marRight w:val="0"/>
          <w:marTop w:val="0"/>
          <w:marBottom w:val="0"/>
          <w:divBdr>
            <w:top w:val="none" w:sz="0" w:space="0" w:color="auto"/>
            <w:left w:val="none" w:sz="0" w:space="0" w:color="auto"/>
            <w:bottom w:val="none" w:sz="0" w:space="0" w:color="auto"/>
            <w:right w:val="none" w:sz="0" w:space="0" w:color="auto"/>
          </w:divBdr>
        </w:div>
      </w:divsChild>
    </w:div>
    <w:div w:id="1416320259">
      <w:bodyDiv w:val="1"/>
      <w:marLeft w:val="0"/>
      <w:marRight w:val="0"/>
      <w:marTop w:val="0"/>
      <w:marBottom w:val="0"/>
      <w:divBdr>
        <w:top w:val="none" w:sz="0" w:space="0" w:color="auto"/>
        <w:left w:val="none" w:sz="0" w:space="0" w:color="auto"/>
        <w:bottom w:val="none" w:sz="0" w:space="0" w:color="auto"/>
        <w:right w:val="none" w:sz="0" w:space="0" w:color="auto"/>
      </w:divBdr>
      <w:divsChild>
        <w:div w:id="1126119163">
          <w:marLeft w:val="0"/>
          <w:marRight w:val="0"/>
          <w:marTop w:val="0"/>
          <w:marBottom w:val="0"/>
          <w:divBdr>
            <w:top w:val="none" w:sz="0" w:space="0" w:color="auto"/>
            <w:left w:val="none" w:sz="0" w:space="0" w:color="auto"/>
            <w:bottom w:val="none" w:sz="0" w:space="0" w:color="auto"/>
            <w:right w:val="none" w:sz="0" w:space="0" w:color="auto"/>
          </w:divBdr>
        </w:div>
      </w:divsChild>
    </w:div>
    <w:div w:id="1594892953">
      <w:bodyDiv w:val="1"/>
      <w:marLeft w:val="0"/>
      <w:marRight w:val="0"/>
      <w:marTop w:val="0"/>
      <w:marBottom w:val="0"/>
      <w:divBdr>
        <w:top w:val="none" w:sz="0" w:space="0" w:color="auto"/>
        <w:left w:val="none" w:sz="0" w:space="0" w:color="auto"/>
        <w:bottom w:val="none" w:sz="0" w:space="0" w:color="auto"/>
        <w:right w:val="none" w:sz="0" w:space="0" w:color="auto"/>
      </w:divBdr>
      <w:divsChild>
        <w:div w:id="600843235">
          <w:marLeft w:val="0"/>
          <w:marRight w:val="0"/>
          <w:marTop w:val="0"/>
          <w:marBottom w:val="0"/>
          <w:divBdr>
            <w:top w:val="none" w:sz="0" w:space="0" w:color="auto"/>
            <w:left w:val="none" w:sz="0" w:space="0" w:color="auto"/>
            <w:bottom w:val="none" w:sz="0" w:space="0" w:color="auto"/>
            <w:right w:val="none" w:sz="0" w:space="0" w:color="auto"/>
          </w:divBdr>
        </w:div>
      </w:divsChild>
    </w:div>
    <w:div w:id="1634822054">
      <w:bodyDiv w:val="1"/>
      <w:marLeft w:val="0"/>
      <w:marRight w:val="0"/>
      <w:marTop w:val="0"/>
      <w:marBottom w:val="0"/>
      <w:divBdr>
        <w:top w:val="none" w:sz="0" w:space="0" w:color="auto"/>
        <w:left w:val="none" w:sz="0" w:space="0" w:color="auto"/>
        <w:bottom w:val="none" w:sz="0" w:space="0" w:color="auto"/>
        <w:right w:val="none" w:sz="0" w:space="0" w:color="auto"/>
      </w:divBdr>
      <w:divsChild>
        <w:div w:id="690381029">
          <w:marLeft w:val="0"/>
          <w:marRight w:val="0"/>
          <w:marTop w:val="0"/>
          <w:marBottom w:val="0"/>
          <w:divBdr>
            <w:top w:val="none" w:sz="0" w:space="0" w:color="auto"/>
            <w:left w:val="none" w:sz="0" w:space="0" w:color="auto"/>
            <w:bottom w:val="none" w:sz="0" w:space="0" w:color="auto"/>
            <w:right w:val="none" w:sz="0" w:space="0" w:color="auto"/>
          </w:divBdr>
        </w:div>
      </w:divsChild>
    </w:div>
    <w:div w:id="1651058741">
      <w:bodyDiv w:val="1"/>
      <w:marLeft w:val="0"/>
      <w:marRight w:val="0"/>
      <w:marTop w:val="0"/>
      <w:marBottom w:val="0"/>
      <w:divBdr>
        <w:top w:val="none" w:sz="0" w:space="0" w:color="auto"/>
        <w:left w:val="none" w:sz="0" w:space="0" w:color="auto"/>
        <w:bottom w:val="none" w:sz="0" w:space="0" w:color="auto"/>
        <w:right w:val="none" w:sz="0" w:space="0" w:color="auto"/>
      </w:divBdr>
      <w:divsChild>
        <w:div w:id="885415501">
          <w:marLeft w:val="0"/>
          <w:marRight w:val="0"/>
          <w:marTop w:val="0"/>
          <w:marBottom w:val="0"/>
          <w:divBdr>
            <w:top w:val="none" w:sz="0" w:space="0" w:color="auto"/>
            <w:left w:val="none" w:sz="0" w:space="0" w:color="auto"/>
            <w:bottom w:val="none" w:sz="0" w:space="0" w:color="auto"/>
            <w:right w:val="none" w:sz="0" w:space="0" w:color="auto"/>
          </w:divBdr>
        </w:div>
      </w:divsChild>
    </w:div>
    <w:div w:id="1654526657">
      <w:bodyDiv w:val="1"/>
      <w:marLeft w:val="0"/>
      <w:marRight w:val="0"/>
      <w:marTop w:val="0"/>
      <w:marBottom w:val="0"/>
      <w:divBdr>
        <w:top w:val="none" w:sz="0" w:space="0" w:color="auto"/>
        <w:left w:val="none" w:sz="0" w:space="0" w:color="auto"/>
        <w:bottom w:val="none" w:sz="0" w:space="0" w:color="auto"/>
        <w:right w:val="none" w:sz="0" w:space="0" w:color="auto"/>
      </w:divBdr>
      <w:divsChild>
        <w:div w:id="913973550">
          <w:marLeft w:val="0"/>
          <w:marRight w:val="0"/>
          <w:marTop w:val="0"/>
          <w:marBottom w:val="0"/>
          <w:divBdr>
            <w:top w:val="none" w:sz="0" w:space="0" w:color="auto"/>
            <w:left w:val="none" w:sz="0" w:space="0" w:color="auto"/>
            <w:bottom w:val="none" w:sz="0" w:space="0" w:color="auto"/>
            <w:right w:val="none" w:sz="0" w:space="0" w:color="auto"/>
          </w:divBdr>
        </w:div>
      </w:divsChild>
    </w:div>
    <w:div w:id="1812483292">
      <w:bodyDiv w:val="1"/>
      <w:marLeft w:val="0"/>
      <w:marRight w:val="0"/>
      <w:marTop w:val="0"/>
      <w:marBottom w:val="0"/>
      <w:divBdr>
        <w:top w:val="none" w:sz="0" w:space="0" w:color="auto"/>
        <w:left w:val="none" w:sz="0" w:space="0" w:color="auto"/>
        <w:bottom w:val="none" w:sz="0" w:space="0" w:color="auto"/>
        <w:right w:val="none" w:sz="0" w:space="0" w:color="auto"/>
      </w:divBdr>
    </w:div>
    <w:div w:id="1971789784">
      <w:bodyDiv w:val="1"/>
      <w:marLeft w:val="0"/>
      <w:marRight w:val="0"/>
      <w:marTop w:val="0"/>
      <w:marBottom w:val="0"/>
      <w:divBdr>
        <w:top w:val="none" w:sz="0" w:space="0" w:color="auto"/>
        <w:left w:val="none" w:sz="0" w:space="0" w:color="auto"/>
        <w:bottom w:val="none" w:sz="0" w:space="0" w:color="auto"/>
        <w:right w:val="none" w:sz="0" w:space="0" w:color="auto"/>
      </w:divBdr>
      <w:divsChild>
        <w:div w:id="1844274186">
          <w:marLeft w:val="0"/>
          <w:marRight w:val="0"/>
          <w:marTop w:val="0"/>
          <w:marBottom w:val="0"/>
          <w:divBdr>
            <w:top w:val="none" w:sz="0" w:space="0" w:color="auto"/>
            <w:left w:val="none" w:sz="0" w:space="0" w:color="auto"/>
            <w:bottom w:val="none" w:sz="0" w:space="0" w:color="auto"/>
            <w:right w:val="none" w:sz="0" w:space="0" w:color="auto"/>
          </w:divBdr>
        </w:div>
      </w:divsChild>
    </w:div>
    <w:div w:id="1986808895">
      <w:bodyDiv w:val="1"/>
      <w:marLeft w:val="0"/>
      <w:marRight w:val="0"/>
      <w:marTop w:val="0"/>
      <w:marBottom w:val="0"/>
      <w:divBdr>
        <w:top w:val="none" w:sz="0" w:space="0" w:color="auto"/>
        <w:left w:val="none" w:sz="0" w:space="0" w:color="auto"/>
        <w:bottom w:val="none" w:sz="0" w:space="0" w:color="auto"/>
        <w:right w:val="none" w:sz="0" w:space="0" w:color="auto"/>
      </w:divBdr>
      <w:divsChild>
        <w:div w:id="557056243">
          <w:marLeft w:val="0"/>
          <w:marRight w:val="0"/>
          <w:marTop w:val="0"/>
          <w:marBottom w:val="0"/>
          <w:divBdr>
            <w:top w:val="none" w:sz="0" w:space="0" w:color="auto"/>
            <w:left w:val="none" w:sz="0" w:space="0" w:color="auto"/>
            <w:bottom w:val="none" w:sz="0" w:space="0" w:color="auto"/>
            <w:right w:val="none" w:sz="0" w:space="0" w:color="auto"/>
          </w:divBdr>
        </w:div>
      </w:divsChild>
    </w:div>
    <w:div w:id="2134712735">
      <w:bodyDiv w:val="1"/>
      <w:marLeft w:val="0"/>
      <w:marRight w:val="0"/>
      <w:marTop w:val="0"/>
      <w:marBottom w:val="0"/>
      <w:divBdr>
        <w:top w:val="none" w:sz="0" w:space="0" w:color="auto"/>
        <w:left w:val="none" w:sz="0" w:space="0" w:color="auto"/>
        <w:bottom w:val="none" w:sz="0" w:space="0" w:color="auto"/>
        <w:right w:val="none" w:sz="0" w:space="0" w:color="auto"/>
      </w:divBdr>
      <w:divsChild>
        <w:div w:id="16415672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93/infdis/jiaa793" TargetMode="External"/><Relationship Id="rId18" Type="http://schemas.openxmlformats.org/officeDocument/2006/relationships/hyperlink" Target="https://doi.org/10.3390/vaccines11030680" TargetMode="External"/><Relationship Id="rId26" Type="http://schemas.openxmlformats.org/officeDocument/2006/relationships/hyperlink" Target="https://doi.org/10.3389/fmed.2021.798031" TargetMode="External"/><Relationship Id="rId3" Type="http://schemas.openxmlformats.org/officeDocument/2006/relationships/styles" Target="styles.xml"/><Relationship Id="rId21" Type="http://schemas.openxmlformats.org/officeDocument/2006/relationships/hyperlink" Target="https://www.nhs.uk/vaccinations/mmr-vaccin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80/21645515.2018.1474310" TargetMode="External"/><Relationship Id="rId17" Type="http://schemas.openxmlformats.org/officeDocument/2006/relationships/hyperlink" Target="https://doi.org/10.1111/bpa.13069" TargetMode="External"/><Relationship Id="rId25" Type="http://schemas.openxmlformats.org/officeDocument/2006/relationships/hyperlink" Target="https://assets.publishing.service.gov.uk/media/6616573be49ee0998d3ea70a/National_measles_guidelines_April2024.pdf"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doi.org/10.15585/mmwr.mm7246a3" TargetMode="External"/><Relationship Id="rId20" Type="http://schemas.openxmlformats.org/officeDocument/2006/relationships/hyperlink" Target="https://www.england.nhs.uk/long-read/nhs-vaccination-strategy/" TargetMode="External"/><Relationship Id="rId29" Type="http://schemas.openxmlformats.org/officeDocument/2006/relationships/hyperlink" Target="https://www.who.int/news-room/fact-sheets/detail/meas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ociety/2024/jan/20/uk-measles-outbreaks-why-are-cases-rising-and-vaccination-rates-falling" TargetMode="External"/><Relationship Id="rId24" Type="http://schemas.openxmlformats.org/officeDocument/2006/relationships/hyperlink" Target="https://doi.org/10.3390/vaccines11020288"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36/bmjopen-2019-031765" TargetMode="External"/><Relationship Id="rId23" Type="http://schemas.openxmlformats.org/officeDocument/2006/relationships/hyperlink" Target="https://cdn.centerforinquiry.org/wp-content/uploads/sites/29/2009/05/22164441/p05.pdf" TargetMode="External"/><Relationship Id="rId28" Type="http://schemas.openxmlformats.org/officeDocument/2006/relationships/hyperlink" Target="https://www.who.int/news-room/spotlight/history-of-vaccination/history-of-measles-vaccination" TargetMode="External"/><Relationship Id="rId10" Type="http://schemas.openxmlformats.org/officeDocument/2006/relationships/hyperlink" Target="https://doi.org/10.1016/b978-0-08-102295-5.10439-1" TargetMode="External"/><Relationship Id="rId19" Type="http://schemas.openxmlformats.org/officeDocument/2006/relationships/hyperlink" Target="https://doi.org/10.1542/peds.2020-027037"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epidem.2022.100647" TargetMode="External"/><Relationship Id="rId22" Type="http://schemas.openxmlformats.org/officeDocument/2006/relationships/hyperlink" Target="https://phw.nhs.wales/topics/immunisation-and-vaccines/immunisation-surveillance/measles-surveillance-and-epidemiology/" TargetMode="External"/><Relationship Id="rId27" Type="http://schemas.openxmlformats.org/officeDocument/2006/relationships/hyperlink" Target="https://www.gov.wales/call-all-parents-wales-urgently-check-their-childrens-mmr-vaccination-status-amid-rising-concerns" TargetMode="External"/><Relationship Id="rId30" Type="http://schemas.openxmlformats.org/officeDocument/2006/relationships/hyperlink" Target="https://www.who.int/news-room/events/detail/2024/01/01/default-calendar/50th-anniversary-of-the-expanded-programme-on-immunization-(epi)"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956B67C63BE44D7B38D94FA32A809FC"/>
        <w:category>
          <w:name w:val="General"/>
          <w:gallery w:val="placeholder"/>
        </w:category>
        <w:types>
          <w:type w:val="bbPlcHdr"/>
        </w:types>
        <w:behaviors>
          <w:behavior w:val="content"/>
        </w:behaviors>
        <w:guid w:val="{334332B3-CF2B-445F-8277-1DE9D09C18C6}"/>
      </w:docPartPr>
      <w:docPartBody>
        <w:p w:rsidR="00DA165B" w:rsidRDefault="008B5137" w:rsidP="008B5137">
          <w:pPr>
            <w:pStyle w:val="D956B67C63BE44D7B38D94FA32A809F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137"/>
    <w:rsid w:val="00610A37"/>
    <w:rsid w:val="007228F0"/>
    <w:rsid w:val="008B5137"/>
    <w:rsid w:val="009714A4"/>
    <w:rsid w:val="00D76667"/>
    <w:rsid w:val="00DA1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6B67C63BE44D7B38D94FA32A809FC">
    <w:name w:val="D956B67C63BE44D7B38D94FA32A809FC"/>
    <w:rsid w:val="008B51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604933-9E3D-45CB-90FA-7EF42B951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14</Pages>
  <Words>3925</Words>
  <Characters>22379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REPORT: Public Health Impact of Communicable Diseases: Measles</vt:lpstr>
    </vt:vector>
  </TitlesOfParts>
  <Company>Tobu imran ashraf (2206291)</Company>
  <LinksUpToDate>false</LinksUpToDate>
  <CharactersWithSpaces>26252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Public Health Impact of Communicable Diseases: Measles</dc:title>
  <dc:subject/>
  <dc:creator>880</dc:creator>
  <cp:keywords/>
  <dc:description/>
  <cp:lastModifiedBy>880</cp:lastModifiedBy>
  <cp:revision>15</cp:revision>
  <dcterms:created xsi:type="dcterms:W3CDTF">2024-04-13T13:58:00Z</dcterms:created>
  <dcterms:modified xsi:type="dcterms:W3CDTF">2024-04-24T20:56:00Z</dcterms:modified>
</cp:coreProperties>
</file>