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63884C" w14:textId="77777777" w:rsidR="003E3DC8" w:rsidRDefault="003E3DC8" w:rsidP="003E3DC8">
      <w:pPr>
        <w:jc w:val="center"/>
        <w:rPr>
          <w:rFonts w:eastAsia="Times New Roman" w:cs="Times New Roman"/>
          <w:b/>
          <w:sz w:val="32"/>
          <w:szCs w:val="24"/>
        </w:rPr>
      </w:pPr>
    </w:p>
    <w:p w14:paraId="10707BCB" w14:textId="77777777" w:rsidR="003E3DC8" w:rsidRDefault="003E3DC8" w:rsidP="003E3DC8">
      <w:pPr>
        <w:jc w:val="center"/>
        <w:rPr>
          <w:rFonts w:eastAsia="Times New Roman" w:cs="Times New Roman"/>
          <w:b/>
          <w:sz w:val="32"/>
          <w:szCs w:val="24"/>
        </w:rPr>
      </w:pPr>
    </w:p>
    <w:p w14:paraId="4649C65B" w14:textId="77777777" w:rsidR="003E3DC8" w:rsidRDefault="003E3DC8" w:rsidP="003E3DC8">
      <w:pPr>
        <w:jc w:val="center"/>
        <w:rPr>
          <w:rFonts w:eastAsia="Times New Roman" w:cs="Times New Roman"/>
          <w:b/>
          <w:sz w:val="32"/>
          <w:szCs w:val="24"/>
        </w:rPr>
      </w:pPr>
    </w:p>
    <w:p w14:paraId="174B5FF6" w14:textId="199A8B48" w:rsidR="003E3DC8" w:rsidRDefault="00647235" w:rsidP="003E3DC8">
      <w:pPr>
        <w:jc w:val="center"/>
        <w:rPr>
          <w:rFonts w:eastAsia="Times New Roman" w:cs="Times New Roman"/>
          <w:b/>
          <w:sz w:val="32"/>
          <w:szCs w:val="24"/>
        </w:rPr>
      </w:pPr>
      <w:r>
        <w:rPr>
          <w:rFonts w:eastAsia="Times New Roman" w:cs="Times New Roman"/>
          <w:b/>
          <w:noProof/>
          <w:sz w:val="32"/>
          <w:szCs w:val="24"/>
        </w:rPr>
        <w:drawing>
          <wp:inline distT="0" distB="0" distL="0" distR="0" wp14:anchorId="58DE05FF" wp14:editId="05F4C1EF">
            <wp:extent cx="4164196" cy="1381125"/>
            <wp:effectExtent l="0" t="0" r="8255" b="0"/>
            <wp:docPr id="7" name="Imagine 7" descr="O imagine care conține text&#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ine 7" descr="O imagine care conține text&#10;&#10;Descriere generată automat"/>
                    <pic:cNvPicPr/>
                  </pic:nvPicPr>
                  <pic:blipFill>
                    <a:blip r:embed="rId8">
                      <a:extLst>
                        <a:ext uri="{28A0092B-C50C-407E-A947-70E740481C1C}">
                          <a14:useLocalDpi xmlns:a14="http://schemas.microsoft.com/office/drawing/2010/main" val="0"/>
                        </a:ext>
                      </a:extLst>
                    </a:blip>
                    <a:stretch>
                      <a:fillRect/>
                    </a:stretch>
                  </pic:blipFill>
                  <pic:spPr>
                    <a:xfrm>
                      <a:off x="0" y="0"/>
                      <a:ext cx="4169498" cy="1382883"/>
                    </a:xfrm>
                    <a:prstGeom prst="rect">
                      <a:avLst/>
                    </a:prstGeom>
                  </pic:spPr>
                </pic:pic>
              </a:graphicData>
            </a:graphic>
          </wp:inline>
        </w:drawing>
      </w:r>
    </w:p>
    <w:p w14:paraId="41AD1E1C" w14:textId="77777777" w:rsidR="003E3DC8" w:rsidRDefault="003E3DC8" w:rsidP="003E3DC8">
      <w:pPr>
        <w:jc w:val="center"/>
        <w:rPr>
          <w:rFonts w:eastAsia="Times New Roman" w:cs="Times New Roman"/>
          <w:b/>
          <w:sz w:val="32"/>
          <w:szCs w:val="24"/>
        </w:rPr>
      </w:pPr>
    </w:p>
    <w:p w14:paraId="2968E56D" w14:textId="77777777" w:rsidR="003E3DC8" w:rsidRDefault="003E3DC8" w:rsidP="003E3DC8">
      <w:pPr>
        <w:jc w:val="center"/>
        <w:rPr>
          <w:rFonts w:eastAsia="Times New Roman" w:cs="Times New Roman"/>
          <w:b/>
          <w:sz w:val="32"/>
          <w:szCs w:val="24"/>
        </w:rPr>
      </w:pPr>
    </w:p>
    <w:p w14:paraId="3836447D" w14:textId="77777777" w:rsidR="003E3DC8" w:rsidRDefault="003E3DC8" w:rsidP="003E3DC8">
      <w:pPr>
        <w:jc w:val="center"/>
        <w:rPr>
          <w:rFonts w:eastAsia="Times New Roman" w:cs="Times New Roman"/>
          <w:b/>
          <w:sz w:val="32"/>
          <w:szCs w:val="24"/>
        </w:rPr>
      </w:pPr>
    </w:p>
    <w:p w14:paraId="27D0511B" w14:textId="77777777" w:rsidR="00647235" w:rsidRDefault="001A38E2" w:rsidP="003E3DC8">
      <w:pPr>
        <w:jc w:val="center"/>
        <w:rPr>
          <w:rFonts w:eastAsia="Times New Roman" w:cs="Times New Roman"/>
          <w:b/>
          <w:sz w:val="32"/>
          <w:szCs w:val="24"/>
        </w:rPr>
      </w:pPr>
      <w:r w:rsidRPr="003E3DC8">
        <w:rPr>
          <w:rFonts w:eastAsia="Times New Roman" w:cs="Times New Roman"/>
          <w:b/>
          <w:sz w:val="32"/>
          <w:szCs w:val="24"/>
        </w:rPr>
        <w:t>STRATEGIC MANAGEMENT- A CASE STUDY OF SONY</w:t>
      </w:r>
    </w:p>
    <w:p w14:paraId="4E8A708B" w14:textId="77777777" w:rsidR="00647235" w:rsidRPr="00647235" w:rsidRDefault="00647235" w:rsidP="003E3DC8">
      <w:pPr>
        <w:jc w:val="center"/>
        <w:rPr>
          <w:rFonts w:eastAsia="Times New Roman" w:cs="Times New Roman"/>
          <w:bCs/>
          <w:szCs w:val="24"/>
        </w:rPr>
      </w:pPr>
      <w:r w:rsidRPr="00647235">
        <w:rPr>
          <w:rFonts w:eastAsia="Times New Roman" w:cs="Times New Roman"/>
          <w:bCs/>
          <w:szCs w:val="24"/>
        </w:rPr>
        <w:t>Date 14.05.2021</w:t>
      </w:r>
    </w:p>
    <w:p w14:paraId="0CEAB179" w14:textId="77777777" w:rsidR="00647235" w:rsidRPr="00647235" w:rsidRDefault="00647235" w:rsidP="003E3DC8">
      <w:pPr>
        <w:jc w:val="center"/>
        <w:rPr>
          <w:bCs/>
          <w:szCs w:val="24"/>
        </w:rPr>
      </w:pPr>
      <w:r w:rsidRPr="00647235">
        <w:rPr>
          <w:rFonts w:eastAsia="Times New Roman" w:cs="Times New Roman"/>
          <w:bCs/>
          <w:szCs w:val="24"/>
        </w:rPr>
        <w:t xml:space="preserve">LECTURER: DR. </w:t>
      </w:r>
      <w:r w:rsidRPr="00647235">
        <w:rPr>
          <w:bCs/>
          <w:szCs w:val="24"/>
        </w:rPr>
        <w:t xml:space="preserve">Gladius David </w:t>
      </w:r>
      <w:proofErr w:type="spellStart"/>
      <w:r w:rsidRPr="00647235">
        <w:rPr>
          <w:bCs/>
          <w:szCs w:val="24"/>
        </w:rPr>
        <w:t>Kulothungan</w:t>
      </w:r>
      <w:proofErr w:type="spellEnd"/>
    </w:p>
    <w:p w14:paraId="14EE4A9A" w14:textId="0F8A3942" w:rsidR="00B54F55" w:rsidRPr="00B54F55" w:rsidRDefault="00647235" w:rsidP="003E3DC8">
      <w:pPr>
        <w:jc w:val="center"/>
        <w:rPr>
          <w:rFonts w:eastAsia="Times New Roman" w:cs="Times New Roman"/>
          <w:b/>
          <w:szCs w:val="24"/>
        </w:rPr>
      </w:pPr>
      <w:r w:rsidRPr="00647235">
        <w:rPr>
          <w:bCs/>
          <w:szCs w:val="24"/>
        </w:rPr>
        <w:t>Student ID:2010281</w:t>
      </w:r>
      <w:r w:rsidR="001A38E2" w:rsidRPr="00B54F55">
        <w:rPr>
          <w:rFonts w:eastAsia="Times New Roman" w:cs="Times New Roman"/>
          <w:b/>
          <w:szCs w:val="24"/>
        </w:rPr>
        <w:br w:type="page"/>
      </w:r>
    </w:p>
    <w:p w14:paraId="14B0AB99" w14:textId="77777777" w:rsidR="00B54F55" w:rsidRDefault="001A38E2">
      <w:pPr>
        <w:rPr>
          <w:rFonts w:eastAsia="Times New Roman" w:cs="Times New Roman"/>
          <w:b/>
          <w:szCs w:val="24"/>
        </w:rPr>
      </w:pPr>
      <w:r>
        <w:rPr>
          <w:rFonts w:eastAsia="Times New Roman" w:cs="Times New Roman"/>
          <w:b/>
          <w:szCs w:val="24"/>
        </w:rPr>
        <w:lastRenderedPageBreak/>
        <w:t>Executive summary</w:t>
      </w:r>
    </w:p>
    <w:p w14:paraId="58B3C228" w14:textId="77777777" w:rsidR="003E3DC8" w:rsidRDefault="001A38E2">
      <w:pPr>
        <w:rPr>
          <w:rFonts w:eastAsia="Times New Roman" w:cs="Times New Roman"/>
          <w:szCs w:val="24"/>
        </w:rPr>
      </w:pPr>
      <w:r>
        <w:rPr>
          <w:rFonts w:eastAsia="Times New Roman" w:cs="Times New Roman"/>
          <w:szCs w:val="24"/>
        </w:rPr>
        <w:t>This report is based on the case study of Sony when they entered the world of video games. Being a multinational company, it has a strong base of customers worldwide. However, the strategic management plan of the company has to be chalked out very carefull</w:t>
      </w:r>
      <w:r>
        <w:rPr>
          <w:rFonts w:eastAsia="Times New Roman" w:cs="Times New Roman"/>
          <w:szCs w:val="24"/>
        </w:rPr>
        <w:t>y. This report gives a clear idea of the business model held by the company. It has highlighted the company's key strategic issues with the help of frameworks and models of several businesses. Various options of strategic analysis have been discussed in th</w:t>
      </w:r>
      <w:r>
        <w:rPr>
          <w:rFonts w:eastAsia="Times New Roman" w:cs="Times New Roman"/>
          <w:szCs w:val="24"/>
        </w:rPr>
        <w:t>e report using frameworks such as the Ansoff Growth Matrix and the Strategic Clock. Also, there are recommendations suggested for the company, which shall improve the maintenance of sustainability in the company.</w:t>
      </w:r>
    </w:p>
    <w:p w14:paraId="032C4D81" w14:textId="77777777" w:rsidR="003E3DC8" w:rsidRDefault="001A38E2">
      <w:pPr>
        <w:spacing w:line="276" w:lineRule="auto"/>
        <w:jc w:val="left"/>
        <w:rPr>
          <w:rFonts w:eastAsia="Times New Roman" w:cs="Times New Roman"/>
          <w:szCs w:val="24"/>
        </w:rPr>
      </w:pPr>
      <w:r>
        <w:rPr>
          <w:rFonts w:eastAsia="Times New Roman" w:cs="Times New Roman"/>
          <w:szCs w:val="24"/>
        </w:rPr>
        <w:br w:type="page"/>
      </w:r>
    </w:p>
    <w:sdt>
      <w:sdtPr>
        <w:rPr>
          <w:rFonts w:ascii="Times New Roman" w:eastAsia="Arial" w:hAnsi="Times New Roman" w:cs="Arial"/>
          <w:color w:val="auto"/>
          <w:sz w:val="24"/>
          <w:szCs w:val="22"/>
          <w:lang w:val="en-IN" w:eastAsia="en-IN"/>
        </w:rPr>
        <w:id w:val="-1091849663"/>
        <w:docPartObj>
          <w:docPartGallery w:val="Table of Contents"/>
          <w:docPartUnique/>
        </w:docPartObj>
      </w:sdtPr>
      <w:sdtEndPr>
        <w:rPr>
          <w:b/>
          <w:bCs/>
          <w:noProof/>
        </w:rPr>
      </w:sdtEndPr>
      <w:sdtContent>
        <w:p w14:paraId="55A60097" w14:textId="77777777" w:rsidR="003E3DC8" w:rsidRPr="003E3DC8" w:rsidRDefault="001A38E2">
          <w:pPr>
            <w:pStyle w:val="Titlucuprins"/>
            <w:rPr>
              <w:b/>
              <w:color w:val="auto"/>
            </w:rPr>
          </w:pPr>
          <w:r w:rsidRPr="003E3DC8">
            <w:rPr>
              <w:b/>
              <w:color w:val="auto"/>
            </w:rPr>
            <w:t>Table of Contents</w:t>
          </w:r>
        </w:p>
        <w:p w14:paraId="5C717992" w14:textId="77777777" w:rsidR="003E3DC8" w:rsidRDefault="001A38E2">
          <w:pPr>
            <w:pStyle w:val="Cuprins1"/>
            <w:tabs>
              <w:tab w:val="right" w:leader="dot" w:pos="9019"/>
            </w:tabs>
            <w:rPr>
              <w:noProof/>
            </w:rPr>
          </w:pPr>
          <w:r>
            <w:fldChar w:fldCharType="begin"/>
          </w:r>
          <w:r>
            <w:instrText xml:space="preserve"> TOC \o "1-3" \h \z \u </w:instrText>
          </w:r>
          <w:r>
            <w:fldChar w:fldCharType="separate"/>
          </w:r>
          <w:hyperlink w:anchor="_Toc72004074" w:history="1">
            <w:r w:rsidRPr="00E10DD8">
              <w:rPr>
                <w:rStyle w:val="Hyperlink"/>
                <w:noProof/>
              </w:rPr>
              <w:t>Introduction</w:t>
            </w:r>
            <w:r>
              <w:rPr>
                <w:noProof/>
                <w:webHidden/>
              </w:rPr>
              <w:tab/>
            </w:r>
            <w:r>
              <w:rPr>
                <w:noProof/>
                <w:webHidden/>
              </w:rPr>
              <w:fldChar w:fldCharType="begin"/>
            </w:r>
            <w:r>
              <w:rPr>
                <w:noProof/>
                <w:webHidden/>
              </w:rPr>
              <w:instrText xml:space="preserve"> PAGEREF _Toc72004074 \h </w:instrText>
            </w:r>
            <w:r>
              <w:rPr>
                <w:noProof/>
                <w:webHidden/>
              </w:rPr>
            </w:r>
            <w:r>
              <w:rPr>
                <w:noProof/>
                <w:webHidden/>
              </w:rPr>
              <w:fldChar w:fldCharType="separate"/>
            </w:r>
            <w:r>
              <w:rPr>
                <w:noProof/>
                <w:webHidden/>
              </w:rPr>
              <w:t>4</w:t>
            </w:r>
            <w:r>
              <w:rPr>
                <w:noProof/>
                <w:webHidden/>
              </w:rPr>
              <w:fldChar w:fldCharType="end"/>
            </w:r>
          </w:hyperlink>
        </w:p>
        <w:p w14:paraId="0851C948" w14:textId="77777777" w:rsidR="003E3DC8" w:rsidRDefault="001A38E2">
          <w:pPr>
            <w:pStyle w:val="Cuprins1"/>
            <w:tabs>
              <w:tab w:val="right" w:leader="dot" w:pos="9019"/>
            </w:tabs>
            <w:rPr>
              <w:noProof/>
            </w:rPr>
          </w:pPr>
          <w:hyperlink w:anchor="_Toc72004075" w:history="1">
            <w:r w:rsidRPr="00E10DD8">
              <w:rPr>
                <w:rStyle w:val="Hyperlink"/>
                <w:noProof/>
              </w:rPr>
              <w:t>Model of business for Sony</w:t>
            </w:r>
            <w:r>
              <w:rPr>
                <w:noProof/>
                <w:webHidden/>
              </w:rPr>
              <w:tab/>
            </w:r>
            <w:r>
              <w:rPr>
                <w:noProof/>
                <w:webHidden/>
              </w:rPr>
              <w:fldChar w:fldCharType="begin"/>
            </w:r>
            <w:r>
              <w:rPr>
                <w:noProof/>
                <w:webHidden/>
              </w:rPr>
              <w:instrText xml:space="preserve"> PAGEREF _Toc72004075 \h </w:instrText>
            </w:r>
            <w:r>
              <w:rPr>
                <w:noProof/>
                <w:webHidden/>
              </w:rPr>
            </w:r>
            <w:r>
              <w:rPr>
                <w:noProof/>
                <w:webHidden/>
              </w:rPr>
              <w:fldChar w:fldCharType="separate"/>
            </w:r>
            <w:r>
              <w:rPr>
                <w:noProof/>
                <w:webHidden/>
              </w:rPr>
              <w:t>5</w:t>
            </w:r>
            <w:r>
              <w:rPr>
                <w:noProof/>
                <w:webHidden/>
              </w:rPr>
              <w:fldChar w:fldCharType="end"/>
            </w:r>
          </w:hyperlink>
        </w:p>
        <w:p w14:paraId="44A39092" w14:textId="77777777" w:rsidR="003E3DC8" w:rsidRDefault="001A38E2">
          <w:pPr>
            <w:pStyle w:val="Cuprins1"/>
            <w:tabs>
              <w:tab w:val="right" w:leader="dot" w:pos="9019"/>
            </w:tabs>
            <w:rPr>
              <w:noProof/>
            </w:rPr>
          </w:pPr>
          <w:hyperlink w:anchor="_Toc72004076" w:history="1">
            <w:r w:rsidRPr="00E10DD8">
              <w:rPr>
                <w:rStyle w:val="Hyperlink"/>
                <w:noProof/>
              </w:rPr>
              <w:t>Key strategic issues</w:t>
            </w:r>
            <w:r>
              <w:rPr>
                <w:noProof/>
                <w:webHidden/>
              </w:rPr>
              <w:tab/>
            </w:r>
            <w:r>
              <w:rPr>
                <w:noProof/>
                <w:webHidden/>
              </w:rPr>
              <w:fldChar w:fldCharType="begin"/>
            </w:r>
            <w:r>
              <w:rPr>
                <w:noProof/>
                <w:webHidden/>
              </w:rPr>
              <w:instrText xml:space="preserve"> PAGEREF _Toc72004076 \h </w:instrText>
            </w:r>
            <w:r>
              <w:rPr>
                <w:noProof/>
                <w:webHidden/>
              </w:rPr>
            </w:r>
            <w:r>
              <w:rPr>
                <w:noProof/>
                <w:webHidden/>
              </w:rPr>
              <w:fldChar w:fldCharType="separate"/>
            </w:r>
            <w:r>
              <w:rPr>
                <w:noProof/>
                <w:webHidden/>
              </w:rPr>
              <w:t>6</w:t>
            </w:r>
            <w:r>
              <w:rPr>
                <w:noProof/>
                <w:webHidden/>
              </w:rPr>
              <w:fldChar w:fldCharType="end"/>
            </w:r>
          </w:hyperlink>
        </w:p>
        <w:p w14:paraId="51EDFA78" w14:textId="77777777" w:rsidR="003E3DC8" w:rsidRDefault="001A38E2">
          <w:pPr>
            <w:pStyle w:val="Cuprins2"/>
            <w:tabs>
              <w:tab w:val="right" w:leader="dot" w:pos="9019"/>
            </w:tabs>
            <w:rPr>
              <w:noProof/>
            </w:rPr>
          </w:pPr>
          <w:hyperlink w:anchor="_Toc72004077" w:history="1">
            <w:r w:rsidRPr="00E10DD8">
              <w:rPr>
                <w:rStyle w:val="Hyperlink"/>
                <w:noProof/>
              </w:rPr>
              <w:t>Porter’s five forces analysis</w:t>
            </w:r>
            <w:r>
              <w:rPr>
                <w:noProof/>
                <w:webHidden/>
              </w:rPr>
              <w:tab/>
            </w:r>
            <w:r>
              <w:rPr>
                <w:noProof/>
                <w:webHidden/>
              </w:rPr>
              <w:fldChar w:fldCharType="begin"/>
            </w:r>
            <w:r>
              <w:rPr>
                <w:noProof/>
                <w:webHidden/>
              </w:rPr>
              <w:instrText xml:space="preserve"> PAGEREF _Toc72004077 \h </w:instrText>
            </w:r>
            <w:r>
              <w:rPr>
                <w:noProof/>
                <w:webHidden/>
              </w:rPr>
            </w:r>
            <w:r>
              <w:rPr>
                <w:noProof/>
                <w:webHidden/>
              </w:rPr>
              <w:fldChar w:fldCharType="separate"/>
            </w:r>
            <w:r>
              <w:rPr>
                <w:noProof/>
                <w:webHidden/>
              </w:rPr>
              <w:t>6</w:t>
            </w:r>
            <w:r>
              <w:rPr>
                <w:noProof/>
                <w:webHidden/>
              </w:rPr>
              <w:fldChar w:fldCharType="end"/>
            </w:r>
          </w:hyperlink>
        </w:p>
        <w:p w14:paraId="31AEA7BC" w14:textId="77777777" w:rsidR="003E3DC8" w:rsidRDefault="001A38E2">
          <w:pPr>
            <w:pStyle w:val="Cuprins2"/>
            <w:tabs>
              <w:tab w:val="right" w:leader="dot" w:pos="9019"/>
            </w:tabs>
            <w:rPr>
              <w:noProof/>
            </w:rPr>
          </w:pPr>
          <w:hyperlink w:anchor="_Toc72004078" w:history="1">
            <w:r w:rsidRPr="00E10DD8">
              <w:rPr>
                <w:rStyle w:val="Hyperlink"/>
                <w:noProof/>
              </w:rPr>
              <w:t>SWOT</w:t>
            </w:r>
            <w:r w:rsidRPr="00E10DD8">
              <w:rPr>
                <w:rStyle w:val="Hyperlink"/>
                <w:noProof/>
              </w:rPr>
              <w:t xml:space="preserve"> analysis</w:t>
            </w:r>
            <w:r>
              <w:rPr>
                <w:noProof/>
                <w:webHidden/>
              </w:rPr>
              <w:tab/>
            </w:r>
            <w:r>
              <w:rPr>
                <w:noProof/>
                <w:webHidden/>
              </w:rPr>
              <w:fldChar w:fldCharType="begin"/>
            </w:r>
            <w:r>
              <w:rPr>
                <w:noProof/>
                <w:webHidden/>
              </w:rPr>
              <w:instrText xml:space="preserve"> PAGEREF _Toc72004078 \h </w:instrText>
            </w:r>
            <w:r>
              <w:rPr>
                <w:noProof/>
                <w:webHidden/>
              </w:rPr>
            </w:r>
            <w:r>
              <w:rPr>
                <w:noProof/>
                <w:webHidden/>
              </w:rPr>
              <w:fldChar w:fldCharType="separate"/>
            </w:r>
            <w:r>
              <w:rPr>
                <w:noProof/>
                <w:webHidden/>
              </w:rPr>
              <w:t>8</w:t>
            </w:r>
            <w:r>
              <w:rPr>
                <w:noProof/>
                <w:webHidden/>
              </w:rPr>
              <w:fldChar w:fldCharType="end"/>
            </w:r>
          </w:hyperlink>
        </w:p>
        <w:p w14:paraId="14659E7B" w14:textId="77777777" w:rsidR="003E3DC8" w:rsidRDefault="001A38E2">
          <w:pPr>
            <w:pStyle w:val="Cuprins2"/>
            <w:tabs>
              <w:tab w:val="right" w:leader="dot" w:pos="9019"/>
            </w:tabs>
            <w:rPr>
              <w:noProof/>
            </w:rPr>
          </w:pPr>
          <w:hyperlink w:anchor="_Toc72004079" w:history="1">
            <w:r w:rsidRPr="00E10DD8">
              <w:rPr>
                <w:rStyle w:val="Hyperlink"/>
                <w:noProof/>
              </w:rPr>
              <w:t>A stakeholder analysis of Mendelow's</w:t>
            </w:r>
            <w:r>
              <w:rPr>
                <w:noProof/>
                <w:webHidden/>
              </w:rPr>
              <w:tab/>
            </w:r>
            <w:r>
              <w:rPr>
                <w:noProof/>
                <w:webHidden/>
              </w:rPr>
              <w:fldChar w:fldCharType="begin"/>
            </w:r>
            <w:r>
              <w:rPr>
                <w:noProof/>
                <w:webHidden/>
              </w:rPr>
              <w:instrText xml:space="preserve"> PAGEREF _Toc72004079 \h </w:instrText>
            </w:r>
            <w:r>
              <w:rPr>
                <w:noProof/>
                <w:webHidden/>
              </w:rPr>
            </w:r>
            <w:r>
              <w:rPr>
                <w:noProof/>
                <w:webHidden/>
              </w:rPr>
              <w:fldChar w:fldCharType="separate"/>
            </w:r>
            <w:r>
              <w:rPr>
                <w:noProof/>
                <w:webHidden/>
              </w:rPr>
              <w:t>9</w:t>
            </w:r>
            <w:r>
              <w:rPr>
                <w:noProof/>
                <w:webHidden/>
              </w:rPr>
              <w:fldChar w:fldCharType="end"/>
            </w:r>
          </w:hyperlink>
        </w:p>
        <w:p w14:paraId="197D9D97" w14:textId="77777777" w:rsidR="003E3DC8" w:rsidRDefault="001A38E2">
          <w:pPr>
            <w:pStyle w:val="Cuprins2"/>
            <w:tabs>
              <w:tab w:val="right" w:leader="dot" w:pos="9019"/>
            </w:tabs>
            <w:rPr>
              <w:noProof/>
            </w:rPr>
          </w:pPr>
          <w:hyperlink w:anchor="_Toc72004080" w:history="1">
            <w:r w:rsidRPr="00E10DD8">
              <w:rPr>
                <w:rStyle w:val="Hyperlink"/>
                <w:noProof/>
              </w:rPr>
              <w:t>The strategy of resource-based view</w:t>
            </w:r>
            <w:r>
              <w:rPr>
                <w:noProof/>
                <w:webHidden/>
              </w:rPr>
              <w:tab/>
            </w:r>
            <w:r>
              <w:rPr>
                <w:noProof/>
                <w:webHidden/>
              </w:rPr>
              <w:fldChar w:fldCharType="begin"/>
            </w:r>
            <w:r>
              <w:rPr>
                <w:noProof/>
                <w:webHidden/>
              </w:rPr>
              <w:instrText xml:space="preserve"> PAGEREF _Toc72004080 \h </w:instrText>
            </w:r>
            <w:r>
              <w:rPr>
                <w:noProof/>
                <w:webHidden/>
              </w:rPr>
            </w:r>
            <w:r>
              <w:rPr>
                <w:noProof/>
                <w:webHidden/>
              </w:rPr>
              <w:fldChar w:fldCharType="separate"/>
            </w:r>
            <w:r>
              <w:rPr>
                <w:noProof/>
                <w:webHidden/>
              </w:rPr>
              <w:t>10</w:t>
            </w:r>
            <w:r>
              <w:rPr>
                <w:noProof/>
                <w:webHidden/>
              </w:rPr>
              <w:fldChar w:fldCharType="end"/>
            </w:r>
          </w:hyperlink>
        </w:p>
        <w:p w14:paraId="03137995" w14:textId="77777777" w:rsidR="003E3DC8" w:rsidRDefault="001A38E2">
          <w:pPr>
            <w:pStyle w:val="Cuprins2"/>
            <w:tabs>
              <w:tab w:val="right" w:leader="dot" w:pos="9019"/>
            </w:tabs>
            <w:rPr>
              <w:noProof/>
            </w:rPr>
          </w:pPr>
          <w:hyperlink w:anchor="_Toc72004081" w:history="1">
            <w:r w:rsidRPr="00E10DD8">
              <w:rPr>
                <w:rStyle w:val="Hyperlink"/>
                <w:noProof/>
              </w:rPr>
              <w:t>The 7S model of McKinsey</w:t>
            </w:r>
            <w:r>
              <w:rPr>
                <w:noProof/>
                <w:webHidden/>
              </w:rPr>
              <w:tab/>
            </w:r>
            <w:r>
              <w:rPr>
                <w:noProof/>
                <w:webHidden/>
              </w:rPr>
              <w:fldChar w:fldCharType="begin"/>
            </w:r>
            <w:r>
              <w:rPr>
                <w:noProof/>
                <w:webHidden/>
              </w:rPr>
              <w:instrText xml:space="preserve"> PAGEREF _Toc72004081 \h </w:instrText>
            </w:r>
            <w:r>
              <w:rPr>
                <w:noProof/>
                <w:webHidden/>
              </w:rPr>
            </w:r>
            <w:r>
              <w:rPr>
                <w:noProof/>
                <w:webHidden/>
              </w:rPr>
              <w:fldChar w:fldCharType="separate"/>
            </w:r>
            <w:r>
              <w:rPr>
                <w:noProof/>
                <w:webHidden/>
              </w:rPr>
              <w:t>15</w:t>
            </w:r>
            <w:r>
              <w:rPr>
                <w:noProof/>
                <w:webHidden/>
              </w:rPr>
              <w:fldChar w:fldCharType="end"/>
            </w:r>
          </w:hyperlink>
        </w:p>
        <w:p w14:paraId="1D2C06CC" w14:textId="77777777" w:rsidR="003E3DC8" w:rsidRDefault="001A38E2">
          <w:pPr>
            <w:pStyle w:val="Cuprins2"/>
            <w:tabs>
              <w:tab w:val="right" w:leader="dot" w:pos="9019"/>
            </w:tabs>
            <w:rPr>
              <w:noProof/>
            </w:rPr>
          </w:pPr>
          <w:hyperlink w:anchor="_Toc72004082" w:history="1">
            <w:r w:rsidRPr="00E10DD8">
              <w:rPr>
                <w:rStyle w:val="Hyperlink"/>
                <w:noProof/>
              </w:rPr>
              <w:t>Porter’s Value chain analysis</w:t>
            </w:r>
            <w:r>
              <w:rPr>
                <w:noProof/>
                <w:webHidden/>
              </w:rPr>
              <w:tab/>
            </w:r>
            <w:r>
              <w:rPr>
                <w:noProof/>
                <w:webHidden/>
              </w:rPr>
              <w:fldChar w:fldCharType="begin"/>
            </w:r>
            <w:r>
              <w:rPr>
                <w:noProof/>
                <w:webHidden/>
              </w:rPr>
              <w:instrText xml:space="preserve"> PAGEREF _Toc72004082 \h </w:instrText>
            </w:r>
            <w:r>
              <w:rPr>
                <w:noProof/>
                <w:webHidden/>
              </w:rPr>
            </w:r>
            <w:r>
              <w:rPr>
                <w:noProof/>
                <w:webHidden/>
              </w:rPr>
              <w:fldChar w:fldCharType="separate"/>
            </w:r>
            <w:r>
              <w:rPr>
                <w:noProof/>
                <w:webHidden/>
              </w:rPr>
              <w:t>17</w:t>
            </w:r>
            <w:r>
              <w:rPr>
                <w:noProof/>
                <w:webHidden/>
              </w:rPr>
              <w:fldChar w:fldCharType="end"/>
            </w:r>
          </w:hyperlink>
        </w:p>
        <w:p w14:paraId="3D0D8665" w14:textId="77777777" w:rsidR="003E3DC8" w:rsidRDefault="001A38E2">
          <w:pPr>
            <w:pStyle w:val="Cuprins1"/>
            <w:tabs>
              <w:tab w:val="right" w:leader="dot" w:pos="9019"/>
            </w:tabs>
            <w:rPr>
              <w:noProof/>
            </w:rPr>
          </w:pPr>
          <w:hyperlink w:anchor="_Toc72004083" w:history="1">
            <w:r w:rsidRPr="00E10DD8">
              <w:rPr>
                <w:rStyle w:val="Hyperlink"/>
                <w:noProof/>
              </w:rPr>
              <w:t>The analysis of the strategic options of Sony to maintain sustainability in the market</w:t>
            </w:r>
            <w:r>
              <w:rPr>
                <w:noProof/>
                <w:webHidden/>
              </w:rPr>
              <w:tab/>
            </w:r>
            <w:r>
              <w:rPr>
                <w:noProof/>
                <w:webHidden/>
              </w:rPr>
              <w:fldChar w:fldCharType="begin"/>
            </w:r>
            <w:r>
              <w:rPr>
                <w:noProof/>
                <w:webHidden/>
              </w:rPr>
              <w:instrText xml:space="preserve"> PAGEREF _Toc72004083 \h </w:instrText>
            </w:r>
            <w:r>
              <w:rPr>
                <w:noProof/>
                <w:webHidden/>
              </w:rPr>
            </w:r>
            <w:r>
              <w:rPr>
                <w:noProof/>
                <w:webHidden/>
              </w:rPr>
              <w:fldChar w:fldCharType="separate"/>
            </w:r>
            <w:r>
              <w:rPr>
                <w:noProof/>
                <w:webHidden/>
              </w:rPr>
              <w:t>19</w:t>
            </w:r>
            <w:r>
              <w:rPr>
                <w:noProof/>
                <w:webHidden/>
              </w:rPr>
              <w:fldChar w:fldCharType="end"/>
            </w:r>
          </w:hyperlink>
        </w:p>
        <w:p w14:paraId="4AE9A9B5" w14:textId="77777777" w:rsidR="003E3DC8" w:rsidRDefault="001A38E2">
          <w:pPr>
            <w:pStyle w:val="Cuprins2"/>
            <w:tabs>
              <w:tab w:val="right" w:leader="dot" w:pos="9019"/>
            </w:tabs>
            <w:rPr>
              <w:noProof/>
            </w:rPr>
          </w:pPr>
          <w:hyperlink w:anchor="_Toc72004084" w:history="1">
            <w:r w:rsidRPr="00E10DD8">
              <w:rPr>
                <w:rStyle w:val="Hyperlink"/>
                <w:noProof/>
              </w:rPr>
              <w:t>Ansoff Growth Matrix</w:t>
            </w:r>
            <w:r>
              <w:rPr>
                <w:noProof/>
                <w:webHidden/>
              </w:rPr>
              <w:tab/>
            </w:r>
            <w:r>
              <w:rPr>
                <w:noProof/>
                <w:webHidden/>
              </w:rPr>
              <w:fldChar w:fldCharType="begin"/>
            </w:r>
            <w:r>
              <w:rPr>
                <w:noProof/>
                <w:webHidden/>
              </w:rPr>
              <w:instrText xml:space="preserve"> PAGEREF _Toc72004084 \h </w:instrText>
            </w:r>
            <w:r>
              <w:rPr>
                <w:noProof/>
                <w:webHidden/>
              </w:rPr>
            </w:r>
            <w:r>
              <w:rPr>
                <w:noProof/>
                <w:webHidden/>
              </w:rPr>
              <w:fldChar w:fldCharType="separate"/>
            </w:r>
            <w:r>
              <w:rPr>
                <w:noProof/>
                <w:webHidden/>
              </w:rPr>
              <w:t>19</w:t>
            </w:r>
            <w:r>
              <w:rPr>
                <w:noProof/>
                <w:webHidden/>
              </w:rPr>
              <w:fldChar w:fldCharType="end"/>
            </w:r>
          </w:hyperlink>
        </w:p>
        <w:p w14:paraId="01205681" w14:textId="77777777" w:rsidR="003E3DC8" w:rsidRDefault="001A38E2">
          <w:pPr>
            <w:pStyle w:val="Cuprins2"/>
            <w:tabs>
              <w:tab w:val="right" w:leader="dot" w:pos="9019"/>
            </w:tabs>
            <w:rPr>
              <w:noProof/>
            </w:rPr>
          </w:pPr>
          <w:hyperlink w:anchor="_Toc72004085" w:history="1">
            <w:r w:rsidRPr="00E10DD8">
              <w:rPr>
                <w:rStyle w:val="Hyperlink"/>
                <w:noProof/>
              </w:rPr>
              <w:t>Strategic clock</w:t>
            </w:r>
            <w:r>
              <w:rPr>
                <w:noProof/>
                <w:webHidden/>
              </w:rPr>
              <w:tab/>
            </w:r>
            <w:r>
              <w:rPr>
                <w:noProof/>
                <w:webHidden/>
              </w:rPr>
              <w:fldChar w:fldCharType="begin"/>
            </w:r>
            <w:r>
              <w:rPr>
                <w:noProof/>
                <w:webHidden/>
              </w:rPr>
              <w:instrText xml:space="preserve"> PAGEREF _Toc72004085 \h </w:instrText>
            </w:r>
            <w:r>
              <w:rPr>
                <w:noProof/>
                <w:webHidden/>
              </w:rPr>
            </w:r>
            <w:r>
              <w:rPr>
                <w:noProof/>
                <w:webHidden/>
              </w:rPr>
              <w:fldChar w:fldCharType="separate"/>
            </w:r>
            <w:r>
              <w:rPr>
                <w:noProof/>
                <w:webHidden/>
              </w:rPr>
              <w:t>20</w:t>
            </w:r>
            <w:r>
              <w:rPr>
                <w:noProof/>
                <w:webHidden/>
              </w:rPr>
              <w:fldChar w:fldCharType="end"/>
            </w:r>
          </w:hyperlink>
        </w:p>
        <w:p w14:paraId="50A34CDB" w14:textId="77777777" w:rsidR="003E3DC8" w:rsidRDefault="001A38E2">
          <w:pPr>
            <w:pStyle w:val="Cuprins1"/>
            <w:tabs>
              <w:tab w:val="right" w:leader="dot" w:pos="9019"/>
            </w:tabs>
            <w:rPr>
              <w:noProof/>
            </w:rPr>
          </w:pPr>
          <w:hyperlink w:anchor="_Toc72004086" w:history="1">
            <w:r w:rsidRPr="00E10DD8">
              <w:rPr>
                <w:rStyle w:val="Hyperlink"/>
                <w:noProof/>
              </w:rPr>
              <w:t>Conclusion</w:t>
            </w:r>
            <w:r>
              <w:rPr>
                <w:noProof/>
                <w:webHidden/>
              </w:rPr>
              <w:tab/>
            </w:r>
            <w:r>
              <w:rPr>
                <w:noProof/>
                <w:webHidden/>
              </w:rPr>
              <w:fldChar w:fldCharType="begin"/>
            </w:r>
            <w:r>
              <w:rPr>
                <w:noProof/>
                <w:webHidden/>
              </w:rPr>
              <w:instrText xml:space="preserve"> PAGEREF _Toc72004086 \h </w:instrText>
            </w:r>
            <w:r>
              <w:rPr>
                <w:noProof/>
                <w:webHidden/>
              </w:rPr>
            </w:r>
            <w:r>
              <w:rPr>
                <w:noProof/>
                <w:webHidden/>
              </w:rPr>
              <w:fldChar w:fldCharType="separate"/>
            </w:r>
            <w:r>
              <w:rPr>
                <w:noProof/>
                <w:webHidden/>
              </w:rPr>
              <w:t>21</w:t>
            </w:r>
            <w:r>
              <w:rPr>
                <w:noProof/>
                <w:webHidden/>
              </w:rPr>
              <w:fldChar w:fldCharType="end"/>
            </w:r>
          </w:hyperlink>
        </w:p>
        <w:p w14:paraId="23C85E07" w14:textId="77777777" w:rsidR="003E3DC8" w:rsidRDefault="001A38E2">
          <w:pPr>
            <w:pStyle w:val="Cuprins1"/>
            <w:tabs>
              <w:tab w:val="right" w:leader="dot" w:pos="9019"/>
            </w:tabs>
            <w:rPr>
              <w:noProof/>
            </w:rPr>
          </w:pPr>
          <w:hyperlink w:anchor="_Toc72004087" w:history="1">
            <w:r w:rsidRPr="00E10DD8">
              <w:rPr>
                <w:rStyle w:val="Hyperlink"/>
                <w:noProof/>
              </w:rPr>
              <w:t>Recommendations to maintain su</w:t>
            </w:r>
            <w:r w:rsidRPr="00E10DD8">
              <w:rPr>
                <w:rStyle w:val="Hyperlink"/>
                <w:noProof/>
              </w:rPr>
              <w:t>stainability and competitiveness in the market</w:t>
            </w:r>
            <w:r>
              <w:rPr>
                <w:noProof/>
                <w:webHidden/>
              </w:rPr>
              <w:tab/>
            </w:r>
            <w:r>
              <w:rPr>
                <w:noProof/>
                <w:webHidden/>
              </w:rPr>
              <w:fldChar w:fldCharType="begin"/>
            </w:r>
            <w:r>
              <w:rPr>
                <w:noProof/>
                <w:webHidden/>
              </w:rPr>
              <w:instrText xml:space="preserve"> PAGEREF _Toc72004087 \h </w:instrText>
            </w:r>
            <w:r>
              <w:rPr>
                <w:noProof/>
                <w:webHidden/>
              </w:rPr>
            </w:r>
            <w:r>
              <w:rPr>
                <w:noProof/>
                <w:webHidden/>
              </w:rPr>
              <w:fldChar w:fldCharType="separate"/>
            </w:r>
            <w:r>
              <w:rPr>
                <w:noProof/>
                <w:webHidden/>
              </w:rPr>
              <w:t>22</w:t>
            </w:r>
            <w:r>
              <w:rPr>
                <w:noProof/>
                <w:webHidden/>
              </w:rPr>
              <w:fldChar w:fldCharType="end"/>
            </w:r>
          </w:hyperlink>
        </w:p>
        <w:p w14:paraId="58CC0A22" w14:textId="77777777" w:rsidR="003E3DC8" w:rsidRDefault="001A38E2">
          <w:pPr>
            <w:pStyle w:val="Cuprins1"/>
            <w:tabs>
              <w:tab w:val="right" w:leader="dot" w:pos="9019"/>
            </w:tabs>
            <w:rPr>
              <w:noProof/>
            </w:rPr>
          </w:pPr>
          <w:hyperlink w:anchor="_Toc72004088" w:history="1">
            <w:r w:rsidRPr="00E10DD8">
              <w:rPr>
                <w:rStyle w:val="Hyperlink"/>
                <w:noProof/>
              </w:rPr>
              <w:t>Reference list</w:t>
            </w:r>
            <w:r>
              <w:rPr>
                <w:noProof/>
                <w:webHidden/>
              </w:rPr>
              <w:tab/>
            </w:r>
            <w:r>
              <w:rPr>
                <w:noProof/>
                <w:webHidden/>
              </w:rPr>
              <w:fldChar w:fldCharType="begin"/>
            </w:r>
            <w:r>
              <w:rPr>
                <w:noProof/>
                <w:webHidden/>
              </w:rPr>
              <w:instrText xml:space="preserve"> PAGEREF _Toc72004088 \h </w:instrText>
            </w:r>
            <w:r>
              <w:rPr>
                <w:noProof/>
                <w:webHidden/>
              </w:rPr>
            </w:r>
            <w:r>
              <w:rPr>
                <w:noProof/>
                <w:webHidden/>
              </w:rPr>
              <w:fldChar w:fldCharType="separate"/>
            </w:r>
            <w:r>
              <w:rPr>
                <w:noProof/>
                <w:webHidden/>
              </w:rPr>
              <w:t>24</w:t>
            </w:r>
            <w:r>
              <w:rPr>
                <w:noProof/>
                <w:webHidden/>
              </w:rPr>
              <w:fldChar w:fldCharType="end"/>
            </w:r>
          </w:hyperlink>
        </w:p>
        <w:p w14:paraId="26ADA128" w14:textId="77777777" w:rsidR="003E3DC8" w:rsidRDefault="001A38E2">
          <w:pPr>
            <w:pStyle w:val="Cuprins1"/>
            <w:tabs>
              <w:tab w:val="right" w:leader="dot" w:pos="9019"/>
            </w:tabs>
            <w:rPr>
              <w:noProof/>
            </w:rPr>
          </w:pPr>
          <w:hyperlink w:anchor="_Toc72004089" w:history="1">
            <w:r w:rsidRPr="00E10DD8">
              <w:rPr>
                <w:rStyle w:val="Hyperlink"/>
                <w:noProof/>
              </w:rPr>
              <w:t>Appendix</w:t>
            </w:r>
            <w:r>
              <w:rPr>
                <w:noProof/>
                <w:webHidden/>
              </w:rPr>
              <w:tab/>
            </w:r>
            <w:r>
              <w:rPr>
                <w:noProof/>
                <w:webHidden/>
              </w:rPr>
              <w:fldChar w:fldCharType="begin"/>
            </w:r>
            <w:r>
              <w:rPr>
                <w:noProof/>
                <w:webHidden/>
              </w:rPr>
              <w:instrText xml:space="preserve"> PAGEREF _Toc72004089 \h </w:instrText>
            </w:r>
            <w:r>
              <w:rPr>
                <w:noProof/>
                <w:webHidden/>
              </w:rPr>
            </w:r>
            <w:r>
              <w:rPr>
                <w:noProof/>
                <w:webHidden/>
              </w:rPr>
              <w:fldChar w:fldCharType="separate"/>
            </w:r>
            <w:r>
              <w:rPr>
                <w:noProof/>
                <w:webHidden/>
              </w:rPr>
              <w:t>27</w:t>
            </w:r>
            <w:r>
              <w:rPr>
                <w:noProof/>
                <w:webHidden/>
              </w:rPr>
              <w:fldChar w:fldCharType="end"/>
            </w:r>
          </w:hyperlink>
        </w:p>
        <w:p w14:paraId="6E0C3719" w14:textId="77777777" w:rsidR="003E3DC8" w:rsidRDefault="001A38E2">
          <w:r>
            <w:rPr>
              <w:b/>
              <w:bCs/>
              <w:noProof/>
            </w:rPr>
            <w:fldChar w:fldCharType="end"/>
          </w:r>
        </w:p>
      </w:sdtContent>
    </w:sdt>
    <w:p w14:paraId="65AAA36E" w14:textId="77777777" w:rsidR="00B54F55" w:rsidRPr="00B54F55" w:rsidRDefault="001A38E2">
      <w:pPr>
        <w:rPr>
          <w:rFonts w:eastAsia="Times New Roman" w:cs="Times New Roman"/>
          <w:b/>
          <w:szCs w:val="24"/>
        </w:rPr>
      </w:pPr>
      <w:r w:rsidRPr="00B54F55">
        <w:rPr>
          <w:rFonts w:eastAsia="Times New Roman" w:cs="Times New Roman"/>
          <w:b/>
          <w:szCs w:val="24"/>
        </w:rPr>
        <w:br w:type="page"/>
      </w:r>
    </w:p>
    <w:p w14:paraId="5E4C9BC9" w14:textId="77777777" w:rsidR="00CF60D7" w:rsidRPr="00B54F55" w:rsidRDefault="001A38E2" w:rsidP="00B54F55">
      <w:pPr>
        <w:pStyle w:val="Titlu1"/>
      </w:pPr>
      <w:bookmarkStart w:id="0" w:name="_Toc72004074"/>
      <w:r w:rsidRPr="00B54F55">
        <w:lastRenderedPageBreak/>
        <w:t>Introduction</w:t>
      </w:r>
      <w:bookmarkEnd w:id="0"/>
    </w:p>
    <w:p w14:paraId="3C014C48" w14:textId="77777777" w:rsidR="00CF60D7" w:rsidRPr="00B54F55" w:rsidRDefault="001A38E2">
      <w:pPr>
        <w:rPr>
          <w:rFonts w:eastAsia="Times New Roman" w:cs="Times New Roman"/>
          <w:szCs w:val="24"/>
        </w:rPr>
      </w:pPr>
      <w:r w:rsidRPr="00B54F55">
        <w:rPr>
          <w:rFonts w:eastAsia="Times New Roman" w:cs="Times New Roman"/>
          <w:szCs w:val="24"/>
        </w:rPr>
        <w:t xml:space="preserve">Sony is a multinational company in </w:t>
      </w:r>
      <w:r w:rsidRPr="00B54F55">
        <w:rPr>
          <w:rFonts w:eastAsia="Times New Roman" w:cs="Times New Roman"/>
          <w:szCs w:val="24"/>
        </w:rPr>
        <w:t>Japan. Sony engages in manufacturing, designing, developing, and selling various equipment, be it electronic or instruments. It also manufactures those devices used for industrial Markets and professional uses and software and game consoles. The complete s</w:t>
      </w:r>
      <w:r w:rsidRPr="00B54F55">
        <w:rPr>
          <w:rFonts w:eastAsia="Times New Roman" w:cs="Times New Roman"/>
          <w:szCs w:val="24"/>
        </w:rPr>
        <w:t xml:space="preserve">egment includes services of the network and giving mobile communication, imaging solution and products, and home entertainment, which includes financial services. Music, picture devices, and sound engage in the distribution, acquisition, and production of </w:t>
      </w:r>
      <w:r w:rsidRPr="00B54F55">
        <w:rPr>
          <w:rFonts w:eastAsia="Times New Roman" w:cs="Times New Roman"/>
          <w:szCs w:val="24"/>
        </w:rPr>
        <w:t>Motion pictures and programming of television and digital networks and different television operations (</w:t>
      </w:r>
      <w:r w:rsidRPr="00B54F55">
        <w:rPr>
          <w:rFonts w:eastAsia="Times New Roman" w:cs="Times New Roman"/>
          <w:szCs w:val="24"/>
          <w:highlight w:val="white"/>
        </w:rPr>
        <w:t>Sony, 2019)</w:t>
      </w:r>
      <w:r w:rsidRPr="00B54F55">
        <w:rPr>
          <w:rFonts w:eastAsia="Times New Roman" w:cs="Times New Roman"/>
          <w:szCs w:val="24"/>
        </w:rPr>
        <w:t>.</w:t>
      </w:r>
    </w:p>
    <w:p w14:paraId="18D82CF7" w14:textId="77777777" w:rsidR="00CF60D7" w:rsidRPr="00B54F55" w:rsidRDefault="001A38E2">
      <w:pPr>
        <w:rPr>
          <w:rFonts w:eastAsia="Times New Roman" w:cs="Times New Roman"/>
          <w:szCs w:val="24"/>
        </w:rPr>
      </w:pPr>
      <w:r w:rsidRPr="00B54F55">
        <w:rPr>
          <w:rFonts w:eastAsia="Times New Roman" w:cs="Times New Roman"/>
          <w:szCs w:val="24"/>
        </w:rPr>
        <w:t xml:space="preserve">It engages in distribution, manufacturing, and production of Management and licensing of music and words of songs and record, and </w:t>
      </w:r>
      <w:r w:rsidRPr="00B54F55">
        <w:rPr>
          <w:rFonts w:eastAsia="Times New Roman" w:cs="Times New Roman"/>
          <w:szCs w:val="24"/>
        </w:rPr>
        <w:t>manage music posters (</w:t>
      </w:r>
      <w:r w:rsidRPr="00B54F55">
        <w:rPr>
          <w:rFonts w:eastAsia="Times New Roman" w:cs="Times New Roman"/>
          <w:szCs w:val="24"/>
          <w:highlight w:val="white"/>
        </w:rPr>
        <w:t>Alhash</w:t>
      </w:r>
      <w:r w:rsidR="00B54F55">
        <w:rPr>
          <w:rFonts w:eastAsia="Times New Roman" w:cs="Times New Roman"/>
          <w:szCs w:val="24"/>
          <w:highlight w:val="white"/>
        </w:rPr>
        <w:t xml:space="preserve">ash, Alshammari, and Al-Mnaies, </w:t>
      </w:r>
      <w:r w:rsidRPr="00B54F55">
        <w:rPr>
          <w:rFonts w:eastAsia="Times New Roman" w:cs="Times New Roman"/>
          <w:szCs w:val="24"/>
          <w:highlight w:val="white"/>
        </w:rPr>
        <w:t>2019)</w:t>
      </w:r>
      <w:r w:rsidRPr="00B54F55">
        <w:rPr>
          <w:rFonts w:eastAsia="Times New Roman" w:cs="Times New Roman"/>
          <w:szCs w:val="24"/>
        </w:rPr>
        <w:t>. It provides businesses with various financial services like non-life and life insurance operations. True subsidies of Japanese insurance and banking operations through internet-based bankin</w:t>
      </w:r>
      <w:r w:rsidRPr="00B54F55">
        <w:rPr>
          <w:rFonts w:eastAsia="Times New Roman" w:cs="Times New Roman"/>
          <w:szCs w:val="24"/>
        </w:rPr>
        <w:t>g have also been provided.</w:t>
      </w:r>
    </w:p>
    <w:p w14:paraId="3841CC28" w14:textId="77777777" w:rsidR="00CF60D7" w:rsidRPr="00B54F55" w:rsidRDefault="001A38E2">
      <w:pPr>
        <w:rPr>
          <w:rFonts w:eastAsia="Times New Roman" w:cs="Times New Roman"/>
          <w:szCs w:val="24"/>
        </w:rPr>
      </w:pPr>
      <w:r w:rsidRPr="00B54F55">
        <w:rPr>
          <w:rFonts w:eastAsia="Times New Roman" w:cs="Times New Roman"/>
          <w:szCs w:val="24"/>
        </w:rPr>
        <w:t>The C.E.O. of Sony Corporation, Sir Howard Stringer, I was in doubt about the Playstation 3 which was launched in 2006 despite PlayStation 2. Stringer understood that there was no guarantee of future success even if there was suc</w:t>
      </w:r>
      <w:r w:rsidRPr="00B54F55">
        <w:rPr>
          <w:rFonts w:eastAsia="Times New Roman" w:cs="Times New Roman"/>
          <w:szCs w:val="24"/>
        </w:rPr>
        <w:t>cess in the past, especially in the intensive gaming industry. After the launch of the PS3, Nintendo Gamecube was launched just after two days which was sold at 249 dollars which is half the price of PS3. That was a severe threat to the company. Stringer u</w:t>
      </w:r>
      <w:r w:rsidRPr="00B54F55">
        <w:rPr>
          <w:rFonts w:eastAsia="Times New Roman" w:cs="Times New Roman"/>
          <w:szCs w:val="24"/>
        </w:rPr>
        <w:t>nderstood that winning it could be a long race even if the next generation of DVD market sales was at stake. Sony has faced intense competition against Toshiba, which is another well-established Japanese electronic manufacturer and has a partnership with M</w:t>
      </w:r>
      <w:r w:rsidRPr="00B54F55">
        <w:rPr>
          <w:rFonts w:eastAsia="Times New Roman" w:cs="Times New Roman"/>
          <w:szCs w:val="24"/>
        </w:rPr>
        <w:t>icrosoft, which develops its digital video standards and is retail for $500. Winning the competition against its competitor would prove Sony extremely powerful and gain profit (</w:t>
      </w:r>
      <w:r w:rsidRPr="00B54F55">
        <w:rPr>
          <w:rFonts w:eastAsia="Times New Roman" w:cs="Times New Roman"/>
          <w:szCs w:val="24"/>
          <w:highlight w:val="white"/>
        </w:rPr>
        <w:t>Hong and WANG, 2017)</w:t>
      </w:r>
      <w:r w:rsidRPr="00B54F55">
        <w:rPr>
          <w:rFonts w:eastAsia="Times New Roman" w:cs="Times New Roman"/>
          <w:szCs w:val="24"/>
        </w:rPr>
        <w:t>. Sony has raised some disappointments in the past that hel</w:t>
      </w:r>
      <w:r w:rsidRPr="00B54F55">
        <w:rPr>
          <w:rFonts w:eastAsia="Times New Roman" w:cs="Times New Roman"/>
          <w:szCs w:val="24"/>
        </w:rPr>
        <w:t xml:space="preserve">ps to establish its format of Technology. </w:t>
      </w:r>
    </w:p>
    <w:p w14:paraId="4F41FEDC" w14:textId="77777777" w:rsidR="00CF60D7" w:rsidRPr="00B54F55" w:rsidRDefault="001A38E2">
      <w:pPr>
        <w:rPr>
          <w:rFonts w:eastAsia="Times New Roman" w:cs="Times New Roman"/>
          <w:szCs w:val="24"/>
        </w:rPr>
      </w:pPr>
      <w:r w:rsidRPr="00B54F55">
        <w:rPr>
          <w:rFonts w:eastAsia="Times New Roman" w:cs="Times New Roman"/>
          <w:szCs w:val="24"/>
        </w:rPr>
        <w:t>String understood that replicating PS2 success would not be easy for the company (</w:t>
      </w:r>
      <w:r w:rsidRPr="00B54F55">
        <w:rPr>
          <w:rFonts w:eastAsia="Times New Roman" w:cs="Times New Roman"/>
          <w:szCs w:val="24"/>
          <w:highlight w:val="white"/>
        </w:rPr>
        <w:t>Aguilar and Velasco García, 2018)</w:t>
      </w:r>
      <w:r w:rsidRPr="00B54F55">
        <w:rPr>
          <w:rFonts w:eastAsia="Times New Roman" w:cs="Times New Roman"/>
          <w:szCs w:val="24"/>
        </w:rPr>
        <w:t>. The significant barrier for PS3 would be its price, leading to widespread penetration. The PS3 w</w:t>
      </w:r>
      <w:r w:rsidRPr="00B54F55">
        <w:rPr>
          <w:rFonts w:eastAsia="Times New Roman" w:cs="Times New Roman"/>
          <w:szCs w:val="24"/>
        </w:rPr>
        <w:t>as sold at 599 dollars, for which the thing would not be considered a toy; rather, it would be an impulsive purchase for most of the customers. The PS3 was considered bargaining as it was used for playing games; it includes some PlayStation games of the ol</w:t>
      </w:r>
      <w:r w:rsidRPr="00B54F55">
        <w:rPr>
          <w:rFonts w:eastAsia="Times New Roman" w:cs="Times New Roman"/>
          <w:szCs w:val="24"/>
        </w:rPr>
        <w:t xml:space="preserve">der generation. Soni could gain the attention of children and adult Gamers since entering the industry of video games as it has always come up with some impressive ideas. Sony has </w:t>
      </w:r>
      <w:r w:rsidRPr="00B54F55">
        <w:rPr>
          <w:rFonts w:eastAsia="Times New Roman" w:cs="Times New Roman"/>
          <w:szCs w:val="24"/>
        </w:rPr>
        <w:lastRenderedPageBreak/>
        <w:t>always been able to fulfill the changing taste of the customer. Sony, in its</w:t>
      </w:r>
      <w:r w:rsidRPr="00B54F55">
        <w:rPr>
          <w:rFonts w:eastAsia="Times New Roman" w:cs="Times New Roman"/>
          <w:szCs w:val="24"/>
        </w:rPr>
        <w:t xml:space="preserve"> career, has experienced many changes.</w:t>
      </w:r>
    </w:p>
    <w:p w14:paraId="31DB2014" w14:textId="77777777" w:rsidR="00CF60D7" w:rsidRPr="00B54F55" w:rsidRDefault="001A38E2">
      <w:pPr>
        <w:rPr>
          <w:rFonts w:eastAsia="Times New Roman" w:cs="Times New Roman"/>
          <w:szCs w:val="24"/>
        </w:rPr>
      </w:pPr>
      <w:r w:rsidRPr="00B54F55">
        <w:rPr>
          <w:rFonts w:eastAsia="Times New Roman" w:cs="Times New Roman"/>
          <w:szCs w:val="24"/>
        </w:rPr>
        <w:t>Sony Live develops many video games and has ultimately sold the products by managing and conveying the customers and the prices of the products that had a significant role in launching PS3 (</w:t>
      </w:r>
      <w:r w:rsidRPr="00B54F55">
        <w:rPr>
          <w:rFonts w:eastAsia="Times New Roman" w:cs="Times New Roman"/>
          <w:szCs w:val="24"/>
          <w:highlight w:val="white"/>
        </w:rPr>
        <w:t>Munir et al., 2018)</w:t>
      </w:r>
      <w:r w:rsidRPr="00B54F55">
        <w:rPr>
          <w:rFonts w:eastAsia="Times New Roman" w:cs="Times New Roman"/>
          <w:szCs w:val="24"/>
        </w:rPr>
        <w:t>. In 201</w:t>
      </w:r>
      <w:r w:rsidRPr="00B54F55">
        <w:rPr>
          <w:rFonts w:eastAsia="Times New Roman" w:cs="Times New Roman"/>
          <w:szCs w:val="24"/>
        </w:rPr>
        <w:t>4 the PlayStation V.R. for PlayStation 4 was established, which led to Sony's lead in the virtual reality patent race. After the success of PS4. In the year 2020, the PlayStation 5 was released in Newzealand, South Korea, Japan, Singapore, North America, a</w:t>
      </w:r>
      <w:r w:rsidRPr="00B54F55">
        <w:rPr>
          <w:rFonts w:eastAsia="Times New Roman" w:cs="Times New Roman"/>
          <w:szCs w:val="24"/>
        </w:rPr>
        <w:t>nd Australia. 4.5 million Sony PlayStation 5 were sold</w:t>
      </w:r>
    </w:p>
    <w:p w14:paraId="3E6A7728" w14:textId="77777777" w:rsidR="00CF60D7" w:rsidRPr="00B54F55" w:rsidRDefault="001A38E2" w:rsidP="00B54F55">
      <w:pPr>
        <w:pStyle w:val="Titlu1"/>
      </w:pPr>
      <w:bookmarkStart w:id="1" w:name="_Toc72004075"/>
      <w:r w:rsidRPr="00B54F55">
        <w:t>Model of</w:t>
      </w:r>
      <w:r w:rsidR="00B54F55">
        <w:t xml:space="preserve"> business for Sony</w:t>
      </w:r>
      <w:bookmarkEnd w:id="1"/>
    </w:p>
    <w:p w14:paraId="156A15D9" w14:textId="77777777" w:rsidR="00CF60D7" w:rsidRPr="00B54F55" w:rsidRDefault="001A38E2">
      <w:pPr>
        <w:rPr>
          <w:rFonts w:eastAsia="Times New Roman" w:cs="Times New Roman"/>
          <w:szCs w:val="24"/>
        </w:rPr>
      </w:pPr>
      <w:r w:rsidRPr="00B54F55">
        <w:rPr>
          <w:rFonts w:eastAsia="Times New Roman" w:cs="Times New Roman"/>
          <w:szCs w:val="24"/>
        </w:rPr>
        <w:t>An essential component of a business plan is a business model. Sony has a good business model, which has helped it gain the customers' attention in the market. The business m</w:t>
      </w:r>
      <w:r w:rsidRPr="00B54F55">
        <w:rPr>
          <w:rFonts w:eastAsia="Times New Roman" w:cs="Times New Roman"/>
          <w:szCs w:val="24"/>
        </w:rPr>
        <w:t>odel of Sony are:</w:t>
      </w:r>
    </w:p>
    <w:p w14:paraId="21D4D0EB" w14:textId="77777777" w:rsidR="00CF60D7" w:rsidRPr="00B54F55" w:rsidRDefault="001A38E2">
      <w:pPr>
        <w:rPr>
          <w:rFonts w:eastAsia="Times New Roman" w:cs="Times New Roman"/>
          <w:szCs w:val="24"/>
        </w:rPr>
      </w:pPr>
      <w:r w:rsidRPr="00B54F55">
        <w:rPr>
          <w:rFonts w:eastAsia="Times New Roman" w:cs="Times New Roman"/>
          <w:szCs w:val="24"/>
        </w:rPr>
        <w:t>Customer segments: The company serves some specific audiences by providing specialized services and products, including Sales of batteries, computers. Apart from these, the principal market of Sony is the General population (</w:t>
      </w:r>
      <w:r w:rsidRPr="00B54F55">
        <w:rPr>
          <w:rFonts w:eastAsia="Times New Roman" w:cs="Times New Roman"/>
          <w:szCs w:val="24"/>
          <w:highlight w:val="white"/>
        </w:rPr>
        <w:t>Hacklin et al</w:t>
      </w:r>
      <w:r w:rsidRPr="00B54F55">
        <w:rPr>
          <w:rFonts w:eastAsia="Times New Roman" w:cs="Times New Roman"/>
          <w:szCs w:val="24"/>
          <w:highlight w:val="white"/>
        </w:rPr>
        <w:t>.,2018)</w:t>
      </w:r>
      <w:r w:rsidRPr="00B54F55">
        <w:rPr>
          <w:rFonts w:eastAsia="Times New Roman" w:cs="Times New Roman"/>
          <w:szCs w:val="24"/>
        </w:rPr>
        <w:t>. They provide customers with electronic products such as gaming and networking, mobile phone, televisions, and cameras.</w:t>
      </w:r>
    </w:p>
    <w:p w14:paraId="7C5F8BDA" w14:textId="77777777" w:rsidR="00CF60D7" w:rsidRPr="00B54F55" w:rsidRDefault="001A38E2">
      <w:pPr>
        <w:rPr>
          <w:rFonts w:eastAsia="Times New Roman" w:cs="Times New Roman"/>
          <w:szCs w:val="24"/>
        </w:rPr>
      </w:pPr>
      <w:r w:rsidRPr="00B54F55">
        <w:rPr>
          <w:rFonts w:eastAsia="Times New Roman" w:cs="Times New Roman"/>
          <w:szCs w:val="24"/>
        </w:rPr>
        <w:t>Value proposition: Sony is a brand name mainly known for its quality. The company is indulging in developing new technologies an</w:t>
      </w:r>
      <w:r w:rsidRPr="00B54F55">
        <w:rPr>
          <w:rFonts w:eastAsia="Times New Roman" w:cs="Times New Roman"/>
          <w:szCs w:val="24"/>
        </w:rPr>
        <w:t>d adding functionality to the products that are already existing. The products are user-friendly.</w:t>
      </w:r>
    </w:p>
    <w:p w14:paraId="78852B25" w14:textId="77777777" w:rsidR="00CF60D7" w:rsidRPr="00B54F55" w:rsidRDefault="001A38E2">
      <w:pPr>
        <w:rPr>
          <w:rFonts w:eastAsia="Times New Roman" w:cs="Times New Roman"/>
          <w:szCs w:val="24"/>
        </w:rPr>
      </w:pPr>
      <w:r w:rsidRPr="00B54F55">
        <w:rPr>
          <w:rFonts w:eastAsia="Times New Roman" w:cs="Times New Roman"/>
          <w:szCs w:val="24"/>
        </w:rPr>
        <w:t>Channels: Sony, apart from providing services in the stores, also provides services in different regions through online stores. The company operates the globa</w:t>
      </w:r>
      <w:r w:rsidRPr="00B54F55">
        <w:rPr>
          <w:rFonts w:eastAsia="Times New Roman" w:cs="Times New Roman"/>
          <w:szCs w:val="24"/>
        </w:rPr>
        <w:t>l market for selling outlets. Some authorized distributors are directly the company that can help to acquire professional products and Industrial Products (</w:t>
      </w:r>
      <w:r w:rsidRPr="00B54F55">
        <w:rPr>
          <w:rFonts w:eastAsia="Times New Roman" w:cs="Times New Roman"/>
          <w:szCs w:val="24"/>
          <w:highlight w:val="white"/>
        </w:rPr>
        <w:t>Deligonul, 2020)</w:t>
      </w:r>
      <w:r w:rsidRPr="00B54F55">
        <w:rPr>
          <w:rFonts w:eastAsia="Times New Roman" w:cs="Times New Roman"/>
          <w:szCs w:val="24"/>
        </w:rPr>
        <w:t>.</w:t>
      </w:r>
    </w:p>
    <w:p w14:paraId="27D51B83" w14:textId="77777777" w:rsidR="00CF60D7" w:rsidRPr="00B54F55" w:rsidRDefault="001A38E2">
      <w:pPr>
        <w:rPr>
          <w:rFonts w:eastAsia="Times New Roman" w:cs="Times New Roman"/>
          <w:szCs w:val="24"/>
        </w:rPr>
      </w:pPr>
      <w:r w:rsidRPr="00B54F55">
        <w:rPr>
          <w:rFonts w:eastAsia="Times New Roman" w:cs="Times New Roman"/>
          <w:szCs w:val="24"/>
        </w:rPr>
        <w:t>Customer relationships: Providing more comfortable services to the customer is the</w:t>
      </w:r>
      <w:r w:rsidRPr="00B54F55">
        <w:rPr>
          <w:rFonts w:eastAsia="Times New Roman" w:cs="Times New Roman"/>
          <w:szCs w:val="24"/>
        </w:rPr>
        <w:t xml:space="preserve"> fundamental motive of the company. The customers can buy products online with no interaction with the company's personnel (</w:t>
      </w:r>
      <w:r w:rsidRPr="00B54F55">
        <w:rPr>
          <w:rFonts w:eastAsia="Times New Roman" w:cs="Times New Roman"/>
          <w:szCs w:val="24"/>
          <w:highlight w:val="white"/>
        </w:rPr>
        <w:t>Williamson, Guo, and Yin, 2021)</w:t>
      </w:r>
      <w:r w:rsidRPr="00B54F55">
        <w:rPr>
          <w:rFonts w:eastAsia="Times New Roman" w:cs="Times New Roman"/>
          <w:szCs w:val="24"/>
        </w:rPr>
        <w:t xml:space="preserve">. The company's gaming network also provides a marketplace where online self-service can be applied, </w:t>
      </w:r>
      <w:r w:rsidRPr="00B54F55">
        <w:rPr>
          <w:rFonts w:eastAsia="Times New Roman" w:cs="Times New Roman"/>
          <w:szCs w:val="24"/>
        </w:rPr>
        <w:t>and the users can alter subscriptions and purchase contents independently. Other than that, the products can be bought from different authorized resellers and dealers and additional retail outlets where the customers are provided personal care from sales r</w:t>
      </w:r>
      <w:r w:rsidRPr="00B54F55">
        <w:rPr>
          <w:rFonts w:eastAsia="Times New Roman" w:cs="Times New Roman"/>
          <w:szCs w:val="24"/>
        </w:rPr>
        <w:t>epresentatives (</w:t>
      </w:r>
      <w:r w:rsidRPr="00B54F55">
        <w:rPr>
          <w:rFonts w:eastAsia="Times New Roman" w:cs="Times New Roman"/>
          <w:szCs w:val="24"/>
          <w:highlight w:val="white"/>
        </w:rPr>
        <w:t>Le, 2018)</w:t>
      </w:r>
      <w:r w:rsidRPr="00B54F55">
        <w:rPr>
          <w:rFonts w:eastAsia="Times New Roman" w:cs="Times New Roman"/>
          <w:szCs w:val="24"/>
        </w:rPr>
        <w:t>. The customers can access technical support from the company's websites.</w:t>
      </w:r>
    </w:p>
    <w:p w14:paraId="358D27D0" w14:textId="77777777" w:rsidR="00CF60D7" w:rsidRPr="00B54F55" w:rsidRDefault="001A38E2">
      <w:pPr>
        <w:rPr>
          <w:rFonts w:eastAsia="Times New Roman" w:cs="Times New Roman"/>
          <w:szCs w:val="24"/>
        </w:rPr>
      </w:pPr>
      <w:r w:rsidRPr="00B54F55">
        <w:rPr>
          <w:rFonts w:eastAsia="Times New Roman" w:cs="Times New Roman"/>
          <w:szCs w:val="24"/>
        </w:rPr>
        <w:lastRenderedPageBreak/>
        <w:t>Key activities: The company engages in developing, manufacturing, designing, and selling electronic products for the customer's industrial customers and prof</w:t>
      </w:r>
      <w:r w:rsidRPr="00B54F55">
        <w:rPr>
          <w:rFonts w:eastAsia="Times New Roman" w:cs="Times New Roman"/>
          <w:szCs w:val="24"/>
        </w:rPr>
        <w:t>essionals (</w:t>
      </w:r>
      <w:r w:rsidRPr="00B54F55">
        <w:rPr>
          <w:rFonts w:eastAsia="Times New Roman" w:cs="Times New Roman"/>
          <w:szCs w:val="24"/>
          <w:highlight w:val="white"/>
        </w:rPr>
        <w:t>Torres de et al., 2020)</w:t>
      </w:r>
      <w:r w:rsidRPr="00B54F55">
        <w:rPr>
          <w:rFonts w:eastAsia="Times New Roman" w:cs="Times New Roman"/>
          <w:szCs w:val="24"/>
        </w:rPr>
        <w:t>. Financial services are provided by Sony's authentic subsidiaries of financial holding of the company, which includes non-life and life insurance and banking operations.</w:t>
      </w:r>
    </w:p>
    <w:p w14:paraId="033D2B63" w14:textId="77777777" w:rsidR="00CF60D7" w:rsidRPr="00B54F55" w:rsidRDefault="001A38E2">
      <w:pPr>
        <w:rPr>
          <w:rFonts w:eastAsia="Times New Roman" w:cs="Times New Roman"/>
          <w:szCs w:val="24"/>
        </w:rPr>
      </w:pPr>
      <w:r w:rsidRPr="00B54F55">
        <w:rPr>
          <w:rFonts w:eastAsia="Times New Roman" w:cs="Times New Roman"/>
          <w:szCs w:val="24"/>
        </w:rPr>
        <w:t>Key partners: Sony has many ties with other brands.</w:t>
      </w:r>
      <w:r w:rsidRPr="00B54F55">
        <w:rPr>
          <w:rFonts w:eastAsia="Times New Roman" w:cs="Times New Roman"/>
          <w:szCs w:val="24"/>
        </w:rPr>
        <w:t xml:space="preserve"> The affiliated markets Technology partners, hardware resellers, and software resellers are the same networks Sony manages.</w:t>
      </w:r>
    </w:p>
    <w:p w14:paraId="5CB619C1" w14:textId="77777777" w:rsidR="00CF60D7" w:rsidRPr="00B54F55" w:rsidRDefault="001A38E2">
      <w:pPr>
        <w:rPr>
          <w:rFonts w:eastAsia="Times New Roman" w:cs="Times New Roman"/>
          <w:szCs w:val="24"/>
        </w:rPr>
      </w:pPr>
      <w:r w:rsidRPr="00B54F55">
        <w:rPr>
          <w:rFonts w:eastAsia="Times New Roman" w:cs="Times New Roman"/>
          <w:szCs w:val="24"/>
        </w:rPr>
        <w:t>Climactic resources: The critical help of Sony is its Technologies and products, facilities of manufacturing, distribution, and sale</w:t>
      </w:r>
      <w:r w:rsidRPr="00B54F55">
        <w:rPr>
          <w:rFonts w:eastAsia="Times New Roman" w:cs="Times New Roman"/>
          <w:szCs w:val="24"/>
        </w:rPr>
        <w:t>s.</w:t>
      </w:r>
    </w:p>
    <w:p w14:paraId="5106E212" w14:textId="77777777" w:rsidR="00CF60D7" w:rsidRPr="00B54F55" w:rsidRDefault="001A38E2">
      <w:pPr>
        <w:rPr>
          <w:rFonts w:eastAsia="Times New Roman" w:cs="Times New Roman"/>
          <w:szCs w:val="24"/>
        </w:rPr>
      </w:pPr>
      <w:r w:rsidRPr="00B54F55">
        <w:rPr>
          <w:rFonts w:eastAsia="Times New Roman" w:cs="Times New Roman"/>
          <w:szCs w:val="24"/>
        </w:rPr>
        <w:t>Cost structure: The company operates a network of sell outlets, manufacturing facilities, and many regional offices that fixes the operating costs.</w:t>
      </w:r>
    </w:p>
    <w:p w14:paraId="101BBF08" w14:textId="77777777" w:rsidR="00CF60D7" w:rsidRPr="00B54F55" w:rsidRDefault="001A38E2">
      <w:pPr>
        <w:rPr>
          <w:rFonts w:eastAsia="Times New Roman" w:cs="Times New Roman"/>
          <w:szCs w:val="24"/>
        </w:rPr>
      </w:pPr>
      <w:r w:rsidRPr="00B54F55">
        <w:rPr>
          <w:rFonts w:eastAsia="Times New Roman" w:cs="Times New Roman"/>
          <w:szCs w:val="24"/>
        </w:rPr>
        <w:t>Revenue stream: Sony is one of the multinational companies with the most considerable revenue in the worl</w:t>
      </w:r>
      <w:r w:rsidRPr="00B54F55">
        <w:rPr>
          <w:rFonts w:eastAsia="Times New Roman" w:cs="Times New Roman"/>
          <w:szCs w:val="24"/>
        </w:rPr>
        <w:t>d. The payment of Sony is generated through eight divisions of business principles. Services of gaming and network comprise the sales and development of giving hardware and software and the operation of online-based subscription.</w:t>
      </w:r>
    </w:p>
    <w:p w14:paraId="137C5E5D" w14:textId="77777777" w:rsidR="00CF60D7" w:rsidRPr="00B54F55" w:rsidRDefault="001A38E2" w:rsidP="00B54F55">
      <w:pPr>
        <w:pStyle w:val="Titlu1"/>
      </w:pPr>
      <w:bookmarkStart w:id="2" w:name="_Toc72004076"/>
      <w:r w:rsidRPr="00B54F55">
        <w:t>Key strategic issues</w:t>
      </w:r>
      <w:bookmarkEnd w:id="2"/>
    </w:p>
    <w:p w14:paraId="253CE210" w14:textId="77777777" w:rsidR="00CF60D7" w:rsidRPr="00B54F55" w:rsidRDefault="001A38E2" w:rsidP="00B54F55">
      <w:pPr>
        <w:pStyle w:val="Titlu2"/>
      </w:pPr>
      <w:bookmarkStart w:id="3" w:name="_Toc72004077"/>
      <w:r w:rsidRPr="00B54F55">
        <w:t>Porte</w:t>
      </w:r>
      <w:r w:rsidRPr="00B54F55">
        <w:t>r’s five forces analysis</w:t>
      </w:r>
      <w:bookmarkEnd w:id="3"/>
    </w:p>
    <w:p w14:paraId="2BB95635" w14:textId="77777777" w:rsidR="00CF60D7" w:rsidRPr="00B54F55" w:rsidRDefault="001A38E2">
      <w:pPr>
        <w:rPr>
          <w:rFonts w:eastAsia="Times New Roman" w:cs="Times New Roman"/>
          <w:szCs w:val="24"/>
        </w:rPr>
      </w:pPr>
      <w:r w:rsidRPr="00B54F55">
        <w:rPr>
          <w:rFonts w:eastAsia="Times New Roman" w:cs="Times New Roman"/>
          <w:szCs w:val="24"/>
        </w:rPr>
        <w:t>With the help of porter's analysis, it becomes easier for companies to deal with the central issues and the support of models and theories and implement them in real-time business to show their efficiency. It is also necessary to s</w:t>
      </w:r>
      <w:r w:rsidRPr="00B54F55">
        <w:rPr>
          <w:rFonts w:eastAsia="Times New Roman" w:cs="Times New Roman"/>
          <w:szCs w:val="24"/>
        </w:rPr>
        <w:t>tudy the competitive environment of Sony.</w:t>
      </w:r>
    </w:p>
    <w:p w14:paraId="002CF34B" w14:textId="77777777" w:rsidR="00CF60D7" w:rsidRPr="00B54F55" w:rsidRDefault="001A38E2">
      <w:pPr>
        <w:rPr>
          <w:rFonts w:eastAsia="Times New Roman" w:cs="Times New Roman"/>
          <w:szCs w:val="24"/>
        </w:rPr>
      </w:pPr>
      <w:r w:rsidRPr="00B54F55">
        <w:rPr>
          <w:rFonts w:eastAsia="Times New Roman" w:cs="Times New Roman"/>
          <w:szCs w:val="24"/>
        </w:rPr>
        <w:t xml:space="preserve">The following are the five forces: </w:t>
      </w:r>
    </w:p>
    <w:p w14:paraId="577E3506" w14:textId="77777777" w:rsidR="00CF60D7" w:rsidRPr="00B54F55" w:rsidRDefault="00CF60D7">
      <w:pPr>
        <w:rPr>
          <w:rFonts w:eastAsia="Times New Roman" w:cs="Times New Roman"/>
          <w:szCs w:val="24"/>
        </w:rPr>
      </w:pP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24427E" w14:paraId="489C5D75" w14:textId="77777777">
        <w:tc>
          <w:tcPr>
            <w:tcW w:w="9029" w:type="dxa"/>
            <w:shd w:val="clear" w:color="auto" w:fill="auto"/>
            <w:tcMar>
              <w:top w:w="100" w:type="dxa"/>
              <w:left w:w="100" w:type="dxa"/>
              <w:bottom w:w="100" w:type="dxa"/>
              <w:right w:w="100" w:type="dxa"/>
            </w:tcMar>
          </w:tcPr>
          <w:p w14:paraId="1FC50A8A" w14:textId="77777777" w:rsidR="00CF60D7" w:rsidRPr="00B54F55" w:rsidRDefault="001A38E2" w:rsidP="00B54F55">
            <w:pPr>
              <w:rPr>
                <w:b/>
              </w:rPr>
            </w:pPr>
            <w:r w:rsidRPr="00B54F55">
              <w:rPr>
                <w:b/>
              </w:rPr>
              <w:t>The threat of New Entrants</w:t>
            </w:r>
          </w:p>
          <w:p w14:paraId="65320C73" w14:textId="77777777" w:rsidR="00CF60D7" w:rsidRPr="00B54F55" w:rsidRDefault="001A38E2" w:rsidP="00B54F55">
            <w:r w:rsidRPr="00B54F55">
              <w:t>Predictions are hard to make in the video gaming industry as companies and the industry as a whole are never stable. As electronic items' cost is expensive, the chances of new entrants remain less. There are also many industry guidelines, acts, and rules r</w:t>
            </w:r>
            <w:r w:rsidRPr="00B54F55">
              <w:t xml:space="preserve">estricting availability to newcomers. </w:t>
            </w:r>
          </w:p>
          <w:p w14:paraId="4C147A15" w14:textId="77777777" w:rsidR="00CF60D7" w:rsidRPr="00B54F55" w:rsidRDefault="001A38E2" w:rsidP="00B54F55">
            <w:r w:rsidRPr="00B54F55">
              <w:t>Hence leaving hope for the existing companies like Sony in the battle to keep on innovating, andThe brand continued evolving by launching BetaMax video cassette tapes in the mid-'90s to the latest PlayStation 5 in 202</w:t>
            </w:r>
            <w:r w:rsidRPr="00B54F55">
              <w:t>0.</w:t>
            </w:r>
          </w:p>
        </w:tc>
      </w:tr>
      <w:tr w:rsidR="0024427E" w14:paraId="79615220" w14:textId="77777777">
        <w:tc>
          <w:tcPr>
            <w:tcW w:w="9029" w:type="dxa"/>
            <w:shd w:val="clear" w:color="auto" w:fill="auto"/>
            <w:tcMar>
              <w:top w:w="100" w:type="dxa"/>
              <w:left w:w="100" w:type="dxa"/>
              <w:bottom w:w="100" w:type="dxa"/>
              <w:right w:w="100" w:type="dxa"/>
            </w:tcMar>
          </w:tcPr>
          <w:p w14:paraId="31BA2593" w14:textId="77777777" w:rsidR="00CF60D7" w:rsidRPr="00B54F55" w:rsidRDefault="001A38E2" w:rsidP="00B54F55">
            <w:pPr>
              <w:rPr>
                <w:b/>
              </w:rPr>
            </w:pPr>
            <w:r w:rsidRPr="00B54F55">
              <w:rPr>
                <w:b/>
              </w:rPr>
              <w:t>Rivalry among Competitors</w:t>
            </w:r>
          </w:p>
          <w:p w14:paraId="4D404A99" w14:textId="77777777" w:rsidR="00CF60D7" w:rsidRPr="00B54F55" w:rsidRDefault="001A38E2" w:rsidP="00B54F55">
            <w:r w:rsidRPr="00B54F55">
              <w:lastRenderedPageBreak/>
              <w:t xml:space="preserve">The pre-existing companies in this industry are highly competitive, namely Microsoft, Nintendo, etc. resulting in less profit. </w:t>
            </w:r>
          </w:p>
          <w:p w14:paraId="367AB363" w14:textId="77777777" w:rsidR="00CF60D7" w:rsidRPr="00B54F55" w:rsidRDefault="001A38E2" w:rsidP="00B54F55">
            <w:r w:rsidRPr="00B54F55">
              <w:t>The objective of a globally recognized country like Sony is to engage in innovation and technological advancements to increase c</w:t>
            </w:r>
            <w:r w:rsidRPr="00B54F55">
              <w:t>ustomer loyalty.</w:t>
            </w:r>
          </w:p>
          <w:p w14:paraId="1C40B4B5" w14:textId="77777777" w:rsidR="00CF60D7" w:rsidRPr="00B54F55" w:rsidRDefault="001A38E2" w:rsidP="00B54F55">
            <w:r w:rsidRPr="00B54F55">
              <w:t>The mentioned companies strive to produce next-generation gaming hardware. Loyal users of PlayStation or Xbox wait reluctantly for the next generation to launch and test its effectiveness; thus, this creates a vigorous competition among th</w:t>
            </w:r>
            <w:r w:rsidRPr="00B54F55">
              <w:t xml:space="preserve">e brands to draw a strategy to make their product stand apart. </w:t>
            </w:r>
          </w:p>
        </w:tc>
      </w:tr>
      <w:tr w:rsidR="0024427E" w14:paraId="6AD6AC8B" w14:textId="77777777">
        <w:tc>
          <w:tcPr>
            <w:tcW w:w="9029" w:type="dxa"/>
            <w:shd w:val="clear" w:color="auto" w:fill="auto"/>
            <w:tcMar>
              <w:top w:w="100" w:type="dxa"/>
              <w:left w:w="100" w:type="dxa"/>
              <w:bottom w:w="100" w:type="dxa"/>
              <w:right w:w="100" w:type="dxa"/>
            </w:tcMar>
          </w:tcPr>
          <w:p w14:paraId="259895AE" w14:textId="77777777" w:rsidR="00CF60D7" w:rsidRPr="00B54F55" w:rsidRDefault="001A38E2" w:rsidP="00B54F55">
            <w:pPr>
              <w:rPr>
                <w:b/>
              </w:rPr>
            </w:pPr>
            <w:r w:rsidRPr="00B54F55">
              <w:rPr>
                <w:b/>
              </w:rPr>
              <w:lastRenderedPageBreak/>
              <w:t>Bargaining Power of Suppliers</w:t>
            </w:r>
          </w:p>
          <w:p w14:paraId="69B2F805" w14:textId="77777777" w:rsidR="00CF60D7" w:rsidRPr="00B54F55" w:rsidRDefault="001A38E2" w:rsidP="00B54F55">
            <w:r w:rsidRPr="00B54F55">
              <w:t>Like any other brand, the business Sony is supported by suppliers. And the external factors influencing the firm are :</w:t>
            </w:r>
          </w:p>
          <w:p w14:paraId="11E1C06B" w14:textId="77777777" w:rsidR="00CF60D7" w:rsidRPr="00B54F55" w:rsidRDefault="001A38E2" w:rsidP="00B54F55">
            <w:r w:rsidRPr="00B54F55">
              <w:t>The size of individual suppliers is modera</w:t>
            </w:r>
            <w:r w:rsidRPr="00B54F55">
              <w:t>te.</w:t>
            </w:r>
          </w:p>
          <w:p w14:paraId="1C9F923A" w14:textId="77777777" w:rsidR="00CF60D7" w:rsidRPr="00B54F55" w:rsidRDefault="001A38E2" w:rsidP="00B54F55">
            <w:r w:rsidRPr="00B54F55">
              <w:t>Overall supply remains moderate.</w:t>
            </w:r>
          </w:p>
          <w:p w14:paraId="30B98E3E" w14:textId="77777777" w:rsidR="00CF60D7" w:rsidRPr="00B54F55" w:rsidRDefault="001A38E2" w:rsidP="00B54F55">
            <w:r w:rsidRPr="00B54F55">
              <w:t>Forward integration of the business model remains moderate.</w:t>
            </w:r>
          </w:p>
          <w:p w14:paraId="5992ABD3" w14:textId="77777777" w:rsidR="00CF60D7" w:rsidRPr="00B54F55" w:rsidRDefault="001A38E2" w:rsidP="00B54F55">
            <w:r w:rsidRPr="00B54F55">
              <w:t>Therefore, any change in strategic plan change of any supplier will limit the impact on the company, thus affecting the overall supply of materials. The compan</w:t>
            </w:r>
            <w:r w:rsidRPr="00B54F55">
              <w:t xml:space="preserve">y can also get involved by forwarding integration where the suppliers are responsible for direct selling or delivering goods and services, which might affect the company later. </w:t>
            </w:r>
          </w:p>
        </w:tc>
      </w:tr>
      <w:tr w:rsidR="0024427E" w14:paraId="640C7F24" w14:textId="77777777">
        <w:tc>
          <w:tcPr>
            <w:tcW w:w="9029" w:type="dxa"/>
            <w:shd w:val="clear" w:color="auto" w:fill="auto"/>
            <w:tcMar>
              <w:top w:w="100" w:type="dxa"/>
              <w:left w:w="100" w:type="dxa"/>
              <w:bottom w:w="100" w:type="dxa"/>
              <w:right w:w="100" w:type="dxa"/>
            </w:tcMar>
          </w:tcPr>
          <w:p w14:paraId="48A64A1B" w14:textId="77777777" w:rsidR="00CF60D7" w:rsidRPr="00B54F55" w:rsidRDefault="001A38E2" w:rsidP="00B54F55">
            <w:pPr>
              <w:rPr>
                <w:b/>
              </w:rPr>
            </w:pPr>
            <w:r w:rsidRPr="00B54F55">
              <w:rPr>
                <w:b/>
              </w:rPr>
              <w:t>Bargaining Power of Buyers</w:t>
            </w:r>
          </w:p>
          <w:p w14:paraId="2E75C028" w14:textId="77777777" w:rsidR="00CF60D7" w:rsidRPr="00B54F55" w:rsidRDefault="001A38E2" w:rsidP="00B54F55">
            <w:r w:rsidRPr="00B54F55">
              <w:t>The market share and profitability of products dep</w:t>
            </w:r>
            <w:r w:rsidRPr="00B54F55">
              <w:t>end on the customers. Consumers are likely to have quality information about products, which helps them evaluate other products available. If the frequency of purchases rises, it affects the consumers in an industry environment (</w:t>
            </w:r>
            <w:r w:rsidRPr="00B54F55">
              <w:rPr>
                <w:highlight w:val="white"/>
              </w:rPr>
              <w:t>Arshad and Yazdanifard, 201</w:t>
            </w:r>
            <w:r w:rsidRPr="00B54F55">
              <w:rPr>
                <w:highlight w:val="white"/>
              </w:rPr>
              <w:t>7)</w:t>
            </w:r>
            <w:r w:rsidRPr="00B54F55">
              <w:t xml:space="preserve">. </w:t>
            </w:r>
          </w:p>
          <w:p w14:paraId="765989E8" w14:textId="77777777" w:rsidR="00CF60D7" w:rsidRPr="00B54F55" w:rsidRDefault="001A38E2" w:rsidP="00B54F55">
            <w:r w:rsidRPr="00B54F55">
              <w:t xml:space="preserve">Thus, this aspect explains that if Sony manages the switching costs to address the bargaining power of customers and improvise the information content in the broad expanding field of the service and product market. </w:t>
            </w:r>
          </w:p>
        </w:tc>
      </w:tr>
      <w:tr w:rsidR="0024427E" w14:paraId="57F9A836" w14:textId="77777777">
        <w:tc>
          <w:tcPr>
            <w:tcW w:w="9029" w:type="dxa"/>
            <w:shd w:val="clear" w:color="auto" w:fill="auto"/>
            <w:tcMar>
              <w:top w:w="100" w:type="dxa"/>
              <w:left w:w="100" w:type="dxa"/>
              <w:bottom w:w="100" w:type="dxa"/>
              <w:right w:w="100" w:type="dxa"/>
            </w:tcMar>
          </w:tcPr>
          <w:p w14:paraId="4E767DA4" w14:textId="77777777" w:rsidR="00CF60D7" w:rsidRPr="00B54F55" w:rsidRDefault="001A38E2" w:rsidP="00B54F55">
            <w:pPr>
              <w:rPr>
                <w:b/>
              </w:rPr>
            </w:pPr>
            <w:r w:rsidRPr="00B54F55">
              <w:rPr>
                <w:b/>
              </w:rPr>
              <w:t>Threat of Substitute</w:t>
            </w:r>
          </w:p>
          <w:p w14:paraId="32BED632" w14:textId="77777777" w:rsidR="00CF60D7" w:rsidRPr="00B54F55" w:rsidRDefault="001A38E2" w:rsidP="00B54F55">
            <w:r w:rsidRPr="00B54F55">
              <w:t xml:space="preserve">There is a meager switching cost of consumers, which influences shoppers to opt for substitute products. This creates tension in the environment, but less availability of substitute products makes the environment rational. </w:t>
            </w:r>
          </w:p>
          <w:p w14:paraId="5E2BF8EE" w14:textId="77777777" w:rsidR="00CF60D7" w:rsidRPr="00B54F55" w:rsidRDefault="001A38E2" w:rsidP="00B54F55">
            <w:r w:rsidRPr="00B54F55">
              <w:lastRenderedPageBreak/>
              <w:t>But in the case of video game su</w:t>
            </w:r>
            <w:r w:rsidRPr="00B54F55">
              <w:t>premacy, there are many options available in the market if consumers want to choose; for example, if shoppers disagree with Sony, they can easily switch to Microsoft or any other brand (</w:t>
            </w:r>
            <w:r w:rsidRPr="00B54F55">
              <w:rPr>
                <w:highlight w:val="white"/>
              </w:rPr>
              <w:t>Camarena, 2019)</w:t>
            </w:r>
            <w:r w:rsidRPr="00B54F55">
              <w:t xml:space="preserve">. Therefore the objective should be to launch products </w:t>
            </w:r>
            <w:r w:rsidRPr="00B54F55">
              <w:t xml:space="preserve">with new variability and innovation making it difficult for shoppers to switch. </w:t>
            </w:r>
          </w:p>
        </w:tc>
      </w:tr>
    </w:tbl>
    <w:p w14:paraId="1FB71315" w14:textId="77777777" w:rsidR="00CF60D7" w:rsidRPr="00B54F55" w:rsidRDefault="00CF60D7">
      <w:pPr>
        <w:rPr>
          <w:rFonts w:eastAsia="Times New Roman" w:cs="Times New Roman"/>
          <w:szCs w:val="24"/>
        </w:rPr>
      </w:pPr>
    </w:p>
    <w:p w14:paraId="4D63E2F2" w14:textId="77777777" w:rsidR="00CF60D7" w:rsidRPr="00B54F55" w:rsidRDefault="001A38E2" w:rsidP="00B54F55">
      <w:pPr>
        <w:pStyle w:val="Titlu2"/>
        <w:rPr>
          <w:rFonts w:eastAsia="Times New Roman" w:cs="Times New Roman"/>
          <w:b w:val="0"/>
          <w:szCs w:val="24"/>
        </w:rPr>
      </w:pPr>
      <w:bookmarkStart w:id="4" w:name="_Toc72004078"/>
      <w:r>
        <w:t>SWOT analysis</w:t>
      </w:r>
      <w:bookmarkEnd w:id="4"/>
    </w:p>
    <w:p w14:paraId="0C064159" w14:textId="77777777" w:rsidR="00CF60D7" w:rsidRPr="00B54F55" w:rsidRDefault="001A38E2">
      <w:pPr>
        <w:rPr>
          <w:rFonts w:eastAsia="Times New Roman" w:cs="Times New Roman"/>
          <w:szCs w:val="24"/>
        </w:rPr>
      </w:pPr>
      <w:r w:rsidRPr="00B54F55">
        <w:rPr>
          <w:rFonts w:eastAsia="Times New Roman" w:cs="Times New Roman"/>
          <w:szCs w:val="24"/>
        </w:rPr>
        <w:t xml:space="preserve">The S.W.O.T. analysis is an essential report on studying the company's functionality and continuous growth. </w:t>
      </w:r>
    </w:p>
    <w:p w14:paraId="6705A83B" w14:textId="77777777" w:rsidR="00CF60D7" w:rsidRPr="00B54F55" w:rsidRDefault="001A38E2">
      <w:pPr>
        <w:rPr>
          <w:rFonts w:eastAsia="Times New Roman" w:cs="Times New Roman"/>
          <w:szCs w:val="24"/>
        </w:rPr>
      </w:pPr>
      <w:r w:rsidRPr="00B54F55">
        <w:rPr>
          <w:rFonts w:eastAsia="Times New Roman" w:cs="Times New Roman"/>
          <w:b/>
          <w:szCs w:val="24"/>
        </w:rPr>
        <w:t>Strength</w:t>
      </w:r>
      <w:r w:rsidRPr="00B54F55">
        <w:rPr>
          <w:rFonts w:eastAsia="Times New Roman" w:cs="Times New Roman"/>
          <w:szCs w:val="24"/>
        </w:rPr>
        <w:t>- Sony's brand image favors the company to</w:t>
      </w:r>
      <w:r w:rsidRPr="00B54F55">
        <w:rPr>
          <w:rFonts w:eastAsia="Times New Roman" w:cs="Times New Roman"/>
          <w:szCs w:val="24"/>
        </w:rPr>
        <w:t xml:space="preserve"> maintain balance in the competitive market. Sony portrays it as a customer-friendly, quality-focused ethical brand. It has gained immense customer loyalty by selling quality products.</w:t>
      </w:r>
    </w:p>
    <w:p w14:paraId="5F13C26A" w14:textId="77777777" w:rsidR="00CF60D7" w:rsidRPr="00B54F55" w:rsidRDefault="001A38E2">
      <w:pPr>
        <w:rPr>
          <w:rFonts w:eastAsia="Times New Roman" w:cs="Times New Roman"/>
          <w:szCs w:val="24"/>
        </w:rPr>
      </w:pPr>
      <w:r w:rsidRPr="00B54F55">
        <w:rPr>
          <w:rFonts w:eastAsia="Times New Roman" w:cs="Times New Roman"/>
          <w:szCs w:val="24"/>
        </w:rPr>
        <w:t>Therefore, this aspect supports the company in remarkable profit and ex</w:t>
      </w:r>
      <w:r w:rsidRPr="00B54F55">
        <w:rPr>
          <w:rFonts w:eastAsia="Times New Roman" w:cs="Times New Roman"/>
          <w:szCs w:val="24"/>
        </w:rPr>
        <w:t>pansion in the market and revenue growth (</w:t>
      </w:r>
      <w:r w:rsidRPr="00B54F55">
        <w:rPr>
          <w:rFonts w:eastAsia="Times New Roman" w:cs="Times New Roman"/>
          <w:szCs w:val="24"/>
          <w:highlight w:val="white"/>
        </w:rPr>
        <w:t>Alhashash, Alshammari, and Al-Mnaies, 2019)</w:t>
      </w:r>
      <w:r w:rsidRPr="00B54F55">
        <w:rPr>
          <w:rFonts w:eastAsia="Times New Roman" w:cs="Times New Roman"/>
          <w:szCs w:val="24"/>
        </w:rPr>
        <w:t>. The company has achieved unusual positioning in global markets despite selling goods at higher prices than the competitor brands but excelling in sales due to its premiu</w:t>
      </w:r>
      <w:r w:rsidRPr="00B54F55">
        <w:rPr>
          <w:rFonts w:eastAsia="Times New Roman" w:cs="Times New Roman"/>
          <w:szCs w:val="24"/>
        </w:rPr>
        <w:t xml:space="preserve">m quality products. </w:t>
      </w:r>
    </w:p>
    <w:p w14:paraId="14163454" w14:textId="77777777" w:rsidR="00CF60D7" w:rsidRPr="00B54F55" w:rsidRDefault="001A38E2">
      <w:pPr>
        <w:rPr>
          <w:rFonts w:eastAsia="Times New Roman" w:cs="Times New Roman"/>
          <w:szCs w:val="24"/>
        </w:rPr>
      </w:pPr>
      <w:r w:rsidRPr="00B54F55">
        <w:rPr>
          <w:rFonts w:eastAsia="Times New Roman" w:cs="Times New Roman"/>
          <w:b/>
          <w:szCs w:val="24"/>
        </w:rPr>
        <w:t>Weakness-</w:t>
      </w:r>
      <w:r w:rsidRPr="00B54F55">
        <w:rPr>
          <w:rFonts w:eastAsia="Times New Roman" w:cs="Times New Roman"/>
          <w:szCs w:val="24"/>
        </w:rPr>
        <w:t xml:space="preserve"> Sony's liability includes less focus on marketing resulting in a sales drop of PlayStation 4, affecting the overall revenue structure. Brands like Nintendo and Microsoft provide heavy competition in terms of sales of PlayStat</w:t>
      </w:r>
      <w:r w:rsidRPr="00B54F55">
        <w:rPr>
          <w:rFonts w:eastAsia="Times New Roman" w:cs="Times New Roman"/>
          <w:szCs w:val="24"/>
        </w:rPr>
        <w:t>ion 4. The Covid-19 pandemic and supply chain disruption were also two other reasons for the drop in sales. The extended market of Sony has also experienced a lessening in sales like television, digital camera, smartphones which affected the operating reve</w:t>
      </w:r>
      <w:r w:rsidRPr="00B54F55">
        <w:rPr>
          <w:rFonts w:eastAsia="Times New Roman" w:cs="Times New Roman"/>
          <w:szCs w:val="24"/>
        </w:rPr>
        <w:t>nue (</w:t>
      </w:r>
      <w:r w:rsidRPr="00B54F55">
        <w:rPr>
          <w:rFonts w:eastAsia="Times New Roman" w:cs="Times New Roman"/>
          <w:szCs w:val="24"/>
          <w:highlight w:val="white"/>
        </w:rPr>
        <w:t>Lee, Lin, and Yu, 2017)</w:t>
      </w:r>
      <w:r w:rsidRPr="00B54F55">
        <w:rPr>
          <w:rFonts w:eastAsia="Times New Roman" w:cs="Times New Roman"/>
          <w:szCs w:val="24"/>
        </w:rPr>
        <w:t xml:space="preserve">. </w:t>
      </w:r>
    </w:p>
    <w:p w14:paraId="32E2297F" w14:textId="77777777" w:rsidR="00CF60D7" w:rsidRPr="00B54F55" w:rsidRDefault="001A38E2">
      <w:pPr>
        <w:rPr>
          <w:rFonts w:eastAsia="Times New Roman" w:cs="Times New Roman"/>
          <w:szCs w:val="24"/>
        </w:rPr>
      </w:pPr>
      <w:r w:rsidRPr="00B54F55">
        <w:rPr>
          <w:rFonts w:eastAsia="Times New Roman" w:cs="Times New Roman"/>
          <w:szCs w:val="24"/>
        </w:rPr>
        <w:t>The company's pricing strategy is also pressurized. Therefore</w:t>
      </w:r>
      <w:r w:rsidR="00B54F55">
        <w:rPr>
          <w:rFonts w:eastAsia="Times New Roman" w:cs="Times New Roman"/>
          <w:szCs w:val="24"/>
        </w:rPr>
        <w:t>,</w:t>
      </w:r>
      <w:r w:rsidRPr="00B54F55">
        <w:rPr>
          <w:rFonts w:eastAsia="Times New Roman" w:cs="Times New Roman"/>
          <w:szCs w:val="24"/>
        </w:rPr>
        <w:t xml:space="preserve"> to maintain the market position and market share, Sony needs to spend on marketing, research, and development. </w:t>
      </w:r>
    </w:p>
    <w:p w14:paraId="295EC2B5" w14:textId="77777777" w:rsidR="00CF60D7" w:rsidRPr="00B54F55" w:rsidRDefault="001A38E2">
      <w:pPr>
        <w:rPr>
          <w:rFonts w:eastAsia="Times New Roman" w:cs="Times New Roman"/>
          <w:szCs w:val="24"/>
        </w:rPr>
      </w:pPr>
      <w:r w:rsidRPr="00B54F55">
        <w:rPr>
          <w:rFonts w:eastAsia="Times New Roman" w:cs="Times New Roman"/>
          <w:b/>
          <w:szCs w:val="24"/>
        </w:rPr>
        <w:t>Opportunities</w:t>
      </w:r>
      <w:r w:rsidRPr="00B54F55">
        <w:rPr>
          <w:rFonts w:eastAsia="Times New Roman" w:cs="Times New Roman"/>
          <w:szCs w:val="24"/>
        </w:rPr>
        <w:t xml:space="preserve">- Latest Technology and innovation are the most foremost opportunities for Sony. With technological change, they have managed to enter the automobile sector with an electric car named Sony Vision Sedan. The car assists in entertainment, autopilot driving, </w:t>
      </w:r>
      <w:r w:rsidRPr="00B54F55">
        <w:rPr>
          <w:rFonts w:eastAsia="Times New Roman" w:cs="Times New Roman"/>
          <w:szCs w:val="24"/>
        </w:rPr>
        <w:t>sensor, and connectivity feasibility (</w:t>
      </w:r>
      <w:r w:rsidRPr="00B54F55">
        <w:rPr>
          <w:rFonts w:eastAsia="Times New Roman" w:cs="Times New Roman"/>
          <w:szCs w:val="24"/>
          <w:highlight w:val="white"/>
        </w:rPr>
        <w:t>Thakor, Razzaque, and Khandaker, 2021)</w:t>
      </w:r>
      <w:r w:rsidRPr="00B54F55">
        <w:rPr>
          <w:rFonts w:eastAsia="Times New Roman" w:cs="Times New Roman"/>
          <w:szCs w:val="24"/>
        </w:rPr>
        <w:t xml:space="preserve">. </w:t>
      </w:r>
    </w:p>
    <w:p w14:paraId="33605DDD" w14:textId="77777777" w:rsidR="00CF60D7" w:rsidRPr="00B54F55" w:rsidRDefault="001A38E2">
      <w:pPr>
        <w:rPr>
          <w:rFonts w:eastAsia="Times New Roman" w:cs="Times New Roman"/>
          <w:szCs w:val="24"/>
        </w:rPr>
      </w:pPr>
      <w:r w:rsidRPr="00B54F55">
        <w:rPr>
          <w:rFonts w:eastAsia="Times New Roman" w:cs="Times New Roman"/>
          <w:szCs w:val="24"/>
        </w:rPr>
        <w:t>They also excelled in the digital marketing sphere where business is online. The targeted reach of the customer is high; when it comes to the digital arena, the potential of suc</w:t>
      </w:r>
      <w:r w:rsidRPr="00B54F55">
        <w:rPr>
          <w:rFonts w:eastAsia="Times New Roman" w:cs="Times New Roman"/>
          <w:szCs w:val="24"/>
        </w:rPr>
        <w:t xml:space="preserve">cess and business expansion and product marketing increases. </w:t>
      </w:r>
    </w:p>
    <w:p w14:paraId="12FDC566" w14:textId="77777777" w:rsidR="00CF60D7" w:rsidRPr="00B54F55" w:rsidRDefault="001A38E2">
      <w:pPr>
        <w:rPr>
          <w:rFonts w:eastAsia="Times New Roman" w:cs="Times New Roman"/>
          <w:szCs w:val="24"/>
        </w:rPr>
      </w:pPr>
      <w:r w:rsidRPr="00B54F55">
        <w:rPr>
          <w:rFonts w:eastAsia="Times New Roman" w:cs="Times New Roman"/>
          <w:szCs w:val="24"/>
        </w:rPr>
        <w:lastRenderedPageBreak/>
        <w:t>Therefore to sustain and try the opportunities, the company needs to develop a new marketing strategy concerning the customers and combine it with existing strengths to ace the customer base and</w:t>
      </w:r>
      <w:r w:rsidRPr="00B54F55">
        <w:rPr>
          <w:rFonts w:eastAsia="Times New Roman" w:cs="Times New Roman"/>
          <w:szCs w:val="24"/>
        </w:rPr>
        <w:t xml:space="preserve"> a hike in sales and overall operating revenue. </w:t>
      </w:r>
    </w:p>
    <w:p w14:paraId="2C8A92ED" w14:textId="77777777" w:rsidR="00CF60D7" w:rsidRPr="00B54F55" w:rsidRDefault="001A38E2">
      <w:pPr>
        <w:rPr>
          <w:rFonts w:eastAsia="Times New Roman" w:cs="Times New Roman"/>
          <w:szCs w:val="24"/>
        </w:rPr>
      </w:pPr>
      <w:r w:rsidRPr="00B54F55">
        <w:rPr>
          <w:rFonts w:eastAsia="Times New Roman" w:cs="Times New Roman"/>
          <w:b/>
          <w:szCs w:val="24"/>
        </w:rPr>
        <w:t>Threat-</w:t>
      </w:r>
      <w:r w:rsidRPr="00B54F55">
        <w:rPr>
          <w:rFonts w:eastAsia="Times New Roman" w:cs="Times New Roman"/>
          <w:szCs w:val="24"/>
        </w:rPr>
        <w:t xml:space="preserve"> Economic fluctuations, global pandemic, and tough competition remain possible threats to the company. Due to growing competitive pressure, the company focuses on research and development to increase </w:t>
      </w:r>
      <w:r w:rsidRPr="00B54F55">
        <w:rPr>
          <w:rFonts w:eastAsia="Times New Roman" w:cs="Times New Roman"/>
          <w:szCs w:val="24"/>
        </w:rPr>
        <w:t xml:space="preserve">its operating expenses. The rivals like Xiaomi, L.G., etc., are also following the innovation structure like Sony, making them an option for the easy switch by customers. </w:t>
      </w:r>
    </w:p>
    <w:p w14:paraId="5B3362C4" w14:textId="77777777" w:rsidR="00CF60D7" w:rsidRPr="00B54F55" w:rsidRDefault="001A38E2">
      <w:pPr>
        <w:rPr>
          <w:rFonts w:eastAsia="Times New Roman" w:cs="Times New Roman"/>
          <w:szCs w:val="24"/>
        </w:rPr>
      </w:pPr>
      <w:r w:rsidRPr="00B54F55">
        <w:rPr>
          <w:rFonts w:eastAsia="Times New Roman" w:cs="Times New Roman"/>
          <w:szCs w:val="24"/>
        </w:rPr>
        <w:t>The pandemic has hit the financial sector poorly (</w:t>
      </w:r>
      <w:r w:rsidRPr="00B54F55">
        <w:rPr>
          <w:rFonts w:eastAsia="Times New Roman" w:cs="Times New Roman"/>
          <w:szCs w:val="24"/>
          <w:highlight w:val="white"/>
        </w:rPr>
        <w:t xml:space="preserve">Al-Gburi, Al-Hasnawi, and Lilien, </w:t>
      </w:r>
      <w:r w:rsidRPr="00B54F55">
        <w:rPr>
          <w:rFonts w:eastAsia="Times New Roman" w:cs="Times New Roman"/>
          <w:szCs w:val="24"/>
          <w:highlight w:val="white"/>
        </w:rPr>
        <w:t>2018)</w:t>
      </w:r>
      <w:r w:rsidRPr="00B54F55">
        <w:rPr>
          <w:rFonts w:eastAsia="Times New Roman" w:cs="Times New Roman"/>
          <w:szCs w:val="24"/>
        </w:rPr>
        <w:t xml:space="preserve">. It restricted the availability of the supply chain and new releases of the project, a revenue source for the company. </w:t>
      </w:r>
    </w:p>
    <w:p w14:paraId="5D60DCC8" w14:textId="77777777" w:rsidR="00CF60D7" w:rsidRPr="00B54F55" w:rsidRDefault="001A38E2">
      <w:pPr>
        <w:rPr>
          <w:rFonts w:eastAsia="Times New Roman" w:cs="Times New Roman"/>
          <w:szCs w:val="24"/>
        </w:rPr>
      </w:pPr>
      <w:r w:rsidRPr="00B54F55">
        <w:rPr>
          <w:rFonts w:eastAsia="Times New Roman" w:cs="Times New Roman"/>
          <w:szCs w:val="24"/>
        </w:rPr>
        <w:t>Therefore</w:t>
      </w:r>
      <w:r w:rsidR="00B54F55">
        <w:rPr>
          <w:rFonts w:eastAsia="Times New Roman" w:cs="Times New Roman"/>
          <w:szCs w:val="24"/>
        </w:rPr>
        <w:t xml:space="preserve">, </w:t>
      </w:r>
      <w:r w:rsidRPr="00B54F55">
        <w:rPr>
          <w:rFonts w:eastAsia="Times New Roman" w:cs="Times New Roman"/>
          <w:szCs w:val="24"/>
        </w:rPr>
        <w:t>to deal with unexpected situations, Sony should plan a well-functional crisis management plan that can be executable fa</w:t>
      </w:r>
      <w:r w:rsidRPr="00B54F55">
        <w:rPr>
          <w:rFonts w:eastAsia="Times New Roman" w:cs="Times New Roman"/>
          <w:szCs w:val="24"/>
        </w:rPr>
        <w:t xml:space="preserve">ster and significantly effective. </w:t>
      </w:r>
    </w:p>
    <w:p w14:paraId="6802CDDA" w14:textId="77777777" w:rsidR="00CF60D7" w:rsidRPr="00B54F55" w:rsidRDefault="001A38E2" w:rsidP="00B54F55">
      <w:pPr>
        <w:pStyle w:val="Titlu2"/>
        <w:rPr>
          <w:rFonts w:eastAsia="Times New Roman" w:cs="Times New Roman"/>
          <w:b w:val="0"/>
          <w:szCs w:val="24"/>
        </w:rPr>
      </w:pPr>
      <w:bookmarkStart w:id="5" w:name="_Toc72004079"/>
      <w:r w:rsidRPr="00B54F55">
        <w:t>A stakehol</w:t>
      </w:r>
      <w:r w:rsidR="00B54F55">
        <w:t>der analysis of Mendelow's</w:t>
      </w:r>
      <w:bookmarkEnd w:id="5"/>
      <w:r w:rsidR="00B54F55">
        <w:t xml:space="preserve"> </w:t>
      </w:r>
    </w:p>
    <w:p w14:paraId="4EA0254C" w14:textId="77777777" w:rsidR="00CF60D7" w:rsidRPr="00B54F55" w:rsidRDefault="001A38E2">
      <w:pPr>
        <w:rPr>
          <w:rFonts w:eastAsia="Times New Roman" w:cs="Times New Roman"/>
          <w:szCs w:val="24"/>
        </w:rPr>
      </w:pPr>
      <w:r w:rsidRPr="00B54F55">
        <w:rPr>
          <w:rFonts w:eastAsia="Times New Roman" w:cs="Times New Roman"/>
          <w:szCs w:val="24"/>
        </w:rPr>
        <w:t>The matrix of Mendelow describes two dimensions: power and interest, where Management describes the control over the project and interest define a stakeholder's concern for a project.</w:t>
      </w:r>
      <w:r w:rsidRPr="00B54F55">
        <w:rPr>
          <w:rFonts w:eastAsia="Times New Roman" w:cs="Times New Roman"/>
          <w:szCs w:val="24"/>
        </w:rPr>
        <w:t xml:space="preserve"> Sony can use the matrix to check the areas of threat and the group of stakeholders (</w:t>
      </w:r>
      <w:r w:rsidRPr="00B54F55">
        <w:rPr>
          <w:rFonts w:eastAsia="Times New Roman" w:cs="Times New Roman"/>
          <w:szCs w:val="24"/>
          <w:highlight w:val="white"/>
        </w:rPr>
        <w:t>Leleux and Van der Kaaij, 2018)</w:t>
      </w:r>
      <w:r w:rsidRPr="00B54F55">
        <w:rPr>
          <w:rFonts w:eastAsia="Times New Roman" w:cs="Times New Roman"/>
          <w:szCs w:val="24"/>
        </w:rPr>
        <w:t xml:space="preserve">. The matrix offers power where access and expertise in the area are needed. Only Mendelow's matrix explains the importance of stakeholders </w:t>
      </w:r>
      <w:r w:rsidRPr="00B54F55">
        <w:rPr>
          <w:rFonts w:eastAsia="Times New Roman" w:cs="Times New Roman"/>
          <w:szCs w:val="24"/>
        </w:rPr>
        <w:t xml:space="preserve">and helps to understand the relationship between a company and its stakeholders, studying the potential approach. </w:t>
      </w:r>
    </w:p>
    <w:p w14:paraId="70C3AD2C" w14:textId="77777777" w:rsidR="00CF60D7" w:rsidRPr="00B54F55" w:rsidRDefault="001A38E2">
      <w:pPr>
        <w:rPr>
          <w:rFonts w:eastAsia="Times New Roman" w:cs="Times New Roman"/>
          <w:szCs w:val="24"/>
        </w:rPr>
      </w:pPr>
      <w:r w:rsidRPr="00B54F55">
        <w:rPr>
          <w:rFonts w:eastAsia="Times New Roman" w:cs="Times New Roman"/>
          <w:szCs w:val="24"/>
        </w:rPr>
        <w:t xml:space="preserve">Sony's stakeholders are: </w:t>
      </w:r>
    </w:p>
    <w:p w14:paraId="1DD765A6" w14:textId="77777777" w:rsidR="00CF60D7" w:rsidRPr="00B54F55" w:rsidRDefault="001A38E2">
      <w:pPr>
        <w:numPr>
          <w:ilvl w:val="0"/>
          <w:numId w:val="2"/>
        </w:numPr>
        <w:rPr>
          <w:rFonts w:eastAsia="Times New Roman" w:cs="Times New Roman"/>
          <w:szCs w:val="24"/>
        </w:rPr>
      </w:pPr>
      <w:r w:rsidRPr="00B54F55">
        <w:rPr>
          <w:rFonts w:eastAsia="Times New Roman" w:cs="Times New Roman"/>
          <w:szCs w:val="24"/>
        </w:rPr>
        <w:t>Customers</w:t>
      </w:r>
    </w:p>
    <w:p w14:paraId="6B636419" w14:textId="77777777" w:rsidR="00CF60D7" w:rsidRPr="00B54F55" w:rsidRDefault="001A38E2">
      <w:pPr>
        <w:numPr>
          <w:ilvl w:val="0"/>
          <w:numId w:val="2"/>
        </w:numPr>
        <w:rPr>
          <w:rFonts w:eastAsia="Times New Roman" w:cs="Times New Roman"/>
          <w:szCs w:val="24"/>
        </w:rPr>
      </w:pPr>
      <w:r w:rsidRPr="00B54F55">
        <w:rPr>
          <w:rFonts w:eastAsia="Times New Roman" w:cs="Times New Roman"/>
          <w:szCs w:val="24"/>
        </w:rPr>
        <w:t>Employees</w:t>
      </w:r>
    </w:p>
    <w:p w14:paraId="5F040845" w14:textId="77777777" w:rsidR="00CF60D7" w:rsidRPr="00B54F55" w:rsidRDefault="001A38E2">
      <w:pPr>
        <w:numPr>
          <w:ilvl w:val="0"/>
          <w:numId w:val="2"/>
        </w:numPr>
        <w:rPr>
          <w:rFonts w:eastAsia="Times New Roman" w:cs="Times New Roman"/>
          <w:szCs w:val="24"/>
        </w:rPr>
      </w:pPr>
      <w:r w:rsidRPr="00B54F55">
        <w:rPr>
          <w:rFonts w:eastAsia="Times New Roman" w:cs="Times New Roman"/>
          <w:szCs w:val="24"/>
        </w:rPr>
        <w:t>Suppliers</w:t>
      </w:r>
    </w:p>
    <w:p w14:paraId="38BE1C34" w14:textId="77777777" w:rsidR="00CF60D7" w:rsidRPr="00B54F55" w:rsidRDefault="001A38E2">
      <w:pPr>
        <w:numPr>
          <w:ilvl w:val="0"/>
          <w:numId w:val="2"/>
        </w:numPr>
        <w:rPr>
          <w:rFonts w:eastAsia="Times New Roman" w:cs="Times New Roman"/>
          <w:szCs w:val="24"/>
        </w:rPr>
      </w:pPr>
      <w:r w:rsidRPr="00B54F55">
        <w:rPr>
          <w:rFonts w:eastAsia="Times New Roman" w:cs="Times New Roman"/>
          <w:szCs w:val="24"/>
        </w:rPr>
        <w:t>Business Partners</w:t>
      </w:r>
    </w:p>
    <w:p w14:paraId="704CC843" w14:textId="77777777" w:rsidR="00CF60D7" w:rsidRPr="00B54F55" w:rsidRDefault="001A38E2">
      <w:pPr>
        <w:numPr>
          <w:ilvl w:val="0"/>
          <w:numId w:val="2"/>
        </w:numPr>
        <w:rPr>
          <w:rFonts w:eastAsia="Times New Roman" w:cs="Times New Roman"/>
          <w:szCs w:val="24"/>
        </w:rPr>
      </w:pPr>
      <w:r w:rsidRPr="00B54F55">
        <w:rPr>
          <w:rFonts w:eastAsia="Times New Roman" w:cs="Times New Roman"/>
          <w:szCs w:val="24"/>
        </w:rPr>
        <w:t>Local communities</w:t>
      </w:r>
    </w:p>
    <w:p w14:paraId="4CAB9638" w14:textId="77777777" w:rsidR="00CF60D7" w:rsidRPr="00B54F55" w:rsidRDefault="001A38E2">
      <w:pPr>
        <w:numPr>
          <w:ilvl w:val="0"/>
          <w:numId w:val="2"/>
        </w:numPr>
        <w:rPr>
          <w:rFonts w:eastAsia="Times New Roman" w:cs="Times New Roman"/>
          <w:szCs w:val="24"/>
        </w:rPr>
      </w:pPr>
      <w:r w:rsidRPr="00B54F55">
        <w:rPr>
          <w:rFonts w:eastAsia="Times New Roman" w:cs="Times New Roman"/>
          <w:szCs w:val="24"/>
        </w:rPr>
        <w:t>Executive Manager</w:t>
      </w:r>
    </w:p>
    <w:p w14:paraId="6DAEC120" w14:textId="77777777" w:rsidR="00CF60D7" w:rsidRPr="00B54F55" w:rsidRDefault="001A38E2">
      <w:pPr>
        <w:rPr>
          <w:rFonts w:eastAsia="Times New Roman" w:cs="Times New Roman"/>
          <w:szCs w:val="24"/>
        </w:rPr>
      </w:pPr>
      <w:r w:rsidRPr="00B54F55">
        <w:rPr>
          <w:rFonts w:eastAsia="Times New Roman" w:cs="Times New Roman"/>
          <w:szCs w:val="24"/>
        </w:rPr>
        <w:t xml:space="preserve">The four matrix </w:t>
      </w:r>
      <w:r w:rsidRPr="00B54F55">
        <w:rPr>
          <w:rFonts w:eastAsia="Times New Roman" w:cs="Times New Roman"/>
          <w:szCs w:val="24"/>
        </w:rPr>
        <w:t>division are:</w:t>
      </w:r>
    </w:p>
    <w:p w14:paraId="6433E035" w14:textId="77777777" w:rsidR="00CF60D7" w:rsidRPr="00B54F55" w:rsidRDefault="001A38E2">
      <w:pPr>
        <w:rPr>
          <w:rFonts w:eastAsia="Times New Roman" w:cs="Times New Roman"/>
          <w:szCs w:val="24"/>
        </w:rPr>
      </w:pPr>
      <w:r w:rsidRPr="00B54F55">
        <w:rPr>
          <w:rFonts w:eastAsia="Times New Roman" w:cs="Times New Roman"/>
          <w:b/>
          <w:szCs w:val="24"/>
        </w:rPr>
        <w:t>High Power, Low Interest:</w:t>
      </w:r>
      <w:r w:rsidRPr="00B54F55">
        <w:rPr>
          <w:rFonts w:eastAsia="Times New Roman" w:cs="Times New Roman"/>
          <w:szCs w:val="24"/>
        </w:rPr>
        <w:t xml:space="preserve"> The need for satisfaction remains constant when it comes to shareholders. The company's progress and forward integration are dependable on the satisfaction level.</w:t>
      </w:r>
    </w:p>
    <w:p w14:paraId="352D4D90" w14:textId="77777777" w:rsidR="00CF60D7" w:rsidRPr="00B54F55" w:rsidRDefault="001A38E2">
      <w:pPr>
        <w:rPr>
          <w:rFonts w:eastAsia="Times New Roman" w:cs="Times New Roman"/>
          <w:szCs w:val="24"/>
        </w:rPr>
      </w:pPr>
      <w:r w:rsidRPr="00B54F55">
        <w:rPr>
          <w:rFonts w:eastAsia="Times New Roman" w:cs="Times New Roman"/>
          <w:szCs w:val="24"/>
        </w:rPr>
        <w:lastRenderedPageBreak/>
        <w:t xml:space="preserve">Therefore, Sony needs to continue launching products </w:t>
      </w:r>
      <w:r w:rsidRPr="00B54F55">
        <w:rPr>
          <w:rFonts w:eastAsia="Times New Roman" w:cs="Times New Roman"/>
          <w:szCs w:val="24"/>
        </w:rPr>
        <w:t xml:space="preserve">and escalating the supply chain to meet demand. </w:t>
      </w:r>
    </w:p>
    <w:p w14:paraId="26054DE7" w14:textId="77777777" w:rsidR="00CF60D7" w:rsidRPr="00B54F55" w:rsidRDefault="001A38E2">
      <w:pPr>
        <w:rPr>
          <w:rFonts w:eastAsia="Times New Roman" w:cs="Times New Roman"/>
          <w:szCs w:val="24"/>
        </w:rPr>
      </w:pPr>
      <w:r w:rsidRPr="00B54F55">
        <w:rPr>
          <w:rFonts w:eastAsia="Times New Roman" w:cs="Times New Roman"/>
          <w:b/>
          <w:szCs w:val="24"/>
        </w:rPr>
        <w:t>High Power, High Interest:</w:t>
      </w:r>
      <w:r w:rsidRPr="00B54F55">
        <w:rPr>
          <w:rFonts w:eastAsia="Times New Roman" w:cs="Times New Roman"/>
          <w:szCs w:val="24"/>
        </w:rPr>
        <w:t xml:space="preserve"> Stakeholders having high power and interest succeed in effectively influencing the strategy. When appropriately communicated and included in the board meeting, these stakeholders a</w:t>
      </w:r>
      <w:r w:rsidRPr="00B54F55">
        <w:rPr>
          <w:rFonts w:eastAsia="Times New Roman" w:cs="Times New Roman"/>
          <w:szCs w:val="24"/>
        </w:rPr>
        <w:t>ct as a support system.</w:t>
      </w:r>
    </w:p>
    <w:p w14:paraId="348A606C" w14:textId="77777777" w:rsidR="00CF60D7" w:rsidRPr="00B54F55" w:rsidRDefault="001A38E2">
      <w:pPr>
        <w:rPr>
          <w:rFonts w:eastAsia="Times New Roman" w:cs="Times New Roman"/>
          <w:szCs w:val="24"/>
        </w:rPr>
      </w:pPr>
      <w:r w:rsidRPr="00B54F55">
        <w:rPr>
          <w:rFonts w:eastAsia="Times New Roman" w:cs="Times New Roman"/>
          <w:szCs w:val="24"/>
        </w:rPr>
        <w:t xml:space="preserve">Sony can be benefitted from stakeholders like this but needs to give attention to their needs because their withdrawal may affect the company. High power and high-interest stakeholders are generally the company's main investors, so </w:t>
      </w:r>
      <w:r w:rsidRPr="00B54F55">
        <w:rPr>
          <w:rFonts w:eastAsia="Times New Roman" w:cs="Times New Roman"/>
          <w:szCs w:val="24"/>
        </w:rPr>
        <w:t xml:space="preserve">in any given context, their demand and satisfaction must be attained by Sony to execute a strategic plan. </w:t>
      </w:r>
    </w:p>
    <w:p w14:paraId="3BA1F058" w14:textId="77777777" w:rsidR="00CF60D7" w:rsidRPr="00B54F55" w:rsidRDefault="001A38E2">
      <w:pPr>
        <w:rPr>
          <w:rFonts w:eastAsia="Times New Roman" w:cs="Times New Roman"/>
          <w:szCs w:val="24"/>
        </w:rPr>
      </w:pPr>
      <w:r w:rsidRPr="00B54F55">
        <w:rPr>
          <w:rFonts w:eastAsia="Times New Roman" w:cs="Times New Roman"/>
          <w:b/>
          <w:szCs w:val="24"/>
        </w:rPr>
        <w:t>Low Power, Low Interest:</w:t>
      </w:r>
      <w:r w:rsidRPr="00B54F55">
        <w:rPr>
          <w:rFonts w:eastAsia="Times New Roman" w:cs="Times New Roman"/>
          <w:szCs w:val="24"/>
        </w:rPr>
        <w:t xml:space="preserve"> People categorized under low power and low interest in influencing organizational activities requires minimal effort. </w:t>
      </w:r>
    </w:p>
    <w:p w14:paraId="4E8E2307" w14:textId="77777777" w:rsidR="00CF60D7" w:rsidRPr="00B54F55" w:rsidRDefault="001A38E2">
      <w:pPr>
        <w:rPr>
          <w:rFonts w:eastAsia="Times New Roman" w:cs="Times New Roman"/>
          <w:szCs w:val="24"/>
        </w:rPr>
      </w:pPr>
      <w:r w:rsidRPr="00B54F55">
        <w:rPr>
          <w:rFonts w:eastAsia="Times New Roman" w:cs="Times New Roman"/>
          <w:szCs w:val="24"/>
        </w:rPr>
        <w:t>Custo</w:t>
      </w:r>
      <w:r w:rsidRPr="00B54F55">
        <w:rPr>
          <w:rFonts w:eastAsia="Times New Roman" w:cs="Times New Roman"/>
          <w:szCs w:val="24"/>
        </w:rPr>
        <w:t xml:space="preserve">mers are often targeted as low-interest low-power stakeholders because customers have less power against the company. They are less interested in organizational activities unless they receive goods or services. </w:t>
      </w:r>
    </w:p>
    <w:p w14:paraId="3DE2B330" w14:textId="77777777" w:rsidR="00CF60D7" w:rsidRPr="00B54F55" w:rsidRDefault="001A38E2">
      <w:pPr>
        <w:rPr>
          <w:rFonts w:eastAsia="Times New Roman" w:cs="Times New Roman"/>
          <w:szCs w:val="24"/>
        </w:rPr>
      </w:pPr>
      <w:r w:rsidRPr="00B54F55">
        <w:rPr>
          <w:rFonts w:eastAsia="Times New Roman" w:cs="Times New Roman"/>
          <w:szCs w:val="24"/>
        </w:rPr>
        <w:t>To effectively tackle these shareholders, So</w:t>
      </w:r>
      <w:r w:rsidRPr="00B54F55">
        <w:rPr>
          <w:rFonts w:eastAsia="Times New Roman" w:cs="Times New Roman"/>
          <w:szCs w:val="24"/>
        </w:rPr>
        <w:t xml:space="preserve">ny needs to develop a strong customer social responsibility and maintain stable relations with shoppers to make communication easier and marketing smoother. </w:t>
      </w:r>
    </w:p>
    <w:p w14:paraId="3D0104A4" w14:textId="77777777" w:rsidR="00CF60D7" w:rsidRPr="00B54F55" w:rsidRDefault="001A38E2">
      <w:pPr>
        <w:rPr>
          <w:rFonts w:eastAsia="Times New Roman" w:cs="Times New Roman"/>
          <w:szCs w:val="24"/>
        </w:rPr>
      </w:pPr>
      <w:r w:rsidRPr="00B54F55">
        <w:rPr>
          <w:rFonts w:eastAsia="Times New Roman" w:cs="Times New Roman"/>
          <w:b/>
          <w:szCs w:val="24"/>
        </w:rPr>
        <w:t>Low Power, High Interest:</w:t>
      </w:r>
      <w:r w:rsidRPr="00B54F55">
        <w:rPr>
          <w:rFonts w:eastAsia="Times New Roman" w:cs="Times New Roman"/>
          <w:szCs w:val="24"/>
        </w:rPr>
        <w:t xml:space="preserve"> Shareholders under this category cannot influence the organization by an</w:t>
      </w:r>
      <w:r w:rsidRPr="00B54F55">
        <w:rPr>
          <w:rFonts w:eastAsia="Times New Roman" w:cs="Times New Roman"/>
          <w:szCs w:val="24"/>
        </w:rPr>
        <w:t>y means, but they need to be well informed about any happenings in the organization because they might build a lobby and act against the company and affect the acting process.</w:t>
      </w:r>
    </w:p>
    <w:p w14:paraId="6B1BD700" w14:textId="77777777" w:rsidR="00CF60D7" w:rsidRPr="00B54F55" w:rsidRDefault="001A38E2">
      <w:pPr>
        <w:rPr>
          <w:rFonts w:eastAsia="Times New Roman" w:cs="Times New Roman"/>
          <w:szCs w:val="24"/>
        </w:rPr>
      </w:pPr>
      <w:r w:rsidRPr="00B54F55">
        <w:rPr>
          <w:rFonts w:eastAsia="Times New Roman" w:cs="Times New Roman"/>
          <w:szCs w:val="24"/>
        </w:rPr>
        <w:t>Employees of the company fall under this criteria as an employee; their interest</w:t>
      </w:r>
      <w:r w:rsidRPr="00B54F55">
        <w:rPr>
          <w:rFonts w:eastAsia="Times New Roman" w:cs="Times New Roman"/>
          <w:szCs w:val="24"/>
        </w:rPr>
        <w:t xml:space="preserve"> point revolves around job security and promotions, holidays, etc. However, when it comes to comes, they lack the potential to influence the organization. </w:t>
      </w:r>
    </w:p>
    <w:p w14:paraId="26140985" w14:textId="77777777" w:rsidR="00CF60D7" w:rsidRPr="00B54F55" w:rsidRDefault="001A38E2">
      <w:pPr>
        <w:rPr>
          <w:rFonts w:eastAsia="Times New Roman" w:cs="Times New Roman"/>
          <w:szCs w:val="24"/>
        </w:rPr>
      </w:pPr>
      <w:r w:rsidRPr="00B54F55">
        <w:rPr>
          <w:rFonts w:eastAsia="Times New Roman" w:cs="Times New Roman"/>
          <w:szCs w:val="24"/>
        </w:rPr>
        <w:t>Therefore, Sony should aim to focus on the factors like decision-making of the company with the help</w:t>
      </w:r>
      <w:r w:rsidRPr="00B54F55">
        <w:rPr>
          <w:rFonts w:eastAsia="Times New Roman" w:cs="Times New Roman"/>
          <w:szCs w:val="24"/>
        </w:rPr>
        <w:t xml:space="preserve"> of key players. Some spheres can be modified through investment, such as high interest and low power. Sony aims to facilitate its employees in other ways and expect a wave of innovative theory from young minds. </w:t>
      </w:r>
    </w:p>
    <w:p w14:paraId="69BE0A28" w14:textId="77777777" w:rsidR="00B54F55" w:rsidRDefault="001A38E2" w:rsidP="00B54F55">
      <w:pPr>
        <w:pStyle w:val="Titlu2"/>
      </w:pPr>
      <w:bookmarkStart w:id="6" w:name="_Toc72004080"/>
      <w:r w:rsidRPr="00B54F55">
        <w:t>The strate</w:t>
      </w:r>
      <w:r>
        <w:t>gy of the resource-based view</w:t>
      </w:r>
      <w:bookmarkEnd w:id="6"/>
    </w:p>
    <w:p w14:paraId="3A988E60" w14:textId="77777777" w:rsidR="00CF60D7" w:rsidRPr="00B54F55" w:rsidRDefault="001A38E2" w:rsidP="00B54F55">
      <w:r w:rsidRPr="00B54F55">
        <w:t>The</w:t>
      </w:r>
      <w:r w:rsidRPr="00B54F55">
        <w:t xml:space="preserve"> R.B.V. classifies assets accessible to the firm largely as physical or incorporeal.</w:t>
      </w:r>
    </w:p>
    <w:p w14:paraId="099ADDA8" w14:textId="77777777" w:rsidR="00CF60D7" w:rsidRPr="00B54F55" w:rsidRDefault="001A38E2">
      <w:pPr>
        <w:spacing w:before="240" w:after="240"/>
        <w:rPr>
          <w:rFonts w:eastAsia="Times New Roman" w:cs="Times New Roman"/>
          <w:szCs w:val="24"/>
        </w:rPr>
      </w:pPr>
      <w:r w:rsidRPr="00B54F55">
        <w:rPr>
          <w:rFonts w:eastAsia="Times New Roman" w:cs="Times New Roman"/>
          <w:szCs w:val="24"/>
        </w:rPr>
        <w:lastRenderedPageBreak/>
        <w:t>Tangible asset- Physical assets incorporate those corporeal assets and can be effectively distinguished by the establishment and rivals. This contains property, ingredient</w:t>
      </w:r>
      <w:r w:rsidRPr="00B54F55">
        <w:rPr>
          <w:rFonts w:eastAsia="Times New Roman" w:cs="Times New Roman"/>
          <w:szCs w:val="24"/>
        </w:rPr>
        <w:t>s, hardware, supplies, etc.</w:t>
      </w:r>
    </w:p>
    <w:p w14:paraId="15363546" w14:textId="77777777" w:rsidR="00CF60D7" w:rsidRPr="00B54F55" w:rsidRDefault="001A38E2">
      <w:pPr>
        <w:spacing w:before="240" w:after="240"/>
        <w:rPr>
          <w:rFonts w:eastAsia="Times New Roman" w:cs="Times New Roman"/>
          <w:szCs w:val="24"/>
        </w:rPr>
      </w:pPr>
      <w:r w:rsidRPr="00B54F55">
        <w:rPr>
          <w:rFonts w:eastAsia="Times New Roman" w:cs="Times New Roman"/>
          <w:szCs w:val="24"/>
        </w:rPr>
        <w:t>Intangible assets- Incorporeal assets allude to support with no physical esteem but are still claimed and had by organizations (</w:t>
      </w:r>
      <w:r w:rsidRPr="00B54F55">
        <w:rPr>
          <w:rFonts w:eastAsia="Times New Roman" w:cs="Times New Roman"/>
          <w:szCs w:val="24"/>
          <w:highlight w:val="white"/>
        </w:rPr>
        <w:t>Mishra and Yadav,2021)</w:t>
      </w:r>
      <w:r w:rsidRPr="00B54F55">
        <w:rPr>
          <w:rFonts w:eastAsia="Times New Roman" w:cs="Times New Roman"/>
          <w:szCs w:val="24"/>
        </w:rPr>
        <w:t>. This incorporates brand notoriety, goodwill, intellectual property, etc.</w:t>
      </w:r>
    </w:p>
    <w:p w14:paraId="5BA67D98" w14:textId="77777777" w:rsidR="00CF60D7" w:rsidRPr="00B54F55" w:rsidRDefault="001A38E2">
      <w:pPr>
        <w:spacing w:before="240" w:after="240"/>
        <w:rPr>
          <w:rFonts w:eastAsia="Times New Roman" w:cs="Times New Roman"/>
          <w:szCs w:val="24"/>
        </w:rPr>
      </w:pPr>
      <w:r w:rsidRPr="00B54F55">
        <w:rPr>
          <w:rFonts w:eastAsia="Times New Roman" w:cs="Times New Roman"/>
          <w:szCs w:val="24"/>
        </w:rPr>
        <w:t>Het</w:t>
      </w:r>
      <w:r w:rsidRPr="00B54F55">
        <w:rPr>
          <w:rFonts w:eastAsia="Times New Roman" w:cs="Times New Roman"/>
          <w:szCs w:val="24"/>
        </w:rPr>
        <w:t>erogeneity- This implies that the vital choice and selections embraced by Sony will vary significantly from its rivalry beneath comparable outside natural weights based on the distinctive blend of assets accessible to the firm. This suspicion of heterogene</w:t>
      </w:r>
      <w:r w:rsidRPr="00B54F55">
        <w:rPr>
          <w:rFonts w:eastAsia="Times New Roman" w:cs="Times New Roman"/>
          <w:szCs w:val="24"/>
        </w:rPr>
        <w:t>ity beneath R.B.V. permits Sony to the total item and beat the competition in factor markets, accomplishing competitive benefit through its utilization of attractive asset bundles and mixes.</w:t>
      </w:r>
    </w:p>
    <w:p w14:paraId="1D2D0EC8" w14:textId="77777777" w:rsidR="00CF60D7" w:rsidRPr="00B54F55" w:rsidRDefault="001A38E2">
      <w:pPr>
        <w:spacing w:before="240" w:after="240"/>
        <w:rPr>
          <w:rFonts w:eastAsia="Times New Roman" w:cs="Times New Roman"/>
          <w:szCs w:val="24"/>
        </w:rPr>
      </w:pPr>
      <w:r w:rsidRPr="00B54F55">
        <w:rPr>
          <w:rFonts w:eastAsia="Times New Roman" w:cs="Times New Roman"/>
          <w:szCs w:val="24"/>
        </w:rPr>
        <w:t>Immobility- Grounded on this idea of stability within the brief r</w:t>
      </w:r>
      <w:r w:rsidRPr="00B54F55">
        <w:rPr>
          <w:rFonts w:eastAsia="Times New Roman" w:cs="Times New Roman"/>
          <w:szCs w:val="24"/>
        </w:rPr>
        <w:t>un, the R.B.V. accepts that similar businesses are incapable of mimicking and imitate assets accessible to Sony and plan and execute techniques and choices comparative to that of Sony. Intangible assets are generally stable.</w:t>
      </w:r>
    </w:p>
    <w:tbl>
      <w:tblPr>
        <w:tblStyle w:val="a0"/>
        <w:tblW w:w="9030" w:type="dxa"/>
        <w:tblBorders>
          <w:top w:val="nil"/>
          <w:left w:val="nil"/>
          <w:bottom w:val="nil"/>
          <w:right w:val="nil"/>
          <w:insideH w:val="nil"/>
          <w:insideV w:val="nil"/>
        </w:tblBorders>
        <w:tblLayout w:type="fixed"/>
        <w:tblLook w:val="0600" w:firstRow="0" w:lastRow="0" w:firstColumn="0" w:lastColumn="0" w:noHBand="1" w:noVBand="1"/>
      </w:tblPr>
      <w:tblGrid>
        <w:gridCol w:w="1950"/>
        <w:gridCol w:w="1500"/>
        <w:gridCol w:w="1125"/>
        <w:gridCol w:w="1440"/>
        <w:gridCol w:w="1515"/>
        <w:gridCol w:w="1500"/>
      </w:tblGrid>
      <w:tr w:rsidR="0024427E" w14:paraId="0F647FFF" w14:textId="77777777">
        <w:trPr>
          <w:trHeight w:val="330"/>
        </w:trPr>
        <w:tc>
          <w:tcPr>
            <w:tcW w:w="1950" w:type="dxa"/>
            <w:tcBorders>
              <w:top w:val="single" w:sz="8" w:space="0" w:color="DEE2E6"/>
              <w:left w:val="single" w:sz="8" w:space="0" w:color="DEE2E6"/>
              <w:bottom w:val="single" w:sz="8" w:space="0" w:color="DEE2E6"/>
              <w:right w:val="single" w:sz="8" w:space="0" w:color="DEE2E6"/>
            </w:tcBorders>
            <w:tcMar>
              <w:top w:w="20" w:type="dxa"/>
              <w:left w:w="20" w:type="dxa"/>
              <w:bottom w:w="20" w:type="dxa"/>
              <w:right w:w="20" w:type="dxa"/>
            </w:tcMar>
          </w:tcPr>
          <w:p w14:paraId="649CCAF9" w14:textId="77777777" w:rsidR="00CF60D7" w:rsidRPr="00B54F55" w:rsidRDefault="001A38E2">
            <w:pPr>
              <w:spacing w:before="240" w:after="240"/>
              <w:ind w:left="140" w:right="140"/>
              <w:rPr>
                <w:rFonts w:eastAsia="Times New Roman" w:cs="Times New Roman"/>
                <w:b/>
                <w:szCs w:val="24"/>
              </w:rPr>
            </w:pPr>
            <w:r w:rsidRPr="00B54F55">
              <w:rPr>
                <w:rFonts w:eastAsia="Times New Roman" w:cs="Times New Roman"/>
                <w:b/>
                <w:szCs w:val="24"/>
              </w:rPr>
              <w:t>RESOURCE</w:t>
            </w:r>
          </w:p>
        </w:tc>
        <w:tc>
          <w:tcPr>
            <w:tcW w:w="1500" w:type="dxa"/>
            <w:tcBorders>
              <w:top w:val="single" w:sz="8" w:space="0" w:color="DEE2E6"/>
              <w:left w:val="nil"/>
              <w:bottom w:val="single" w:sz="8" w:space="0" w:color="DEE2E6"/>
              <w:right w:val="single" w:sz="8" w:space="0" w:color="DEE2E6"/>
            </w:tcBorders>
            <w:tcMar>
              <w:top w:w="20" w:type="dxa"/>
              <w:left w:w="20" w:type="dxa"/>
              <w:bottom w:w="20" w:type="dxa"/>
              <w:right w:w="20" w:type="dxa"/>
            </w:tcMar>
          </w:tcPr>
          <w:p w14:paraId="6E2394C3" w14:textId="77777777" w:rsidR="00CF60D7" w:rsidRPr="00B54F55" w:rsidRDefault="001A38E2">
            <w:pPr>
              <w:spacing w:before="240" w:after="240"/>
              <w:ind w:left="140" w:right="140"/>
              <w:rPr>
                <w:rFonts w:eastAsia="Times New Roman" w:cs="Times New Roman"/>
                <w:b/>
                <w:szCs w:val="24"/>
              </w:rPr>
            </w:pPr>
            <w:r w:rsidRPr="00B54F55">
              <w:rPr>
                <w:rFonts w:eastAsia="Times New Roman" w:cs="Times New Roman"/>
                <w:b/>
                <w:szCs w:val="24"/>
              </w:rPr>
              <w:t>VALUABLE</w:t>
            </w:r>
          </w:p>
        </w:tc>
        <w:tc>
          <w:tcPr>
            <w:tcW w:w="1125" w:type="dxa"/>
            <w:tcBorders>
              <w:top w:val="single" w:sz="8" w:space="0" w:color="DEE2E6"/>
              <w:left w:val="nil"/>
              <w:bottom w:val="single" w:sz="8" w:space="0" w:color="DEE2E6"/>
              <w:right w:val="single" w:sz="8" w:space="0" w:color="DEE2E6"/>
            </w:tcBorders>
            <w:tcMar>
              <w:top w:w="20" w:type="dxa"/>
              <w:left w:w="20" w:type="dxa"/>
              <w:bottom w:w="20" w:type="dxa"/>
              <w:right w:w="20" w:type="dxa"/>
            </w:tcMar>
          </w:tcPr>
          <w:p w14:paraId="660EE2AA" w14:textId="77777777" w:rsidR="00CF60D7" w:rsidRPr="00B54F55" w:rsidRDefault="001A38E2">
            <w:pPr>
              <w:spacing w:before="240" w:after="240"/>
              <w:ind w:left="140" w:right="140"/>
              <w:rPr>
                <w:rFonts w:eastAsia="Times New Roman" w:cs="Times New Roman"/>
                <w:b/>
                <w:szCs w:val="24"/>
              </w:rPr>
            </w:pPr>
            <w:r w:rsidRPr="00B54F55">
              <w:rPr>
                <w:rFonts w:eastAsia="Times New Roman" w:cs="Times New Roman"/>
                <w:b/>
                <w:szCs w:val="24"/>
              </w:rPr>
              <w:t>RARE</w:t>
            </w:r>
          </w:p>
        </w:tc>
        <w:tc>
          <w:tcPr>
            <w:tcW w:w="1440" w:type="dxa"/>
            <w:tcBorders>
              <w:top w:val="single" w:sz="8" w:space="0" w:color="DEE2E6"/>
              <w:left w:val="nil"/>
              <w:bottom w:val="single" w:sz="8" w:space="0" w:color="DEE2E6"/>
              <w:right w:val="single" w:sz="8" w:space="0" w:color="DEE2E6"/>
            </w:tcBorders>
            <w:tcMar>
              <w:top w:w="20" w:type="dxa"/>
              <w:left w:w="20" w:type="dxa"/>
              <w:bottom w:w="20" w:type="dxa"/>
              <w:right w:w="20" w:type="dxa"/>
            </w:tcMar>
          </w:tcPr>
          <w:p w14:paraId="641A8E44" w14:textId="77777777" w:rsidR="00CF60D7" w:rsidRPr="00B54F55" w:rsidRDefault="001A38E2">
            <w:pPr>
              <w:spacing w:before="240" w:after="240"/>
              <w:ind w:left="140" w:right="140"/>
              <w:rPr>
                <w:rFonts w:eastAsia="Times New Roman" w:cs="Times New Roman"/>
                <w:b/>
                <w:szCs w:val="24"/>
              </w:rPr>
            </w:pPr>
            <w:r w:rsidRPr="00B54F55">
              <w:rPr>
                <w:rFonts w:eastAsia="Times New Roman" w:cs="Times New Roman"/>
                <w:b/>
                <w:szCs w:val="24"/>
              </w:rPr>
              <w:t>IMITABLE</w:t>
            </w:r>
          </w:p>
        </w:tc>
        <w:tc>
          <w:tcPr>
            <w:tcW w:w="1515" w:type="dxa"/>
            <w:tcBorders>
              <w:top w:val="single" w:sz="8" w:space="0" w:color="DEE2E6"/>
              <w:left w:val="nil"/>
              <w:bottom w:val="single" w:sz="8" w:space="0" w:color="DEE2E6"/>
              <w:right w:val="single" w:sz="8" w:space="0" w:color="DEE2E6"/>
            </w:tcBorders>
            <w:tcMar>
              <w:top w:w="20" w:type="dxa"/>
              <w:left w:w="20" w:type="dxa"/>
              <w:bottom w:w="20" w:type="dxa"/>
              <w:right w:w="20" w:type="dxa"/>
            </w:tcMar>
          </w:tcPr>
          <w:p w14:paraId="69D09FDE" w14:textId="77777777" w:rsidR="00CF60D7" w:rsidRPr="00B54F55" w:rsidRDefault="001A38E2">
            <w:pPr>
              <w:spacing w:before="240" w:after="240"/>
              <w:ind w:left="140" w:right="140"/>
              <w:rPr>
                <w:rFonts w:eastAsia="Times New Roman" w:cs="Times New Roman"/>
                <w:b/>
                <w:szCs w:val="24"/>
              </w:rPr>
            </w:pPr>
            <w:r w:rsidRPr="00B54F55">
              <w:rPr>
                <w:rFonts w:eastAsia="Times New Roman" w:cs="Times New Roman"/>
                <w:b/>
                <w:szCs w:val="24"/>
              </w:rPr>
              <w:t>ORGANIZED</w:t>
            </w:r>
          </w:p>
        </w:tc>
        <w:tc>
          <w:tcPr>
            <w:tcW w:w="1500" w:type="dxa"/>
            <w:tcBorders>
              <w:top w:val="single" w:sz="8" w:space="0" w:color="DEE2E6"/>
              <w:left w:val="nil"/>
              <w:bottom w:val="single" w:sz="8" w:space="0" w:color="DEE2E6"/>
              <w:right w:val="single" w:sz="8" w:space="0" w:color="DEE2E6"/>
            </w:tcBorders>
            <w:tcMar>
              <w:top w:w="20" w:type="dxa"/>
              <w:left w:w="20" w:type="dxa"/>
              <w:bottom w:w="20" w:type="dxa"/>
              <w:right w:w="20" w:type="dxa"/>
            </w:tcMar>
          </w:tcPr>
          <w:p w14:paraId="0391E756" w14:textId="77777777" w:rsidR="00CF60D7" w:rsidRPr="00B54F55" w:rsidRDefault="001A38E2">
            <w:pPr>
              <w:spacing w:before="240" w:after="240"/>
              <w:ind w:left="140" w:right="140"/>
              <w:rPr>
                <w:rFonts w:eastAsia="Times New Roman" w:cs="Times New Roman"/>
                <w:b/>
                <w:szCs w:val="24"/>
              </w:rPr>
            </w:pPr>
            <w:r w:rsidRPr="00B54F55">
              <w:rPr>
                <w:rFonts w:eastAsia="Times New Roman" w:cs="Times New Roman"/>
                <w:b/>
                <w:szCs w:val="24"/>
              </w:rPr>
              <w:t>ADVANTAGE</w:t>
            </w:r>
          </w:p>
        </w:tc>
      </w:tr>
      <w:tr w:rsidR="0024427E" w14:paraId="36CE1045" w14:textId="77777777">
        <w:trPr>
          <w:trHeight w:val="585"/>
        </w:trPr>
        <w:tc>
          <w:tcPr>
            <w:tcW w:w="1950" w:type="dxa"/>
            <w:tcBorders>
              <w:top w:val="nil"/>
              <w:left w:val="single" w:sz="8" w:space="0" w:color="DEE2E6"/>
              <w:bottom w:val="single" w:sz="8" w:space="0" w:color="DEE2E6"/>
              <w:right w:val="single" w:sz="8" w:space="0" w:color="DEE2E6"/>
            </w:tcBorders>
            <w:tcMar>
              <w:top w:w="20" w:type="dxa"/>
              <w:left w:w="20" w:type="dxa"/>
              <w:bottom w:w="20" w:type="dxa"/>
              <w:right w:w="20" w:type="dxa"/>
            </w:tcMar>
          </w:tcPr>
          <w:p w14:paraId="1D8F247E"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LAND</w:t>
            </w:r>
          </w:p>
        </w:tc>
        <w:tc>
          <w:tcPr>
            <w:tcW w:w="1500" w:type="dxa"/>
            <w:tcBorders>
              <w:top w:val="nil"/>
              <w:left w:val="nil"/>
              <w:bottom w:val="single" w:sz="8" w:space="0" w:color="DEE2E6"/>
              <w:right w:val="single" w:sz="8" w:space="0" w:color="DEE2E6"/>
            </w:tcBorders>
            <w:tcMar>
              <w:top w:w="20" w:type="dxa"/>
              <w:left w:w="20" w:type="dxa"/>
              <w:bottom w:w="20" w:type="dxa"/>
              <w:right w:w="20" w:type="dxa"/>
            </w:tcMar>
          </w:tcPr>
          <w:p w14:paraId="1777BADC"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YES</w:t>
            </w:r>
          </w:p>
        </w:tc>
        <w:tc>
          <w:tcPr>
            <w:tcW w:w="1125" w:type="dxa"/>
            <w:tcBorders>
              <w:top w:val="nil"/>
              <w:left w:val="nil"/>
              <w:bottom w:val="single" w:sz="8" w:space="0" w:color="DEE2E6"/>
              <w:right w:val="single" w:sz="8" w:space="0" w:color="DEE2E6"/>
            </w:tcBorders>
            <w:tcMar>
              <w:top w:w="20" w:type="dxa"/>
              <w:left w:w="20" w:type="dxa"/>
              <w:bottom w:w="20" w:type="dxa"/>
              <w:right w:w="20" w:type="dxa"/>
            </w:tcMar>
          </w:tcPr>
          <w:p w14:paraId="67484F87"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NO</w:t>
            </w:r>
          </w:p>
        </w:tc>
        <w:tc>
          <w:tcPr>
            <w:tcW w:w="1440" w:type="dxa"/>
            <w:tcBorders>
              <w:top w:val="nil"/>
              <w:left w:val="nil"/>
              <w:bottom w:val="single" w:sz="8" w:space="0" w:color="DEE2E6"/>
              <w:right w:val="single" w:sz="8" w:space="0" w:color="DEE2E6"/>
            </w:tcBorders>
            <w:tcMar>
              <w:top w:w="20" w:type="dxa"/>
              <w:left w:w="20" w:type="dxa"/>
              <w:bottom w:w="20" w:type="dxa"/>
              <w:right w:w="20" w:type="dxa"/>
            </w:tcMar>
          </w:tcPr>
          <w:p w14:paraId="5C1FE46E"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NO</w:t>
            </w:r>
          </w:p>
        </w:tc>
        <w:tc>
          <w:tcPr>
            <w:tcW w:w="1515" w:type="dxa"/>
            <w:tcBorders>
              <w:top w:val="nil"/>
              <w:left w:val="nil"/>
              <w:bottom w:val="single" w:sz="8" w:space="0" w:color="DEE2E6"/>
              <w:right w:val="single" w:sz="8" w:space="0" w:color="DEE2E6"/>
            </w:tcBorders>
            <w:tcMar>
              <w:top w:w="20" w:type="dxa"/>
              <w:left w:w="20" w:type="dxa"/>
              <w:bottom w:w="20" w:type="dxa"/>
              <w:right w:w="20" w:type="dxa"/>
            </w:tcMar>
          </w:tcPr>
          <w:p w14:paraId="4E8B2980"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YES</w:t>
            </w:r>
          </w:p>
        </w:tc>
        <w:tc>
          <w:tcPr>
            <w:tcW w:w="1500" w:type="dxa"/>
            <w:tcBorders>
              <w:top w:val="nil"/>
              <w:left w:val="nil"/>
              <w:bottom w:val="single" w:sz="8" w:space="0" w:color="DEE2E6"/>
              <w:right w:val="single" w:sz="8" w:space="0" w:color="DEE2E6"/>
            </w:tcBorders>
            <w:tcMar>
              <w:top w:w="20" w:type="dxa"/>
              <w:left w:w="20" w:type="dxa"/>
              <w:bottom w:w="20" w:type="dxa"/>
              <w:right w:w="20" w:type="dxa"/>
            </w:tcMar>
          </w:tcPr>
          <w:p w14:paraId="4BC3EFA9"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COMBATIVE UNIFORMITY</w:t>
            </w:r>
          </w:p>
        </w:tc>
      </w:tr>
      <w:tr w:rsidR="0024427E" w14:paraId="6A9BE446" w14:textId="77777777">
        <w:trPr>
          <w:trHeight w:val="585"/>
        </w:trPr>
        <w:tc>
          <w:tcPr>
            <w:tcW w:w="1950" w:type="dxa"/>
            <w:tcBorders>
              <w:top w:val="nil"/>
              <w:left w:val="single" w:sz="8" w:space="0" w:color="DEE2E6"/>
              <w:bottom w:val="single" w:sz="8" w:space="0" w:color="DEE2E6"/>
              <w:right w:val="single" w:sz="8" w:space="0" w:color="DEE2E6"/>
            </w:tcBorders>
            <w:tcMar>
              <w:top w:w="20" w:type="dxa"/>
              <w:left w:w="20" w:type="dxa"/>
              <w:bottom w:w="20" w:type="dxa"/>
              <w:right w:w="20" w:type="dxa"/>
            </w:tcMar>
          </w:tcPr>
          <w:p w14:paraId="1A52F3CC"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EQUIPMENT</w:t>
            </w:r>
          </w:p>
        </w:tc>
        <w:tc>
          <w:tcPr>
            <w:tcW w:w="1500" w:type="dxa"/>
            <w:tcBorders>
              <w:top w:val="nil"/>
              <w:left w:val="nil"/>
              <w:bottom w:val="single" w:sz="8" w:space="0" w:color="DEE2E6"/>
              <w:right w:val="single" w:sz="8" w:space="0" w:color="DEE2E6"/>
            </w:tcBorders>
            <w:tcMar>
              <w:top w:w="20" w:type="dxa"/>
              <w:left w:w="20" w:type="dxa"/>
              <w:bottom w:w="20" w:type="dxa"/>
              <w:right w:w="20" w:type="dxa"/>
            </w:tcMar>
          </w:tcPr>
          <w:p w14:paraId="7B5F8C95"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YES</w:t>
            </w:r>
          </w:p>
        </w:tc>
        <w:tc>
          <w:tcPr>
            <w:tcW w:w="1125" w:type="dxa"/>
            <w:tcBorders>
              <w:top w:val="nil"/>
              <w:left w:val="nil"/>
              <w:bottom w:val="single" w:sz="8" w:space="0" w:color="DEE2E6"/>
              <w:right w:val="single" w:sz="8" w:space="0" w:color="DEE2E6"/>
            </w:tcBorders>
            <w:tcMar>
              <w:top w:w="20" w:type="dxa"/>
              <w:left w:w="20" w:type="dxa"/>
              <w:bottom w:w="20" w:type="dxa"/>
              <w:right w:w="20" w:type="dxa"/>
            </w:tcMar>
          </w:tcPr>
          <w:p w14:paraId="1BA1282B"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NO</w:t>
            </w:r>
          </w:p>
        </w:tc>
        <w:tc>
          <w:tcPr>
            <w:tcW w:w="1440" w:type="dxa"/>
            <w:tcBorders>
              <w:top w:val="nil"/>
              <w:left w:val="nil"/>
              <w:bottom w:val="single" w:sz="8" w:space="0" w:color="DEE2E6"/>
              <w:right w:val="single" w:sz="8" w:space="0" w:color="DEE2E6"/>
            </w:tcBorders>
            <w:tcMar>
              <w:top w:w="20" w:type="dxa"/>
              <w:left w:w="20" w:type="dxa"/>
              <w:bottom w:w="20" w:type="dxa"/>
              <w:right w:w="20" w:type="dxa"/>
            </w:tcMar>
          </w:tcPr>
          <w:p w14:paraId="108EACCD"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NO</w:t>
            </w:r>
          </w:p>
        </w:tc>
        <w:tc>
          <w:tcPr>
            <w:tcW w:w="1515" w:type="dxa"/>
            <w:tcBorders>
              <w:top w:val="nil"/>
              <w:left w:val="nil"/>
              <w:bottom w:val="single" w:sz="8" w:space="0" w:color="DEE2E6"/>
              <w:right w:val="single" w:sz="8" w:space="0" w:color="DEE2E6"/>
            </w:tcBorders>
            <w:tcMar>
              <w:top w:w="20" w:type="dxa"/>
              <w:left w:w="20" w:type="dxa"/>
              <w:bottom w:w="20" w:type="dxa"/>
              <w:right w:w="20" w:type="dxa"/>
            </w:tcMar>
          </w:tcPr>
          <w:p w14:paraId="4C87EA45"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YES</w:t>
            </w:r>
          </w:p>
        </w:tc>
        <w:tc>
          <w:tcPr>
            <w:tcW w:w="1500" w:type="dxa"/>
            <w:tcBorders>
              <w:top w:val="nil"/>
              <w:left w:val="nil"/>
              <w:bottom w:val="single" w:sz="8" w:space="0" w:color="DEE2E6"/>
              <w:right w:val="single" w:sz="8" w:space="0" w:color="DEE2E6"/>
            </w:tcBorders>
            <w:tcMar>
              <w:top w:w="20" w:type="dxa"/>
              <w:left w:w="20" w:type="dxa"/>
              <w:bottom w:w="20" w:type="dxa"/>
              <w:right w:w="20" w:type="dxa"/>
            </w:tcMar>
          </w:tcPr>
          <w:p w14:paraId="153342F1"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COMBATIVE UNIFORMITY</w:t>
            </w:r>
          </w:p>
        </w:tc>
      </w:tr>
      <w:tr w:rsidR="0024427E" w14:paraId="2BC34FCE" w14:textId="77777777">
        <w:trPr>
          <w:trHeight w:val="585"/>
        </w:trPr>
        <w:tc>
          <w:tcPr>
            <w:tcW w:w="1950" w:type="dxa"/>
            <w:tcBorders>
              <w:top w:val="nil"/>
              <w:left w:val="single" w:sz="8" w:space="0" w:color="DEE2E6"/>
              <w:bottom w:val="single" w:sz="8" w:space="0" w:color="DEE2E6"/>
              <w:right w:val="single" w:sz="8" w:space="0" w:color="DEE2E6"/>
            </w:tcBorders>
            <w:tcMar>
              <w:top w:w="20" w:type="dxa"/>
              <w:left w:w="20" w:type="dxa"/>
              <w:bottom w:w="20" w:type="dxa"/>
              <w:right w:w="20" w:type="dxa"/>
            </w:tcMar>
          </w:tcPr>
          <w:p w14:paraId="799151A1"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lastRenderedPageBreak/>
              <w:t>MATERIALS</w:t>
            </w:r>
          </w:p>
        </w:tc>
        <w:tc>
          <w:tcPr>
            <w:tcW w:w="1500" w:type="dxa"/>
            <w:tcBorders>
              <w:top w:val="nil"/>
              <w:left w:val="nil"/>
              <w:bottom w:val="single" w:sz="8" w:space="0" w:color="DEE2E6"/>
              <w:right w:val="single" w:sz="8" w:space="0" w:color="DEE2E6"/>
            </w:tcBorders>
            <w:tcMar>
              <w:top w:w="20" w:type="dxa"/>
              <w:left w:w="20" w:type="dxa"/>
              <w:bottom w:w="20" w:type="dxa"/>
              <w:right w:w="20" w:type="dxa"/>
            </w:tcMar>
          </w:tcPr>
          <w:p w14:paraId="56F58586"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YES</w:t>
            </w:r>
          </w:p>
        </w:tc>
        <w:tc>
          <w:tcPr>
            <w:tcW w:w="1125" w:type="dxa"/>
            <w:tcBorders>
              <w:top w:val="nil"/>
              <w:left w:val="nil"/>
              <w:bottom w:val="single" w:sz="8" w:space="0" w:color="DEE2E6"/>
              <w:right w:val="single" w:sz="8" w:space="0" w:color="DEE2E6"/>
            </w:tcBorders>
            <w:tcMar>
              <w:top w:w="20" w:type="dxa"/>
              <w:left w:w="20" w:type="dxa"/>
              <w:bottom w:w="20" w:type="dxa"/>
              <w:right w:w="20" w:type="dxa"/>
            </w:tcMar>
          </w:tcPr>
          <w:p w14:paraId="24103F39"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NO</w:t>
            </w:r>
          </w:p>
        </w:tc>
        <w:tc>
          <w:tcPr>
            <w:tcW w:w="1440" w:type="dxa"/>
            <w:tcBorders>
              <w:top w:val="nil"/>
              <w:left w:val="nil"/>
              <w:bottom w:val="single" w:sz="8" w:space="0" w:color="DEE2E6"/>
              <w:right w:val="single" w:sz="8" w:space="0" w:color="DEE2E6"/>
            </w:tcBorders>
            <w:tcMar>
              <w:top w:w="20" w:type="dxa"/>
              <w:left w:w="20" w:type="dxa"/>
              <w:bottom w:w="20" w:type="dxa"/>
              <w:right w:w="20" w:type="dxa"/>
            </w:tcMar>
          </w:tcPr>
          <w:p w14:paraId="1E562382"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NO</w:t>
            </w:r>
          </w:p>
        </w:tc>
        <w:tc>
          <w:tcPr>
            <w:tcW w:w="1515" w:type="dxa"/>
            <w:tcBorders>
              <w:top w:val="nil"/>
              <w:left w:val="nil"/>
              <w:bottom w:val="single" w:sz="8" w:space="0" w:color="DEE2E6"/>
              <w:right w:val="single" w:sz="8" w:space="0" w:color="DEE2E6"/>
            </w:tcBorders>
            <w:tcMar>
              <w:top w:w="20" w:type="dxa"/>
              <w:left w:w="20" w:type="dxa"/>
              <w:bottom w:w="20" w:type="dxa"/>
              <w:right w:w="20" w:type="dxa"/>
            </w:tcMar>
          </w:tcPr>
          <w:p w14:paraId="699CF5BC"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YES</w:t>
            </w:r>
          </w:p>
        </w:tc>
        <w:tc>
          <w:tcPr>
            <w:tcW w:w="1500" w:type="dxa"/>
            <w:tcBorders>
              <w:top w:val="nil"/>
              <w:left w:val="nil"/>
              <w:bottom w:val="single" w:sz="8" w:space="0" w:color="DEE2E6"/>
              <w:right w:val="single" w:sz="8" w:space="0" w:color="DEE2E6"/>
            </w:tcBorders>
            <w:tcMar>
              <w:top w:w="20" w:type="dxa"/>
              <w:left w:w="20" w:type="dxa"/>
              <w:bottom w:w="20" w:type="dxa"/>
              <w:right w:w="20" w:type="dxa"/>
            </w:tcMar>
          </w:tcPr>
          <w:p w14:paraId="458C2063"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COMBATIVE UNIFORMITY</w:t>
            </w:r>
          </w:p>
        </w:tc>
      </w:tr>
      <w:tr w:rsidR="0024427E" w14:paraId="258372E1" w14:textId="77777777">
        <w:trPr>
          <w:trHeight w:val="585"/>
        </w:trPr>
        <w:tc>
          <w:tcPr>
            <w:tcW w:w="1950" w:type="dxa"/>
            <w:tcBorders>
              <w:top w:val="nil"/>
              <w:left w:val="single" w:sz="8" w:space="0" w:color="DEE2E6"/>
              <w:bottom w:val="single" w:sz="8" w:space="0" w:color="DEE2E6"/>
              <w:right w:val="single" w:sz="8" w:space="0" w:color="DEE2E6"/>
            </w:tcBorders>
            <w:tcMar>
              <w:top w:w="20" w:type="dxa"/>
              <w:left w:w="20" w:type="dxa"/>
              <w:bottom w:w="20" w:type="dxa"/>
              <w:right w:w="20" w:type="dxa"/>
            </w:tcMar>
          </w:tcPr>
          <w:p w14:paraId="7ED96381"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SUPPLIES</w:t>
            </w:r>
          </w:p>
        </w:tc>
        <w:tc>
          <w:tcPr>
            <w:tcW w:w="1500" w:type="dxa"/>
            <w:tcBorders>
              <w:top w:val="nil"/>
              <w:left w:val="nil"/>
              <w:bottom w:val="single" w:sz="8" w:space="0" w:color="DEE2E6"/>
              <w:right w:val="single" w:sz="8" w:space="0" w:color="DEE2E6"/>
            </w:tcBorders>
            <w:tcMar>
              <w:top w:w="20" w:type="dxa"/>
              <w:left w:w="20" w:type="dxa"/>
              <w:bottom w:w="20" w:type="dxa"/>
              <w:right w:w="20" w:type="dxa"/>
            </w:tcMar>
          </w:tcPr>
          <w:p w14:paraId="74CB4B9D"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YES</w:t>
            </w:r>
          </w:p>
        </w:tc>
        <w:tc>
          <w:tcPr>
            <w:tcW w:w="1125" w:type="dxa"/>
            <w:tcBorders>
              <w:top w:val="nil"/>
              <w:left w:val="nil"/>
              <w:bottom w:val="single" w:sz="8" w:space="0" w:color="DEE2E6"/>
              <w:right w:val="single" w:sz="8" w:space="0" w:color="DEE2E6"/>
            </w:tcBorders>
            <w:tcMar>
              <w:top w:w="20" w:type="dxa"/>
              <w:left w:w="20" w:type="dxa"/>
              <w:bottom w:w="20" w:type="dxa"/>
              <w:right w:w="20" w:type="dxa"/>
            </w:tcMar>
          </w:tcPr>
          <w:p w14:paraId="3620BAB3"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NO</w:t>
            </w:r>
          </w:p>
        </w:tc>
        <w:tc>
          <w:tcPr>
            <w:tcW w:w="1440" w:type="dxa"/>
            <w:tcBorders>
              <w:top w:val="nil"/>
              <w:left w:val="nil"/>
              <w:bottom w:val="single" w:sz="8" w:space="0" w:color="DEE2E6"/>
              <w:right w:val="single" w:sz="8" w:space="0" w:color="DEE2E6"/>
            </w:tcBorders>
            <w:tcMar>
              <w:top w:w="20" w:type="dxa"/>
              <w:left w:w="20" w:type="dxa"/>
              <w:bottom w:w="20" w:type="dxa"/>
              <w:right w:w="20" w:type="dxa"/>
            </w:tcMar>
          </w:tcPr>
          <w:p w14:paraId="20A737D3"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NO</w:t>
            </w:r>
          </w:p>
        </w:tc>
        <w:tc>
          <w:tcPr>
            <w:tcW w:w="1515" w:type="dxa"/>
            <w:tcBorders>
              <w:top w:val="nil"/>
              <w:left w:val="nil"/>
              <w:bottom w:val="single" w:sz="8" w:space="0" w:color="DEE2E6"/>
              <w:right w:val="single" w:sz="8" w:space="0" w:color="DEE2E6"/>
            </w:tcBorders>
            <w:tcMar>
              <w:top w:w="20" w:type="dxa"/>
              <w:left w:w="20" w:type="dxa"/>
              <w:bottom w:w="20" w:type="dxa"/>
              <w:right w:w="20" w:type="dxa"/>
            </w:tcMar>
          </w:tcPr>
          <w:p w14:paraId="4A15687A"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YES</w:t>
            </w:r>
          </w:p>
        </w:tc>
        <w:tc>
          <w:tcPr>
            <w:tcW w:w="1500" w:type="dxa"/>
            <w:tcBorders>
              <w:top w:val="nil"/>
              <w:left w:val="nil"/>
              <w:bottom w:val="single" w:sz="8" w:space="0" w:color="DEE2E6"/>
              <w:right w:val="single" w:sz="8" w:space="0" w:color="DEE2E6"/>
            </w:tcBorders>
            <w:tcMar>
              <w:top w:w="20" w:type="dxa"/>
              <w:left w:w="20" w:type="dxa"/>
              <w:bottom w:w="20" w:type="dxa"/>
              <w:right w:w="20" w:type="dxa"/>
            </w:tcMar>
          </w:tcPr>
          <w:p w14:paraId="3255ED75"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COMBATIVE UNIFORMITY</w:t>
            </w:r>
          </w:p>
        </w:tc>
      </w:tr>
      <w:tr w:rsidR="0024427E" w14:paraId="262A6F85" w14:textId="77777777">
        <w:trPr>
          <w:trHeight w:val="585"/>
        </w:trPr>
        <w:tc>
          <w:tcPr>
            <w:tcW w:w="1950" w:type="dxa"/>
            <w:tcBorders>
              <w:top w:val="nil"/>
              <w:left w:val="single" w:sz="8" w:space="0" w:color="DEE2E6"/>
              <w:bottom w:val="single" w:sz="8" w:space="0" w:color="DEE2E6"/>
              <w:right w:val="single" w:sz="8" w:space="0" w:color="DEE2E6"/>
            </w:tcBorders>
            <w:tcMar>
              <w:top w:w="20" w:type="dxa"/>
              <w:left w:w="20" w:type="dxa"/>
              <w:bottom w:w="20" w:type="dxa"/>
              <w:right w:w="20" w:type="dxa"/>
            </w:tcMar>
          </w:tcPr>
          <w:p w14:paraId="3EDADF41"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INFRASTRUCTURE</w:t>
            </w:r>
          </w:p>
        </w:tc>
        <w:tc>
          <w:tcPr>
            <w:tcW w:w="1500" w:type="dxa"/>
            <w:tcBorders>
              <w:top w:val="nil"/>
              <w:left w:val="nil"/>
              <w:bottom w:val="single" w:sz="8" w:space="0" w:color="DEE2E6"/>
              <w:right w:val="single" w:sz="8" w:space="0" w:color="DEE2E6"/>
            </w:tcBorders>
            <w:tcMar>
              <w:top w:w="20" w:type="dxa"/>
              <w:left w:w="20" w:type="dxa"/>
              <w:bottom w:w="20" w:type="dxa"/>
              <w:right w:w="20" w:type="dxa"/>
            </w:tcMar>
          </w:tcPr>
          <w:p w14:paraId="6DB39F52"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YES</w:t>
            </w:r>
          </w:p>
        </w:tc>
        <w:tc>
          <w:tcPr>
            <w:tcW w:w="1125" w:type="dxa"/>
            <w:tcBorders>
              <w:top w:val="nil"/>
              <w:left w:val="nil"/>
              <w:bottom w:val="single" w:sz="8" w:space="0" w:color="DEE2E6"/>
              <w:right w:val="single" w:sz="8" w:space="0" w:color="DEE2E6"/>
            </w:tcBorders>
            <w:tcMar>
              <w:top w:w="20" w:type="dxa"/>
              <w:left w:w="20" w:type="dxa"/>
              <w:bottom w:w="20" w:type="dxa"/>
              <w:right w:w="20" w:type="dxa"/>
            </w:tcMar>
          </w:tcPr>
          <w:p w14:paraId="1EF3FD69"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NO</w:t>
            </w:r>
          </w:p>
        </w:tc>
        <w:tc>
          <w:tcPr>
            <w:tcW w:w="1440" w:type="dxa"/>
            <w:tcBorders>
              <w:top w:val="nil"/>
              <w:left w:val="nil"/>
              <w:bottom w:val="single" w:sz="8" w:space="0" w:color="DEE2E6"/>
              <w:right w:val="single" w:sz="8" w:space="0" w:color="DEE2E6"/>
            </w:tcBorders>
            <w:tcMar>
              <w:top w:w="20" w:type="dxa"/>
              <w:left w:w="20" w:type="dxa"/>
              <w:bottom w:w="20" w:type="dxa"/>
              <w:right w:w="20" w:type="dxa"/>
            </w:tcMar>
          </w:tcPr>
          <w:p w14:paraId="114D58EC"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NO</w:t>
            </w:r>
          </w:p>
        </w:tc>
        <w:tc>
          <w:tcPr>
            <w:tcW w:w="1515" w:type="dxa"/>
            <w:tcBorders>
              <w:top w:val="nil"/>
              <w:left w:val="nil"/>
              <w:bottom w:val="single" w:sz="8" w:space="0" w:color="DEE2E6"/>
              <w:right w:val="single" w:sz="8" w:space="0" w:color="DEE2E6"/>
            </w:tcBorders>
            <w:tcMar>
              <w:top w:w="20" w:type="dxa"/>
              <w:left w:w="20" w:type="dxa"/>
              <w:bottom w:w="20" w:type="dxa"/>
              <w:right w:w="20" w:type="dxa"/>
            </w:tcMar>
          </w:tcPr>
          <w:p w14:paraId="5F591CEA"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YES</w:t>
            </w:r>
          </w:p>
        </w:tc>
        <w:tc>
          <w:tcPr>
            <w:tcW w:w="1500" w:type="dxa"/>
            <w:tcBorders>
              <w:top w:val="nil"/>
              <w:left w:val="nil"/>
              <w:bottom w:val="single" w:sz="8" w:space="0" w:color="DEE2E6"/>
              <w:right w:val="single" w:sz="8" w:space="0" w:color="DEE2E6"/>
            </w:tcBorders>
            <w:tcMar>
              <w:top w:w="20" w:type="dxa"/>
              <w:left w:w="20" w:type="dxa"/>
              <w:bottom w:w="20" w:type="dxa"/>
              <w:right w:w="20" w:type="dxa"/>
            </w:tcMar>
          </w:tcPr>
          <w:p w14:paraId="78B72C46"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 xml:space="preserve">COMBATIVE </w:t>
            </w:r>
            <w:r w:rsidRPr="00B54F55">
              <w:rPr>
                <w:rFonts w:eastAsia="Times New Roman" w:cs="Times New Roman"/>
                <w:szCs w:val="24"/>
              </w:rPr>
              <w:t>UNIFORMITY</w:t>
            </w:r>
          </w:p>
        </w:tc>
      </w:tr>
      <w:tr w:rsidR="0024427E" w14:paraId="47FD4547" w14:textId="77777777">
        <w:trPr>
          <w:trHeight w:val="585"/>
        </w:trPr>
        <w:tc>
          <w:tcPr>
            <w:tcW w:w="1950" w:type="dxa"/>
            <w:tcBorders>
              <w:top w:val="nil"/>
              <w:left w:val="single" w:sz="8" w:space="0" w:color="DEE2E6"/>
              <w:bottom w:val="single" w:sz="8" w:space="0" w:color="DEE2E6"/>
              <w:right w:val="single" w:sz="8" w:space="0" w:color="DEE2E6"/>
            </w:tcBorders>
            <w:tcMar>
              <w:top w:w="20" w:type="dxa"/>
              <w:left w:w="20" w:type="dxa"/>
              <w:bottom w:w="20" w:type="dxa"/>
              <w:right w:w="20" w:type="dxa"/>
            </w:tcMar>
          </w:tcPr>
          <w:p w14:paraId="4504FEFB"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FACILITIES</w:t>
            </w:r>
          </w:p>
        </w:tc>
        <w:tc>
          <w:tcPr>
            <w:tcW w:w="1500" w:type="dxa"/>
            <w:tcBorders>
              <w:top w:val="nil"/>
              <w:left w:val="nil"/>
              <w:bottom w:val="single" w:sz="8" w:space="0" w:color="DEE2E6"/>
              <w:right w:val="single" w:sz="8" w:space="0" w:color="DEE2E6"/>
            </w:tcBorders>
            <w:tcMar>
              <w:top w:w="20" w:type="dxa"/>
              <w:left w:w="20" w:type="dxa"/>
              <w:bottom w:w="20" w:type="dxa"/>
              <w:right w:w="20" w:type="dxa"/>
            </w:tcMar>
          </w:tcPr>
          <w:p w14:paraId="6BB6CFD4"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YES</w:t>
            </w:r>
          </w:p>
        </w:tc>
        <w:tc>
          <w:tcPr>
            <w:tcW w:w="1125" w:type="dxa"/>
            <w:tcBorders>
              <w:top w:val="nil"/>
              <w:left w:val="nil"/>
              <w:bottom w:val="single" w:sz="8" w:space="0" w:color="DEE2E6"/>
              <w:right w:val="single" w:sz="8" w:space="0" w:color="DEE2E6"/>
            </w:tcBorders>
            <w:tcMar>
              <w:top w:w="20" w:type="dxa"/>
              <w:left w:w="20" w:type="dxa"/>
              <w:bottom w:w="20" w:type="dxa"/>
              <w:right w:w="20" w:type="dxa"/>
            </w:tcMar>
          </w:tcPr>
          <w:p w14:paraId="5F4FE064"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N</w:t>
            </w:r>
          </w:p>
        </w:tc>
        <w:tc>
          <w:tcPr>
            <w:tcW w:w="1440" w:type="dxa"/>
            <w:tcBorders>
              <w:top w:val="nil"/>
              <w:left w:val="nil"/>
              <w:bottom w:val="single" w:sz="8" w:space="0" w:color="DEE2E6"/>
              <w:right w:val="single" w:sz="8" w:space="0" w:color="DEE2E6"/>
            </w:tcBorders>
            <w:tcMar>
              <w:top w:w="20" w:type="dxa"/>
              <w:left w:w="20" w:type="dxa"/>
              <w:bottom w:w="20" w:type="dxa"/>
              <w:right w:w="20" w:type="dxa"/>
            </w:tcMar>
          </w:tcPr>
          <w:p w14:paraId="16603738"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NO</w:t>
            </w:r>
          </w:p>
        </w:tc>
        <w:tc>
          <w:tcPr>
            <w:tcW w:w="1515" w:type="dxa"/>
            <w:tcBorders>
              <w:top w:val="nil"/>
              <w:left w:val="nil"/>
              <w:bottom w:val="single" w:sz="8" w:space="0" w:color="DEE2E6"/>
              <w:right w:val="single" w:sz="8" w:space="0" w:color="DEE2E6"/>
            </w:tcBorders>
            <w:tcMar>
              <w:top w:w="20" w:type="dxa"/>
              <w:left w:w="20" w:type="dxa"/>
              <w:bottom w:w="20" w:type="dxa"/>
              <w:right w:w="20" w:type="dxa"/>
            </w:tcMar>
          </w:tcPr>
          <w:p w14:paraId="04331F7D"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YES</w:t>
            </w:r>
          </w:p>
        </w:tc>
        <w:tc>
          <w:tcPr>
            <w:tcW w:w="1500" w:type="dxa"/>
            <w:tcBorders>
              <w:top w:val="nil"/>
              <w:left w:val="nil"/>
              <w:bottom w:val="single" w:sz="8" w:space="0" w:color="DEE2E6"/>
              <w:right w:val="single" w:sz="8" w:space="0" w:color="DEE2E6"/>
            </w:tcBorders>
            <w:tcMar>
              <w:top w:w="20" w:type="dxa"/>
              <w:left w:w="20" w:type="dxa"/>
              <w:bottom w:w="20" w:type="dxa"/>
              <w:right w:w="20" w:type="dxa"/>
            </w:tcMar>
          </w:tcPr>
          <w:p w14:paraId="384B9E1B"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COMBATIVE UNIFORMITY</w:t>
            </w:r>
          </w:p>
        </w:tc>
      </w:tr>
      <w:tr w:rsidR="0024427E" w14:paraId="6C2D4180" w14:textId="77777777">
        <w:trPr>
          <w:trHeight w:val="585"/>
        </w:trPr>
        <w:tc>
          <w:tcPr>
            <w:tcW w:w="1950" w:type="dxa"/>
            <w:tcBorders>
              <w:top w:val="nil"/>
              <w:left w:val="single" w:sz="8" w:space="0" w:color="DEE2E6"/>
              <w:bottom w:val="single" w:sz="8" w:space="0" w:color="DEE2E6"/>
              <w:right w:val="single" w:sz="8" w:space="0" w:color="DEE2E6"/>
            </w:tcBorders>
            <w:tcMar>
              <w:top w:w="20" w:type="dxa"/>
              <w:left w:w="20" w:type="dxa"/>
              <w:bottom w:w="20" w:type="dxa"/>
              <w:right w:w="20" w:type="dxa"/>
            </w:tcMar>
          </w:tcPr>
          <w:p w14:paraId="5A579BF8"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BRAND REPUTATION</w:t>
            </w:r>
          </w:p>
        </w:tc>
        <w:tc>
          <w:tcPr>
            <w:tcW w:w="1500" w:type="dxa"/>
            <w:tcBorders>
              <w:top w:val="nil"/>
              <w:left w:val="nil"/>
              <w:bottom w:val="single" w:sz="8" w:space="0" w:color="DEE2E6"/>
              <w:right w:val="single" w:sz="8" w:space="0" w:color="DEE2E6"/>
            </w:tcBorders>
            <w:tcMar>
              <w:top w:w="20" w:type="dxa"/>
              <w:left w:w="20" w:type="dxa"/>
              <w:bottom w:w="20" w:type="dxa"/>
              <w:right w:w="20" w:type="dxa"/>
            </w:tcMar>
          </w:tcPr>
          <w:p w14:paraId="6E075780"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YES</w:t>
            </w:r>
          </w:p>
        </w:tc>
        <w:tc>
          <w:tcPr>
            <w:tcW w:w="1125" w:type="dxa"/>
            <w:tcBorders>
              <w:top w:val="nil"/>
              <w:left w:val="nil"/>
              <w:bottom w:val="single" w:sz="8" w:space="0" w:color="DEE2E6"/>
              <w:right w:val="single" w:sz="8" w:space="0" w:color="DEE2E6"/>
            </w:tcBorders>
            <w:tcMar>
              <w:top w:w="20" w:type="dxa"/>
              <w:left w:w="20" w:type="dxa"/>
              <w:bottom w:w="20" w:type="dxa"/>
              <w:right w:w="20" w:type="dxa"/>
            </w:tcMar>
          </w:tcPr>
          <w:p w14:paraId="2AB4C49C"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YES</w:t>
            </w:r>
          </w:p>
        </w:tc>
        <w:tc>
          <w:tcPr>
            <w:tcW w:w="1440" w:type="dxa"/>
            <w:tcBorders>
              <w:top w:val="nil"/>
              <w:left w:val="nil"/>
              <w:bottom w:val="single" w:sz="8" w:space="0" w:color="DEE2E6"/>
              <w:right w:val="single" w:sz="8" w:space="0" w:color="DEE2E6"/>
            </w:tcBorders>
            <w:tcMar>
              <w:top w:w="20" w:type="dxa"/>
              <w:left w:w="20" w:type="dxa"/>
              <w:bottom w:w="20" w:type="dxa"/>
              <w:right w:w="20" w:type="dxa"/>
            </w:tcMar>
          </w:tcPr>
          <w:p w14:paraId="73E758EE"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YES</w:t>
            </w:r>
          </w:p>
        </w:tc>
        <w:tc>
          <w:tcPr>
            <w:tcW w:w="1515" w:type="dxa"/>
            <w:tcBorders>
              <w:top w:val="nil"/>
              <w:left w:val="nil"/>
              <w:bottom w:val="single" w:sz="8" w:space="0" w:color="DEE2E6"/>
              <w:right w:val="single" w:sz="8" w:space="0" w:color="DEE2E6"/>
            </w:tcBorders>
            <w:tcMar>
              <w:top w:w="20" w:type="dxa"/>
              <w:left w:w="20" w:type="dxa"/>
              <w:bottom w:w="20" w:type="dxa"/>
              <w:right w:w="20" w:type="dxa"/>
            </w:tcMar>
          </w:tcPr>
          <w:p w14:paraId="0D4B8E83"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YES</w:t>
            </w:r>
          </w:p>
        </w:tc>
        <w:tc>
          <w:tcPr>
            <w:tcW w:w="1500" w:type="dxa"/>
            <w:tcBorders>
              <w:top w:val="nil"/>
              <w:left w:val="nil"/>
              <w:bottom w:val="single" w:sz="8" w:space="0" w:color="DEE2E6"/>
              <w:right w:val="single" w:sz="8" w:space="0" w:color="DEE2E6"/>
            </w:tcBorders>
            <w:tcMar>
              <w:top w:w="20" w:type="dxa"/>
              <w:left w:w="20" w:type="dxa"/>
              <w:bottom w:w="20" w:type="dxa"/>
              <w:right w:w="20" w:type="dxa"/>
            </w:tcMar>
          </w:tcPr>
          <w:p w14:paraId="26A6E85F"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 xml:space="preserve">COMBATIVE BENEFIT </w:t>
            </w:r>
          </w:p>
        </w:tc>
      </w:tr>
      <w:tr w:rsidR="0024427E" w14:paraId="24E04E58" w14:textId="77777777">
        <w:trPr>
          <w:trHeight w:val="585"/>
        </w:trPr>
        <w:tc>
          <w:tcPr>
            <w:tcW w:w="1950" w:type="dxa"/>
            <w:tcBorders>
              <w:top w:val="nil"/>
              <w:left w:val="single" w:sz="8" w:space="0" w:color="DEE2E6"/>
              <w:bottom w:val="single" w:sz="8" w:space="0" w:color="DEE2E6"/>
              <w:right w:val="single" w:sz="8" w:space="0" w:color="DEE2E6"/>
            </w:tcBorders>
            <w:tcMar>
              <w:top w:w="20" w:type="dxa"/>
              <w:left w:w="20" w:type="dxa"/>
              <w:bottom w:w="20" w:type="dxa"/>
              <w:right w:w="20" w:type="dxa"/>
            </w:tcMar>
          </w:tcPr>
          <w:p w14:paraId="1F36C629"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INTELLECTUAL PROPERTY</w:t>
            </w:r>
          </w:p>
        </w:tc>
        <w:tc>
          <w:tcPr>
            <w:tcW w:w="1500" w:type="dxa"/>
            <w:tcBorders>
              <w:top w:val="nil"/>
              <w:left w:val="nil"/>
              <w:bottom w:val="single" w:sz="8" w:space="0" w:color="DEE2E6"/>
              <w:right w:val="single" w:sz="8" w:space="0" w:color="DEE2E6"/>
            </w:tcBorders>
            <w:tcMar>
              <w:top w:w="20" w:type="dxa"/>
              <w:left w:w="20" w:type="dxa"/>
              <w:bottom w:w="20" w:type="dxa"/>
              <w:right w:w="20" w:type="dxa"/>
            </w:tcMar>
          </w:tcPr>
          <w:p w14:paraId="135CD3B6"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YES</w:t>
            </w:r>
          </w:p>
        </w:tc>
        <w:tc>
          <w:tcPr>
            <w:tcW w:w="1125" w:type="dxa"/>
            <w:tcBorders>
              <w:top w:val="nil"/>
              <w:left w:val="nil"/>
              <w:bottom w:val="single" w:sz="8" w:space="0" w:color="DEE2E6"/>
              <w:right w:val="single" w:sz="8" w:space="0" w:color="DEE2E6"/>
            </w:tcBorders>
            <w:tcMar>
              <w:top w:w="20" w:type="dxa"/>
              <w:left w:w="20" w:type="dxa"/>
              <w:bottom w:w="20" w:type="dxa"/>
              <w:right w:w="20" w:type="dxa"/>
            </w:tcMar>
          </w:tcPr>
          <w:p w14:paraId="6B32A529"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YES</w:t>
            </w:r>
          </w:p>
        </w:tc>
        <w:tc>
          <w:tcPr>
            <w:tcW w:w="1440" w:type="dxa"/>
            <w:tcBorders>
              <w:top w:val="nil"/>
              <w:left w:val="nil"/>
              <w:bottom w:val="single" w:sz="8" w:space="0" w:color="DEE2E6"/>
              <w:right w:val="single" w:sz="8" w:space="0" w:color="DEE2E6"/>
            </w:tcBorders>
            <w:tcMar>
              <w:top w:w="20" w:type="dxa"/>
              <w:left w:w="20" w:type="dxa"/>
              <w:bottom w:w="20" w:type="dxa"/>
              <w:right w:w="20" w:type="dxa"/>
            </w:tcMar>
          </w:tcPr>
          <w:p w14:paraId="10F71101"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YES</w:t>
            </w:r>
          </w:p>
        </w:tc>
        <w:tc>
          <w:tcPr>
            <w:tcW w:w="1515" w:type="dxa"/>
            <w:tcBorders>
              <w:top w:val="nil"/>
              <w:left w:val="nil"/>
              <w:bottom w:val="single" w:sz="8" w:space="0" w:color="DEE2E6"/>
              <w:right w:val="single" w:sz="8" w:space="0" w:color="DEE2E6"/>
            </w:tcBorders>
            <w:tcMar>
              <w:top w:w="20" w:type="dxa"/>
              <w:left w:w="20" w:type="dxa"/>
              <w:bottom w:w="20" w:type="dxa"/>
              <w:right w:w="20" w:type="dxa"/>
            </w:tcMar>
          </w:tcPr>
          <w:p w14:paraId="7154179F"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YES</w:t>
            </w:r>
          </w:p>
        </w:tc>
        <w:tc>
          <w:tcPr>
            <w:tcW w:w="1500" w:type="dxa"/>
            <w:tcBorders>
              <w:top w:val="nil"/>
              <w:left w:val="nil"/>
              <w:bottom w:val="single" w:sz="8" w:space="0" w:color="DEE2E6"/>
              <w:right w:val="single" w:sz="8" w:space="0" w:color="DEE2E6"/>
            </w:tcBorders>
            <w:tcMar>
              <w:top w:w="20" w:type="dxa"/>
              <w:left w:w="20" w:type="dxa"/>
              <w:bottom w:w="20" w:type="dxa"/>
              <w:right w:w="20" w:type="dxa"/>
            </w:tcMar>
          </w:tcPr>
          <w:p w14:paraId="421B1ACF"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COMBATIVE BENEFIT</w:t>
            </w:r>
          </w:p>
        </w:tc>
      </w:tr>
      <w:tr w:rsidR="0024427E" w14:paraId="2A2497FF" w14:textId="77777777">
        <w:trPr>
          <w:trHeight w:val="585"/>
        </w:trPr>
        <w:tc>
          <w:tcPr>
            <w:tcW w:w="1950" w:type="dxa"/>
            <w:tcBorders>
              <w:top w:val="nil"/>
              <w:left w:val="single" w:sz="8" w:space="0" w:color="DEE2E6"/>
              <w:bottom w:val="single" w:sz="8" w:space="0" w:color="DEE2E6"/>
              <w:right w:val="single" w:sz="8" w:space="0" w:color="DEE2E6"/>
            </w:tcBorders>
            <w:tcMar>
              <w:top w:w="20" w:type="dxa"/>
              <w:left w:w="20" w:type="dxa"/>
              <w:bottom w:w="20" w:type="dxa"/>
              <w:right w:w="20" w:type="dxa"/>
            </w:tcMar>
          </w:tcPr>
          <w:p w14:paraId="4C2A42F6"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lastRenderedPageBreak/>
              <w:t>PATENTS AND COPYRIGHTS</w:t>
            </w:r>
          </w:p>
        </w:tc>
        <w:tc>
          <w:tcPr>
            <w:tcW w:w="1500" w:type="dxa"/>
            <w:tcBorders>
              <w:top w:val="nil"/>
              <w:left w:val="nil"/>
              <w:bottom w:val="single" w:sz="8" w:space="0" w:color="DEE2E6"/>
              <w:right w:val="single" w:sz="8" w:space="0" w:color="DEE2E6"/>
            </w:tcBorders>
            <w:tcMar>
              <w:top w:w="20" w:type="dxa"/>
              <w:left w:w="20" w:type="dxa"/>
              <w:bottom w:w="20" w:type="dxa"/>
              <w:right w:w="20" w:type="dxa"/>
            </w:tcMar>
          </w:tcPr>
          <w:p w14:paraId="0C57ABAA"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YES</w:t>
            </w:r>
          </w:p>
        </w:tc>
        <w:tc>
          <w:tcPr>
            <w:tcW w:w="1125" w:type="dxa"/>
            <w:tcBorders>
              <w:top w:val="nil"/>
              <w:left w:val="nil"/>
              <w:bottom w:val="single" w:sz="8" w:space="0" w:color="DEE2E6"/>
              <w:right w:val="single" w:sz="8" w:space="0" w:color="DEE2E6"/>
            </w:tcBorders>
            <w:tcMar>
              <w:top w:w="20" w:type="dxa"/>
              <w:left w:w="20" w:type="dxa"/>
              <w:bottom w:w="20" w:type="dxa"/>
              <w:right w:w="20" w:type="dxa"/>
            </w:tcMar>
          </w:tcPr>
          <w:p w14:paraId="1A615980"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YES</w:t>
            </w:r>
          </w:p>
        </w:tc>
        <w:tc>
          <w:tcPr>
            <w:tcW w:w="1440" w:type="dxa"/>
            <w:tcBorders>
              <w:top w:val="nil"/>
              <w:left w:val="nil"/>
              <w:bottom w:val="single" w:sz="8" w:space="0" w:color="DEE2E6"/>
              <w:right w:val="single" w:sz="8" w:space="0" w:color="DEE2E6"/>
            </w:tcBorders>
            <w:tcMar>
              <w:top w:w="20" w:type="dxa"/>
              <w:left w:w="20" w:type="dxa"/>
              <w:bottom w:w="20" w:type="dxa"/>
              <w:right w:w="20" w:type="dxa"/>
            </w:tcMar>
          </w:tcPr>
          <w:p w14:paraId="23B33495"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YES</w:t>
            </w:r>
          </w:p>
        </w:tc>
        <w:tc>
          <w:tcPr>
            <w:tcW w:w="1515" w:type="dxa"/>
            <w:tcBorders>
              <w:top w:val="nil"/>
              <w:left w:val="nil"/>
              <w:bottom w:val="single" w:sz="8" w:space="0" w:color="DEE2E6"/>
              <w:right w:val="single" w:sz="8" w:space="0" w:color="DEE2E6"/>
            </w:tcBorders>
            <w:tcMar>
              <w:top w:w="20" w:type="dxa"/>
              <w:left w:w="20" w:type="dxa"/>
              <w:bottom w:w="20" w:type="dxa"/>
              <w:right w:w="20" w:type="dxa"/>
            </w:tcMar>
          </w:tcPr>
          <w:p w14:paraId="2CF4EAA2"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YES</w:t>
            </w:r>
          </w:p>
        </w:tc>
        <w:tc>
          <w:tcPr>
            <w:tcW w:w="1500" w:type="dxa"/>
            <w:tcBorders>
              <w:top w:val="nil"/>
              <w:left w:val="nil"/>
              <w:bottom w:val="single" w:sz="8" w:space="0" w:color="DEE2E6"/>
              <w:right w:val="single" w:sz="8" w:space="0" w:color="DEE2E6"/>
            </w:tcBorders>
            <w:tcMar>
              <w:top w:w="20" w:type="dxa"/>
              <w:left w:w="20" w:type="dxa"/>
              <w:bottom w:w="20" w:type="dxa"/>
              <w:right w:w="20" w:type="dxa"/>
            </w:tcMar>
          </w:tcPr>
          <w:p w14:paraId="4ADA0CA9"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COMBATIVE BENEFIT</w:t>
            </w:r>
          </w:p>
        </w:tc>
      </w:tr>
      <w:tr w:rsidR="0024427E" w14:paraId="12590555" w14:textId="77777777">
        <w:trPr>
          <w:trHeight w:val="585"/>
        </w:trPr>
        <w:tc>
          <w:tcPr>
            <w:tcW w:w="1950" w:type="dxa"/>
            <w:tcBorders>
              <w:top w:val="nil"/>
              <w:left w:val="single" w:sz="8" w:space="0" w:color="DEE2E6"/>
              <w:bottom w:val="single" w:sz="8" w:space="0" w:color="DEE2E6"/>
              <w:right w:val="single" w:sz="8" w:space="0" w:color="DEE2E6"/>
            </w:tcBorders>
            <w:tcMar>
              <w:top w:w="20" w:type="dxa"/>
              <w:left w:w="20" w:type="dxa"/>
              <w:bottom w:w="20" w:type="dxa"/>
              <w:right w:w="20" w:type="dxa"/>
            </w:tcMar>
          </w:tcPr>
          <w:p w14:paraId="58E7DAFE"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GOODWILL</w:t>
            </w:r>
          </w:p>
        </w:tc>
        <w:tc>
          <w:tcPr>
            <w:tcW w:w="1500" w:type="dxa"/>
            <w:tcBorders>
              <w:top w:val="nil"/>
              <w:left w:val="nil"/>
              <w:bottom w:val="single" w:sz="8" w:space="0" w:color="DEE2E6"/>
              <w:right w:val="single" w:sz="8" w:space="0" w:color="DEE2E6"/>
            </w:tcBorders>
            <w:tcMar>
              <w:top w:w="20" w:type="dxa"/>
              <w:left w:w="20" w:type="dxa"/>
              <w:bottom w:w="20" w:type="dxa"/>
              <w:right w:w="20" w:type="dxa"/>
            </w:tcMar>
          </w:tcPr>
          <w:p w14:paraId="51C91571"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YES</w:t>
            </w:r>
          </w:p>
        </w:tc>
        <w:tc>
          <w:tcPr>
            <w:tcW w:w="1125" w:type="dxa"/>
            <w:tcBorders>
              <w:top w:val="nil"/>
              <w:left w:val="nil"/>
              <w:bottom w:val="single" w:sz="8" w:space="0" w:color="DEE2E6"/>
              <w:right w:val="single" w:sz="8" w:space="0" w:color="DEE2E6"/>
            </w:tcBorders>
            <w:tcMar>
              <w:top w:w="20" w:type="dxa"/>
              <w:left w:w="20" w:type="dxa"/>
              <w:bottom w:w="20" w:type="dxa"/>
              <w:right w:w="20" w:type="dxa"/>
            </w:tcMar>
          </w:tcPr>
          <w:p w14:paraId="2A4881B8"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YES</w:t>
            </w:r>
          </w:p>
        </w:tc>
        <w:tc>
          <w:tcPr>
            <w:tcW w:w="1440" w:type="dxa"/>
            <w:tcBorders>
              <w:top w:val="nil"/>
              <w:left w:val="nil"/>
              <w:bottom w:val="single" w:sz="8" w:space="0" w:color="DEE2E6"/>
              <w:right w:val="single" w:sz="8" w:space="0" w:color="DEE2E6"/>
            </w:tcBorders>
            <w:tcMar>
              <w:top w:w="20" w:type="dxa"/>
              <w:left w:w="20" w:type="dxa"/>
              <w:bottom w:w="20" w:type="dxa"/>
              <w:right w:w="20" w:type="dxa"/>
            </w:tcMar>
          </w:tcPr>
          <w:p w14:paraId="3AA53860"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YES</w:t>
            </w:r>
          </w:p>
        </w:tc>
        <w:tc>
          <w:tcPr>
            <w:tcW w:w="1515" w:type="dxa"/>
            <w:tcBorders>
              <w:top w:val="nil"/>
              <w:left w:val="nil"/>
              <w:bottom w:val="single" w:sz="8" w:space="0" w:color="DEE2E6"/>
              <w:right w:val="single" w:sz="8" w:space="0" w:color="DEE2E6"/>
            </w:tcBorders>
            <w:tcMar>
              <w:top w:w="20" w:type="dxa"/>
              <w:left w:w="20" w:type="dxa"/>
              <w:bottom w:w="20" w:type="dxa"/>
              <w:right w:w="20" w:type="dxa"/>
            </w:tcMar>
          </w:tcPr>
          <w:p w14:paraId="6F708E1E"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YES</w:t>
            </w:r>
          </w:p>
        </w:tc>
        <w:tc>
          <w:tcPr>
            <w:tcW w:w="1500" w:type="dxa"/>
            <w:tcBorders>
              <w:top w:val="nil"/>
              <w:left w:val="nil"/>
              <w:bottom w:val="single" w:sz="8" w:space="0" w:color="DEE2E6"/>
              <w:right w:val="single" w:sz="8" w:space="0" w:color="DEE2E6"/>
            </w:tcBorders>
            <w:tcMar>
              <w:top w:w="20" w:type="dxa"/>
              <w:left w:w="20" w:type="dxa"/>
              <w:bottom w:w="20" w:type="dxa"/>
              <w:right w:w="20" w:type="dxa"/>
            </w:tcMar>
          </w:tcPr>
          <w:p w14:paraId="4C090D88"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COMBATIVE BENEFIT</w:t>
            </w:r>
          </w:p>
        </w:tc>
      </w:tr>
      <w:tr w:rsidR="0024427E" w14:paraId="65B28169" w14:textId="77777777">
        <w:trPr>
          <w:trHeight w:val="585"/>
        </w:trPr>
        <w:tc>
          <w:tcPr>
            <w:tcW w:w="1950" w:type="dxa"/>
            <w:tcBorders>
              <w:top w:val="nil"/>
              <w:left w:val="single" w:sz="8" w:space="0" w:color="DEE2E6"/>
              <w:bottom w:val="single" w:sz="8" w:space="0" w:color="DEE2E6"/>
              <w:right w:val="single" w:sz="8" w:space="0" w:color="DEE2E6"/>
            </w:tcBorders>
            <w:tcMar>
              <w:top w:w="20" w:type="dxa"/>
              <w:left w:w="20" w:type="dxa"/>
              <w:bottom w:w="20" w:type="dxa"/>
              <w:right w:w="20" w:type="dxa"/>
            </w:tcMar>
          </w:tcPr>
          <w:p w14:paraId="7C2E4912"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TRADE NAMES</w:t>
            </w:r>
          </w:p>
        </w:tc>
        <w:tc>
          <w:tcPr>
            <w:tcW w:w="1500" w:type="dxa"/>
            <w:tcBorders>
              <w:top w:val="nil"/>
              <w:left w:val="nil"/>
              <w:bottom w:val="single" w:sz="8" w:space="0" w:color="DEE2E6"/>
              <w:right w:val="single" w:sz="8" w:space="0" w:color="DEE2E6"/>
            </w:tcBorders>
            <w:tcMar>
              <w:top w:w="20" w:type="dxa"/>
              <w:left w:w="20" w:type="dxa"/>
              <w:bottom w:w="20" w:type="dxa"/>
              <w:right w:w="20" w:type="dxa"/>
            </w:tcMar>
          </w:tcPr>
          <w:p w14:paraId="16B6246A"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YES</w:t>
            </w:r>
          </w:p>
        </w:tc>
        <w:tc>
          <w:tcPr>
            <w:tcW w:w="1125" w:type="dxa"/>
            <w:tcBorders>
              <w:top w:val="nil"/>
              <w:left w:val="nil"/>
              <w:bottom w:val="single" w:sz="8" w:space="0" w:color="DEE2E6"/>
              <w:right w:val="single" w:sz="8" w:space="0" w:color="DEE2E6"/>
            </w:tcBorders>
            <w:tcMar>
              <w:top w:w="20" w:type="dxa"/>
              <w:left w:w="20" w:type="dxa"/>
              <w:bottom w:w="20" w:type="dxa"/>
              <w:right w:w="20" w:type="dxa"/>
            </w:tcMar>
          </w:tcPr>
          <w:p w14:paraId="649FA722"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YES</w:t>
            </w:r>
          </w:p>
        </w:tc>
        <w:tc>
          <w:tcPr>
            <w:tcW w:w="1440" w:type="dxa"/>
            <w:tcBorders>
              <w:top w:val="nil"/>
              <w:left w:val="nil"/>
              <w:bottom w:val="single" w:sz="8" w:space="0" w:color="DEE2E6"/>
              <w:right w:val="single" w:sz="8" w:space="0" w:color="DEE2E6"/>
            </w:tcBorders>
            <w:tcMar>
              <w:top w:w="20" w:type="dxa"/>
              <w:left w:w="20" w:type="dxa"/>
              <w:bottom w:w="20" w:type="dxa"/>
              <w:right w:w="20" w:type="dxa"/>
            </w:tcMar>
          </w:tcPr>
          <w:p w14:paraId="5BDBBF22"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YES</w:t>
            </w:r>
          </w:p>
        </w:tc>
        <w:tc>
          <w:tcPr>
            <w:tcW w:w="1515" w:type="dxa"/>
            <w:tcBorders>
              <w:top w:val="nil"/>
              <w:left w:val="nil"/>
              <w:bottom w:val="single" w:sz="8" w:space="0" w:color="DEE2E6"/>
              <w:right w:val="single" w:sz="8" w:space="0" w:color="DEE2E6"/>
            </w:tcBorders>
            <w:tcMar>
              <w:top w:w="20" w:type="dxa"/>
              <w:left w:w="20" w:type="dxa"/>
              <w:bottom w:w="20" w:type="dxa"/>
              <w:right w:w="20" w:type="dxa"/>
            </w:tcMar>
          </w:tcPr>
          <w:p w14:paraId="184057E4"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YES</w:t>
            </w:r>
          </w:p>
        </w:tc>
        <w:tc>
          <w:tcPr>
            <w:tcW w:w="1500" w:type="dxa"/>
            <w:tcBorders>
              <w:top w:val="nil"/>
              <w:left w:val="nil"/>
              <w:bottom w:val="single" w:sz="8" w:space="0" w:color="DEE2E6"/>
              <w:right w:val="single" w:sz="8" w:space="0" w:color="DEE2E6"/>
            </w:tcBorders>
            <w:tcMar>
              <w:top w:w="20" w:type="dxa"/>
              <w:left w:w="20" w:type="dxa"/>
              <w:bottom w:w="20" w:type="dxa"/>
              <w:right w:w="20" w:type="dxa"/>
            </w:tcMar>
          </w:tcPr>
          <w:p w14:paraId="777885D0"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COMBATIVE BENEFIT</w:t>
            </w:r>
          </w:p>
        </w:tc>
      </w:tr>
      <w:tr w:rsidR="0024427E" w14:paraId="34F866BE" w14:textId="77777777">
        <w:trPr>
          <w:trHeight w:val="585"/>
        </w:trPr>
        <w:tc>
          <w:tcPr>
            <w:tcW w:w="1950" w:type="dxa"/>
            <w:tcBorders>
              <w:top w:val="nil"/>
              <w:left w:val="single" w:sz="8" w:space="0" w:color="DEE2E6"/>
              <w:bottom w:val="single" w:sz="8" w:space="0" w:color="DEE2E6"/>
              <w:right w:val="single" w:sz="8" w:space="0" w:color="DEE2E6"/>
            </w:tcBorders>
            <w:tcMar>
              <w:top w:w="20" w:type="dxa"/>
              <w:left w:w="20" w:type="dxa"/>
              <w:bottom w:w="20" w:type="dxa"/>
              <w:right w:w="20" w:type="dxa"/>
            </w:tcMar>
          </w:tcPr>
          <w:p w14:paraId="0C1B74EF"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CLIENT EXPERIENCE</w:t>
            </w:r>
          </w:p>
        </w:tc>
        <w:tc>
          <w:tcPr>
            <w:tcW w:w="1500" w:type="dxa"/>
            <w:tcBorders>
              <w:top w:val="nil"/>
              <w:left w:val="nil"/>
              <w:bottom w:val="single" w:sz="8" w:space="0" w:color="DEE2E6"/>
              <w:right w:val="single" w:sz="8" w:space="0" w:color="DEE2E6"/>
            </w:tcBorders>
            <w:tcMar>
              <w:top w:w="20" w:type="dxa"/>
              <w:left w:w="20" w:type="dxa"/>
              <w:bottom w:w="20" w:type="dxa"/>
              <w:right w:w="20" w:type="dxa"/>
            </w:tcMar>
          </w:tcPr>
          <w:p w14:paraId="1461BBDC"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YES</w:t>
            </w:r>
          </w:p>
        </w:tc>
        <w:tc>
          <w:tcPr>
            <w:tcW w:w="1125" w:type="dxa"/>
            <w:tcBorders>
              <w:top w:val="nil"/>
              <w:left w:val="nil"/>
              <w:bottom w:val="single" w:sz="8" w:space="0" w:color="DEE2E6"/>
              <w:right w:val="single" w:sz="8" w:space="0" w:color="DEE2E6"/>
            </w:tcBorders>
            <w:tcMar>
              <w:top w:w="20" w:type="dxa"/>
              <w:left w:w="20" w:type="dxa"/>
              <w:bottom w:w="20" w:type="dxa"/>
              <w:right w:w="20" w:type="dxa"/>
            </w:tcMar>
          </w:tcPr>
          <w:p w14:paraId="0470A1E5"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YES</w:t>
            </w:r>
          </w:p>
        </w:tc>
        <w:tc>
          <w:tcPr>
            <w:tcW w:w="1440" w:type="dxa"/>
            <w:tcBorders>
              <w:top w:val="nil"/>
              <w:left w:val="nil"/>
              <w:bottom w:val="single" w:sz="8" w:space="0" w:color="DEE2E6"/>
              <w:right w:val="single" w:sz="8" w:space="0" w:color="DEE2E6"/>
            </w:tcBorders>
            <w:tcMar>
              <w:top w:w="20" w:type="dxa"/>
              <w:left w:w="20" w:type="dxa"/>
              <w:bottom w:w="20" w:type="dxa"/>
              <w:right w:w="20" w:type="dxa"/>
            </w:tcMar>
          </w:tcPr>
          <w:p w14:paraId="6FFF7FCB"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YES</w:t>
            </w:r>
          </w:p>
        </w:tc>
        <w:tc>
          <w:tcPr>
            <w:tcW w:w="1515" w:type="dxa"/>
            <w:tcBorders>
              <w:top w:val="nil"/>
              <w:left w:val="nil"/>
              <w:bottom w:val="single" w:sz="8" w:space="0" w:color="DEE2E6"/>
              <w:right w:val="single" w:sz="8" w:space="0" w:color="DEE2E6"/>
            </w:tcBorders>
            <w:tcMar>
              <w:top w:w="20" w:type="dxa"/>
              <w:left w:w="20" w:type="dxa"/>
              <w:bottom w:w="20" w:type="dxa"/>
              <w:right w:w="20" w:type="dxa"/>
            </w:tcMar>
          </w:tcPr>
          <w:p w14:paraId="37D67207"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YES</w:t>
            </w:r>
          </w:p>
        </w:tc>
        <w:tc>
          <w:tcPr>
            <w:tcW w:w="1500" w:type="dxa"/>
            <w:tcBorders>
              <w:top w:val="nil"/>
              <w:left w:val="nil"/>
              <w:bottom w:val="single" w:sz="8" w:space="0" w:color="DEE2E6"/>
              <w:right w:val="single" w:sz="8" w:space="0" w:color="DEE2E6"/>
            </w:tcBorders>
            <w:tcMar>
              <w:top w:w="20" w:type="dxa"/>
              <w:left w:w="20" w:type="dxa"/>
              <w:bottom w:w="20" w:type="dxa"/>
              <w:right w:w="20" w:type="dxa"/>
            </w:tcMar>
          </w:tcPr>
          <w:p w14:paraId="38E143F2"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COMBATIVE BENEFIT</w:t>
            </w:r>
          </w:p>
        </w:tc>
      </w:tr>
      <w:tr w:rsidR="0024427E" w14:paraId="5365FF9E" w14:textId="77777777">
        <w:trPr>
          <w:trHeight w:val="585"/>
        </w:trPr>
        <w:tc>
          <w:tcPr>
            <w:tcW w:w="1950" w:type="dxa"/>
            <w:tcBorders>
              <w:top w:val="nil"/>
              <w:left w:val="single" w:sz="8" w:space="0" w:color="DEE2E6"/>
              <w:bottom w:val="single" w:sz="8" w:space="0" w:color="DEE2E6"/>
              <w:right w:val="single" w:sz="8" w:space="0" w:color="DEE2E6"/>
            </w:tcBorders>
            <w:tcMar>
              <w:top w:w="20" w:type="dxa"/>
              <w:left w:w="20" w:type="dxa"/>
              <w:bottom w:w="20" w:type="dxa"/>
              <w:right w:w="20" w:type="dxa"/>
            </w:tcMar>
          </w:tcPr>
          <w:p w14:paraId="388A59F8"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PATENTED TECHNOLOGY AND TRADE SECRETS</w:t>
            </w:r>
          </w:p>
        </w:tc>
        <w:tc>
          <w:tcPr>
            <w:tcW w:w="1500" w:type="dxa"/>
            <w:tcBorders>
              <w:top w:val="nil"/>
              <w:left w:val="nil"/>
              <w:bottom w:val="single" w:sz="8" w:space="0" w:color="DEE2E6"/>
              <w:right w:val="single" w:sz="8" w:space="0" w:color="DEE2E6"/>
            </w:tcBorders>
            <w:tcMar>
              <w:top w:w="20" w:type="dxa"/>
              <w:left w:w="20" w:type="dxa"/>
              <w:bottom w:w="20" w:type="dxa"/>
              <w:right w:w="20" w:type="dxa"/>
            </w:tcMar>
          </w:tcPr>
          <w:p w14:paraId="2EAA5BDB"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YES</w:t>
            </w:r>
          </w:p>
        </w:tc>
        <w:tc>
          <w:tcPr>
            <w:tcW w:w="1125" w:type="dxa"/>
            <w:tcBorders>
              <w:top w:val="nil"/>
              <w:left w:val="nil"/>
              <w:bottom w:val="single" w:sz="8" w:space="0" w:color="DEE2E6"/>
              <w:right w:val="single" w:sz="8" w:space="0" w:color="DEE2E6"/>
            </w:tcBorders>
            <w:tcMar>
              <w:top w:w="20" w:type="dxa"/>
              <w:left w:w="20" w:type="dxa"/>
              <w:bottom w:w="20" w:type="dxa"/>
              <w:right w:w="20" w:type="dxa"/>
            </w:tcMar>
          </w:tcPr>
          <w:p w14:paraId="5892B574"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YES</w:t>
            </w:r>
          </w:p>
        </w:tc>
        <w:tc>
          <w:tcPr>
            <w:tcW w:w="1440" w:type="dxa"/>
            <w:tcBorders>
              <w:top w:val="nil"/>
              <w:left w:val="nil"/>
              <w:bottom w:val="single" w:sz="8" w:space="0" w:color="DEE2E6"/>
              <w:right w:val="single" w:sz="8" w:space="0" w:color="DEE2E6"/>
            </w:tcBorders>
            <w:tcMar>
              <w:top w:w="20" w:type="dxa"/>
              <w:left w:w="20" w:type="dxa"/>
              <w:bottom w:w="20" w:type="dxa"/>
              <w:right w:w="20" w:type="dxa"/>
            </w:tcMar>
          </w:tcPr>
          <w:p w14:paraId="0F47F544"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YES</w:t>
            </w:r>
          </w:p>
        </w:tc>
        <w:tc>
          <w:tcPr>
            <w:tcW w:w="1515" w:type="dxa"/>
            <w:tcBorders>
              <w:top w:val="nil"/>
              <w:left w:val="nil"/>
              <w:bottom w:val="single" w:sz="8" w:space="0" w:color="DEE2E6"/>
              <w:right w:val="single" w:sz="8" w:space="0" w:color="DEE2E6"/>
            </w:tcBorders>
            <w:tcMar>
              <w:top w:w="20" w:type="dxa"/>
              <w:left w:w="20" w:type="dxa"/>
              <w:bottom w:w="20" w:type="dxa"/>
              <w:right w:w="20" w:type="dxa"/>
            </w:tcMar>
          </w:tcPr>
          <w:p w14:paraId="5698E82D"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YES</w:t>
            </w:r>
          </w:p>
        </w:tc>
        <w:tc>
          <w:tcPr>
            <w:tcW w:w="1500" w:type="dxa"/>
            <w:tcBorders>
              <w:top w:val="nil"/>
              <w:left w:val="nil"/>
              <w:bottom w:val="single" w:sz="8" w:space="0" w:color="DEE2E6"/>
              <w:right w:val="single" w:sz="8" w:space="0" w:color="DEE2E6"/>
            </w:tcBorders>
            <w:tcMar>
              <w:top w:w="20" w:type="dxa"/>
              <w:left w:w="20" w:type="dxa"/>
              <w:bottom w:w="20" w:type="dxa"/>
              <w:right w:w="20" w:type="dxa"/>
            </w:tcMar>
          </w:tcPr>
          <w:p w14:paraId="430FE236"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COMBATIVE BENEFIT</w:t>
            </w:r>
          </w:p>
        </w:tc>
      </w:tr>
      <w:tr w:rsidR="0024427E" w14:paraId="59441F8F" w14:textId="77777777">
        <w:trPr>
          <w:trHeight w:val="870"/>
        </w:trPr>
        <w:tc>
          <w:tcPr>
            <w:tcW w:w="1950" w:type="dxa"/>
            <w:tcBorders>
              <w:top w:val="nil"/>
              <w:left w:val="single" w:sz="8" w:space="0" w:color="DEE2E6"/>
              <w:bottom w:val="single" w:sz="8" w:space="0" w:color="DEE2E6"/>
              <w:right w:val="single" w:sz="8" w:space="0" w:color="DEE2E6"/>
            </w:tcBorders>
            <w:tcMar>
              <w:top w:w="20" w:type="dxa"/>
              <w:left w:w="20" w:type="dxa"/>
              <w:bottom w:w="20" w:type="dxa"/>
              <w:right w:w="20" w:type="dxa"/>
            </w:tcMar>
          </w:tcPr>
          <w:p w14:paraId="0B0C2D9D"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VIDEO AND AUDIOVISUAL MATERIAL</w:t>
            </w:r>
          </w:p>
        </w:tc>
        <w:tc>
          <w:tcPr>
            <w:tcW w:w="1500" w:type="dxa"/>
            <w:tcBorders>
              <w:top w:val="nil"/>
              <w:left w:val="nil"/>
              <w:bottom w:val="single" w:sz="8" w:space="0" w:color="DEE2E6"/>
              <w:right w:val="single" w:sz="8" w:space="0" w:color="DEE2E6"/>
            </w:tcBorders>
            <w:tcMar>
              <w:top w:w="20" w:type="dxa"/>
              <w:left w:w="20" w:type="dxa"/>
              <w:bottom w:w="20" w:type="dxa"/>
              <w:right w:w="20" w:type="dxa"/>
            </w:tcMar>
          </w:tcPr>
          <w:p w14:paraId="6D3E9203"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YES</w:t>
            </w:r>
          </w:p>
        </w:tc>
        <w:tc>
          <w:tcPr>
            <w:tcW w:w="1125" w:type="dxa"/>
            <w:tcBorders>
              <w:top w:val="nil"/>
              <w:left w:val="nil"/>
              <w:bottom w:val="single" w:sz="8" w:space="0" w:color="DEE2E6"/>
              <w:right w:val="single" w:sz="8" w:space="0" w:color="DEE2E6"/>
            </w:tcBorders>
            <w:tcMar>
              <w:top w:w="20" w:type="dxa"/>
              <w:left w:w="20" w:type="dxa"/>
              <w:bottom w:w="20" w:type="dxa"/>
              <w:right w:w="20" w:type="dxa"/>
            </w:tcMar>
          </w:tcPr>
          <w:p w14:paraId="14745CDA"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YES</w:t>
            </w:r>
          </w:p>
        </w:tc>
        <w:tc>
          <w:tcPr>
            <w:tcW w:w="1440" w:type="dxa"/>
            <w:tcBorders>
              <w:top w:val="nil"/>
              <w:left w:val="nil"/>
              <w:bottom w:val="single" w:sz="8" w:space="0" w:color="DEE2E6"/>
              <w:right w:val="single" w:sz="8" w:space="0" w:color="DEE2E6"/>
            </w:tcBorders>
            <w:tcMar>
              <w:top w:w="20" w:type="dxa"/>
              <w:left w:w="20" w:type="dxa"/>
              <w:bottom w:w="20" w:type="dxa"/>
              <w:right w:w="20" w:type="dxa"/>
            </w:tcMar>
          </w:tcPr>
          <w:p w14:paraId="4F1AD011"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NO</w:t>
            </w:r>
          </w:p>
        </w:tc>
        <w:tc>
          <w:tcPr>
            <w:tcW w:w="1515" w:type="dxa"/>
            <w:tcBorders>
              <w:top w:val="nil"/>
              <w:left w:val="nil"/>
              <w:bottom w:val="single" w:sz="8" w:space="0" w:color="DEE2E6"/>
              <w:right w:val="single" w:sz="8" w:space="0" w:color="DEE2E6"/>
            </w:tcBorders>
            <w:tcMar>
              <w:top w:w="20" w:type="dxa"/>
              <w:left w:w="20" w:type="dxa"/>
              <w:bottom w:w="20" w:type="dxa"/>
              <w:right w:w="20" w:type="dxa"/>
            </w:tcMar>
          </w:tcPr>
          <w:p w14:paraId="52ACF0D8"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YES</w:t>
            </w:r>
          </w:p>
        </w:tc>
        <w:tc>
          <w:tcPr>
            <w:tcW w:w="1500" w:type="dxa"/>
            <w:tcBorders>
              <w:top w:val="nil"/>
              <w:left w:val="nil"/>
              <w:bottom w:val="single" w:sz="8" w:space="0" w:color="DEE2E6"/>
              <w:right w:val="single" w:sz="8" w:space="0" w:color="DEE2E6"/>
            </w:tcBorders>
            <w:tcMar>
              <w:top w:w="20" w:type="dxa"/>
              <w:left w:w="20" w:type="dxa"/>
              <w:bottom w:w="20" w:type="dxa"/>
              <w:right w:w="20" w:type="dxa"/>
            </w:tcMar>
          </w:tcPr>
          <w:p w14:paraId="4FA0720C"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IMPERMANENT COMBATIVE BENEFIT</w:t>
            </w:r>
          </w:p>
        </w:tc>
      </w:tr>
      <w:tr w:rsidR="0024427E" w14:paraId="0D92B7FB" w14:textId="77777777">
        <w:trPr>
          <w:trHeight w:val="870"/>
        </w:trPr>
        <w:tc>
          <w:tcPr>
            <w:tcW w:w="1950" w:type="dxa"/>
            <w:tcBorders>
              <w:top w:val="nil"/>
              <w:left w:val="single" w:sz="8" w:space="0" w:color="DEE2E6"/>
              <w:bottom w:val="single" w:sz="8" w:space="0" w:color="DEE2E6"/>
              <w:right w:val="single" w:sz="8" w:space="0" w:color="DEE2E6"/>
            </w:tcBorders>
            <w:tcMar>
              <w:top w:w="20" w:type="dxa"/>
              <w:left w:w="20" w:type="dxa"/>
              <w:bottom w:w="20" w:type="dxa"/>
              <w:right w:w="20" w:type="dxa"/>
            </w:tcMar>
          </w:tcPr>
          <w:p w14:paraId="257B8BB0"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 xml:space="preserve">CERTIFYING, ROYALTY, AND </w:t>
            </w:r>
            <w:r w:rsidRPr="00B54F55">
              <w:rPr>
                <w:rFonts w:eastAsia="Times New Roman" w:cs="Times New Roman"/>
                <w:szCs w:val="24"/>
              </w:rPr>
              <w:lastRenderedPageBreak/>
              <w:t>STANDSTILL CONTRACTS</w:t>
            </w:r>
          </w:p>
        </w:tc>
        <w:tc>
          <w:tcPr>
            <w:tcW w:w="1500" w:type="dxa"/>
            <w:tcBorders>
              <w:top w:val="nil"/>
              <w:left w:val="nil"/>
              <w:bottom w:val="single" w:sz="8" w:space="0" w:color="DEE2E6"/>
              <w:right w:val="single" w:sz="8" w:space="0" w:color="DEE2E6"/>
            </w:tcBorders>
            <w:tcMar>
              <w:top w:w="20" w:type="dxa"/>
              <w:left w:w="20" w:type="dxa"/>
              <w:bottom w:w="20" w:type="dxa"/>
              <w:right w:w="20" w:type="dxa"/>
            </w:tcMar>
          </w:tcPr>
          <w:p w14:paraId="0FAAB782"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lastRenderedPageBreak/>
              <w:t>YES</w:t>
            </w:r>
          </w:p>
        </w:tc>
        <w:tc>
          <w:tcPr>
            <w:tcW w:w="1125" w:type="dxa"/>
            <w:tcBorders>
              <w:top w:val="nil"/>
              <w:left w:val="nil"/>
              <w:bottom w:val="single" w:sz="8" w:space="0" w:color="DEE2E6"/>
              <w:right w:val="single" w:sz="8" w:space="0" w:color="DEE2E6"/>
            </w:tcBorders>
            <w:tcMar>
              <w:top w:w="20" w:type="dxa"/>
              <w:left w:w="20" w:type="dxa"/>
              <w:bottom w:w="20" w:type="dxa"/>
              <w:right w:w="20" w:type="dxa"/>
            </w:tcMar>
          </w:tcPr>
          <w:p w14:paraId="234E9E2A"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YES</w:t>
            </w:r>
          </w:p>
        </w:tc>
        <w:tc>
          <w:tcPr>
            <w:tcW w:w="1440" w:type="dxa"/>
            <w:tcBorders>
              <w:top w:val="nil"/>
              <w:left w:val="nil"/>
              <w:bottom w:val="single" w:sz="8" w:space="0" w:color="DEE2E6"/>
              <w:right w:val="single" w:sz="8" w:space="0" w:color="DEE2E6"/>
            </w:tcBorders>
            <w:tcMar>
              <w:top w:w="20" w:type="dxa"/>
              <w:left w:w="20" w:type="dxa"/>
              <w:bottom w:w="20" w:type="dxa"/>
              <w:right w:w="20" w:type="dxa"/>
            </w:tcMar>
          </w:tcPr>
          <w:p w14:paraId="1A1683FB"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NO</w:t>
            </w:r>
          </w:p>
        </w:tc>
        <w:tc>
          <w:tcPr>
            <w:tcW w:w="1515" w:type="dxa"/>
            <w:tcBorders>
              <w:top w:val="nil"/>
              <w:left w:val="nil"/>
              <w:bottom w:val="single" w:sz="8" w:space="0" w:color="DEE2E6"/>
              <w:right w:val="single" w:sz="8" w:space="0" w:color="DEE2E6"/>
            </w:tcBorders>
            <w:tcMar>
              <w:top w:w="20" w:type="dxa"/>
              <w:left w:w="20" w:type="dxa"/>
              <w:bottom w:w="20" w:type="dxa"/>
              <w:right w:w="20" w:type="dxa"/>
            </w:tcMar>
          </w:tcPr>
          <w:p w14:paraId="6CD1FC0A"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YES</w:t>
            </w:r>
          </w:p>
        </w:tc>
        <w:tc>
          <w:tcPr>
            <w:tcW w:w="1500" w:type="dxa"/>
            <w:tcBorders>
              <w:top w:val="nil"/>
              <w:left w:val="nil"/>
              <w:bottom w:val="single" w:sz="8" w:space="0" w:color="DEE2E6"/>
              <w:right w:val="single" w:sz="8" w:space="0" w:color="DEE2E6"/>
            </w:tcBorders>
            <w:tcMar>
              <w:top w:w="20" w:type="dxa"/>
              <w:left w:w="20" w:type="dxa"/>
              <w:bottom w:w="20" w:type="dxa"/>
              <w:right w:w="20" w:type="dxa"/>
            </w:tcMar>
          </w:tcPr>
          <w:p w14:paraId="4EBEECE4"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IMPERMANENT COMBATI</w:t>
            </w:r>
            <w:r w:rsidRPr="00B54F55">
              <w:rPr>
                <w:rFonts w:eastAsia="Times New Roman" w:cs="Times New Roman"/>
                <w:szCs w:val="24"/>
              </w:rPr>
              <w:lastRenderedPageBreak/>
              <w:t>VE BENEFIT</w:t>
            </w:r>
          </w:p>
        </w:tc>
      </w:tr>
      <w:tr w:rsidR="0024427E" w14:paraId="75D4655A" w14:textId="77777777">
        <w:trPr>
          <w:trHeight w:val="585"/>
        </w:trPr>
        <w:tc>
          <w:tcPr>
            <w:tcW w:w="1950" w:type="dxa"/>
            <w:tcBorders>
              <w:top w:val="nil"/>
              <w:left w:val="single" w:sz="8" w:space="0" w:color="DEE2E6"/>
              <w:bottom w:val="single" w:sz="8" w:space="0" w:color="DEE2E6"/>
              <w:right w:val="single" w:sz="8" w:space="0" w:color="DEE2E6"/>
            </w:tcBorders>
            <w:tcMar>
              <w:top w:w="20" w:type="dxa"/>
              <w:left w:w="20" w:type="dxa"/>
              <w:bottom w:w="20" w:type="dxa"/>
              <w:right w:w="20" w:type="dxa"/>
            </w:tcMar>
          </w:tcPr>
          <w:p w14:paraId="50A8C0CB"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lastRenderedPageBreak/>
              <w:t>PURCHASER LISTS</w:t>
            </w:r>
          </w:p>
        </w:tc>
        <w:tc>
          <w:tcPr>
            <w:tcW w:w="1500" w:type="dxa"/>
            <w:tcBorders>
              <w:top w:val="nil"/>
              <w:left w:val="nil"/>
              <w:bottom w:val="single" w:sz="8" w:space="0" w:color="DEE2E6"/>
              <w:right w:val="single" w:sz="8" w:space="0" w:color="DEE2E6"/>
            </w:tcBorders>
            <w:tcMar>
              <w:top w:w="20" w:type="dxa"/>
              <w:left w:w="20" w:type="dxa"/>
              <w:bottom w:w="20" w:type="dxa"/>
              <w:right w:w="20" w:type="dxa"/>
            </w:tcMar>
          </w:tcPr>
          <w:p w14:paraId="74F916D1"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YES</w:t>
            </w:r>
          </w:p>
        </w:tc>
        <w:tc>
          <w:tcPr>
            <w:tcW w:w="1125" w:type="dxa"/>
            <w:tcBorders>
              <w:top w:val="nil"/>
              <w:left w:val="nil"/>
              <w:bottom w:val="single" w:sz="8" w:space="0" w:color="DEE2E6"/>
              <w:right w:val="single" w:sz="8" w:space="0" w:color="DEE2E6"/>
            </w:tcBorders>
            <w:tcMar>
              <w:top w:w="20" w:type="dxa"/>
              <w:left w:w="20" w:type="dxa"/>
              <w:bottom w:w="20" w:type="dxa"/>
              <w:right w:w="20" w:type="dxa"/>
            </w:tcMar>
          </w:tcPr>
          <w:p w14:paraId="12ED3F6C"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YES</w:t>
            </w:r>
          </w:p>
        </w:tc>
        <w:tc>
          <w:tcPr>
            <w:tcW w:w="1440" w:type="dxa"/>
            <w:tcBorders>
              <w:top w:val="nil"/>
              <w:left w:val="nil"/>
              <w:bottom w:val="single" w:sz="8" w:space="0" w:color="DEE2E6"/>
              <w:right w:val="single" w:sz="8" w:space="0" w:color="DEE2E6"/>
            </w:tcBorders>
            <w:tcMar>
              <w:top w:w="20" w:type="dxa"/>
              <w:left w:w="20" w:type="dxa"/>
              <w:bottom w:w="20" w:type="dxa"/>
              <w:right w:w="20" w:type="dxa"/>
            </w:tcMar>
          </w:tcPr>
          <w:p w14:paraId="32A6D080"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YES</w:t>
            </w:r>
          </w:p>
        </w:tc>
        <w:tc>
          <w:tcPr>
            <w:tcW w:w="1515" w:type="dxa"/>
            <w:tcBorders>
              <w:top w:val="nil"/>
              <w:left w:val="nil"/>
              <w:bottom w:val="single" w:sz="8" w:space="0" w:color="DEE2E6"/>
              <w:right w:val="single" w:sz="8" w:space="0" w:color="DEE2E6"/>
            </w:tcBorders>
            <w:tcMar>
              <w:top w:w="20" w:type="dxa"/>
              <w:left w:w="20" w:type="dxa"/>
              <w:bottom w:w="20" w:type="dxa"/>
              <w:right w:w="20" w:type="dxa"/>
            </w:tcMar>
          </w:tcPr>
          <w:p w14:paraId="4499962B"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YES</w:t>
            </w:r>
          </w:p>
        </w:tc>
        <w:tc>
          <w:tcPr>
            <w:tcW w:w="1500" w:type="dxa"/>
            <w:tcBorders>
              <w:top w:val="nil"/>
              <w:left w:val="nil"/>
              <w:bottom w:val="single" w:sz="8" w:space="0" w:color="DEE2E6"/>
              <w:right w:val="single" w:sz="8" w:space="0" w:color="DEE2E6"/>
            </w:tcBorders>
            <w:tcMar>
              <w:top w:w="20" w:type="dxa"/>
              <w:left w:w="20" w:type="dxa"/>
              <w:bottom w:w="20" w:type="dxa"/>
              <w:right w:w="20" w:type="dxa"/>
            </w:tcMar>
          </w:tcPr>
          <w:p w14:paraId="5322B707"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COMBATIVE BENEFIT</w:t>
            </w:r>
          </w:p>
        </w:tc>
      </w:tr>
      <w:tr w:rsidR="0024427E" w14:paraId="4AAF4FA5" w14:textId="77777777">
        <w:trPr>
          <w:trHeight w:val="870"/>
        </w:trPr>
        <w:tc>
          <w:tcPr>
            <w:tcW w:w="1950" w:type="dxa"/>
            <w:tcBorders>
              <w:top w:val="nil"/>
              <w:left w:val="single" w:sz="8" w:space="0" w:color="DEE2E6"/>
              <w:bottom w:val="single" w:sz="8" w:space="0" w:color="DEE2E6"/>
              <w:right w:val="single" w:sz="8" w:space="0" w:color="DEE2E6"/>
            </w:tcBorders>
            <w:tcMar>
              <w:top w:w="20" w:type="dxa"/>
              <w:left w:w="20" w:type="dxa"/>
              <w:bottom w:w="20" w:type="dxa"/>
              <w:right w:w="20" w:type="dxa"/>
            </w:tcMar>
          </w:tcPr>
          <w:p w14:paraId="7041176B"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IMPORT QUOTAS</w:t>
            </w:r>
          </w:p>
        </w:tc>
        <w:tc>
          <w:tcPr>
            <w:tcW w:w="1500" w:type="dxa"/>
            <w:tcBorders>
              <w:top w:val="nil"/>
              <w:left w:val="nil"/>
              <w:bottom w:val="single" w:sz="8" w:space="0" w:color="DEE2E6"/>
              <w:right w:val="single" w:sz="8" w:space="0" w:color="DEE2E6"/>
            </w:tcBorders>
            <w:tcMar>
              <w:top w:w="20" w:type="dxa"/>
              <w:left w:w="20" w:type="dxa"/>
              <w:bottom w:w="20" w:type="dxa"/>
              <w:right w:w="20" w:type="dxa"/>
            </w:tcMar>
          </w:tcPr>
          <w:p w14:paraId="0C2C491A"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YES</w:t>
            </w:r>
          </w:p>
        </w:tc>
        <w:tc>
          <w:tcPr>
            <w:tcW w:w="1125" w:type="dxa"/>
            <w:tcBorders>
              <w:top w:val="nil"/>
              <w:left w:val="nil"/>
              <w:bottom w:val="single" w:sz="8" w:space="0" w:color="DEE2E6"/>
              <w:right w:val="single" w:sz="8" w:space="0" w:color="DEE2E6"/>
            </w:tcBorders>
            <w:tcMar>
              <w:top w:w="20" w:type="dxa"/>
              <w:left w:w="20" w:type="dxa"/>
              <w:bottom w:w="20" w:type="dxa"/>
              <w:right w:w="20" w:type="dxa"/>
            </w:tcMar>
          </w:tcPr>
          <w:p w14:paraId="19FD2D36"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YES</w:t>
            </w:r>
          </w:p>
        </w:tc>
        <w:tc>
          <w:tcPr>
            <w:tcW w:w="1440" w:type="dxa"/>
            <w:tcBorders>
              <w:top w:val="nil"/>
              <w:left w:val="nil"/>
              <w:bottom w:val="single" w:sz="8" w:space="0" w:color="DEE2E6"/>
              <w:right w:val="single" w:sz="8" w:space="0" w:color="DEE2E6"/>
            </w:tcBorders>
            <w:tcMar>
              <w:top w:w="20" w:type="dxa"/>
              <w:left w:w="20" w:type="dxa"/>
              <w:bottom w:w="20" w:type="dxa"/>
              <w:right w:w="20" w:type="dxa"/>
            </w:tcMar>
          </w:tcPr>
          <w:p w14:paraId="20BC1E07"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NO</w:t>
            </w:r>
          </w:p>
        </w:tc>
        <w:tc>
          <w:tcPr>
            <w:tcW w:w="1515" w:type="dxa"/>
            <w:tcBorders>
              <w:top w:val="nil"/>
              <w:left w:val="nil"/>
              <w:bottom w:val="single" w:sz="8" w:space="0" w:color="DEE2E6"/>
              <w:right w:val="single" w:sz="8" w:space="0" w:color="DEE2E6"/>
            </w:tcBorders>
            <w:tcMar>
              <w:top w:w="20" w:type="dxa"/>
              <w:left w:w="20" w:type="dxa"/>
              <w:bottom w:w="20" w:type="dxa"/>
              <w:right w:w="20" w:type="dxa"/>
            </w:tcMar>
          </w:tcPr>
          <w:p w14:paraId="6BD8A8DD"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YES</w:t>
            </w:r>
          </w:p>
        </w:tc>
        <w:tc>
          <w:tcPr>
            <w:tcW w:w="1500" w:type="dxa"/>
            <w:tcBorders>
              <w:top w:val="nil"/>
              <w:left w:val="nil"/>
              <w:bottom w:val="single" w:sz="8" w:space="0" w:color="DEE2E6"/>
              <w:right w:val="single" w:sz="8" w:space="0" w:color="DEE2E6"/>
            </w:tcBorders>
            <w:tcMar>
              <w:top w:w="20" w:type="dxa"/>
              <w:left w:w="20" w:type="dxa"/>
              <w:bottom w:w="20" w:type="dxa"/>
              <w:right w:w="20" w:type="dxa"/>
            </w:tcMar>
          </w:tcPr>
          <w:p w14:paraId="71D31A92"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IMPERMANENT COMBATIVE BENEFIT</w:t>
            </w:r>
          </w:p>
        </w:tc>
      </w:tr>
      <w:tr w:rsidR="0024427E" w14:paraId="0A267757" w14:textId="77777777">
        <w:trPr>
          <w:trHeight w:val="870"/>
        </w:trPr>
        <w:tc>
          <w:tcPr>
            <w:tcW w:w="1950" w:type="dxa"/>
            <w:tcBorders>
              <w:top w:val="nil"/>
              <w:left w:val="single" w:sz="8" w:space="0" w:color="DEE2E6"/>
              <w:bottom w:val="single" w:sz="8" w:space="0" w:color="DEE2E6"/>
              <w:right w:val="single" w:sz="8" w:space="0" w:color="DEE2E6"/>
            </w:tcBorders>
            <w:tcMar>
              <w:top w:w="20" w:type="dxa"/>
              <w:left w:w="20" w:type="dxa"/>
              <w:bottom w:w="20" w:type="dxa"/>
              <w:right w:w="20" w:type="dxa"/>
            </w:tcMar>
          </w:tcPr>
          <w:p w14:paraId="428F497A"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 xml:space="preserve">FRANCHISE </w:t>
            </w:r>
            <w:r w:rsidRPr="00B54F55">
              <w:rPr>
                <w:rFonts w:eastAsia="Times New Roman" w:cs="Times New Roman"/>
                <w:szCs w:val="24"/>
              </w:rPr>
              <w:t>CONTRACTS</w:t>
            </w:r>
          </w:p>
        </w:tc>
        <w:tc>
          <w:tcPr>
            <w:tcW w:w="1500" w:type="dxa"/>
            <w:tcBorders>
              <w:top w:val="nil"/>
              <w:left w:val="nil"/>
              <w:bottom w:val="single" w:sz="8" w:space="0" w:color="DEE2E6"/>
              <w:right w:val="single" w:sz="8" w:space="0" w:color="DEE2E6"/>
            </w:tcBorders>
            <w:tcMar>
              <w:top w:w="20" w:type="dxa"/>
              <w:left w:w="20" w:type="dxa"/>
              <w:bottom w:w="20" w:type="dxa"/>
              <w:right w:w="20" w:type="dxa"/>
            </w:tcMar>
          </w:tcPr>
          <w:p w14:paraId="0E02B3AD"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YES</w:t>
            </w:r>
          </w:p>
        </w:tc>
        <w:tc>
          <w:tcPr>
            <w:tcW w:w="1125" w:type="dxa"/>
            <w:tcBorders>
              <w:top w:val="nil"/>
              <w:left w:val="nil"/>
              <w:bottom w:val="single" w:sz="8" w:space="0" w:color="DEE2E6"/>
              <w:right w:val="single" w:sz="8" w:space="0" w:color="DEE2E6"/>
            </w:tcBorders>
            <w:tcMar>
              <w:top w:w="20" w:type="dxa"/>
              <w:left w:w="20" w:type="dxa"/>
              <w:bottom w:w="20" w:type="dxa"/>
              <w:right w:w="20" w:type="dxa"/>
            </w:tcMar>
          </w:tcPr>
          <w:p w14:paraId="18B3ABF9"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YES</w:t>
            </w:r>
          </w:p>
        </w:tc>
        <w:tc>
          <w:tcPr>
            <w:tcW w:w="1440" w:type="dxa"/>
            <w:tcBorders>
              <w:top w:val="nil"/>
              <w:left w:val="nil"/>
              <w:bottom w:val="single" w:sz="8" w:space="0" w:color="DEE2E6"/>
              <w:right w:val="single" w:sz="8" w:space="0" w:color="DEE2E6"/>
            </w:tcBorders>
            <w:tcMar>
              <w:top w:w="20" w:type="dxa"/>
              <w:left w:w="20" w:type="dxa"/>
              <w:bottom w:w="20" w:type="dxa"/>
              <w:right w:w="20" w:type="dxa"/>
            </w:tcMar>
          </w:tcPr>
          <w:p w14:paraId="3FD924CE"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NO</w:t>
            </w:r>
          </w:p>
        </w:tc>
        <w:tc>
          <w:tcPr>
            <w:tcW w:w="1515" w:type="dxa"/>
            <w:tcBorders>
              <w:top w:val="nil"/>
              <w:left w:val="nil"/>
              <w:bottom w:val="single" w:sz="8" w:space="0" w:color="DEE2E6"/>
              <w:right w:val="single" w:sz="8" w:space="0" w:color="DEE2E6"/>
            </w:tcBorders>
            <w:tcMar>
              <w:top w:w="20" w:type="dxa"/>
              <w:left w:w="20" w:type="dxa"/>
              <w:bottom w:w="20" w:type="dxa"/>
              <w:right w:w="20" w:type="dxa"/>
            </w:tcMar>
          </w:tcPr>
          <w:p w14:paraId="0865D944"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YES</w:t>
            </w:r>
          </w:p>
        </w:tc>
        <w:tc>
          <w:tcPr>
            <w:tcW w:w="1500" w:type="dxa"/>
            <w:tcBorders>
              <w:top w:val="nil"/>
              <w:left w:val="nil"/>
              <w:bottom w:val="single" w:sz="8" w:space="0" w:color="DEE2E6"/>
              <w:right w:val="single" w:sz="8" w:space="0" w:color="DEE2E6"/>
            </w:tcBorders>
            <w:tcMar>
              <w:top w:w="20" w:type="dxa"/>
              <w:left w:w="20" w:type="dxa"/>
              <w:bottom w:w="20" w:type="dxa"/>
              <w:right w:w="20" w:type="dxa"/>
            </w:tcMar>
          </w:tcPr>
          <w:p w14:paraId="464CC4CB"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IMPERMANENT COMBATIVE BENEFIT</w:t>
            </w:r>
          </w:p>
        </w:tc>
      </w:tr>
      <w:tr w:rsidR="0024427E" w14:paraId="7DF5D621" w14:textId="77777777">
        <w:trPr>
          <w:trHeight w:val="870"/>
        </w:trPr>
        <w:tc>
          <w:tcPr>
            <w:tcW w:w="1950" w:type="dxa"/>
            <w:tcBorders>
              <w:top w:val="nil"/>
              <w:left w:val="single" w:sz="8" w:space="0" w:color="DEE2E6"/>
              <w:bottom w:val="single" w:sz="8" w:space="0" w:color="DEE2E6"/>
              <w:right w:val="single" w:sz="8" w:space="0" w:color="DEE2E6"/>
            </w:tcBorders>
            <w:tcMar>
              <w:top w:w="20" w:type="dxa"/>
              <w:left w:w="20" w:type="dxa"/>
              <w:bottom w:w="20" w:type="dxa"/>
              <w:right w:w="20" w:type="dxa"/>
            </w:tcMar>
          </w:tcPr>
          <w:p w14:paraId="00BD050C"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 xml:space="preserve">CLIENT AND SUPPLIER RELATIONS </w:t>
            </w:r>
          </w:p>
        </w:tc>
        <w:tc>
          <w:tcPr>
            <w:tcW w:w="1500" w:type="dxa"/>
            <w:tcBorders>
              <w:top w:val="nil"/>
              <w:left w:val="nil"/>
              <w:bottom w:val="single" w:sz="8" w:space="0" w:color="DEE2E6"/>
              <w:right w:val="single" w:sz="8" w:space="0" w:color="DEE2E6"/>
            </w:tcBorders>
            <w:tcMar>
              <w:top w:w="20" w:type="dxa"/>
              <w:left w:w="20" w:type="dxa"/>
              <w:bottom w:w="20" w:type="dxa"/>
              <w:right w:w="20" w:type="dxa"/>
            </w:tcMar>
          </w:tcPr>
          <w:p w14:paraId="6E7758ED"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YES</w:t>
            </w:r>
          </w:p>
        </w:tc>
        <w:tc>
          <w:tcPr>
            <w:tcW w:w="1125" w:type="dxa"/>
            <w:tcBorders>
              <w:top w:val="nil"/>
              <w:left w:val="nil"/>
              <w:bottom w:val="single" w:sz="8" w:space="0" w:color="DEE2E6"/>
              <w:right w:val="single" w:sz="8" w:space="0" w:color="DEE2E6"/>
            </w:tcBorders>
            <w:tcMar>
              <w:top w:w="20" w:type="dxa"/>
              <w:left w:w="20" w:type="dxa"/>
              <w:bottom w:w="20" w:type="dxa"/>
              <w:right w:w="20" w:type="dxa"/>
            </w:tcMar>
          </w:tcPr>
          <w:p w14:paraId="739B6572"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YES</w:t>
            </w:r>
          </w:p>
        </w:tc>
        <w:tc>
          <w:tcPr>
            <w:tcW w:w="1440" w:type="dxa"/>
            <w:tcBorders>
              <w:top w:val="nil"/>
              <w:left w:val="nil"/>
              <w:bottom w:val="single" w:sz="8" w:space="0" w:color="DEE2E6"/>
              <w:right w:val="single" w:sz="8" w:space="0" w:color="DEE2E6"/>
            </w:tcBorders>
            <w:tcMar>
              <w:top w:w="20" w:type="dxa"/>
              <w:left w:w="20" w:type="dxa"/>
              <w:bottom w:w="20" w:type="dxa"/>
              <w:right w:w="20" w:type="dxa"/>
            </w:tcMar>
          </w:tcPr>
          <w:p w14:paraId="2B8FBAA1"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NO</w:t>
            </w:r>
          </w:p>
        </w:tc>
        <w:tc>
          <w:tcPr>
            <w:tcW w:w="1515" w:type="dxa"/>
            <w:tcBorders>
              <w:top w:val="nil"/>
              <w:left w:val="nil"/>
              <w:bottom w:val="single" w:sz="8" w:space="0" w:color="DEE2E6"/>
              <w:right w:val="single" w:sz="8" w:space="0" w:color="DEE2E6"/>
            </w:tcBorders>
            <w:tcMar>
              <w:top w:w="20" w:type="dxa"/>
              <w:left w:w="20" w:type="dxa"/>
              <w:bottom w:w="20" w:type="dxa"/>
              <w:right w:w="20" w:type="dxa"/>
            </w:tcMar>
          </w:tcPr>
          <w:p w14:paraId="43F781D6"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YES</w:t>
            </w:r>
          </w:p>
        </w:tc>
        <w:tc>
          <w:tcPr>
            <w:tcW w:w="1500" w:type="dxa"/>
            <w:tcBorders>
              <w:top w:val="nil"/>
              <w:left w:val="nil"/>
              <w:bottom w:val="single" w:sz="8" w:space="0" w:color="DEE2E6"/>
              <w:right w:val="single" w:sz="8" w:space="0" w:color="DEE2E6"/>
            </w:tcBorders>
            <w:tcMar>
              <w:top w:w="20" w:type="dxa"/>
              <w:left w:w="20" w:type="dxa"/>
              <w:bottom w:w="20" w:type="dxa"/>
              <w:right w:w="20" w:type="dxa"/>
            </w:tcMar>
          </w:tcPr>
          <w:p w14:paraId="093CD64C"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IMPERMANENT COMBATIVE BENEFIT</w:t>
            </w:r>
          </w:p>
        </w:tc>
      </w:tr>
      <w:tr w:rsidR="0024427E" w14:paraId="37B7E723" w14:textId="77777777">
        <w:trPr>
          <w:trHeight w:val="1775"/>
        </w:trPr>
        <w:tc>
          <w:tcPr>
            <w:tcW w:w="1950" w:type="dxa"/>
            <w:tcBorders>
              <w:top w:val="nil"/>
              <w:left w:val="single" w:sz="8" w:space="0" w:color="DEE2E6"/>
              <w:bottom w:val="single" w:sz="8" w:space="0" w:color="DEE2E6"/>
              <w:right w:val="single" w:sz="8" w:space="0" w:color="DEE2E6"/>
            </w:tcBorders>
            <w:tcMar>
              <w:top w:w="20" w:type="dxa"/>
              <w:left w:w="20" w:type="dxa"/>
              <w:bottom w:w="20" w:type="dxa"/>
              <w:right w:w="20" w:type="dxa"/>
            </w:tcMar>
          </w:tcPr>
          <w:p w14:paraId="5B24BCDA"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MARKETING RIGHTS</w:t>
            </w:r>
          </w:p>
        </w:tc>
        <w:tc>
          <w:tcPr>
            <w:tcW w:w="1500" w:type="dxa"/>
            <w:tcBorders>
              <w:top w:val="nil"/>
              <w:left w:val="nil"/>
              <w:bottom w:val="single" w:sz="8" w:space="0" w:color="DEE2E6"/>
              <w:right w:val="single" w:sz="8" w:space="0" w:color="DEE2E6"/>
            </w:tcBorders>
            <w:tcMar>
              <w:top w:w="20" w:type="dxa"/>
              <w:left w:w="20" w:type="dxa"/>
              <w:bottom w:w="20" w:type="dxa"/>
              <w:right w:w="20" w:type="dxa"/>
            </w:tcMar>
          </w:tcPr>
          <w:p w14:paraId="2B6DE39E"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YES</w:t>
            </w:r>
          </w:p>
        </w:tc>
        <w:tc>
          <w:tcPr>
            <w:tcW w:w="1125" w:type="dxa"/>
            <w:tcBorders>
              <w:top w:val="nil"/>
              <w:left w:val="nil"/>
              <w:bottom w:val="single" w:sz="8" w:space="0" w:color="DEE2E6"/>
              <w:right w:val="single" w:sz="8" w:space="0" w:color="DEE2E6"/>
            </w:tcBorders>
            <w:tcMar>
              <w:top w:w="20" w:type="dxa"/>
              <w:left w:w="20" w:type="dxa"/>
              <w:bottom w:w="20" w:type="dxa"/>
              <w:right w:w="20" w:type="dxa"/>
            </w:tcMar>
          </w:tcPr>
          <w:p w14:paraId="31C1F7DF"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YES</w:t>
            </w:r>
          </w:p>
        </w:tc>
        <w:tc>
          <w:tcPr>
            <w:tcW w:w="1440" w:type="dxa"/>
            <w:tcBorders>
              <w:top w:val="nil"/>
              <w:left w:val="nil"/>
              <w:bottom w:val="single" w:sz="8" w:space="0" w:color="DEE2E6"/>
              <w:right w:val="single" w:sz="8" w:space="0" w:color="DEE2E6"/>
            </w:tcBorders>
            <w:tcMar>
              <w:top w:w="20" w:type="dxa"/>
              <w:left w:w="20" w:type="dxa"/>
              <w:bottom w:w="20" w:type="dxa"/>
              <w:right w:w="20" w:type="dxa"/>
            </w:tcMar>
          </w:tcPr>
          <w:p w14:paraId="794EE6D2"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NO</w:t>
            </w:r>
          </w:p>
        </w:tc>
        <w:tc>
          <w:tcPr>
            <w:tcW w:w="1515" w:type="dxa"/>
            <w:tcBorders>
              <w:top w:val="nil"/>
              <w:left w:val="nil"/>
              <w:bottom w:val="single" w:sz="8" w:space="0" w:color="DEE2E6"/>
              <w:right w:val="single" w:sz="8" w:space="0" w:color="DEE2E6"/>
            </w:tcBorders>
            <w:tcMar>
              <w:top w:w="20" w:type="dxa"/>
              <w:left w:w="20" w:type="dxa"/>
              <w:bottom w:w="20" w:type="dxa"/>
              <w:right w:w="20" w:type="dxa"/>
            </w:tcMar>
          </w:tcPr>
          <w:p w14:paraId="62FA0B0F"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YES</w:t>
            </w:r>
          </w:p>
        </w:tc>
        <w:tc>
          <w:tcPr>
            <w:tcW w:w="1500" w:type="dxa"/>
            <w:tcBorders>
              <w:top w:val="nil"/>
              <w:left w:val="nil"/>
              <w:bottom w:val="single" w:sz="8" w:space="0" w:color="DEE2E6"/>
              <w:right w:val="single" w:sz="8" w:space="0" w:color="DEE2E6"/>
            </w:tcBorders>
            <w:tcMar>
              <w:top w:w="20" w:type="dxa"/>
              <w:left w:w="20" w:type="dxa"/>
              <w:bottom w:w="20" w:type="dxa"/>
              <w:right w:w="20" w:type="dxa"/>
            </w:tcMar>
          </w:tcPr>
          <w:p w14:paraId="2D87398F"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TEMPORARY COMBATIVE BENEFIT</w:t>
            </w:r>
          </w:p>
        </w:tc>
      </w:tr>
      <w:tr w:rsidR="0024427E" w14:paraId="38A4597A" w14:textId="77777777">
        <w:trPr>
          <w:trHeight w:val="413"/>
        </w:trPr>
        <w:tc>
          <w:tcPr>
            <w:tcW w:w="1950" w:type="dxa"/>
            <w:tcBorders>
              <w:top w:val="nil"/>
              <w:left w:val="single" w:sz="8" w:space="0" w:color="DEE2E6"/>
              <w:bottom w:val="single" w:sz="8" w:space="0" w:color="DEE2E6"/>
              <w:right w:val="single" w:sz="8" w:space="0" w:color="DEE2E6"/>
            </w:tcBorders>
            <w:tcMar>
              <w:top w:w="20" w:type="dxa"/>
              <w:left w:w="20" w:type="dxa"/>
              <w:bottom w:w="20" w:type="dxa"/>
              <w:right w:w="20" w:type="dxa"/>
            </w:tcMar>
          </w:tcPr>
          <w:p w14:paraId="252AE86F"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lastRenderedPageBreak/>
              <w:t xml:space="preserve">HRM SKILLS </w:t>
            </w:r>
          </w:p>
        </w:tc>
        <w:tc>
          <w:tcPr>
            <w:tcW w:w="1500" w:type="dxa"/>
            <w:tcBorders>
              <w:top w:val="nil"/>
              <w:left w:val="nil"/>
              <w:bottom w:val="single" w:sz="8" w:space="0" w:color="DEE2E6"/>
              <w:right w:val="single" w:sz="8" w:space="0" w:color="DEE2E6"/>
            </w:tcBorders>
            <w:tcMar>
              <w:top w:w="20" w:type="dxa"/>
              <w:left w:w="20" w:type="dxa"/>
              <w:bottom w:w="20" w:type="dxa"/>
              <w:right w:w="20" w:type="dxa"/>
            </w:tcMar>
          </w:tcPr>
          <w:p w14:paraId="7A239F12"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YES</w:t>
            </w:r>
          </w:p>
        </w:tc>
        <w:tc>
          <w:tcPr>
            <w:tcW w:w="1125" w:type="dxa"/>
            <w:tcBorders>
              <w:top w:val="nil"/>
              <w:left w:val="nil"/>
              <w:bottom w:val="single" w:sz="8" w:space="0" w:color="DEE2E6"/>
              <w:right w:val="single" w:sz="8" w:space="0" w:color="DEE2E6"/>
            </w:tcBorders>
            <w:tcMar>
              <w:top w:w="20" w:type="dxa"/>
              <w:left w:w="20" w:type="dxa"/>
              <w:bottom w:w="20" w:type="dxa"/>
              <w:right w:w="20" w:type="dxa"/>
            </w:tcMar>
          </w:tcPr>
          <w:p w14:paraId="439A70F2"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YES</w:t>
            </w:r>
          </w:p>
        </w:tc>
        <w:tc>
          <w:tcPr>
            <w:tcW w:w="1440" w:type="dxa"/>
            <w:tcBorders>
              <w:top w:val="nil"/>
              <w:left w:val="nil"/>
              <w:bottom w:val="single" w:sz="8" w:space="0" w:color="DEE2E6"/>
              <w:right w:val="single" w:sz="8" w:space="0" w:color="DEE2E6"/>
            </w:tcBorders>
            <w:tcMar>
              <w:top w:w="20" w:type="dxa"/>
              <w:left w:w="20" w:type="dxa"/>
              <w:bottom w:w="20" w:type="dxa"/>
              <w:right w:w="20" w:type="dxa"/>
            </w:tcMar>
          </w:tcPr>
          <w:p w14:paraId="16EBD40D"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YES</w:t>
            </w:r>
          </w:p>
        </w:tc>
        <w:tc>
          <w:tcPr>
            <w:tcW w:w="1515" w:type="dxa"/>
            <w:tcBorders>
              <w:top w:val="nil"/>
              <w:left w:val="nil"/>
              <w:bottom w:val="single" w:sz="8" w:space="0" w:color="DEE2E6"/>
              <w:right w:val="single" w:sz="8" w:space="0" w:color="DEE2E6"/>
            </w:tcBorders>
            <w:tcMar>
              <w:top w:w="20" w:type="dxa"/>
              <w:left w:w="20" w:type="dxa"/>
              <w:bottom w:w="20" w:type="dxa"/>
              <w:right w:w="20" w:type="dxa"/>
            </w:tcMar>
          </w:tcPr>
          <w:p w14:paraId="7032ABEB"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YES</w:t>
            </w:r>
          </w:p>
        </w:tc>
        <w:tc>
          <w:tcPr>
            <w:tcW w:w="1500" w:type="dxa"/>
            <w:tcBorders>
              <w:top w:val="nil"/>
              <w:left w:val="nil"/>
              <w:bottom w:val="single" w:sz="8" w:space="0" w:color="DEE2E6"/>
              <w:right w:val="single" w:sz="8" w:space="0" w:color="DEE2E6"/>
            </w:tcBorders>
            <w:tcMar>
              <w:top w:w="20" w:type="dxa"/>
              <w:left w:w="20" w:type="dxa"/>
              <w:bottom w:w="20" w:type="dxa"/>
              <w:right w:w="20" w:type="dxa"/>
            </w:tcMar>
          </w:tcPr>
          <w:p w14:paraId="62FA5539" w14:textId="77777777" w:rsidR="00CF60D7" w:rsidRPr="00B54F55" w:rsidRDefault="001A38E2">
            <w:pPr>
              <w:spacing w:before="240" w:after="240"/>
              <w:ind w:left="140" w:right="140"/>
              <w:rPr>
                <w:rFonts w:eastAsia="Times New Roman" w:cs="Times New Roman"/>
                <w:szCs w:val="24"/>
              </w:rPr>
            </w:pPr>
            <w:r w:rsidRPr="00B54F55">
              <w:rPr>
                <w:rFonts w:eastAsia="Times New Roman" w:cs="Times New Roman"/>
                <w:szCs w:val="24"/>
              </w:rPr>
              <w:t>COMBATIVE BENEFIT</w:t>
            </w:r>
          </w:p>
        </w:tc>
      </w:tr>
    </w:tbl>
    <w:p w14:paraId="14097B22" w14:textId="77777777" w:rsidR="00CF60D7" w:rsidRPr="00B54F55" w:rsidRDefault="001A38E2">
      <w:pPr>
        <w:spacing w:before="240" w:after="240"/>
        <w:rPr>
          <w:rFonts w:eastAsia="Times New Roman" w:cs="Times New Roman"/>
          <w:szCs w:val="24"/>
        </w:rPr>
      </w:pPr>
      <w:r w:rsidRPr="00B54F55">
        <w:rPr>
          <w:rFonts w:eastAsia="Times New Roman" w:cs="Times New Roman"/>
          <w:szCs w:val="24"/>
        </w:rPr>
        <w:t>Competitive benefit- These assets and circumstances specified within the V.R.I.O. list have permitted Sony to beat other players in calculated markets in several nations. It also allowed it to form an exclusive client foundation with a tall request for its</w:t>
      </w:r>
      <w:r w:rsidRPr="00B54F55">
        <w:rPr>
          <w:rFonts w:eastAsia="Times New Roman" w:cs="Times New Roman"/>
          <w:szCs w:val="24"/>
        </w:rPr>
        <w:t xml:space="preserve"> particular item contributions and delicate items (Miller, 2019). Be that as it may, competitive advantage creates within the long run, and is, for the most part, maintainable since the assets that a company possesses, controls, or has effectively fulfille</w:t>
      </w:r>
      <w:r w:rsidRPr="00B54F55">
        <w:rPr>
          <w:rFonts w:eastAsia="Times New Roman" w:cs="Times New Roman"/>
          <w:szCs w:val="24"/>
        </w:rPr>
        <w:t>d V.R.I.O. standards.</w:t>
      </w:r>
    </w:p>
    <w:p w14:paraId="4AC58AB6" w14:textId="77777777" w:rsidR="00CF60D7" w:rsidRPr="00B54F55" w:rsidRDefault="001A38E2" w:rsidP="00B54F55">
      <w:pPr>
        <w:pStyle w:val="Titlu2"/>
      </w:pPr>
      <w:bookmarkStart w:id="7" w:name="_Toc72004081"/>
      <w:r>
        <w:t>The 7S model of McKinsey</w:t>
      </w:r>
      <w:bookmarkEnd w:id="7"/>
    </w:p>
    <w:p w14:paraId="17674D46" w14:textId="77777777" w:rsidR="00CF60D7" w:rsidRPr="00B54F55" w:rsidRDefault="001A38E2">
      <w:pPr>
        <w:spacing w:before="240" w:after="240"/>
        <w:rPr>
          <w:rFonts w:eastAsia="Times New Roman" w:cs="Times New Roman"/>
          <w:b/>
          <w:szCs w:val="24"/>
        </w:rPr>
      </w:pPr>
      <w:r w:rsidRPr="00B54F55">
        <w:rPr>
          <w:rFonts w:eastAsia="Times New Roman" w:cs="Times New Roman"/>
          <w:b/>
          <w:szCs w:val="24"/>
        </w:rPr>
        <w:t>Hard elements</w:t>
      </w:r>
    </w:p>
    <w:p w14:paraId="710C3225" w14:textId="77777777" w:rsidR="00CF60D7" w:rsidRPr="00B54F55" w:rsidRDefault="001A38E2">
      <w:pPr>
        <w:spacing w:before="240" w:after="240"/>
        <w:rPr>
          <w:rFonts w:eastAsia="Times New Roman" w:cs="Times New Roman"/>
          <w:szCs w:val="24"/>
        </w:rPr>
      </w:pPr>
      <w:r w:rsidRPr="00B54F55">
        <w:rPr>
          <w:rFonts w:eastAsia="Times New Roman" w:cs="Times New Roman"/>
          <w:szCs w:val="24"/>
        </w:rPr>
        <w:t>The stiff components of the McKinsey 7s demonstrate methodology, structure, and frameworks. The complex features of the show are simpler to recognize, more unmistakable, and expressly regulated a</w:t>
      </w:r>
      <w:r w:rsidRPr="00B54F55">
        <w:rPr>
          <w:rFonts w:eastAsia="Times New Roman" w:cs="Times New Roman"/>
          <w:szCs w:val="24"/>
        </w:rPr>
        <w:t>nd impacted by the authority and administration of the establishment.</w:t>
      </w:r>
    </w:p>
    <w:p w14:paraId="7BECACB9" w14:textId="77777777" w:rsidR="00CF60D7" w:rsidRPr="00B54F55" w:rsidRDefault="001A38E2">
      <w:pPr>
        <w:spacing w:before="240" w:after="240"/>
        <w:rPr>
          <w:rFonts w:eastAsia="Times New Roman" w:cs="Times New Roman"/>
          <w:szCs w:val="24"/>
        </w:rPr>
      </w:pPr>
      <w:r w:rsidRPr="00B54F55">
        <w:rPr>
          <w:rFonts w:eastAsia="Times New Roman" w:cs="Times New Roman"/>
          <w:szCs w:val="24"/>
        </w:rPr>
        <w:t>• Strategy- The vital heading and the by and considerable trade technique for Sony are characterized and communicated to all the workers and partners (Shaqrah, 2018). This makes a differ</w:t>
      </w:r>
      <w:r w:rsidRPr="00B54F55">
        <w:rPr>
          <w:rFonts w:eastAsia="Times New Roman" w:cs="Times New Roman"/>
          <w:szCs w:val="24"/>
        </w:rPr>
        <w:t>ence in the organization overseeing execution, direct activities, and plan distinctive strategies adjusted with the trading technique. Moreover, Sony's approach into thought the modest weights and exercises of contestants. The methodology reports these fai</w:t>
      </w:r>
      <w:r w:rsidRPr="00B54F55">
        <w:rPr>
          <w:rFonts w:eastAsia="Times New Roman" w:cs="Times New Roman"/>
          <w:szCs w:val="24"/>
        </w:rPr>
        <w:t>r weights over-expressive events and activities to report rivalry through crucial strategies and practices that guarantee supportability to Sony using adjusting to showcase changes and advancing customer patterns and stresses.</w:t>
      </w:r>
    </w:p>
    <w:p w14:paraId="41AB3C01" w14:textId="77777777" w:rsidR="00CF60D7" w:rsidRPr="00B54F55" w:rsidRDefault="001A38E2">
      <w:pPr>
        <w:spacing w:before="240" w:after="240"/>
        <w:rPr>
          <w:rFonts w:eastAsia="Times New Roman" w:cs="Times New Roman"/>
          <w:szCs w:val="24"/>
        </w:rPr>
      </w:pPr>
      <w:r w:rsidRPr="00B54F55">
        <w:rPr>
          <w:rFonts w:eastAsia="Times New Roman" w:cs="Times New Roman"/>
          <w:szCs w:val="24"/>
        </w:rPr>
        <w:t>• Structure- Sony encompasses</w:t>
      </w:r>
      <w:r w:rsidRPr="00B54F55">
        <w:rPr>
          <w:rFonts w:eastAsia="Times New Roman" w:cs="Times New Roman"/>
          <w:szCs w:val="24"/>
        </w:rPr>
        <w:t xml:space="preserve"> a complement organizational chain of command backed by learning and dynamic organizations. With slighter administrative stages among and additional to the elder supervision and administration, the workers feel extra protected and sure additionally have ad</w:t>
      </w:r>
      <w:r w:rsidRPr="00B54F55">
        <w:rPr>
          <w:rFonts w:eastAsia="Times New Roman" w:cs="Times New Roman"/>
          <w:szCs w:val="24"/>
        </w:rPr>
        <w:t>vanced data. Additionally, the flatter chain of command permits speedier decision-making forms for Sony and increments structural assurance within the workers.</w:t>
      </w:r>
    </w:p>
    <w:p w14:paraId="6129C382" w14:textId="77777777" w:rsidR="00CF60D7" w:rsidRPr="00B54F55" w:rsidRDefault="001A38E2">
      <w:pPr>
        <w:spacing w:before="240" w:after="240"/>
        <w:rPr>
          <w:rFonts w:eastAsia="Times New Roman" w:cs="Times New Roman"/>
          <w:szCs w:val="24"/>
        </w:rPr>
      </w:pPr>
      <w:r w:rsidRPr="00B54F55">
        <w:rPr>
          <w:rFonts w:eastAsia="Times New Roman" w:cs="Times New Roman"/>
          <w:szCs w:val="24"/>
        </w:rPr>
        <w:lastRenderedPageBreak/>
        <w:t>• Systems- Each of the characterized and delineated frameworks at Sony has particularly outlined</w:t>
      </w:r>
      <w:r w:rsidRPr="00B54F55">
        <w:rPr>
          <w:rFonts w:eastAsia="Times New Roman" w:cs="Times New Roman"/>
          <w:szCs w:val="24"/>
        </w:rPr>
        <w:t xml:space="preserve"> tools and strategies as controls for assessing the execution and objective achievement. These panels and actions are planned in particular different divisions grounded on the landscape of their errands and obligations (Mirbabaev and Ilkhamov, 2018). In ad</w:t>
      </w:r>
      <w:r w:rsidRPr="00B54F55">
        <w:rPr>
          <w:rFonts w:eastAsia="Times New Roman" w:cs="Times New Roman"/>
          <w:szCs w:val="24"/>
        </w:rPr>
        <w:t>dition, each office moreover plans certain controls for individuals for execution assessment, as fine as for inter-departmental errands and tasks.</w:t>
      </w:r>
    </w:p>
    <w:p w14:paraId="1A3E4791" w14:textId="77777777" w:rsidR="00CF60D7" w:rsidRPr="00B54F55" w:rsidRDefault="001A38E2">
      <w:pPr>
        <w:spacing w:before="240" w:after="240"/>
        <w:rPr>
          <w:rFonts w:eastAsia="Times New Roman" w:cs="Times New Roman"/>
          <w:b/>
          <w:szCs w:val="24"/>
        </w:rPr>
      </w:pPr>
      <w:r w:rsidRPr="00B54F55">
        <w:rPr>
          <w:rFonts w:eastAsia="Times New Roman" w:cs="Times New Roman"/>
          <w:b/>
          <w:szCs w:val="24"/>
        </w:rPr>
        <w:t>Soft elements</w:t>
      </w:r>
    </w:p>
    <w:p w14:paraId="624C4A62" w14:textId="77777777" w:rsidR="00CF60D7" w:rsidRPr="00B54F55" w:rsidRDefault="001A38E2">
      <w:pPr>
        <w:spacing w:before="240" w:after="240"/>
        <w:rPr>
          <w:rFonts w:eastAsia="Times New Roman" w:cs="Times New Roman"/>
          <w:szCs w:val="24"/>
        </w:rPr>
      </w:pPr>
      <w:r w:rsidRPr="00B54F55">
        <w:rPr>
          <w:rFonts w:eastAsia="Times New Roman" w:cs="Times New Roman"/>
          <w:szCs w:val="24"/>
        </w:rPr>
        <w:t>The soft components of the McKinsey 7s show, in turn, incorporate communal ethics, employees, a</w:t>
      </w:r>
      <w:r w:rsidRPr="00B54F55">
        <w:rPr>
          <w:rFonts w:eastAsia="Times New Roman" w:cs="Times New Roman"/>
          <w:szCs w:val="24"/>
        </w:rPr>
        <w:t>bilities, and methodology. These components are less substantial in landscape and are further affected by the establishment philosophy.</w:t>
      </w:r>
    </w:p>
    <w:p w14:paraId="23CE8119" w14:textId="77777777" w:rsidR="00CF60D7" w:rsidRPr="00B54F55" w:rsidRDefault="001A38E2">
      <w:pPr>
        <w:spacing w:before="240" w:after="240"/>
        <w:rPr>
          <w:rFonts w:eastAsia="Times New Roman" w:cs="Times New Roman"/>
          <w:szCs w:val="24"/>
        </w:rPr>
      </w:pPr>
      <w:r w:rsidRPr="00B54F55">
        <w:rPr>
          <w:rFonts w:eastAsia="Times New Roman" w:cs="Times New Roman"/>
          <w:szCs w:val="24"/>
        </w:rPr>
        <w:t>• Shared morals- The essential morals at Sony are considered and transferred to nurture a creative and steady administra</w:t>
      </w:r>
      <w:r w:rsidRPr="00B54F55">
        <w:rPr>
          <w:rFonts w:eastAsia="Times New Roman" w:cs="Times New Roman"/>
          <w:szCs w:val="24"/>
        </w:rPr>
        <w:t>tive construction that will license employees to execute preferably and promote their stimulus and structural obligation. The essential ethics at Sony include but are not inhibited to Inventiveness, Trustworthiness, Straightforwardness, Responsibility, Bel</w:t>
      </w:r>
      <w:r w:rsidRPr="00B54F55">
        <w:rPr>
          <w:rFonts w:eastAsia="Times New Roman" w:cs="Times New Roman"/>
          <w:szCs w:val="24"/>
        </w:rPr>
        <w:t>ief, Eminence, Heritage.</w:t>
      </w:r>
    </w:p>
    <w:p w14:paraId="443B5A59" w14:textId="77777777" w:rsidR="00CF60D7" w:rsidRPr="00B54F55" w:rsidRDefault="001A38E2">
      <w:pPr>
        <w:spacing w:before="240" w:after="240"/>
        <w:rPr>
          <w:rFonts w:eastAsia="Times New Roman" w:cs="Times New Roman"/>
          <w:szCs w:val="24"/>
        </w:rPr>
      </w:pPr>
      <w:r w:rsidRPr="00B54F55">
        <w:rPr>
          <w:rFonts w:eastAsia="Times New Roman" w:cs="Times New Roman"/>
          <w:szCs w:val="24"/>
        </w:rPr>
        <w:t>• Style- Sony includes a participative specialist style. By a participative authority style, Sony can engage and comprise its employees in policy-making procedures and managerial selections. This too licenses the Management to be f</w:t>
      </w:r>
      <w:r w:rsidRPr="00B54F55">
        <w:rPr>
          <w:rFonts w:eastAsia="Times New Roman" w:cs="Times New Roman"/>
          <w:szCs w:val="24"/>
        </w:rPr>
        <w:t>requently linked with the workers and distinguishing administrative gatherings to recognize any possible clatters for purpose, as adequate as for response concerning critical strategies and actions.</w:t>
      </w:r>
    </w:p>
    <w:p w14:paraId="3405E000" w14:textId="77777777" w:rsidR="00CF60D7" w:rsidRPr="00B54F55" w:rsidRDefault="001A38E2">
      <w:pPr>
        <w:spacing w:before="240" w:after="240"/>
        <w:rPr>
          <w:rFonts w:eastAsia="Times New Roman" w:cs="Times New Roman"/>
          <w:szCs w:val="24"/>
        </w:rPr>
      </w:pPr>
      <w:r w:rsidRPr="00B54F55">
        <w:rPr>
          <w:rFonts w:eastAsia="Times New Roman" w:cs="Times New Roman"/>
          <w:szCs w:val="24"/>
        </w:rPr>
        <w:t>• Staff- Sony contains a sufficient sum of employees used</w:t>
      </w:r>
      <w:r w:rsidRPr="00B54F55">
        <w:rPr>
          <w:rFonts w:eastAsia="Times New Roman" w:cs="Times New Roman"/>
          <w:szCs w:val="24"/>
        </w:rPr>
        <w:t xml:space="preserve"> over its universal processes. Representatives for varied job locations and designation are procured internally and externally – contingent on the criticalness and the ability stages compulsory. Grounded on this, it is perceived that Sony has workers capab</w:t>
      </w:r>
      <w:r w:rsidRPr="00B54F55">
        <w:rPr>
          <w:rFonts w:eastAsia="Times New Roman" w:cs="Times New Roman"/>
          <w:szCs w:val="24"/>
        </w:rPr>
        <w:t>le of the provisions of their job locations and situations. All workers are provided internal training to acquaint themselves with the firm and its morals. External training along with internal training is provided for aptitude level upgrades.</w:t>
      </w:r>
    </w:p>
    <w:p w14:paraId="606F2768" w14:textId="77777777" w:rsidR="00CF60D7" w:rsidRPr="00B54F55" w:rsidRDefault="001A38E2">
      <w:pPr>
        <w:spacing w:before="240" w:after="240"/>
        <w:rPr>
          <w:rFonts w:eastAsia="Times New Roman" w:cs="Times New Roman"/>
          <w:szCs w:val="24"/>
        </w:rPr>
      </w:pPr>
      <w:r w:rsidRPr="00B54F55">
        <w:rPr>
          <w:rFonts w:eastAsia="Times New Roman" w:cs="Times New Roman"/>
          <w:szCs w:val="24"/>
        </w:rPr>
        <w:t>• Skills- Sony includes a praiseworthy staff with high abilities and capabilities. All representatives are enrolled grounded on their values and experiences. Sony conceits itself on enlisting the most utmost outstanding specialists and training them to ins</w:t>
      </w:r>
      <w:r w:rsidRPr="00B54F55">
        <w:rPr>
          <w:rFonts w:eastAsia="Times New Roman" w:cs="Times New Roman"/>
          <w:szCs w:val="24"/>
        </w:rPr>
        <w:t xml:space="preserve">pire growth and progression (Szeto, 2017). Sony has characterized errands and work parts and contracts and </w:t>
      </w:r>
      <w:r w:rsidRPr="00B54F55">
        <w:rPr>
          <w:rFonts w:eastAsia="Times New Roman" w:cs="Times New Roman"/>
          <w:szCs w:val="24"/>
        </w:rPr>
        <w:lastRenderedPageBreak/>
        <w:t>trains representatives for expertise levels, therefore about those. The firm guarantees that all its work prerequisites are met. Representatives have</w:t>
      </w:r>
      <w:r w:rsidRPr="00B54F55">
        <w:rPr>
          <w:rFonts w:eastAsia="Times New Roman" w:cs="Times New Roman"/>
          <w:szCs w:val="24"/>
        </w:rPr>
        <w:t xml:space="preserve"> the good aptitudes to execute their particular employments in agreement with the values and philosophy and the trade objectives and methodology of Sony.</w:t>
      </w:r>
    </w:p>
    <w:p w14:paraId="23479E98" w14:textId="77777777" w:rsidR="00B54F55" w:rsidRDefault="001A38E2" w:rsidP="00B54F55">
      <w:pPr>
        <w:pStyle w:val="Titlu2"/>
      </w:pPr>
      <w:r w:rsidRPr="00B54F55">
        <w:t xml:space="preserve"> </w:t>
      </w:r>
      <w:bookmarkStart w:id="8" w:name="_Toc72004082"/>
      <w:r w:rsidRPr="00B54F55">
        <w:t>Por</w:t>
      </w:r>
      <w:r>
        <w:t>ter’s Value chain analysis</w:t>
      </w:r>
      <w:bookmarkEnd w:id="8"/>
    </w:p>
    <w:p w14:paraId="0D9BF095" w14:textId="77777777" w:rsidR="00CF60D7" w:rsidRPr="00B54F55" w:rsidRDefault="001A38E2">
      <w:pPr>
        <w:spacing w:before="240" w:after="240"/>
        <w:rPr>
          <w:rFonts w:eastAsia="Times New Roman" w:cs="Times New Roman"/>
          <w:szCs w:val="24"/>
        </w:rPr>
      </w:pPr>
      <w:r w:rsidRPr="00B54F55">
        <w:rPr>
          <w:rFonts w:eastAsia="Times New Roman" w:cs="Times New Roman"/>
          <w:szCs w:val="24"/>
        </w:rPr>
        <w:t>The investigation of the value chain strategy is utilized to measure the esteem of each primary and support action that's included in Sony's items or facilities.</w:t>
      </w:r>
    </w:p>
    <w:p w14:paraId="326942EC" w14:textId="77777777" w:rsidR="00CF60D7" w:rsidRPr="00B54F55" w:rsidRDefault="001A38E2">
      <w:pPr>
        <w:spacing w:before="240" w:after="240"/>
        <w:rPr>
          <w:rFonts w:eastAsia="Times New Roman" w:cs="Times New Roman"/>
          <w:szCs w:val="24"/>
        </w:rPr>
      </w:pPr>
      <w:r w:rsidRPr="00B54F55">
        <w:rPr>
          <w:rFonts w:eastAsia="Times New Roman" w:cs="Times New Roman"/>
          <w:szCs w:val="24"/>
        </w:rPr>
        <w:t>a) In-bound Logistic</w:t>
      </w:r>
    </w:p>
    <w:p w14:paraId="0B391375" w14:textId="77777777" w:rsidR="00CF60D7" w:rsidRPr="00B54F55" w:rsidRDefault="001A38E2">
      <w:pPr>
        <w:spacing w:before="240" w:after="240"/>
        <w:rPr>
          <w:rFonts w:eastAsia="Times New Roman" w:cs="Times New Roman"/>
          <w:szCs w:val="24"/>
        </w:rPr>
      </w:pPr>
      <w:r w:rsidRPr="00B54F55">
        <w:rPr>
          <w:rFonts w:eastAsia="Times New Roman" w:cs="Times New Roman"/>
          <w:szCs w:val="24"/>
        </w:rPr>
        <w:t>Sony locks in a procedure of multifaceted in-bound logistics movements th</w:t>
      </w:r>
      <w:r w:rsidRPr="00B54F55">
        <w:rPr>
          <w:rFonts w:eastAsia="Times New Roman" w:cs="Times New Roman"/>
          <w:szCs w:val="24"/>
        </w:rPr>
        <w:t>at the business either has or is given by 3rd parties (Koc and Bozdag, 2017). As the business grows, Sony too starts to lock in 3rd parties such as Solectron and Flextronics to fabricate a few of its item workings to have adequate wavelength to lock in its</w:t>
      </w:r>
      <w:r w:rsidRPr="00B54F55">
        <w:rPr>
          <w:rFonts w:eastAsia="Times New Roman" w:cs="Times New Roman"/>
          <w:szCs w:val="24"/>
        </w:rPr>
        <w:t xml:space="preserve"> center businesses and center capabilities. To lower its budget of generation, Sony rebuilt and closed down a few fabricating offices. In reality, the company has moved a few of its generation plants to low-cost nations such as China to benefit from cheape</w:t>
      </w:r>
      <w:r w:rsidRPr="00B54F55">
        <w:rPr>
          <w:rFonts w:eastAsia="Times New Roman" w:cs="Times New Roman"/>
          <w:szCs w:val="24"/>
        </w:rPr>
        <w:t>r worker costs. The capability to oversee the multifaceted and topographically distributed in-bound logistics movements is undoubtedly the company's asset.</w:t>
      </w:r>
    </w:p>
    <w:p w14:paraId="27AC1A11" w14:textId="77777777" w:rsidR="00CF60D7" w:rsidRPr="00B54F55" w:rsidRDefault="001A38E2">
      <w:pPr>
        <w:spacing w:before="240" w:after="240"/>
        <w:rPr>
          <w:rFonts w:eastAsia="Times New Roman" w:cs="Times New Roman"/>
          <w:szCs w:val="24"/>
        </w:rPr>
      </w:pPr>
      <w:r w:rsidRPr="00B54F55">
        <w:rPr>
          <w:rFonts w:eastAsia="Times New Roman" w:cs="Times New Roman"/>
          <w:szCs w:val="24"/>
        </w:rPr>
        <w:t>b) Operations</w:t>
      </w:r>
    </w:p>
    <w:p w14:paraId="1070B840" w14:textId="77777777" w:rsidR="00CF60D7" w:rsidRPr="00B54F55" w:rsidRDefault="001A38E2">
      <w:pPr>
        <w:spacing w:before="240" w:after="240"/>
        <w:rPr>
          <w:rFonts w:eastAsia="Times New Roman" w:cs="Times New Roman"/>
          <w:szCs w:val="24"/>
        </w:rPr>
      </w:pPr>
      <w:r w:rsidRPr="00B54F55">
        <w:rPr>
          <w:rFonts w:eastAsia="Times New Roman" w:cs="Times New Roman"/>
          <w:szCs w:val="24"/>
        </w:rPr>
        <w:t>Generally, Sony has been talented to oversee its trades well and thus can attain trium</w:t>
      </w:r>
      <w:r w:rsidRPr="00B54F55">
        <w:rPr>
          <w:rFonts w:eastAsia="Times New Roman" w:cs="Times New Roman"/>
          <w:szCs w:val="24"/>
        </w:rPr>
        <w:t>phs with a few of its items. For instance, Sony could arrest substantial showcase shares within the video, P.C., and tv markets in just some period after inflating the markets. Still, afterward, it moreover picked up notoriety within the videogame marketpl</w:t>
      </w:r>
      <w:r w:rsidRPr="00B54F55">
        <w:rPr>
          <w:rFonts w:eastAsia="Times New Roman" w:cs="Times New Roman"/>
          <w:szCs w:val="24"/>
        </w:rPr>
        <w:t>ace. On the other hand, the business's music trade, publicizing trade, and location-based amusement trade have not been performing well. In truth, they had been making misfortunes. Although piracy is capable primarily of destitute execution, there are so m</w:t>
      </w:r>
      <w:r w:rsidRPr="00B54F55">
        <w:rPr>
          <w:rFonts w:eastAsia="Times New Roman" w:cs="Times New Roman"/>
          <w:szCs w:val="24"/>
        </w:rPr>
        <w:t>any encounters that Sony, to some degree, cannot discover superior arrangements to report them. For occurrence, the particular trade units inside the association are still not collaborating and participating (although there were a few advancements) with on</w:t>
      </w:r>
      <w:r w:rsidRPr="00B54F55">
        <w:rPr>
          <w:rFonts w:eastAsia="Times New Roman" w:cs="Times New Roman"/>
          <w:szCs w:val="24"/>
        </w:rPr>
        <w:t>e another sufficient, and this has influenced inter-operative collaboration and efficiency (Yun and Yigitcanlar, 2017). Sony's failure to report theatre-operative-related problems could be a reason of concern and so may conceivably be the company's shortco</w:t>
      </w:r>
      <w:r w:rsidRPr="00B54F55">
        <w:rPr>
          <w:rFonts w:eastAsia="Times New Roman" w:cs="Times New Roman"/>
          <w:szCs w:val="24"/>
        </w:rPr>
        <w:t>ming.</w:t>
      </w:r>
    </w:p>
    <w:p w14:paraId="4F5919F5" w14:textId="77777777" w:rsidR="00CF60D7" w:rsidRPr="00B54F55" w:rsidRDefault="001A38E2">
      <w:pPr>
        <w:spacing w:before="240" w:after="240"/>
        <w:rPr>
          <w:rFonts w:eastAsia="Times New Roman" w:cs="Times New Roman"/>
          <w:szCs w:val="24"/>
        </w:rPr>
      </w:pPr>
      <w:r w:rsidRPr="00B54F55">
        <w:rPr>
          <w:rFonts w:eastAsia="Times New Roman" w:cs="Times New Roman"/>
          <w:szCs w:val="24"/>
        </w:rPr>
        <w:lastRenderedPageBreak/>
        <w:t>c) Outbound Logistics</w:t>
      </w:r>
    </w:p>
    <w:p w14:paraId="2845BA60" w14:textId="77777777" w:rsidR="00CF60D7" w:rsidRPr="00B54F55" w:rsidRDefault="001A38E2">
      <w:pPr>
        <w:spacing w:before="240" w:after="240"/>
        <w:rPr>
          <w:rFonts w:eastAsia="Times New Roman" w:cs="Times New Roman"/>
          <w:szCs w:val="24"/>
        </w:rPr>
      </w:pPr>
      <w:r w:rsidRPr="00B54F55">
        <w:rPr>
          <w:rFonts w:eastAsia="Times New Roman" w:cs="Times New Roman"/>
          <w:szCs w:val="24"/>
        </w:rPr>
        <w:t xml:space="preserve"> Sony is fit associated with the conveyance systems that every country has. In truth, to assure that Sony's staff and services are carried and come to their goals on time, Sony has donated intensely to computerize portions of th</w:t>
      </w:r>
      <w:r w:rsidRPr="00B54F55">
        <w:rPr>
          <w:rFonts w:eastAsia="Times New Roman" w:cs="Times New Roman"/>
          <w:szCs w:val="24"/>
        </w:rPr>
        <w:t>e outbound logistics work to trail transactions commands, develop kinds of stuff, and installments. In expansion, Sony licenses its video recreations to be conveyed over the distinctive networks. In the year 2002, it was moreover detailed in perceptible pu</w:t>
      </w:r>
      <w:r w:rsidRPr="00B54F55">
        <w:rPr>
          <w:rFonts w:eastAsia="Times New Roman" w:cs="Times New Roman"/>
          <w:szCs w:val="24"/>
        </w:rPr>
        <w:t xml:space="preserve">blications such as InfoWorld and Magazine that numerous clients felt that Sony's staff and services were amid the leading within the world and their employees were well trained to manage the diverse processes and Management. As such, the possession of the </w:t>
      </w:r>
      <w:r w:rsidRPr="00B54F55">
        <w:rPr>
          <w:rFonts w:eastAsia="Times New Roman" w:cs="Times New Roman"/>
          <w:szCs w:val="24"/>
        </w:rPr>
        <w:t>capability to train employees and trade collaborators to oversee the complex and geographically dispersed outbound logistics movements to advance the diverse process agreements is indisputably Sony's asset.</w:t>
      </w:r>
    </w:p>
    <w:p w14:paraId="160BBDB5" w14:textId="77777777" w:rsidR="00CF60D7" w:rsidRPr="00B54F55" w:rsidRDefault="001A38E2">
      <w:pPr>
        <w:spacing w:before="240" w:after="240"/>
        <w:rPr>
          <w:rFonts w:eastAsia="Times New Roman" w:cs="Times New Roman"/>
          <w:szCs w:val="24"/>
        </w:rPr>
      </w:pPr>
      <w:r w:rsidRPr="00B54F55">
        <w:rPr>
          <w:rFonts w:eastAsia="Times New Roman" w:cs="Times New Roman"/>
          <w:szCs w:val="24"/>
        </w:rPr>
        <w:t>d) Marketing and Sales</w:t>
      </w:r>
    </w:p>
    <w:p w14:paraId="5B799182" w14:textId="77777777" w:rsidR="00CF60D7" w:rsidRPr="00B54F55" w:rsidRDefault="001A38E2">
      <w:pPr>
        <w:spacing w:before="240" w:after="240"/>
        <w:rPr>
          <w:rFonts w:eastAsia="Times New Roman" w:cs="Times New Roman"/>
          <w:szCs w:val="24"/>
        </w:rPr>
      </w:pPr>
      <w:r w:rsidRPr="00B54F55">
        <w:rPr>
          <w:rFonts w:eastAsia="Times New Roman" w:cs="Times New Roman"/>
          <w:szCs w:val="24"/>
        </w:rPr>
        <w:t>Sony's promoting methodolo</w:t>
      </w:r>
      <w:r w:rsidRPr="00B54F55">
        <w:rPr>
          <w:rFonts w:eastAsia="Times New Roman" w:cs="Times New Roman"/>
          <w:szCs w:val="24"/>
        </w:rPr>
        <w:t xml:space="preserve">gy is to locate itself as a trailblazer and a creator of first-class items, which empowers it to offer its items at a price advance than its rivals. To realize these objectives, the company's advancements are usually sponsored by enormous and enthusiastic </w:t>
      </w:r>
      <w:r w:rsidRPr="00B54F55">
        <w:rPr>
          <w:rFonts w:eastAsia="Times New Roman" w:cs="Times New Roman"/>
          <w:szCs w:val="24"/>
        </w:rPr>
        <w:t>showcasing exertions, which have made a difference to make a few fruitful 2D, 3D video recreations. These victories, in turn, encourage and fortify the brand "Sony." Sony is exceptionally touchy towards its rivals' activities and responses. To guarantee th</w:t>
      </w:r>
      <w:r w:rsidRPr="00B54F55">
        <w:rPr>
          <w:rFonts w:eastAsia="Times New Roman" w:cs="Times New Roman"/>
          <w:szCs w:val="24"/>
        </w:rPr>
        <w:t xml:space="preserve">at the business solidifies its picture and notoriety and accomplishes the required deals and income targets, it has no second thoughts of causing over-the-top costs. Grass-roots public-relations movements have also been utilized to target the Generation Y </w:t>
      </w:r>
      <w:r w:rsidRPr="00B54F55">
        <w:rPr>
          <w:rFonts w:eastAsia="Times New Roman" w:cs="Times New Roman"/>
          <w:szCs w:val="24"/>
        </w:rPr>
        <w:t>market.</w:t>
      </w:r>
    </w:p>
    <w:p w14:paraId="61D01060" w14:textId="77777777" w:rsidR="00CF60D7" w:rsidRPr="00B54F55" w:rsidRDefault="001A38E2">
      <w:pPr>
        <w:spacing w:before="240" w:after="240"/>
        <w:rPr>
          <w:rFonts w:eastAsia="Times New Roman" w:cs="Times New Roman"/>
          <w:szCs w:val="24"/>
        </w:rPr>
      </w:pPr>
      <w:r w:rsidRPr="00B54F55">
        <w:rPr>
          <w:rFonts w:eastAsia="Times New Roman" w:cs="Times New Roman"/>
          <w:szCs w:val="24"/>
        </w:rPr>
        <w:t>e) Service</w:t>
      </w:r>
    </w:p>
    <w:p w14:paraId="06111F26" w14:textId="77777777" w:rsidR="00CF60D7" w:rsidRPr="00B54F55" w:rsidRDefault="001A38E2">
      <w:pPr>
        <w:spacing w:before="240" w:after="240"/>
        <w:rPr>
          <w:rFonts w:eastAsia="Times New Roman" w:cs="Times New Roman"/>
          <w:szCs w:val="24"/>
        </w:rPr>
      </w:pPr>
      <w:r w:rsidRPr="00B54F55">
        <w:rPr>
          <w:rFonts w:eastAsia="Times New Roman" w:cs="Times New Roman"/>
          <w:szCs w:val="24"/>
        </w:rPr>
        <w:t>Sony has set up numerous service-related movements planned to improve customer fulfillment – that's the sensation that an element or benefit has encountered the customer's desire. For the most part, these movements are supported out at S</w:t>
      </w:r>
      <w:r w:rsidRPr="00B54F55">
        <w:rPr>
          <w:rFonts w:eastAsia="Times New Roman" w:cs="Times New Roman"/>
          <w:szCs w:val="24"/>
        </w:rPr>
        <w:t>ony benefit centers and call-in places that are managed by approachable and learned customer benefit workplaces (Fernandez-Stark and Gereffi, 2019). At the benefit centers, the exchange of defective or wrecked items is carried out rapidly. To meet customer</w:t>
      </w:r>
      <w:r w:rsidRPr="00B54F55">
        <w:rPr>
          <w:rFonts w:eastAsia="Times New Roman" w:cs="Times New Roman"/>
          <w:szCs w:val="24"/>
        </w:rPr>
        <w:t>s' requirements, guarantees and formations are given by the corporation and agreed that Sony could supply and oversee the benefit exercises well. It makes a difference in encouraging upgrading the "Sony" brand.</w:t>
      </w:r>
    </w:p>
    <w:p w14:paraId="59E4BA56" w14:textId="77777777" w:rsidR="00CF60D7" w:rsidRPr="00B54F55" w:rsidRDefault="001A38E2" w:rsidP="00B54F55">
      <w:pPr>
        <w:pStyle w:val="Titlu1"/>
      </w:pPr>
      <w:bookmarkStart w:id="9" w:name="_Toc72004083"/>
      <w:r w:rsidRPr="00B54F55">
        <w:lastRenderedPageBreak/>
        <w:t>The analysis of the strategic options of Sony</w:t>
      </w:r>
      <w:r w:rsidRPr="00B54F55">
        <w:t xml:space="preserve"> to maintain sustainability in the market</w:t>
      </w:r>
      <w:bookmarkEnd w:id="9"/>
    </w:p>
    <w:p w14:paraId="36CD64A9" w14:textId="77777777" w:rsidR="00CF60D7" w:rsidRPr="00B54F55" w:rsidRDefault="001A38E2" w:rsidP="00B54F55">
      <w:pPr>
        <w:pStyle w:val="Titlu2"/>
        <w:rPr>
          <w:rFonts w:eastAsia="Times New Roman" w:cs="Times New Roman"/>
          <w:szCs w:val="24"/>
        </w:rPr>
      </w:pPr>
      <w:bookmarkStart w:id="10" w:name="_Toc72004084"/>
      <w:r w:rsidRPr="00B54F55">
        <w:t>Ansoff Growth Matrix</w:t>
      </w:r>
      <w:bookmarkEnd w:id="10"/>
    </w:p>
    <w:p w14:paraId="009B850F" w14:textId="77777777" w:rsidR="00CF60D7" w:rsidRPr="00B54F55" w:rsidRDefault="001A38E2">
      <w:pPr>
        <w:rPr>
          <w:rFonts w:eastAsia="Times New Roman" w:cs="Times New Roman"/>
          <w:szCs w:val="24"/>
        </w:rPr>
      </w:pPr>
      <w:r w:rsidRPr="00B54F55">
        <w:rPr>
          <w:rFonts w:eastAsia="Times New Roman" w:cs="Times New Roman"/>
          <w:szCs w:val="24"/>
        </w:rPr>
        <w:t>Market Penetration- When Sony entered the gaming industry, there was already a lot of competition in the market between different producers. Sony had to introduce something out of the box to co</w:t>
      </w:r>
      <w:r w:rsidRPr="00B54F55">
        <w:rPr>
          <w:rFonts w:eastAsia="Times New Roman" w:cs="Times New Roman"/>
          <w:szCs w:val="24"/>
        </w:rPr>
        <w:t xml:space="preserve">mpete with other companies to provide the same product and services. They also intended to expand their production to reach millions of people. Sony also used its products on a large scale to expand its market penetration and even expanded their companies </w:t>
      </w:r>
      <w:r w:rsidRPr="00B54F55">
        <w:rPr>
          <w:rFonts w:eastAsia="Times New Roman" w:cs="Times New Roman"/>
          <w:szCs w:val="24"/>
        </w:rPr>
        <w:t>investments.</w:t>
      </w:r>
    </w:p>
    <w:p w14:paraId="694C45DF" w14:textId="77777777" w:rsidR="00CF60D7" w:rsidRPr="00B54F55" w:rsidRDefault="00CF60D7">
      <w:pPr>
        <w:rPr>
          <w:rFonts w:eastAsia="Times New Roman" w:cs="Times New Roman"/>
          <w:szCs w:val="24"/>
        </w:rPr>
      </w:pPr>
    </w:p>
    <w:p w14:paraId="2E216969" w14:textId="77777777" w:rsidR="00CF60D7" w:rsidRPr="00B54F55" w:rsidRDefault="001A38E2">
      <w:pPr>
        <w:rPr>
          <w:rFonts w:eastAsia="Times New Roman" w:cs="Times New Roman"/>
          <w:szCs w:val="24"/>
        </w:rPr>
      </w:pPr>
      <w:r w:rsidRPr="00B54F55">
        <w:rPr>
          <w:rFonts w:eastAsia="Times New Roman" w:cs="Times New Roman"/>
          <w:szCs w:val="24"/>
        </w:rPr>
        <w:t>Market development- Sony realized the games produced by other companies were predominantly for children. Still, it did attract consumers who were aged in their 20s or 30s as they were the working-class generation, who could buy gaming console</w:t>
      </w:r>
      <w:r w:rsidRPr="00B54F55">
        <w:rPr>
          <w:rFonts w:eastAsia="Times New Roman" w:cs="Times New Roman"/>
          <w:szCs w:val="24"/>
        </w:rPr>
        <w:t>s and games for themselves, which children could not. Sony used this strategy in their favor and developed games and units for consumers who were in their 20s or 30s (</w:t>
      </w:r>
      <w:r w:rsidRPr="00B54F55">
        <w:rPr>
          <w:rFonts w:eastAsia="Times New Roman" w:cs="Times New Roman"/>
          <w:szCs w:val="24"/>
          <w:highlight w:val="white"/>
        </w:rPr>
        <w:t>Chintalapati, 2020)</w:t>
      </w:r>
      <w:r w:rsidRPr="00B54F55">
        <w:rPr>
          <w:rFonts w:eastAsia="Times New Roman" w:cs="Times New Roman"/>
          <w:szCs w:val="24"/>
        </w:rPr>
        <w:t>. While games and gaming units produced by other companies still targe</w:t>
      </w:r>
      <w:r w:rsidRPr="00B54F55">
        <w:rPr>
          <w:rFonts w:eastAsia="Times New Roman" w:cs="Times New Roman"/>
          <w:szCs w:val="24"/>
        </w:rPr>
        <w:t>ted the children, they did not seem to sell much as previously they were before when Sony entered the market. Their games were found childish by most adults, but it was perfect for children. Still, children did not belong to the working class; sales droppe</w:t>
      </w:r>
      <w:r w:rsidRPr="00B54F55">
        <w:rPr>
          <w:rFonts w:eastAsia="Times New Roman" w:cs="Times New Roman"/>
          <w:szCs w:val="24"/>
        </w:rPr>
        <w:t>d rapidly for them when Sony introduced their new games and gaming units which in turn it led sony to monopolize the market in a short time. They soon introduced the PS2 to the market, and it was just a matter of time. Sony sold more than 100 million copie</w:t>
      </w:r>
      <w:r w:rsidRPr="00B54F55">
        <w:rPr>
          <w:rFonts w:eastAsia="Times New Roman" w:cs="Times New Roman"/>
          <w:szCs w:val="24"/>
        </w:rPr>
        <w:t>s worldwide. After that, sony uses this strategy as their sole focus in the industry up until 2006, and they had seen significant success as soon as they entered the industry with their high definition games and heavy hardware gaming units, which had a muc</w:t>
      </w:r>
      <w:r w:rsidRPr="00B54F55">
        <w:rPr>
          <w:rFonts w:eastAsia="Times New Roman" w:cs="Times New Roman"/>
          <w:szCs w:val="24"/>
        </w:rPr>
        <w:t xml:space="preserve">h larger storage capacity than any other units that other companies produced. </w:t>
      </w:r>
    </w:p>
    <w:p w14:paraId="52D5A794" w14:textId="77777777" w:rsidR="00CF60D7" w:rsidRPr="00B54F55" w:rsidRDefault="00CF60D7">
      <w:pPr>
        <w:rPr>
          <w:rFonts w:eastAsia="Times New Roman" w:cs="Times New Roman"/>
          <w:szCs w:val="24"/>
        </w:rPr>
      </w:pPr>
    </w:p>
    <w:p w14:paraId="698AA8B6" w14:textId="77777777" w:rsidR="00CF60D7" w:rsidRPr="00B54F55" w:rsidRDefault="001A38E2">
      <w:pPr>
        <w:rPr>
          <w:rFonts w:eastAsia="Times New Roman" w:cs="Times New Roman"/>
          <w:szCs w:val="24"/>
        </w:rPr>
      </w:pPr>
      <w:r w:rsidRPr="00B54F55">
        <w:rPr>
          <w:rFonts w:eastAsia="Times New Roman" w:cs="Times New Roman"/>
          <w:szCs w:val="24"/>
        </w:rPr>
        <w:t>Product Development- Sony's gaming units had highly improved graphics; technologically, they were highly improved and more storage capacity. This also even made sony had coloss</w:t>
      </w:r>
      <w:r w:rsidRPr="00B54F55">
        <w:rPr>
          <w:rFonts w:eastAsia="Times New Roman" w:cs="Times New Roman"/>
          <w:szCs w:val="24"/>
        </w:rPr>
        <w:t xml:space="preserve">al success as gamers were introduced to better and high definition gaming, which other companies could not provide. Playstation units had a significant hit in the market, and as their gaming units were improved, which gave gamers a chance to use old games </w:t>
      </w:r>
      <w:r w:rsidRPr="00B54F55">
        <w:rPr>
          <w:rFonts w:eastAsia="Times New Roman" w:cs="Times New Roman"/>
          <w:szCs w:val="24"/>
        </w:rPr>
        <w:t>in their new PlayStations and thus it became a significant hit as gamers can enjoy both new and old games in their one single PlayStation without paying anything extra for it (</w:t>
      </w:r>
      <w:r w:rsidRPr="00B54F55">
        <w:rPr>
          <w:rFonts w:eastAsia="Times New Roman" w:cs="Times New Roman"/>
          <w:szCs w:val="24"/>
          <w:highlight w:val="white"/>
        </w:rPr>
        <w:t>Dawes, 2018)</w:t>
      </w:r>
      <w:r w:rsidRPr="00B54F55">
        <w:rPr>
          <w:rFonts w:eastAsia="Times New Roman" w:cs="Times New Roman"/>
          <w:szCs w:val="24"/>
        </w:rPr>
        <w:t xml:space="preserve">. </w:t>
      </w:r>
    </w:p>
    <w:p w14:paraId="0777470E" w14:textId="77777777" w:rsidR="00CF60D7" w:rsidRPr="00B54F55" w:rsidRDefault="00CF60D7">
      <w:pPr>
        <w:rPr>
          <w:rFonts w:eastAsia="Times New Roman" w:cs="Times New Roman"/>
          <w:szCs w:val="24"/>
        </w:rPr>
      </w:pPr>
    </w:p>
    <w:p w14:paraId="05ED9E02" w14:textId="77777777" w:rsidR="00CF60D7" w:rsidRPr="00B54F55" w:rsidRDefault="001A38E2">
      <w:pPr>
        <w:rPr>
          <w:rFonts w:eastAsia="Times New Roman" w:cs="Times New Roman"/>
          <w:szCs w:val="24"/>
        </w:rPr>
      </w:pPr>
      <w:r w:rsidRPr="00B54F55">
        <w:rPr>
          <w:rFonts w:eastAsia="Times New Roman" w:cs="Times New Roman"/>
          <w:szCs w:val="24"/>
        </w:rPr>
        <w:t>Diversification- Sony's first gaming product in the market was a</w:t>
      </w:r>
      <w:r w:rsidRPr="00B54F55">
        <w:rPr>
          <w:rFonts w:eastAsia="Times New Roman" w:cs="Times New Roman"/>
          <w:szCs w:val="24"/>
        </w:rPr>
        <w:t xml:space="preserve"> significant hit. As they produced different products in the market, each time the features were added, their product was much better. Still, they also introduced products in the gaming market that had no similarity yet were much more developed and new. So</w:t>
      </w:r>
      <w:r w:rsidRPr="00B54F55">
        <w:rPr>
          <w:rFonts w:eastAsia="Times New Roman" w:cs="Times New Roman"/>
          <w:szCs w:val="24"/>
        </w:rPr>
        <w:t>ny also merged with other businesses and companies to expand their market even internationally, which even led them to connect with companies that were not involved with the gaming industry, which helped them acquire new ideas.</w:t>
      </w:r>
    </w:p>
    <w:p w14:paraId="07D375DE" w14:textId="77777777" w:rsidR="00CF60D7" w:rsidRPr="00B54F55" w:rsidRDefault="001A38E2" w:rsidP="00B54F55">
      <w:pPr>
        <w:pStyle w:val="Titlu2"/>
      </w:pPr>
      <w:bookmarkStart w:id="11" w:name="_Toc72004085"/>
      <w:r>
        <w:t>Strategic clock</w:t>
      </w:r>
      <w:bookmarkEnd w:id="11"/>
    </w:p>
    <w:p w14:paraId="565D6F88" w14:textId="77777777" w:rsidR="00CF60D7" w:rsidRPr="00B54F55" w:rsidRDefault="001A38E2">
      <w:pPr>
        <w:rPr>
          <w:rFonts w:eastAsia="Times New Roman" w:cs="Times New Roman"/>
          <w:szCs w:val="24"/>
        </w:rPr>
      </w:pPr>
      <w:r w:rsidRPr="00B54F55">
        <w:rPr>
          <w:rFonts w:eastAsia="Times New Roman" w:cs="Times New Roman"/>
          <w:szCs w:val="24"/>
        </w:rPr>
        <w:t xml:space="preserve">Before Sony </w:t>
      </w:r>
      <w:r w:rsidRPr="00B54F55">
        <w:rPr>
          <w:rFonts w:eastAsia="Times New Roman" w:cs="Times New Roman"/>
          <w:szCs w:val="24"/>
        </w:rPr>
        <w:t>entered the gaming market, they tended to follow many statistics and data on how the gaming industry worked and how the market was. Sony used Bowman's strategic clock to improve its marketing strategy and analyze its market position in the gaming industry.</w:t>
      </w:r>
    </w:p>
    <w:p w14:paraId="598CA2D9" w14:textId="77777777" w:rsidR="00CF60D7" w:rsidRPr="00B54F55" w:rsidRDefault="001A38E2">
      <w:pPr>
        <w:rPr>
          <w:rFonts w:eastAsia="Times New Roman" w:cs="Times New Roman"/>
          <w:szCs w:val="24"/>
        </w:rPr>
      </w:pPr>
      <w:r w:rsidRPr="00B54F55">
        <w:rPr>
          <w:rFonts w:eastAsia="Times New Roman" w:cs="Times New Roman"/>
          <w:szCs w:val="24"/>
        </w:rPr>
        <w:t>Low added value- Sony's product features which were very different then the other products made them had colossal success; Sony used C.D.s rather than cartridges which led gamers to have more storage for their games, but C.D.s took more time than cartridg</w:t>
      </w:r>
      <w:r w:rsidRPr="00B54F55">
        <w:rPr>
          <w:rFonts w:eastAsia="Times New Roman" w:cs="Times New Roman"/>
          <w:szCs w:val="24"/>
        </w:rPr>
        <w:t>es to read information which made C.D.s cost of production to come down than cartridges in the market, thus Sony's price of production reduced which led them to expand their shows more, but there new innovative features made consumers buy their products.</w:t>
      </w:r>
    </w:p>
    <w:p w14:paraId="035054FF" w14:textId="77777777" w:rsidR="00CF60D7" w:rsidRPr="00B54F55" w:rsidRDefault="001A38E2">
      <w:pPr>
        <w:rPr>
          <w:rFonts w:eastAsia="Times New Roman" w:cs="Times New Roman"/>
          <w:szCs w:val="24"/>
        </w:rPr>
      </w:pPr>
      <w:r w:rsidRPr="00B54F55">
        <w:rPr>
          <w:rFonts w:eastAsia="Times New Roman" w:cs="Times New Roman"/>
          <w:szCs w:val="24"/>
        </w:rPr>
        <w:t>L</w:t>
      </w:r>
      <w:r w:rsidRPr="00B54F55">
        <w:rPr>
          <w:rFonts w:eastAsia="Times New Roman" w:cs="Times New Roman"/>
          <w:szCs w:val="24"/>
        </w:rPr>
        <w:t>ow price- A few years ago, DVDs became outdated, and C.D.s came into the market. Still, with Sony introducing DVDs into their, PlayStation led consumers to buy DVDs at a much lower price than C.D.s and thus reducing the initial cost as the cost of producti</w:t>
      </w:r>
      <w:r w:rsidRPr="00B54F55">
        <w:rPr>
          <w:rFonts w:eastAsia="Times New Roman" w:cs="Times New Roman"/>
          <w:szCs w:val="24"/>
        </w:rPr>
        <w:t>on reduced Sony's second product, the gaming market soon became a significant hit in a short time. Soon Sony became the leading producer in the gaming industry by monopolizing the market up to 60% up until 2006.</w:t>
      </w:r>
    </w:p>
    <w:p w14:paraId="3BD97F46" w14:textId="77777777" w:rsidR="00CF60D7" w:rsidRPr="00B54F55" w:rsidRDefault="001A38E2">
      <w:pPr>
        <w:rPr>
          <w:rFonts w:eastAsia="Times New Roman" w:cs="Times New Roman"/>
          <w:szCs w:val="24"/>
        </w:rPr>
      </w:pPr>
      <w:r w:rsidRPr="00B54F55">
        <w:rPr>
          <w:rFonts w:eastAsia="Times New Roman" w:cs="Times New Roman"/>
          <w:szCs w:val="24"/>
        </w:rPr>
        <w:t>Hybrid- When Sony introduced its first produ</w:t>
      </w:r>
      <w:r w:rsidRPr="00B54F55">
        <w:rPr>
          <w:rFonts w:eastAsia="Times New Roman" w:cs="Times New Roman"/>
          <w:szCs w:val="24"/>
        </w:rPr>
        <w:t xml:space="preserve">ct in the market, it had a reasonable price. Still, their product was better than what other gaming companies were producing, so consumers thought it was appropriate to buy Sony's product. </w:t>
      </w:r>
    </w:p>
    <w:p w14:paraId="21F46299" w14:textId="77777777" w:rsidR="00CF60D7" w:rsidRPr="00B54F55" w:rsidRDefault="00CF60D7">
      <w:pPr>
        <w:rPr>
          <w:rFonts w:eastAsia="Times New Roman" w:cs="Times New Roman"/>
          <w:szCs w:val="24"/>
        </w:rPr>
      </w:pPr>
    </w:p>
    <w:p w14:paraId="37773A9C" w14:textId="77777777" w:rsidR="00CF60D7" w:rsidRPr="00B54F55" w:rsidRDefault="001A38E2">
      <w:pPr>
        <w:rPr>
          <w:rFonts w:eastAsia="Times New Roman" w:cs="Times New Roman"/>
          <w:szCs w:val="24"/>
        </w:rPr>
      </w:pPr>
      <w:r w:rsidRPr="00B54F55">
        <w:rPr>
          <w:rFonts w:eastAsia="Times New Roman" w:cs="Times New Roman"/>
          <w:szCs w:val="24"/>
        </w:rPr>
        <w:t>Differentiation- The introduction of 3-dimensional gaming, which was never seen by gamers before, gave gamers a more realistic view and added graphics into their games. All these new features made gamers buy Sony's product. They had a massive hit with thei</w:t>
      </w:r>
      <w:r w:rsidRPr="00B54F55">
        <w:rPr>
          <w:rFonts w:eastAsia="Times New Roman" w:cs="Times New Roman"/>
          <w:szCs w:val="24"/>
        </w:rPr>
        <w:t xml:space="preserve">r first product into the market and a profit of more than 70 million dollars (Dupre and Vetta, 2018). </w:t>
      </w:r>
    </w:p>
    <w:p w14:paraId="741040E5" w14:textId="77777777" w:rsidR="00CF60D7" w:rsidRPr="00B54F55" w:rsidRDefault="001A38E2">
      <w:pPr>
        <w:rPr>
          <w:rFonts w:eastAsia="Times New Roman" w:cs="Times New Roman"/>
          <w:szCs w:val="24"/>
        </w:rPr>
      </w:pPr>
      <w:r w:rsidRPr="00B54F55">
        <w:rPr>
          <w:rFonts w:eastAsia="Times New Roman" w:cs="Times New Roman"/>
          <w:szCs w:val="24"/>
        </w:rPr>
        <w:lastRenderedPageBreak/>
        <w:t xml:space="preserve">Increased price standard product- When Sony introduced PS2 into the market, they sold an adapter of 39$ separately, which consumers had no choice but to </w:t>
      </w:r>
      <w:r w:rsidRPr="00B54F55">
        <w:rPr>
          <w:rFonts w:eastAsia="Times New Roman" w:cs="Times New Roman"/>
          <w:szCs w:val="24"/>
        </w:rPr>
        <w:t xml:space="preserve">buy. Still, as of their PS2, it did not have such incredible features other than more storage capacity. </w:t>
      </w:r>
    </w:p>
    <w:p w14:paraId="2E96834F" w14:textId="77777777" w:rsidR="00CF60D7" w:rsidRPr="00B54F55" w:rsidRDefault="001A38E2">
      <w:pPr>
        <w:rPr>
          <w:rFonts w:eastAsia="Times New Roman" w:cs="Times New Roman"/>
          <w:szCs w:val="24"/>
        </w:rPr>
      </w:pPr>
      <w:r w:rsidRPr="00B54F55">
        <w:rPr>
          <w:rFonts w:eastAsia="Times New Roman" w:cs="Times New Roman"/>
          <w:szCs w:val="24"/>
        </w:rPr>
        <w:t>High price/ low value- when PS2 and PS3 were released to the market, they did not have many differentiated features; they just increased storage capaci</w:t>
      </w:r>
      <w:r w:rsidRPr="00B54F55">
        <w:rPr>
          <w:rFonts w:eastAsia="Times New Roman" w:cs="Times New Roman"/>
          <w:szCs w:val="24"/>
        </w:rPr>
        <w:t>ty in PlayStations and better graphics, but the price was high, and even gamers had to buy adapters separately. Yet Sony still stole the market and monopolized it. (Zanjani et al., 2020).</w:t>
      </w:r>
    </w:p>
    <w:p w14:paraId="5F3839C0" w14:textId="77777777" w:rsidR="00CF60D7" w:rsidRPr="00B54F55" w:rsidRDefault="001A38E2">
      <w:pPr>
        <w:rPr>
          <w:rFonts w:eastAsia="Times New Roman" w:cs="Times New Roman"/>
          <w:szCs w:val="24"/>
        </w:rPr>
      </w:pPr>
      <w:r w:rsidRPr="00B54F55">
        <w:rPr>
          <w:rFonts w:eastAsia="Times New Roman" w:cs="Times New Roman"/>
          <w:szCs w:val="24"/>
        </w:rPr>
        <w:t>Low value/ standard price- Sony's gaming products were not of low va</w:t>
      </w:r>
      <w:r w:rsidRPr="00B54F55">
        <w:rPr>
          <w:rFonts w:eastAsia="Times New Roman" w:cs="Times New Roman"/>
          <w:szCs w:val="24"/>
        </w:rPr>
        <w:t xml:space="preserve">lue; each product had different features, and each time it was something new, and out of the box in the market, so all of their products were of the standard price. </w:t>
      </w:r>
    </w:p>
    <w:p w14:paraId="0B0C629B" w14:textId="77777777" w:rsidR="00CF60D7" w:rsidRPr="00B54F55" w:rsidRDefault="001A38E2" w:rsidP="00B54F55">
      <w:pPr>
        <w:pStyle w:val="Titlu1"/>
      </w:pPr>
      <w:bookmarkStart w:id="12" w:name="_Toc72004086"/>
      <w:r w:rsidRPr="00B54F55">
        <w:t>Conclusion</w:t>
      </w:r>
      <w:bookmarkEnd w:id="12"/>
      <w:r w:rsidRPr="00B54F55">
        <w:t xml:space="preserve"> </w:t>
      </w:r>
    </w:p>
    <w:p w14:paraId="752F7E57" w14:textId="77777777" w:rsidR="00CF60D7" w:rsidRPr="00B54F55" w:rsidRDefault="001A38E2">
      <w:pPr>
        <w:rPr>
          <w:rFonts w:eastAsia="Times New Roman" w:cs="Times New Roman"/>
          <w:szCs w:val="24"/>
        </w:rPr>
      </w:pPr>
      <w:r w:rsidRPr="00B54F55">
        <w:rPr>
          <w:rFonts w:eastAsia="Times New Roman" w:cs="Times New Roman"/>
          <w:szCs w:val="24"/>
        </w:rPr>
        <w:t>Sony's strategic moves and measures brought great success to Sony since its in</w:t>
      </w:r>
      <w:r w:rsidRPr="00B54F55">
        <w:rPr>
          <w:rFonts w:eastAsia="Times New Roman" w:cs="Times New Roman"/>
          <w:szCs w:val="24"/>
        </w:rPr>
        <w:t>volvement in the gaming industry. Their product delivery into the market brought fundamental changes in Technology and the competitive gaming industry, from using cartridges to Bluray. Their improved products led gamers to wait for more high-definition gam</w:t>
      </w:r>
      <w:r w:rsidRPr="00B54F55">
        <w:rPr>
          <w:rFonts w:eastAsia="Times New Roman" w:cs="Times New Roman"/>
          <w:szCs w:val="24"/>
        </w:rPr>
        <w:t>es and gaming units, so every time their product was released in the market, they had a huge success. Sony did not have much success in other electronic products, so winning the competitive gaming market was their central motive.</w:t>
      </w:r>
    </w:p>
    <w:p w14:paraId="3A0ECBFD" w14:textId="77777777" w:rsidR="00CF60D7" w:rsidRPr="00B54F55" w:rsidRDefault="001A38E2">
      <w:pPr>
        <w:rPr>
          <w:rFonts w:eastAsia="Times New Roman" w:cs="Times New Roman"/>
          <w:szCs w:val="24"/>
        </w:rPr>
      </w:pPr>
      <w:r w:rsidRPr="00B54F55">
        <w:rPr>
          <w:rFonts w:eastAsia="Times New Roman" w:cs="Times New Roman"/>
          <w:szCs w:val="24"/>
        </w:rPr>
        <w:t>Sony even used strategic m</w:t>
      </w:r>
      <w:r w:rsidRPr="00B54F55">
        <w:rPr>
          <w:rFonts w:eastAsia="Times New Roman" w:cs="Times New Roman"/>
          <w:szCs w:val="24"/>
        </w:rPr>
        <w:t xml:space="preserve">easures to target an individual group of people. When they saw that their strategy worked, this is precisely how Sony had a considerable rise in their product sales and how they stole the market from other companies and became one of the leading producers </w:t>
      </w:r>
      <w:r w:rsidRPr="00B54F55">
        <w:rPr>
          <w:rFonts w:eastAsia="Times New Roman" w:cs="Times New Roman"/>
          <w:szCs w:val="24"/>
        </w:rPr>
        <w:t>in the gaming industry. Eventually, which led Sony to have one of the most utmost developers to produce innovative products. As Sony started seeing success in the gaming industry, they realized they were in intense competition with other developers like Mi</w:t>
      </w:r>
      <w:r w:rsidRPr="00B54F55">
        <w:rPr>
          <w:rFonts w:eastAsia="Times New Roman" w:cs="Times New Roman"/>
          <w:szCs w:val="24"/>
        </w:rPr>
        <w:t>crosoft's Xbox and Nintendo Wii. Still, with every product released into the market by Sony, it was a massive hit.</w:t>
      </w:r>
    </w:p>
    <w:p w14:paraId="64B47077" w14:textId="77777777" w:rsidR="00CF60D7" w:rsidRPr="00B54F55" w:rsidRDefault="001A38E2">
      <w:pPr>
        <w:rPr>
          <w:rFonts w:eastAsia="Times New Roman" w:cs="Times New Roman"/>
          <w:szCs w:val="24"/>
        </w:rPr>
      </w:pPr>
      <w:r w:rsidRPr="00B54F55">
        <w:rPr>
          <w:rFonts w:eastAsia="Times New Roman" w:cs="Times New Roman"/>
          <w:szCs w:val="24"/>
        </w:rPr>
        <w:t>Sony was the first company to introduce Bluray into the market, thus leading the market once again, as Bluray provided better graphics. Howev</w:t>
      </w:r>
      <w:r w:rsidRPr="00B54F55">
        <w:rPr>
          <w:rFonts w:eastAsia="Times New Roman" w:cs="Times New Roman"/>
          <w:szCs w:val="24"/>
        </w:rPr>
        <w:t xml:space="preserve">er, sony used data and previous strategic measures, which were failures when applied before, to improve better with their products, and their cost-effective strategies also made them gain massive success in the industrial world.  </w:t>
      </w:r>
    </w:p>
    <w:p w14:paraId="794B70F9" w14:textId="77777777" w:rsidR="00CF60D7" w:rsidRPr="00B54F55" w:rsidRDefault="001A38E2" w:rsidP="00B54F55">
      <w:pPr>
        <w:pStyle w:val="Titlu1"/>
      </w:pPr>
      <w:bookmarkStart w:id="13" w:name="_Toc72004087"/>
      <w:r w:rsidRPr="00B54F55">
        <w:lastRenderedPageBreak/>
        <w:t>Recommendations to mainta</w:t>
      </w:r>
      <w:r w:rsidRPr="00B54F55">
        <w:t>in sustainability and competitivene</w:t>
      </w:r>
      <w:r w:rsidR="00B54F55">
        <w:t>ss in the market</w:t>
      </w:r>
      <w:bookmarkEnd w:id="13"/>
    </w:p>
    <w:p w14:paraId="5E3A084D" w14:textId="77777777" w:rsidR="00CF60D7" w:rsidRPr="00B54F55" w:rsidRDefault="001A38E2">
      <w:pPr>
        <w:rPr>
          <w:rFonts w:eastAsia="Times New Roman" w:cs="Times New Roman"/>
          <w:szCs w:val="24"/>
        </w:rPr>
      </w:pPr>
      <w:r w:rsidRPr="00B54F55">
        <w:rPr>
          <w:rFonts w:eastAsia="Times New Roman" w:cs="Times New Roman"/>
          <w:szCs w:val="24"/>
        </w:rPr>
        <w:t>Since the earliest years, Sony has faced different types of challenges, and it has been successful in overcoming almost every kind of challenge. Still, the company has often faced a slowdown in revenues a</w:t>
      </w:r>
      <w:r w:rsidRPr="00B54F55">
        <w:rPr>
          <w:rFonts w:eastAsia="Times New Roman" w:cs="Times New Roman"/>
          <w:szCs w:val="24"/>
        </w:rPr>
        <w:t xml:space="preserve">nd sales. Cost cuttings while moving its factory to Asia Sony have faced a lack of efficient Management and difficulty in cooperation between the employees and different divisions. For that, this multinational organization required tremendous planning and </w:t>
      </w:r>
      <w:r w:rsidRPr="00B54F55">
        <w:rPr>
          <w:rFonts w:eastAsia="Times New Roman" w:cs="Times New Roman"/>
          <w:szCs w:val="24"/>
        </w:rPr>
        <w:t>various strategies, which brought success to the company, just like Sony has faced even other challenges. Different challenges, explicitly dealing with the selling of PlayStation, was one of the most challenging purposes of the company.</w:t>
      </w:r>
    </w:p>
    <w:p w14:paraId="735D57F2" w14:textId="77777777" w:rsidR="00CF60D7" w:rsidRPr="00B54F55" w:rsidRDefault="001A38E2">
      <w:pPr>
        <w:rPr>
          <w:rFonts w:eastAsia="Times New Roman" w:cs="Times New Roman"/>
          <w:szCs w:val="24"/>
        </w:rPr>
      </w:pPr>
      <w:r w:rsidRPr="00B54F55">
        <w:rPr>
          <w:rFonts w:eastAsia="Times New Roman" w:cs="Times New Roman"/>
          <w:szCs w:val="24"/>
        </w:rPr>
        <w:t xml:space="preserve">The main challenge </w:t>
      </w:r>
      <w:r w:rsidRPr="00B54F55">
        <w:rPr>
          <w:rFonts w:eastAsia="Times New Roman" w:cs="Times New Roman"/>
          <w:szCs w:val="24"/>
        </w:rPr>
        <w:t xml:space="preserve">Sony has faced while launching the PS3 was a lot of competition, and more specifically, it had to deal with the price of the product. </w:t>
      </w:r>
    </w:p>
    <w:p w14:paraId="5F03E748" w14:textId="77777777" w:rsidR="00CF60D7" w:rsidRPr="00B54F55" w:rsidRDefault="001A38E2">
      <w:pPr>
        <w:rPr>
          <w:rFonts w:eastAsia="Times New Roman" w:cs="Times New Roman"/>
          <w:szCs w:val="24"/>
        </w:rPr>
      </w:pPr>
      <w:r w:rsidRPr="00B54F55">
        <w:rPr>
          <w:rFonts w:eastAsia="Times New Roman" w:cs="Times New Roman"/>
          <w:szCs w:val="24"/>
        </w:rPr>
        <w:t>The consumers were more interested in buying the product of another company sold at half the price of the PS3. It could b</w:t>
      </w:r>
      <w:r w:rsidRPr="00B54F55">
        <w:rPr>
          <w:rFonts w:eastAsia="Times New Roman" w:cs="Times New Roman"/>
          <w:szCs w:val="24"/>
        </w:rPr>
        <w:t>e recommended clearly that the company has to set its price so that it could be afforded by most of the customers.</w:t>
      </w:r>
    </w:p>
    <w:p w14:paraId="33CCA57A" w14:textId="77777777" w:rsidR="00CF60D7" w:rsidRPr="00B54F55" w:rsidRDefault="001A38E2">
      <w:pPr>
        <w:rPr>
          <w:rFonts w:eastAsia="Times New Roman" w:cs="Times New Roman"/>
          <w:szCs w:val="24"/>
        </w:rPr>
      </w:pPr>
      <w:r w:rsidRPr="00B54F55">
        <w:rPr>
          <w:rFonts w:eastAsia="Times New Roman" w:cs="Times New Roman"/>
          <w:szCs w:val="24"/>
        </w:rPr>
        <w:t>Toshiba and Nintendo were the most formidable competition of the company. They came up with different innovative ideas and comparatively lowe</w:t>
      </w:r>
      <w:r w:rsidRPr="00B54F55">
        <w:rPr>
          <w:rFonts w:eastAsia="Times New Roman" w:cs="Times New Roman"/>
          <w:szCs w:val="24"/>
        </w:rPr>
        <w:t>r costs. The introduction of the 3D game launch by Sony PlayStation was one of the most highlighted topics that had many customers.</w:t>
      </w:r>
    </w:p>
    <w:p w14:paraId="4CF4F783" w14:textId="77777777" w:rsidR="00CF60D7" w:rsidRPr="00B54F55" w:rsidRDefault="001A38E2">
      <w:pPr>
        <w:rPr>
          <w:rFonts w:eastAsia="Times New Roman" w:cs="Times New Roman"/>
          <w:szCs w:val="24"/>
        </w:rPr>
      </w:pPr>
      <w:r w:rsidRPr="00B54F55">
        <w:rPr>
          <w:rFonts w:eastAsia="Times New Roman" w:cs="Times New Roman"/>
          <w:szCs w:val="24"/>
        </w:rPr>
        <w:t>The introduction of compact discs instead of the traditional cartridge was one of the historical introductions of Sony, whic</w:t>
      </w:r>
      <w:r w:rsidRPr="00B54F55">
        <w:rPr>
          <w:rFonts w:eastAsia="Times New Roman" w:cs="Times New Roman"/>
          <w:szCs w:val="24"/>
        </w:rPr>
        <w:t>h allowed the game developers to create the required environment for a 3D experience that innovative idea or that development had a blast among the customers.</w:t>
      </w:r>
    </w:p>
    <w:p w14:paraId="6CC82D49" w14:textId="77777777" w:rsidR="00CF60D7" w:rsidRPr="00B54F55" w:rsidRDefault="001A38E2">
      <w:pPr>
        <w:rPr>
          <w:rFonts w:eastAsia="Times New Roman" w:cs="Times New Roman"/>
          <w:szCs w:val="24"/>
        </w:rPr>
      </w:pPr>
      <w:r w:rsidRPr="00B54F55">
        <w:rPr>
          <w:rFonts w:eastAsia="Times New Roman" w:cs="Times New Roman"/>
          <w:szCs w:val="24"/>
        </w:rPr>
        <w:t>This is evident from the past; innovative ideas have always helped the company overshadow competi</w:t>
      </w:r>
      <w:r w:rsidRPr="00B54F55">
        <w:rPr>
          <w:rFonts w:eastAsia="Times New Roman" w:cs="Times New Roman"/>
          <w:szCs w:val="24"/>
        </w:rPr>
        <w:t>tors. The company should keep in mind that despite having the best game developers or the best games, the title of the game would help the customers be attracted to the products even more. Violence in the games should be excluded for defeating their enemie</w:t>
      </w:r>
      <w:r w:rsidRPr="00B54F55">
        <w:rPr>
          <w:rFonts w:eastAsia="Times New Roman" w:cs="Times New Roman"/>
          <w:szCs w:val="24"/>
        </w:rPr>
        <w:t>s. The customers had to imagine different ideas as due to 3D; the games seem to be more life-like, the company must remove violence from its games as it would affect the mentality of the people. This could also demoralize the children. Even laws can be pas</w:t>
      </w:r>
      <w:r w:rsidRPr="00B54F55">
        <w:rPr>
          <w:rFonts w:eastAsia="Times New Roman" w:cs="Times New Roman"/>
          <w:szCs w:val="24"/>
        </w:rPr>
        <w:t xml:space="preserve">sed over the company for selling violent video games, which might cause loss to the company. </w:t>
      </w:r>
    </w:p>
    <w:p w14:paraId="567E3B69" w14:textId="77777777" w:rsidR="00CF60D7" w:rsidRPr="00B54F55" w:rsidRDefault="001A38E2">
      <w:pPr>
        <w:rPr>
          <w:rFonts w:eastAsia="Times New Roman" w:cs="Times New Roman"/>
          <w:szCs w:val="24"/>
        </w:rPr>
      </w:pPr>
      <w:r w:rsidRPr="00B54F55">
        <w:rPr>
          <w:rFonts w:eastAsia="Times New Roman" w:cs="Times New Roman"/>
          <w:szCs w:val="24"/>
        </w:rPr>
        <w:t>One of the main factors that affect the company is its hike in price. Sony should lower their cost or set a fee to help the customer purchase their wished PlaySta</w:t>
      </w:r>
      <w:r w:rsidRPr="00B54F55">
        <w:rPr>
          <w:rFonts w:eastAsia="Times New Roman" w:cs="Times New Roman"/>
          <w:szCs w:val="24"/>
        </w:rPr>
        <w:t>tion. Lowering the price of the product will increase the demand of the customer. But it should be kept in mind that if the product's price is set too low, then the customers might think that the quality is not good. This doubt might cause loss to the comp</w:t>
      </w:r>
      <w:r w:rsidRPr="00B54F55">
        <w:rPr>
          <w:rFonts w:eastAsia="Times New Roman" w:cs="Times New Roman"/>
          <w:szCs w:val="24"/>
        </w:rPr>
        <w:t xml:space="preserve">any, and The fame could be lost. Higher prices can wipe </w:t>
      </w:r>
      <w:r w:rsidRPr="00B54F55">
        <w:rPr>
          <w:rFonts w:eastAsia="Times New Roman" w:cs="Times New Roman"/>
          <w:szCs w:val="24"/>
        </w:rPr>
        <w:lastRenderedPageBreak/>
        <w:t>out the company's profit as it would lead to fewer sales volumes. Setting the correct price of the product is helpful as it defines the worth of the product. Pricing affects the customer's behavior; i</w:t>
      </w:r>
      <w:r w:rsidRPr="00B54F55">
        <w:rPr>
          <w:rFonts w:eastAsia="Times New Roman" w:cs="Times New Roman"/>
          <w:szCs w:val="24"/>
        </w:rPr>
        <w:t>t makes them think if the product is what they are using. An actual price makes the customer believe that the product is an investment of money and time. The company should keep in mind that the price decision defines the growth of the business.</w:t>
      </w:r>
    </w:p>
    <w:p w14:paraId="43BA0895" w14:textId="77777777" w:rsidR="00CF60D7" w:rsidRPr="00B54F55" w:rsidRDefault="00CF60D7">
      <w:pPr>
        <w:rPr>
          <w:rFonts w:eastAsia="Times New Roman" w:cs="Times New Roman"/>
          <w:b/>
          <w:szCs w:val="24"/>
        </w:rPr>
      </w:pPr>
    </w:p>
    <w:p w14:paraId="52E80303" w14:textId="77777777" w:rsidR="00CF60D7" w:rsidRPr="00B54F55" w:rsidRDefault="001A38E2">
      <w:pPr>
        <w:rPr>
          <w:rFonts w:eastAsia="Times New Roman" w:cs="Times New Roman"/>
          <w:b/>
          <w:szCs w:val="24"/>
        </w:rPr>
      </w:pPr>
      <w:r w:rsidRPr="00B54F55">
        <w:br w:type="page"/>
      </w:r>
    </w:p>
    <w:p w14:paraId="29C85D7D" w14:textId="77777777" w:rsidR="00CF60D7" w:rsidRPr="00B54F55" w:rsidRDefault="001A38E2" w:rsidP="00B54F55">
      <w:pPr>
        <w:pStyle w:val="Titlu1"/>
      </w:pPr>
      <w:bookmarkStart w:id="14" w:name="_Toc72004088"/>
      <w:r w:rsidRPr="00B54F55">
        <w:lastRenderedPageBreak/>
        <w:t>Reference list</w:t>
      </w:r>
      <w:bookmarkEnd w:id="14"/>
    </w:p>
    <w:p w14:paraId="06B73E42" w14:textId="77777777" w:rsidR="00B54F55" w:rsidRPr="00B54F55" w:rsidRDefault="001A38E2" w:rsidP="00B54F55">
      <w:pPr>
        <w:rPr>
          <w:rFonts w:eastAsia="Times New Roman" w:cs="Times New Roman"/>
          <w:szCs w:val="24"/>
          <w:highlight w:val="white"/>
        </w:rPr>
      </w:pPr>
      <w:r w:rsidRPr="00B54F55">
        <w:rPr>
          <w:rFonts w:eastAsia="Times New Roman" w:cs="Times New Roman"/>
          <w:szCs w:val="24"/>
          <w:highlight w:val="white"/>
        </w:rPr>
        <w:t xml:space="preserve">Aguilar Saldaña, A.C. and Velasco García, V.O., 2018. </w:t>
      </w:r>
      <w:r w:rsidRPr="00B54F55">
        <w:rPr>
          <w:rFonts w:eastAsia="Times New Roman" w:cs="Times New Roman"/>
          <w:i/>
          <w:szCs w:val="24"/>
          <w:highlight w:val="white"/>
        </w:rPr>
        <w:t>A linguistic analysis of the strategies and procedures used in the translation of online advertisements: the case of Sony and Apple</w:t>
      </w:r>
      <w:r w:rsidRPr="00B54F55">
        <w:rPr>
          <w:rFonts w:eastAsia="Times New Roman" w:cs="Times New Roman"/>
          <w:szCs w:val="24"/>
          <w:highlight w:val="white"/>
        </w:rPr>
        <w:t xml:space="preserve"> (Bachelor's thesis).</w:t>
      </w:r>
    </w:p>
    <w:p w14:paraId="3EDC2625" w14:textId="77777777" w:rsidR="00B54F55" w:rsidRPr="00B54F55" w:rsidRDefault="001A38E2" w:rsidP="00B54F55">
      <w:pPr>
        <w:rPr>
          <w:rFonts w:eastAsia="Times New Roman" w:cs="Times New Roman"/>
          <w:szCs w:val="24"/>
          <w:highlight w:val="white"/>
        </w:rPr>
      </w:pPr>
      <w:r w:rsidRPr="00B54F55">
        <w:rPr>
          <w:rFonts w:eastAsia="Times New Roman" w:cs="Times New Roman"/>
          <w:szCs w:val="24"/>
          <w:highlight w:val="white"/>
        </w:rPr>
        <w:t>Al-Gburi, A., Al-Hasnawi, A. and L</w:t>
      </w:r>
      <w:r w:rsidRPr="00B54F55">
        <w:rPr>
          <w:rFonts w:eastAsia="Times New Roman" w:cs="Times New Roman"/>
          <w:szCs w:val="24"/>
          <w:highlight w:val="white"/>
        </w:rPr>
        <w:t xml:space="preserve">ilien, L., 2018. Differentiating security from privacy in the internet of things: a survey of selected threats and controls. In </w:t>
      </w:r>
      <w:r w:rsidRPr="00B54F55">
        <w:rPr>
          <w:rFonts w:eastAsia="Times New Roman" w:cs="Times New Roman"/>
          <w:i/>
          <w:szCs w:val="24"/>
          <w:highlight w:val="white"/>
        </w:rPr>
        <w:t>Computer and network security essentials</w:t>
      </w:r>
      <w:r w:rsidRPr="00B54F55">
        <w:rPr>
          <w:rFonts w:eastAsia="Times New Roman" w:cs="Times New Roman"/>
          <w:szCs w:val="24"/>
          <w:highlight w:val="white"/>
        </w:rPr>
        <w:t xml:space="preserve"> (pp. 153-172). Springer, Cham.</w:t>
      </w:r>
    </w:p>
    <w:p w14:paraId="1EB02DD0" w14:textId="77777777" w:rsidR="00B54F55" w:rsidRPr="00B54F55" w:rsidRDefault="001A38E2" w:rsidP="00B54F55">
      <w:pPr>
        <w:rPr>
          <w:rFonts w:eastAsia="Times New Roman" w:cs="Times New Roman"/>
          <w:szCs w:val="24"/>
          <w:highlight w:val="white"/>
        </w:rPr>
      </w:pPr>
      <w:r w:rsidRPr="00B54F55">
        <w:rPr>
          <w:rFonts w:eastAsia="Times New Roman" w:cs="Times New Roman"/>
          <w:szCs w:val="24"/>
          <w:highlight w:val="white"/>
        </w:rPr>
        <w:t>Alhashash, F., Alshammari, T. and Al-Mnaies, A., 2019. S</w:t>
      </w:r>
      <w:r w:rsidRPr="00B54F55">
        <w:rPr>
          <w:rFonts w:eastAsia="Times New Roman" w:cs="Times New Roman"/>
          <w:szCs w:val="24"/>
          <w:highlight w:val="white"/>
        </w:rPr>
        <w:t xml:space="preserve">ony Corporation. </w:t>
      </w:r>
      <w:r w:rsidRPr="00B54F55">
        <w:rPr>
          <w:rFonts w:eastAsia="Times New Roman" w:cs="Times New Roman"/>
          <w:i/>
          <w:szCs w:val="24"/>
          <w:highlight w:val="white"/>
        </w:rPr>
        <w:t>Journal of the Community Development in Asia</w:t>
      </w:r>
      <w:r w:rsidRPr="00B54F55">
        <w:rPr>
          <w:rFonts w:eastAsia="Times New Roman" w:cs="Times New Roman"/>
          <w:szCs w:val="24"/>
          <w:highlight w:val="white"/>
        </w:rPr>
        <w:t xml:space="preserve">, </w:t>
      </w:r>
      <w:r w:rsidRPr="00B54F55">
        <w:rPr>
          <w:rFonts w:eastAsia="Times New Roman" w:cs="Times New Roman"/>
          <w:i/>
          <w:szCs w:val="24"/>
          <w:highlight w:val="white"/>
        </w:rPr>
        <w:t>2</w:t>
      </w:r>
      <w:r w:rsidRPr="00B54F55">
        <w:rPr>
          <w:rFonts w:eastAsia="Times New Roman" w:cs="Times New Roman"/>
          <w:szCs w:val="24"/>
          <w:highlight w:val="white"/>
        </w:rPr>
        <w:t>(2).</w:t>
      </w:r>
    </w:p>
    <w:p w14:paraId="67DA4C44" w14:textId="77777777" w:rsidR="00B54F55" w:rsidRPr="00B54F55" w:rsidRDefault="001A38E2" w:rsidP="00B54F55">
      <w:pPr>
        <w:rPr>
          <w:rFonts w:eastAsia="Times New Roman" w:cs="Times New Roman"/>
          <w:szCs w:val="24"/>
          <w:highlight w:val="white"/>
        </w:rPr>
      </w:pPr>
      <w:r w:rsidRPr="00B54F55">
        <w:rPr>
          <w:rFonts w:eastAsia="Times New Roman" w:cs="Times New Roman"/>
          <w:szCs w:val="24"/>
          <w:highlight w:val="white"/>
        </w:rPr>
        <w:t xml:space="preserve">Arshad, A. and Yazdanifard, R., 2017. Investigative Synopsis of Sony Inc.’s Strategic Management Issues/Failures and How to Overcome Them. </w:t>
      </w:r>
      <w:r w:rsidRPr="00B54F55">
        <w:rPr>
          <w:rFonts w:eastAsia="Times New Roman" w:cs="Times New Roman"/>
          <w:i/>
          <w:szCs w:val="24"/>
          <w:highlight w:val="white"/>
        </w:rPr>
        <w:t xml:space="preserve">International Journal of Management, Accounting </w:t>
      </w:r>
      <w:r w:rsidRPr="00B54F55">
        <w:rPr>
          <w:rFonts w:eastAsia="Times New Roman" w:cs="Times New Roman"/>
          <w:i/>
          <w:szCs w:val="24"/>
          <w:highlight w:val="white"/>
        </w:rPr>
        <w:t>&amp; Economics</w:t>
      </w:r>
      <w:r w:rsidRPr="00B54F55">
        <w:rPr>
          <w:rFonts w:eastAsia="Times New Roman" w:cs="Times New Roman"/>
          <w:szCs w:val="24"/>
          <w:highlight w:val="white"/>
        </w:rPr>
        <w:t xml:space="preserve">, </w:t>
      </w:r>
      <w:r w:rsidRPr="00B54F55">
        <w:rPr>
          <w:rFonts w:eastAsia="Times New Roman" w:cs="Times New Roman"/>
          <w:i/>
          <w:szCs w:val="24"/>
          <w:highlight w:val="white"/>
        </w:rPr>
        <w:t>4</w:t>
      </w:r>
      <w:r w:rsidRPr="00B54F55">
        <w:rPr>
          <w:rFonts w:eastAsia="Times New Roman" w:cs="Times New Roman"/>
          <w:szCs w:val="24"/>
          <w:highlight w:val="white"/>
        </w:rPr>
        <w:t>(9), pp.917-936.</w:t>
      </w:r>
    </w:p>
    <w:p w14:paraId="3CACC663" w14:textId="77777777" w:rsidR="00B54F55" w:rsidRPr="00B54F55" w:rsidRDefault="001A38E2" w:rsidP="00B54F55">
      <w:pPr>
        <w:rPr>
          <w:rFonts w:eastAsia="Times New Roman" w:cs="Times New Roman"/>
          <w:szCs w:val="24"/>
          <w:highlight w:val="white"/>
        </w:rPr>
      </w:pPr>
      <w:r w:rsidRPr="00B54F55">
        <w:rPr>
          <w:rFonts w:eastAsia="Times New Roman" w:cs="Times New Roman"/>
          <w:szCs w:val="24"/>
          <w:highlight w:val="white"/>
        </w:rPr>
        <w:t>Camarena Gil, E., 2019. Operations management GADE Chapter 2. Operations management strategy.</w:t>
      </w:r>
    </w:p>
    <w:p w14:paraId="4B439D34" w14:textId="77777777" w:rsidR="00B54F55" w:rsidRPr="00B54F55" w:rsidRDefault="001A38E2" w:rsidP="00B54F55">
      <w:pPr>
        <w:rPr>
          <w:rFonts w:eastAsia="Times New Roman" w:cs="Times New Roman"/>
          <w:szCs w:val="24"/>
          <w:highlight w:val="white"/>
        </w:rPr>
      </w:pPr>
      <w:r w:rsidRPr="00B54F55">
        <w:rPr>
          <w:rFonts w:eastAsia="Times New Roman" w:cs="Times New Roman"/>
          <w:szCs w:val="24"/>
          <w:highlight w:val="white"/>
        </w:rPr>
        <w:t>Chintalapati, S., 2020. BankBuddy. Ai—Business Expansion and Marketing Dilemma: A Case Study to Discuss the Ansoff Growth Matrix Co</w:t>
      </w:r>
      <w:r w:rsidRPr="00B54F55">
        <w:rPr>
          <w:rFonts w:eastAsia="Times New Roman" w:cs="Times New Roman"/>
          <w:szCs w:val="24"/>
          <w:highlight w:val="white"/>
        </w:rPr>
        <w:t xml:space="preserve">ncepts Combined with Business Expansion Strategies for Expanding into Emerging Markets. </w:t>
      </w:r>
      <w:r w:rsidRPr="00B54F55">
        <w:rPr>
          <w:rFonts w:eastAsia="Times New Roman" w:cs="Times New Roman"/>
          <w:i/>
          <w:szCs w:val="24"/>
          <w:highlight w:val="white"/>
        </w:rPr>
        <w:t>Emerging Economies Cases Journal</w:t>
      </w:r>
      <w:r w:rsidRPr="00B54F55">
        <w:rPr>
          <w:rFonts w:eastAsia="Times New Roman" w:cs="Times New Roman"/>
          <w:szCs w:val="24"/>
          <w:highlight w:val="white"/>
        </w:rPr>
        <w:t xml:space="preserve">, </w:t>
      </w:r>
      <w:r w:rsidRPr="00B54F55">
        <w:rPr>
          <w:rFonts w:eastAsia="Times New Roman" w:cs="Times New Roman"/>
          <w:i/>
          <w:szCs w:val="24"/>
          <w:highlight w:val="white"/>
        </w:rPr>
        <w:t>2</w:t>
      </w:r>
      <w:r w:rsidRPr="00B54F55">
        <w:rPr>
          <w:rFonts w:eastAsia="Times New Roman" w:cs="Times New Roman"/>
          <w:szCs w:val="24"/>
          <w:highlight w:val="white"/>
        </w:rPr>
        <w:t>(1), pp.44-53.</w:t>
      </w:r>
    </w:p>
    <w:p w14:paraId="7BF2BA8A" w14:textId="77777777" w:rsidR="00B54F55" w:rsidRPr="00B54F55" w:rsidRDefault="001A38E2" w:rsidP="00B54F55">
      <w:pPr>
        <w:rPr>
          <w:rFonts w:eastAsia="Times New Roman" w:cs="Times New Roman"/>
          <w:szCs w:val="24"/>
          <w:highlight w:val="white"/>
        </w:rPr>
      </w:pPr>
      <w:r w:rsidRPr="00B54F55">
        <w:rPr>
          <w:rFonts w:eastAsia="Times New Roman" w:cs="Times New Roman"/>
          <w:szCs w:val="24"/>
          <w:highlight w:val="white"/>
        </w:rPr>
        <w:t xml:space="preserve">Dawes, J., 2018. The Ansoff Matrix: A Legendary Tool, But with Two Logical Problems. </w:t>
      </w:r>
      <w:r w:rsidRPr="00B54F55">
        <w:rPr>
          <w:rFonts w:eastAsia="Times New Roman" w:cs="Times New Roman"/>
          <w:i/>
          <w:szCs w:val="24"/>
          <w:highlight w:val="white"/>
        </w:rPr>
        <w:t>But with Two Logical Problems (Fe</w:t>
      </w:r>
      <w:r w:rsidRPr="00B54F55">
        <w:rPr>
          <w:rFonts w:eastAsia="Times New Roman" w:cs="Times New Roman"/>
          <w:i/>
          <w:szCs w:val="24"/>
          <w:highlight w:val="white"/>
        </w:rPr>
        <w:t>bruary 27, 2018)</w:t>
      </w:r>
      <w:r w:rsidRPr="00B54F55">
        <w:rPr>
          <w:rFonts w:eastAsia="Times New Roman" w:cs="Times New Roman"/>
          <w:szCs w:val="24"/>
          <w:highlight w:val="white"/>
        </w:rPr>
        <w:t>.</w:t>
      </w:r>
    </w:p>
    <w:p w14:paraId="29EB3A7E" w14:textId="77777777" w:rsidR="00B54F55" w:rsidRPr="00B54F55" w:rsidRDefault="001A38E2" w:rsidP="00B54F55">
      <w:pPr>
        <w:rPr>
          <w:rFonts w:eastAsia="Times New Roman" w:cs="Times New Roman"/>
          <w:szCs w:val="24"/>
          <w:highlight w:val="white"/>
        </w:rPr>
      </w:pPr>
      <w:r w:rsidRPr="00B54F55">
        <w:rPr>
          <w:rFonts w:eastAsia="Times New Roman" w:cs="Times New Roman"/>
          <w:szCs w:val="24"/>
          <w:highlight w:val="white"/>
        </w:rPr>
        <w:t xml:space="preserve">Delightful, S.Z., 2020. Multinational country risk: Exposure to asset holding risk and operational risk in international business. </w:t>
      </w:r>
      <w:r w:rsidRPr="00B54F55">
        <w:rPr>
          <w:rFonts w:eastAsia="Times New Roman" w:cs="Times New Roman"/>
          <w:i/>
          <w:szCs w:val="24"/>
          <w:highlight w:val="white"/>
        </w:rPr>
        <w:t>Journal of World Business</w:t>
      </w:r>
      <w:r w:rsidRPr="00B54F55">
        <w:rPr>
          <w:rFonts w:eastAsia="Times New Roman" w:cs="Times New Roman"/>
          <w:szCs w:val="24"/>
          <w:highlight w:val="white"/>
        </w:rPr>
        <w:t xml:space="preserve">, </w:t>
      </w:r>
      <w:r w:rsidRPr="00B54F55">
        <w:rPr>
          <w:rFonts w:eastAsia="Times New Roman" w:cs="Times New Roman"/>
          <w:i/>
          <w:szCs w:val="24"/>
          <w:highlight w:val="white"/>
        </w:rPr>
        <w:t>55</w:t>
      </w:r>
      <w:r w:rsidRPr="00B54F55">
        <w:rPr>
          <w:rFonts w:eastAsia="Times New Roman" w:cs="Times New Roman"/>
          <w:szCs w:val="24"/>
          <w:highlight w:val="white"/>
        </w:rPr>
        <w:t>(2), p.101041.</w:t>
      </w:r>
    </w:p>
    <w:p w14:paraId="402FBF14" w14:textId="77777777" w:rsidR="00B54F55" w:rsidRPr="00B54F55" w:rsidRDefault="001A38E2" w:rsidP="00B54F55">
      <w:pPr>
        <w:rPr>
          <w:rFonts w:eastAsia="Times New Roman" w:cs="Times New Roman"/>
          <w:szCs w:val="24"/>
          <w:highlight w:val="white"/>
        </w:rPr>
      </w:pPr>
      <w:r w:rsidRPr="00B54F55">
        <w:rPr>
          <w:rFonts w:eastAsia="Times New Roman" w:cs="Times New Roman"/>
          <w:szCs w:val="24"/>
          <w:highlight w:val="white"/>
        </w:rPr>
        <w:t>Dupre la Tour, M. and Vetta</w:t>
      </w:r>
      <w:r w:rsidRPr="00B54F55">
        <w:rPr>
          <w:rFonts w:eastAsia="Times New Roman" w:cs="Times New Roman"/>
          <w:szCs w:val="24"/>
          <w:highlight w:val="white"/>
        </w:rPr>
        <w:t xml:space="preserve">, A., 2018, June. The Combinatorial Clock Auction: the Effects of Strategic Behaviour and the Price Increment Rule on Social Welfare. In </w:t>
      </w:r>
      <w:r w:rsidRPr="00B54F55">
        <w:rPr>
          <w:rFonts w:eastAsia="Times New Roman" w:cs="Times New Roman"/>
          <w:i/>
          <w:szCs w:val="24"/>
          <w:highlight w:val="white"/>
        </w:rPr>
        <w:t>Proceedings of the 2018 A.C.M. Conference on Economics and Computation</w:t>
      </w:r>
      <w:r w:rsidRPr="00B54F55">
        <w:rPr>
          <w:rFonts w:eastAsia="Times New Roman" w:cs="Times New Roman"/>
          <w:szCs w:val="24"/>
          <w:highlight w:val="white"/>
        </w:rPr>
        <w:t xml:space="preserve"> (pp. 91-108).</w:t>
      </w:r>
    </w:p>
    <w:p w14:paraId="02C22ACD" w14:textId="77777777" w:rsidR="00B54F55" w:rsidRPr="00B54F55" w:rsidRDefault="001A38E2" w:rsidP="00B54F55">
      <w:pPr>
        <w:rPr>
          <w:rFonts w:eastAsia="Times New Roman" w:cs="Times New Roman"/>
          <w:szCs w:val="24"/>
          <w:highlight w:val="white"/>
        </w:rPr>
      </w:pPr>
      <w:r w:rsidRPr="00B54F55">
        <w:rPr>
          <w:rFonts w:eastAsia="Times New Roman" w:cs="Times New Roman"/>
          <w:szCs w:val="24"/>
          <w:highlight w:val="white"/>
        </w:rPr>
        <w:t>Fernandez-Stark, K. and Gereffi, G</w:t>
      </w:r>
      <w:r w:rsidRPr="00B54F55">
        <w:rPr>
          <w:rFonts w:eastAsia="Times New Roman" w:cs="Times New Roman"/>
          <w:szCs w:val="24"/>
          <w:highlight w:val="white"/>
        </w:rPr>
        <w:t xml:space="preserve">., 2019. Global value chain analysis: a primer. In </w:t>
      </w:r>
      <w:r w:rsidRPr="00B54F55">
        <w:rPr>
          <w:rFonts w:eastAsia="Times New Roman" w:cs="Times New Roman"/>
          <w:i/>
          <w:szCs w:val="24"/>
          <w:highlight w:val="white"/>
        </w:rPr>
        <w:t>Handbook on Global Value Chains</w:t>
      </w:r>
      <w:r w:rsidRPr="00B54F55">
        <w:rPr>
          <w:rFonts w:eastAsia="Times New Roman" w:cs="Times New Roman"/>
          <w:szCs w:val="24"/>
          <w:highlight w:val="white"/>
        </w:rPr>
        <w:t>. Edward Elgar Publishing.</w:t>
      </w:r>
    </w:p>
    <w:p w14:paraId="6DF0A75A" w14:textId="77777777" w:rsidR="00B54F55" w:rsidRPr="00B54F55" w:rsidRDefault="001A38E2" w:rsidP="00B54F55">
      <w:pPr>
        <w:rPr>
          <w:rFonts w:eastAsia="Times New Roman" w:cs="Times New Roman"/>
          <w:szCs w:val="24"/>
          <w:highlight w:val="white"/>
        </w:rPr>
      </w:pPr>
      <w:r w:rsidRPr="00B54F55">
        <w:rPr>
          <w:rFonts w:eastAsia="Times New Roman" w:cs="Times New Roman"/>
          <w:szCs w:val="24"/>
          <w:highlight w:val="white"/>
        </w:rPr>
        <w:t xml:space="preserve">Hacklin, F., Björkdahl, J. and Wallin, M.W., 2018. Strategies for business model innovation: How firms reel in migrating value. </w:t>
      </w:r>
      <w:r w:rsidRPr="00B54F55">
        <w:rPr>
          <w:rFonts w:eastAsia="Times New Roman" w:cs="Times New Roman"/>
          <w:i/>
          <w:szCs w:val="24"/>
          <w:highlight w:val="white"/>
        </w:rPr>
        <w:t>Long-range planning</w:t>
      </w:r>
      <w:r w:rsidRPr="00B54F55">
        <w:rPr>
          <w:rFonts w:eastAsia="Times New Roman" w:cs="Times New Roman"/>
          <w:szCs w:val="24"/>
          <w:highlight w:val="white"/>
        </w:rPr>
        <w:t xml:space="preserve">, </w:t>
      </w:r>
      <w:r w:rsidRPr="00B54F55">
        <w:rPr>
          <w:rFonts w:eastAsia="Times New Roman" w:cs="Times New Roman"/>
          <w:i/>
          <w:szCs w:val="24"/>
          <w:highlight w:val="white"/>
        </w:rPr>
        <w:t>51</w:t>
      </w:r>
      <w:r w:rsidRPr="00B54F55">
        <w:rPr>
          <w:rFonts w:eastAsia="Times New Roman" w:cs="Times New Roman"/>
          <w:szCs w:val="24"/>
          <w:highlight w:val="white"/>
        </w:rPr>
        <w:t>(1), pp.82-110.</w:t>
      </w:r>
    </w:p>
    <w:p w14:paraId="44512055" w14:textId="77777777" w:rsidR="00B54F55" w:rsidRPr="00B54F55" w:rsidRDefault="001A38E2" w:rsidP="00B54F55">
      <w:pPr>
        <w:rPr>
          <w:rFonts w:eastAsia="Times New Roman" w:cs="Times New Roman"/>
          <w:szCs w:val="24"/>
          <w:highlight w:val="white"/>
        </w:rPr>
      </w:pPr>
      <w:r w:rsidRPr="00B54F55">
        <w:rPr>
          <w:rFonts w:eastAsia="Times New Roman" w:cs="Times New Roman"/>
          <w:szCs w:val="24"/>
          <w:highlight w:val="white"/>
        </w:rPr>
        <w:t xml:space="preserve">Hong, Y.U. and WANG, J.Y., 2017. Analysis and Suggestion on the Development of SONY. </w:t>
      </w:r>
      <w:r w:rsidRPr="00B54F55">
        <w:rPr>
          <w:rFonts w:eastAsia="Times New Roman" w:cs="Times New Roman"/>
          <w:i/>
          <w:szCs w:val="24"/>
          <w:highlight w:val="white"/>
        </w:rPr>
        <w:t>DEStech Transactions on Economics, Business, and Management</w:t>
      </w:r>
      <w:r w:rsidRPr="00B54F55">
        <w:rPr>
          <w:rFonts w:eastAsia="Times New Roman" w:cs="Times New Roman"/>
          <w:szCs w:val="24"/>
          <w:highlight w:val="white"/>
        </w:rPr>
        <w:t>, (icem).</w:t>
      </w:r>
    </w:p>
    <w:p w14:paraId="7752385D" w14:textId="77777777" w:rsidR="00B54F55" w:rsidRPr="00B54F55" w:rsidRDefault="001A38E2" w:rsidP="00B54F55">
      <w:pPr>
        <w:rPr>
          <w:rFonts w:eastAsia="Times New Roman" w:cs="Times New Roman"/>
          <w:szCs w:val="24"/>
          <w:highlight w:val="white"/>
        </w:rPr>
      </w:pPr>
      <w:r w:rsidRPr="00B54F55">
        <w:rPr>
          <w:rFonts w:eastAsia="Times New Roman" w:cs="Times New Roman"/>
          <w:szCs w:val="24"/>
          <w:highlight w:val="white"/>
        </w:rPr>
        <w:t xml:space="preserve">Koc, T. and Bozdag, E., 2017. Measuring the degree of novelty of innovation based </w:t>
      </w:r>
      <w:r w:rsidRPr="00B54F55">
        <w:rPr>
          <w:rFonts w:eastAsia="Times New Roman" w:cs="Times New Roman"/>
          <w:szCs w:val="24"/>
          <w:highlight w:val="white"/>
        </w:rPr>
        <w:t xml:space="preserve">on Porter's value chain approach. </w:t>
      </w:r>
      <w:r w:rsidRPr="00B54F55">
        <w:rPr>
          <w:rFonts w:eastAsia="Times New Roman" w:cs="Times New Roman"/>
          <w:i/>
          <w:szCs w:val="24"/>
          <w:highlight w:val="white"/>
        </w:rPr>
        <w:t>European Journal of Operational Research</w:t>
      </w:r>
      <w:r w:rsidRPr="00B54F55">
        <w:rPr>
          <w:rFonts w:eastAsia="Times New Roman" w:cs="Times New Roman"/>
          <w:szCs w:val="24"/>
          <w:highlight w:val="white"/>
        </w:rPr>
        <w:t xml:space="preserve">, </w:t>
      </w:r>
      <w:r w:rsidRPr="00B54F55">
        <w:rPr>
          <w:rFonts w:eastAsia="Times New Roman" w:cs="Times New Roman"/>
          <w:i/>
          <w:szCs w:val="24"/>
          <w:highlight w:val="white"/>
        </w:rPr>
        <w:t>257</w:t>
      </w:r>
      <w:r w:rsidRPr="00B54F55">
        <w:rPr>
          <w:rFonts w:eastAsia="Times New Roman" w:cs="Times New Roman"/>
          <w:szCs w:val="24"/>
          <w:highlight w:val="white"/>
        </w:rPr>
        <w:t>(2), pp.559-567.</w:t>
      </w:r>
    </w:p>
    <w:p w14:paraId="28493FAC" w14:textId="77777777" w:rsidR="00B54F55" w:rsidRPr="00B54F55" w:rsidRDefault="001A38E2" w:rsidP="00B54F55">
      <w:pPr>
        <w:rPr>
          <w:rFonts w:eastAsia="Times New Roman" w:cs="Times New Roman"/>
          <w:szCs w:val="24"/>
          <w:highlight w:val="white"/>
        </w:rPr>
      </w:pPr>
      <w:r w:rsidRPr="00B54F55">
        <w:rPr>
          <w:rFonts w:eastAsia="Times New Roman" w:cs="Times New Roman"/>
          <w:szCs w:val="24"/>
          <w:highlight w:val="white"/>
        </w:rPr>
        <w:lastRenderedPageBreak/>
        <w:t>Le, H.T.N., 2018. Nintendo vs. its competitors in marketing efforts: from the point of view of customers.</w:t>
      </w:r>
    </w:p>
    <w:p w14:paraId="1D1C74F1" w14:textId="77777777" w:rsidR="00B54F55" w:rsidRPr="00B54F55" w:rsidRDefault="001A38E2" w:rsidP="00B54F55">
      <w:pPr>
        <w:rPr>
          <w:rFonts w:eastAsia="Times New Roman" w:cs="Times New Roman"/>
          <w:szCs w:val="24"/>
          <w:highlight w:val="white"/>
        </w:rPr>
      </w:pPr>
      <w:r w:rsidRPr="00B54F55">
        <w:rPr>
          <w:rFonts w:eastAsia="Times New Roman" w:cs="Times New Roman"/>
          <w:szCs w:val="24"/>
          <w:highlight w:val="white"/>
        </w:rPr>
        <w:t>Lee, S.J., Lin, G.T. and Yu, W.H., 2017. The Strategic</w:t>
      </w:r>
      <w:r w:rsidRPr="00B54F55">
        <w:rPr>
          <w:rFonts w:eastAsia="Times New Roman" w:cs="Times New Roman"/>
          <w:szCs w:val="24"/>
          <w:highlight w:val="white"/>
        </w:rPr>
        <w:t xml:space="preserve"> Analysis of Driving Forces Determining Success for a Console Manufacturer in the Console Market–the Positioning Strategy of Nintendo. </w:t>
      </w:r>
    </w:p>
    <w:p w14:paraId="67BEF1A7" w14:textId="77777777" w:rsidR="00B54F55" w:rsidRPr="00B54F55" w:rsidRDefault="001A38E2" w:rsidP="00B54F55">
      <w:pPr>
        <w:rPr>
          <w:rFonts w:eastAsia="Times New Roman" w:cs="Times New Roman"/>
          <w:szCs w:val="24"/>
          <w:highlight w:val="white"/>
        </w:rPr>
      </w:pPr>
      <w:r w:rsidRPr="00B54F55">
        <w:rPr>
          <w:rFonts w:eastAsia="Times New Roman" w:cs="Times New Roman"/>
          <w:szCs w:val="24"/>
          <w:highlight w:val="white"/>
        </w:rPr>
        <w:t xml:space="preserve">Leleux, B. and Van der Kaaij, J., 2018. </w:t>
      </w:r>
      <w:r w:rsidRPr="00B54F55">
        <w:rPr>
          <w:rFonts w:eastAsia="Times New Roman" w:cs="Times New Roman"/>
          <w:i/>
          <w:szCs w:val="24"/>
          <w:highlight w:val="white"/>
        </w:rPr>
        <w:t xml:space="preserve">We were winning sustainability strategies: Finding purpose, driving innovation, </w:t>
      </w:r>
      <w:r w:rsidRPr="00B54F55">
        <w:rPr>
          <w:rFonts w:eastAsia="Times New Roman" w:cs="Times New Roman"/>
          <w:i/>
          <w:szCs w:val="24"/>
          <w:highlight w:val="white"/>
        </w:rPr>
        <w:t>and executing change</w:t>
      </w:r>
      <w:r w:rsidRPr="00B54F55">
        <w:rPr>
          <w:rFonts w:eastAsia="Times New Roman" w:cs="Times New Roman"/>
          <w:szCs w:val="24"/>
          <w:highlight w:val="white"/>
        </w:rPr>
        <w:t>. Springer.</w:t>
      </w:r>
    </w:p>
    <w:p w14:paraId="23498509" w14:textId="77777777" w:rsidR="00B54F55" w:rsidRPr="00B54F55" w:rsidRDefault="001A38E2" w:rsidP="00B54F55">
      <w:pPr>
        <w:rPr>
          <w:rFonts w:eastAsia="Times New Roman" w:cs="Times New Roman"/>
          <w:szCs w:val="24"/>
          <w:highlight w:val="white"/>
        </w:rPr>
      </w:pPr>
      <w:r w:rsidRPr="00B54F55">
        <w:rPr>
          <w:rFonts w:eastAsia="Times New Roman" w:cs="Times New Roman"/>
          <w:szCs w:val="24"/>
          <w:highlight w:val="white"/>
        </w:rPr>
        <w:t xml:space="preserve">Miller, D., 2019. The resource-based view of the firm. In </w:t>
      </w:r>
      <w:r w:rsidRPr="00B54F55">
        <w:rPr>
          <w:rFonts w:eastAsia="Times New Roman" w:cs="Times New Roman"/>
          <w:i/>
          <w:szCs w:val="24"/>
          <w:highlight w:val="white"/>
        </w:rPr>
        <w:t>Oxford Research Encyclopedia of Business and Management</w:t>
      </w:r>
      <w:r w:rsidRPr="00B54F55">
        <w:rPr>
          <w:rFonts w:eastAsia="Times New Roman" w:cs="Times New Roman"/>
          <w:szCs w:val="24"/>
          <w:highlight w:val="white"/>
        </w:rPr>
        <w:t>.</w:t>
      </w:r>
    </w:p>
    <w:p w14:paraId="56817D4A" w14:textId="77777777" w:rsidR="00B54F55" w:rsidRPr="00B54F55" w:rsidRDefault="001A38E2" w:rsidP="00B54F55">
      <w:pPr>
        <w:rPr>
          <w:rFonts w:eastAsia="Times New Roman" w:cs="Times New Roman"/>
          <w:szCs w:val="24"/>
          <w:highlight w:val="white"/>
        </w:rPr>
      </w:pPr>
      <w:r w:rsidRPr="00B54F55">
        <w:rPr>
          <w:rFonts w:eastAsia="Times New Roman" w:cs="Times New Roman"/>
          <w:szCs w:val="24"/>
          <w:highlight w:val="white"/>
        </w:rPr>
        <w:t>Mirbabaev, F.A. and Ilkhamov</w:t>
      </w:r>
      <w:r w:rsidRPr="00B54F55">
        <w:rPr>
          <w:rFonts w:eastAsia="Times New Roman" w:cs="Times New Roman"/>
          <w:szCs w:val="24"/>
          <w:highlight w:val="white"/>
        </w:rPr>
        <w:t xml:space="preserve">, K., 2018. The Importance of Using the MCKINSEY 7S Model Analysis and Its Management System. </w:t>
      </w:r>
      <w:r w:rsidRPr="00B54F55">
        <w:rPr>
          <w:rFonts w:eastAsia="Times New Roman" w:cs="Times New Roman"/>
          <w:i/>
          <w:szCs w:val="24"/>
          <w:highlight w:val="white"/>
        </w:rPr>
        <w:t>Economics and Innovative Technologies</w:t>
      </w:r>
      <w:r w:rsidRPr="00B54F55">
        <w:rPr>
          <w:rFonts w:eastAsia="Times New Roman" w:cs="Times New Roman"/>
          <w:szCs w:val="24"/>
          <w:highlight w:val="white"/>
        </w:rPr>
        <w:t xml:space="preserve">, </w:t>
      </w:r>
      <w:r w:rsidRPr="00B54F55">
        <w:rPr>
          <w:rFonts w:eastAsia="Times New Roman" w:cs="Times New Roman"/>
          <w:i/>
          <w:szCs w:val="24"/>
          <w:highlight w:val="white"/>
        </w:rPr>
        <w:t>2018</w:t>
      </w:r>
      <w:r w:rsidRPr="00B54F55">
        <w:rPr>
          <w:rFonts w:eastAsia="Times New Roman" w:cs="Times New Roman"/>
          <w:szCs w:val="24"/>
          <w:highlight w:val="white"/>
        </w:rPr>
        <w:t>(5), p.32.</w:t>
      </w:r>
    </w:p>
    <w:p w14:paraId="40B0639D" w14:textId="77777777" w:rsidR="00B54F55" w:rsidRPr="00B54F55" w:rsidRDefault="001A38E2" w:rsidP="00B54F55">
      <w:pPr>
        <w:rPr>
          <w:rFonts w:eastAsia="Times New Roman" w:cs="Times New Roman"/>
          <w:szCs w:val="24"/>
          <w:highlight w:val="white"/>
        </w:rPr>
      </w:pPr>
      <w:r w:rsidRPr="00B54F55">
        <w:rPr>
          <w:rFonts w:eastAsia="Times New Roman" w:cs="Times New Roman"/>
          <w:szCs w:val="24"/>
          <w:highlight w:val="white"/>
        </w:rPr>
        <w:t>Mishra, P. and Yadav, M., 2021. Environmental capabilities, proactive environmental strategy and competitive</w:t>
      </w:r>
      <w:r w:rsidRPr="00B54F55">
        <w:rPr>
          <w:rFonts w:eastAsia="Times New Roman" w:cs="Times New Roman"/>
          <w:szCs w:val="24"/>
          <w:highlight w:val="white"/>
        </w:rPr>
        <w:t xml:space="preserve"> advantage: A natural-resource-based view of firms operating in India. </w:t>
      </w:r>
      <w:r w:rsidRPr="00B54F55">
        <w:rPr>
          <w:rFonts w:eastAsia="Times New Roman" w:cs="Times New Roman"/>
          <w:i/>
          <w:szCs w:val="24"/>
          <w:highlight w:val="white"/>
        </w:rPr>
        <w:t>Journal of Cleaner Production</w:t>
      </w:r>
      <w:r w:rsidRPr="00B54F55">
        <w:rPr>
          <w:rFonts w:eastAsia="Times New Roman" w:cs="Times New Roman"/>
          <w:szCs w:val="24"/>
          <w:highlight w:val="white"/>
        </w:rPr>
        <w:t xml:space="preserve">, </w:t>
      </w:r>
      <w:r w:rsidRPr="00B54F55">
        <w:rPr>
          <w:rFonts w:eastAsia="Times New Roman" w:cs="Times New Roman"/>
          <w:i/>
          <w:szCs w:val="24"/>
          <w:highlight w:val="white"/>
        </w:rPr>
        <w:t>291</w:t>
      </w:r>
      <w:r w:rsidRPr="00B54F55">
        <w:rPr>
          <w:rFonts w:eastAsia="Times New Roman" w:cs="Times New Roman"/>
          <w:szCs w:val="24"/>
          <w:highlight w:val="white"/>
        </w:rPr>
        <w:t>, p.125249.</w:t>
      </w:r>
    </w:p>
    <w:p w14:paraId="49EA4ECF" w14:textId="77777777" w:rsidR="00B54F55" w:rsidRPr="00B54F55" w:rsidRDefault="001A38E2" w:rsidP="00B54F55">
      <w:pPr>
        <w:rPr>
          <w:rFonts w:eastAsia="Times New Roman" w:cs="Times New Roman"/>
          <w:szCs w:val="24"/>
          <w:highlight w:val="white"/>
        </w:rPr>
      </w:pPr>
      <w:r w:rsidRPr="00B54F55">
        <w:rPr>
          <w:rFonts w:eastAsia="Times New Roman" w:cs="Times New Roman"/>
          <w:szCs w:val="24"/>
          <w:highlight w:val="white"/>
        </w:rPr>
        <w:t xml:space="preserve">Munir, H., Linåker, J., Wnuk, K., Runeson, P. and Regnell, B., 2018. Open innovation using open source tools: A case study at Sony Mobile. </w:t>
      </w:r>
      <w:r w:rsidRPr="00B54F55">
        <w:rPr>
          <w:rFonts w:eastAsia="Times New Roman" w:cs="Times New Roman"/>
          <w:i/>
          <w:szCs w:val="24"/>
          <w:highlight w:val="white"/>
        </w:rPr>
        <w:t>Empirical Software Engineering</w:t>
      </w:r>
      <w:r w:rsidRPr="00B54F55">
        <w:rPr>
          <w:rFonts w:eastAsia="Times New Roman" w:cs="Times New Roman"/>
          <w:szCs w:val="24"/>
          <w:highlight w:val="white"/>
        </w:rPr>
        <w:t xml:space="preserve">, </w:t>
      </w:r>
      <w:r w:rsidRPr="00B54F55">
        <w:rPr>
          <w:rFonts w:eastAsia="Times New Roman" w:cs="Times New Roman"/>
          <w:i/>
          <w:szCs w:val="24"/>
          <w:highlight w:val="white"/>
        </w:rPr>
        <w:t>23</w:t>
      </w:r>
      <w:r w:rsidRPr="00B54F55">
        <w:rPr>
          <w:rFonts w:eastAsia="Times New Roman" w:cs="Times New Roman"/>
          <w:szCs w:val="24"/>
          <w:highlight w:val="white"/>
        </w:rPr>
        <w:t>(1), pp.186-223.</w:t>
      </w:r>
    </w:p>
    <w:p w14:paraId="3CDE2DB2" w14:textId="77777777" w:rsidR="00B54F55" w:rsidRPr="00B54F55" w:rsidRDefault="001A38E2" w:rsidP="00B54F55">
      <w:pPr>
        <w:rPr>
          <w:rFonts w:eastAsia="Times New Roman" w:cs="Times New Roman"/>
          <w:szCs w:val="24"/>
          <w:highlight w:val="white"/>
        </w:rPr>
      </w:pPr>
      <w:r w:rsidRPr="00B54F55">
        <w:rPr>
          <w:rFonts w:eastAsia="Times New Roman" w:cs="Times New Roman"/>
          <w:szCs w:val="24"/>
          <w:highlight w:val="white"/>
        </w:rPr>
        <w:t xml:space="preserve">Shariah, A.A., 2018. Analyzing business intelligence systems based on the 7S model of McKinsey. </w:t>
      </w:r>
      <w:r w:rsidRPr="00B54F55">
        <w:rPr>
          <w:rFonts w:eastAsia="Times New Roman" w:cs="Times New Roman"/>
          <w:i/>
          <w:szCs w:val="24"/>
          <w:highlight w:val="white"/>
        </w:rPr>
        <w:t>International Journal of Business Intelligence Research (I.J.B.I.R.)</w:t>
      </w:r>
      <w:r w:rsidRPr="00B54F55">
        <w:rPr>
          <w:rFonts w:eastAsia="Times New Roman" w:cs="Times New Roman"/>
          <w:szCs w:val="24"/>
          <w:highlight w:val="white"/>
        </w:rPr>
        <w:t xml:space="preserve">, </w:t>
      </w:r>
      <w:r w:rsidRPr="00B54F55">
        <w:rPr>
          <w:rFonts w:eastAsia="Times New Roman" w:cs="Times New Roman"/>
          <w:i/>
          <w:szCs w:val="24"/>
          <w:highlight w:val="white"/>
        </w:rPr>
        <w:t>9</w:t>
      </w:r>
      <w:r w:rsidRPr="00B54F55">
        <w:rPr>
          <w:rFonts w:eastAsia="Times New Roman" w:cs="Times New Roman"/>
          <w:szCs w:val="24"/>
          <w:highlight w:val="white"/>
        </w:rPr>
        <w:t>(1), pp.53-63.</w:t>
      </w:r>
    </w:p>
    <w:p w14:paraId="328BDEFB" w14:textId="77777777" w:rsidR="00B54F55" w:rsidRPr="00B54F55" w:rsidRDefault="001A38E2" w:rsidP="00B54F55">
      <w:pPr>
        <w:rPr>
          <w:rFonts w:eastAsia="Times New Roman" w:cs="Times New Roman"/>
          <w:szCs w:val="24"/>
          <w:highlight w:val="white"/>
        </w:rPr>
      </w:pPr>
      <w:r w:rsidRPr="00B54F55">
        <w:rPr>
          <w:rFonts w:eastAsia="Times New Roman" w:cs="Times New Roman"/>
          <w:szCs w:val="24"/>
          <w:highlight w:val="white"/>
        </w:rPr>
        <w:t>Sony, M., 2019. Impleme</w:t>
      </w:r>
      <w:r w:rsidRPr="00B54F55">
        <w:rPr>
          <w:rFonts w:eastAsia="Times New Roman" w:cs="Times New Roman"/>
          <w:szCs w:val="24"/>
          <w:highlight w:val="white"/>
        </w:rPr>
        <w:t xml:space="preserve">nting sustainable operational excellence in organizations: an integrative viewpoint. </w:t>
      </w:r>
      <w:r w:rsidRPr="00B54F55">
        <w:rPr>
          <w:rFonts w:eastAsia="Times New Roman" w:cs="Times New Roman"/>
          <w:i/>
          <w:szCs w:val="24"/>
          <w:highlight w:val="white"/>
        </w:rPr>
        <w:t>Production &amp; Manufacturing Research</w:t>
      </w:r>
      <w:r w:rsidRPr="00B54F55">
        <w:rPr>
          <w:rFonts w:eastAsia="Times New Roman" w:cs="Times New Roman"/>
          <w:szCs w:val="24"/>
          <w:highlight w:val="white"/>
        </w:rPr>
        <w:t xml:space="preserve">, </w:t>
      </w:r>
      <w:r w:rsidRPr="00B54F55">
        <w:rPr>
          <w:rFonts w:eastAsia="Times New Roman" w:cs="Times New Roman"/>
          <w:i/>
          <w:szCs w:val="24"/>
          <w:highlight w:val="white"/>
        </w:rPr>
        <w:t>7</w:t>
      </w:r>
      <w:r w:rsidRPr="00B54F55">
        <w:rPr>
          <w:rFonts w:eastAsia="Times New Roman" w:cs="Times New Roman"/>
          <w:szCs w:val="24"/>
          <w:highlight w:val="white"/>
        </w:rPr>
        <w:t>(1), pp.67-87.</w:t>
      </w:r>
    </w:p>
    <w:p w14:paraId="3AF60A71" w14:textId="77777777" w:rsidR="00B54F55" w:rsidRPr="00B54F55" w:rsidRDefault="001A38E2" w:rsidP="00B54F55">
      <w:pPr>
        <w:rPr>
          <w:rFonts w:eastAsia="Times New Roman" w:cs="Times New Roman"/>
          <w:szCs w:val="24"/>
          <w:highlight w:val="white"/>
        </w:rPr>
      </w:pPr>
      <w:r w:rsidRPr="00B54F55">
        <w:rPr>
          <w:rFonts w:eastAsia="Times New Roman" w:cs="Times New Roman"/>
          <w:szCs w:val="24"/>
          <w:highlight w:val="white"/>
        </w:rPr>
        <w:t>Szeto, M.C.H., 2017. 2 Challenges for a community of practice: recognizing complexity with the McKinsey 7s framework.</w:t>
      </w:r>
    </w:p>
    <w:p w14:paraId="0BFB60EE" w14:textId="77777777" w:rsidR="00B54F55" w:rsidRPr="00B54F55" w:rsidRDefault="001A38E2" w:rsidP="00B54F55">
      <w:pPr>
        <w:rPr>
          <w:rFonts w:eastAsia="Times New Roman" w:cs="Times New Roman"/>
          <w:szCs w:val="24"/>
          <w:highlight w:val="white"/>
        </w:rPr>
      </w:pPr>
      <w:r w:rsidRPr="00B54F55">
        <w:rPr>
          <w:rFonts w:eastAsia="Times New Roman" w:cs="Times New Roman"/>
          <w:szCs w:val="24"/>
          <w:highlight w:val="white"/>
        </w:rPr>
        <w:t xml:space="preserve">Thakor, V.A., Razzaque, M.A. and Khandaker, M.R., 2021. Lightweight cryptography algorithms for resource-constrained IoT devices: A review, comparison, and research opportunities. </w:t>
      </w:r>
      <w:r w:rsidRPr="00B54F55">
        <w:rPr>
          <w:rFonts w:eastAsia="Times New Roman" w:cs="Times New Roman"/>
          <w:i/>
          <w:szCs w:val="24"/>
          <w:highlight w:val="white"/>
        </w:rPr>
        <w:t>IEEE Access</w:t>
      </w:r>
      <w:r w:rsidRPr="00B54F55">
        <w:rPr>
          <w:rFonts w:eastAsia="Times New Roman" w:cs="Times New Roman"/>
          <w:szCs w:val="24"/>
          <w:highlight w:val="white"/>
        </w:rPr>
        <w:t>.</w:t>
      </w:r>
    </w:p>
    <w:p w14:paraId="45C22FB3" w14:textId="77777777" w:rsidR="00B54F55" w:rsidRPr="00B54F55" w:rsidRDefault="001A38E2" w:rsidP="00B54F55">
      <w:pPr>
        <w:rPr>
          <w:rFonts w:eastAsia="Times New Roman" w:cs="Times New Roman"/>
          <w:szCs w:val="24"/>
          <w:highlight w:val="white"/>
        </w:rPr>
      </w:pPr>
      <w:r w:rsidRPr="00B54F55">
        <w:rPr>
          <w:rFonts w:eastAsia="Times New Roman" w:cs="Times New Roman"/>
          <w:szCs w:val="24"/>
          <w:highlight w:val="white"/>
        </w:rPr>
        <w:t>Torres de Oliveira, R., Indulska, M. and Zalan, T., 2020. Guest</w:t>
      </w:r>
      <w:r w:rsidRPr="00B54F55">
        <w:rPr>
          <w:rFonts w:eastAsia="Times New Roman" w:cs="Times New Roman"/>
          <w:szCs w:val="24"/>
          <w:highlight w:val="white"/>
        </w:rPr>
        <w:t xml:space="preserve"> editorial: Blockchain and the multinational enterprise: Progress, challenges and future research avenues. </w:t>
      </w:r>
      <w:r w:rsidRPr="00B54F55">
        <w:rPr>
          <w:rFonts w:eastAsia="Times New Roman" w:cs="Times New Roman"/>
          <w:i/>
          <w:szCs w:val="24"/>
          <w:highlight w:val="white"/>
        </w:rPr>
        <w:t>Review of International Business and Strategy</w:t>
      </w:r>
      <w:r w:rsidRPr="00B54F55">
        <w:rPr>
          <w:rFonts w:eastAsia="Times New Roman" w:cs="Times New Roman"/>
          <w:szCs w:val="24"/>
          <w:highlight w:val="white"/>
        </w:rPr>
        <w:t xml:space="preserve">, </w:t>
      </w:r>
      <w:r w:rsidRPr="00B54F55">
        <w:rPr>
          <w:rFonts w:eastAsia="Times New Roman" w:cs="Times New Roman"/>
          <w:i/>
          <w:szCs w:val="24"/>
          <w:highlight w:val="white"/>
        </w:rPr>
        <w:t>30</w:t>
      </w:r>
      <w:r w:rsidRPr="00B54F55">
        <w:rPr>
          <w:rFonts w:eastAsia="Times New Roman" w:cs="Times New Roman"/>
          <w:szCs w:val="24"/>
          <w:highlight w:val="white"/>
        </w:rPr>
        <w:t>(2), pp.145-161.</w:t>
      </w:r>
    </w:p>
    <w:p w14:paraId="45ACCA6E" w14:textId="77777777" w:rsidR="00B54F55" w:rsidRPr="00B54F55" w:rsidRDefault="001A38E2" w:rsidP="00B54F55">
      <w:pPr>
        <w:rPr>
          <w:rFonts w:eastAsia="Times New Roman" w:cs="Times New Roman"/>
          <w:szCs w:val="24"/>
          <w:highlight w:val="white"/>
        </w:rPr>
      </w:pPr>
      <w:r w:rsidRPr="00B54F55">
        <w:rPr>
          <w:rFonts w:eastAsia="Times New Roman" w:cs="Times New Roman"/>
          <w:szCs w:val="24"/>
          <w:highlight w:val="white"/>
        </w:rPr>
        <w:t>Williamson, P.J., Guo, B. and Yin, E., 2021. When can Chinese competitors catch up?</w:t>
      </w:r>
      <w:r w:rsidRPr="00B54F55">
        <w:rPr>
          <w:rFonts w:eastAsia="Times New Roman" w:cs="Times New Roman"/>
          <w:szCs w:val="24"/>
          <w:highlight w:val="white"/>
        </w:rPr>
        <w:t xml:space="preserve"> Market and capability ladders and their implications for multinationals. </w:t>
      </w:r>
      <w:r w:rsidRPr="00B54F55">
        <w:rPr>
          <w:rFonts w:eastAsia="Times New Roman" w:cs="Times New Roman"/>
          <w:i/>
          <w:szCs w:val="24"/>
          <w:highlight w:val="white"/>
        </w:rPr>
        <w:t>Business Horizons</w:t>
      </w:r>
      <w:r w:rsidRPr="00B54F55">
        <w:rPr>
          <w:rFonts w:eastAsia="Times New Roman" w:cs="Times New Roman"/>
          <w:szCs w:val="24"/>
          <w:highlight w:val="white"/>
        </w:rPr>
        <w:t xml:space="preserve">, </w:t>
      </w:r>
      <w:r w:rsidRPr="00B54F55">
        <w:rPr>
          <w:rFonts w:eastAsia="Times New Roman" w:cs="Times New Roman"/>
          <w:i/>
          <w:szCs w:val="24"/>
          <w:highlight w:val="white"/>
        </w:rPr>
        <w:t>64</w:t>
      </w:r>
      <w:r w:rsidRPr="00B54F55">
        <w:rPr>
          <w:rFonts w:eastAsia="Times New Roman" w:cs="Times New Roman"/>
          <w:szCs w:val="24"/>
          <w:highlight w:val="white"/>
        </w:rPr>
        <w:t>(2), pp.223-237.</w:t>
      </w:r>
    </w:p>
    <w:p w14:paraId="10DEC717" w14:textId="77777777" w:rsidR="00B54F55" w:rsidRPr="00B54F55" w:rsidRDefault="001A38E2" w:rsidP="00B54F55">
      <w:pPr>
        <w:rPr>
          <w:rFonts w:eastAsia="Times New Roman" w:cs="Times New Roman"/>
          <w:szCs w:val="24"/>
          <w:highlight w:val="white"/>
        </w:rPr>
      </w:pPr>
      <w:r w:rsidRPr="00B54F55">
        <w:rPr>
          <w:rFonts w:eastAsia="Times New Roman" w:cs="Times New Roman"/>
          <w:szCs w:val="24"/>
          <w:highlight w:val="white"/>
        </w:rPr>
        <w:t>Yun, J.J. and Yigitcanlar, T., 2017. Open innovation in the value chain for the sustainability of firms.</w:t>
      </w:r>
    </w:p>
    <w:p w14:paraId="4D886AC3" w14:textId="77777777" w:rsidR="00B54F55" w:rsidRPr="00B54F55" w:rsidRDefault="001A38E2" w:rsidP="00B54F55">
      <w:pPr>
        <w:rPr>
          <w:rFonts w:eastAsia="Times New Roman" w:cs="Times New Roman"/>
          <w:szCs w:val="24"/>
          <w:highlight w:val="white"/>
        </w:rPr>
      </w:pPr>
      <w:r w:rsidRPr="00B54F55">
        <w:rPr>
          <w:rFonts w:eastAsia="Times New Roman" w:cs="Times New Roman"/>
          <w:szCs w:val="24"/>
          <w:highlight w:val="white"/>
        </w:rPr>
        <w:lastRenderedPageBreak/>
        <w:t>Zanjani, S., Iranzadeh, S., Khadivi, A.</w:t>
      </w:r>
      <w:r w:rsidRPr="00B54F55">
        <w:rPr>
          <w:rFonts w:eastAsia="Times New Roman" w:cs="Times New Roman"/>
          <w:szCs w:val="24"/>
          <w:highlight w:val="white"/>
        </w:rPr>
        <w:t xml:space="preserve"> and Feghhi Farahmand, N., 2020. Designing a Corporate Growth Strategy Based on Ansoff Matrix Using Fuzzy Inference System. </w:t>
      </w:r>
      <w:r w:rsidRPr="00B54F55">
        <w:rPr>
          <w:rFonts w:eastAsia="Times New Roman" w:cs="Times New Roman"/>
          <w:i/>
          <w:szCs w:val="24"/>
          <w:highlight w:val="white"/>
        </w:rPr>
        <w:t>Innovation Management in Defense Organizations</w:t>
      </w:r>
      <w:r w:rsidRPr="00B54F55">
        <w:rPr>
          <w:rFonts w:eastAsia="Times New Roman" w:cs="Times New Roman"/>
          <w:szCs w:val="24"/>
          <w:highlight w:val="white"/>
        </w:rPr>
        <w:t xml:space="preserve">, </w:t>
      </w:r>
      <w:r w:rsidRPr="00B54F55">
        <w:rPr>
          <w:rFonts w:eastAsia="Times New Roman" w:cs="Times New Roman"/>
          <w:i/>
          <w:szCs w:val="24"/>
          <w:highlight w:val="white"/>
        </w:rPr>
        <w:t>3</w:t>
      </w:r>
      <w:r w:rsidRPr="00B54F55">
        <w:rPr>
          <w:rFonts w:eastAsia="Times New Roman" w:cs="Times New Roman"/>
          <w:szCs w:val="24"/>
          <w:highlight w:val="white"/>
        </w:rPr>
        <w:t>(2), pp.151-178.</w:t>
      </w:r>
    </w:p>
    <w:p w14:paraId="05749788" w14:textId="77777777" w:rsidR="00CF60D7" w:rsidRPr="00B54F55" w:rsidRDefault="00CF60D7" w:rsidP="00B54F55">
      <w:pPr>
        <w:rPr>
          <w:rFonts w:eastAsia="Times New Roman" w:cs="Times New Roman"/>
          <w:szCs w:val="24"/>
          <w:highlight w:val="white"/>
        </w:rPr>
      </w:pPr>
    </w:p>
    <w:p w14:paraId="64E5E3F7" w14:textId="77777777" w:rsidR="00CF60D7" w:rsidRPr="00B54F55" w:rsidRDefault="001A38E2" w:rsidP="00B54F55">
      <w:pPr>
        <w:rPr>
          <w:rFonts w:eastAsia="Times New Roman" w:cs="Times New Roman"/>
          <w:szCs w:val="24"/>
        </w:rPr>
      </w:pPr>
      <w:r w:rsidRPr="00B54F55">
        <w:br w:type="page"/>
      </w:r>
    </w:p>
    <w:p w14:paraId="62677756" w14:textId="77777777" w:rsidR="00CF60D7" w:rsidRPr="00B54F55" w:rsidRDefault="001A38E2" w:rsidP="00B54F55">
      <w:pPr>
        <w:pStyle w:val="Titlu1"/>
      </w:pPr>
      <w:bookmarkStart w:id="15" w:name="_Toc72004089"/>
      <w:r w:rsidRPr="00B54F55">
        <w:lastRenderedPageBreak/>
        <w:t>Appendix</w:t>
      </w:r>
      <w:bookmarkEnd w:id="15"/>
    </w:p>
    <w:p w14:paraId="3659FAB4" w14:textId="77777777" w:rsidR="00CF60D7" w:rsidRPr="00B54F55" w:rsidRDefault="00CF60D7">
      <w:pPr>
        <w:rPr>
          <w:rFonts w:eastAsia="Times New Roman" w:cs="Times New Roman"/>
          <w:b/>
          <w:szCs w:val="24"/>
        </w:rPr>
      </w:pPr>
    </w:p>
    <w:p w14:paraId="34F3AAC6" w14:textId="77777777" w:rsidR="00CF60D7" w:rsidRPr="00B54F55" w:rsidRDefault="001A38E2">
      <w:pPr>
        <w:jc w:val="center"/>
        <w:rPr>
          <w:rFonts w:eastAsia="Times New Roman" w:cs="Times New Roman"/>
          <w:b/>
          <w:szCs w:val="24"/>
        </w:rPr>
      </w:pPr>
      <w:r w:rsidRPr="00B54F55">
        <w:rPr>
          <w:rFonts w:eastAsia="Times New Roman" w:cs="Times New Roman"/>
          <w:b/>
          <w:noProof/>
          <w:szCs w:val="24"/>
        </w:rPr>
        <w:drawing>
          <wp:inline distT="114300" distB="114300" distL="114300" distR="114300" wp14:anchorId="7B58CFC1" wp14:editId="19271CD8">
            <wp:extent cx="3500438" cy="2517757"/>
            <wp:effectExtent l="12700" t="12700" r="12700" b="1270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9"/>
                    <a:stretch>
                      <a:fillRect/>
                    </a:stretch>
                  </pic:blipFill>
                  <pic:spPr>
                    <a:xfrm>
                      <a:off x="0" y="0"/>
                      <a:ext cx="3500438" cy="2517757"/>
                    </a:xfrm>
                    <a:prstGeom prst="rect">
                      <a:avLst/>
                    </a:prstGeom>
                    <a:ln w="12700">
                      <a:solidFill>
                        <a:srgbClr val="000000"/>
                      </a:solidFill>
                      <a:prstDash val="solid"/>
                    </a:ln>
                  </pic:spPr>
                </pic:pic>
              </a:graphicData>
            </a:graphic>
          </wp:inline>
        </w:drawing>
      </w:r>
    </w:p>
    <w:p w14:paraId="02EB508A" w14:textId="77777777" w:rsidR="00CF60D7" w:rsidRPr="00B54F55" w:rsidRDefault="00CF60D7">
      <w:pPr>
        <w:rPr>
          <w:rFonts w:eastAsia="Times New Roman" w:cs="Times New Roman"/>
          <w:b/>
          <w:szCs w:val="24"/>
        </w:rPr>
      </w:pPr>
    </w:p>
    <w:p w14:paraId="187D731C" w14:textId="77777777" w:rsidR="00CF60D7" w:rsidRPr="00B54F55" w:rsidRDefault="001A38E2">
      <w:pPr>
        <w:jc w:val="center"/>
        <w:rPr>
          <w:rFonts w:eastAsia="Times New Roman" w:cs="Times New Roman"/>
          <w:b/>
          <w:szCs w:val="24"/>
        </w:rPr>
      </w:pPr>
      <w:r w:rsidRPr="00B54F55">
        <w:rPr>
          <w:rFonts w:eastAsia="Times New Roman" w:cs="Times New Roman"/>
          <w:b/>
          <w:szCs w:val="24"/>
        </w:rPr>
        <w:t>Fig: Stakeholder Analysis of Mendelow's</w:t>
      </w:r>
      <w:r w:rsidRPr="00B54F55">
        <w:rPr>
          <w:rFonts w:eastAsia="Times New Roman" w:cs="Times New Roman"/>
          <w:b/>
          <w:szCs w:val="24"/>
        </w:rPr>
        <w:t xml:space="preserve"> helps understanding influence and interest </w:t>
      </w:r>
    </w:p>
    <w:p w14:paraId="1FB5BCC3" w14:textId="77777777" w:rsidR="00CF60D7" w:rsidRPr="00B54F55" w:rsidRDefault="001A38E2">
      <w:pPr>
        <w:jc w:val="center"/>
        <w:rPr>
          <w:rFonts w:eastAsia="Times New Roman" w:cs="Times New Roman"/>
          <w:b/>
          <w:szCs w:val="24"/>
        </w:rPr>
      </w:pPr>
      <w:r w:rsidRPr="00B54F55">
        <w:rPr>
          <w:rFonts w:eastAsia="Times New Roman" w:cs="Times New Roman"/>
          <w:b/>
          <w:szCs w:val="24"/>
        </w:rPr>
        <w:t>Source: (</w:t>
      </w:r>
      <w:r w:rsidRPr="00B54F55">
        <w:rPr>
          <w:rFonts w:eastAsia="Times New Roman" w:cs="Times New Roman"/>
          <w:szCs w:val="24"/>
          <w:highlight w:val="white"/>
        </w:rPr>
        <w:t>Leleux, and Van der Kaaij, 2018</w:t>
      </w:r>
      <w:r w:rsidRPr="00B54F55">
        <w:rPr>
          <w:rFonts w:eastAsia="Times New Roman" w:cs="Times New Roman"/>
          <w:b/>
          <w:szCs w:val="24"/>
        </w:rPr>
        <w:t xml:space="preserve">) </w:t>
      </w:r>
    </w:p>
    <w:p w14:paraId="1A17492D" w14:textId="77777777" w:rsidR="00CF60D7" w:rsidRPr="00B54F55" w:rsidRDefault="00CF60D7">
      <w:pPr>
        <w:ind w:left="720"/>
        <w:jc w:val="center"/>
        <w:rPr>
          <w:rFonts w:eastAsia="Times New Roman" w:cs="Times New Roman"/>
          <w:b/>
          <w:szCs w:val="24"/>
        </w:rPr>
      </w:pPr>
    </w:p>
    <w:p w14:paraId="0A5F1001" w14:textId="77777777" w:rsidR="00CF60D7" w:rsidRPr="00B54F55" w:rsidRDefault="00CF60D7">
      <w:pPr>
        <w:rPr>
          <w:rFonts w:eastAsia="Times New Roman" w:cs="Times New Roman"/>
          <w:b/>
          <w:szCs w:val="24"/>
        </w:rPr>
      </w:pPr>
    </w:p>
    <w:p w14:paraId="7BF5A2DE" w14:textId="77777777" w:rsidR="00CF60D7" w:rsidRPr="00B54F55" w:rsidRDefault="001A38E2">
      <w:pPr>
        <w:jc w:val="center"/>
        <w:rPr>
          <w:rFonts w:eastAsia="Times New Roman" w:cs="Times New Roman"/>
          <w:b/>
          <w:szCs w:val="24"/>
        </w:rPr>
      </w:pPr>
      <w:r w:rsidRPr="00B54F55">
        <w:rPr>
          <w:rFonts w:eastAsia="Times New Roman" w:cs="Times New Roman"/>
          <w:b/>
          <w:noProof/>
          <w:szCs w:val="24"/>
        </w:rPr>
        <w:drawing>
          <wp:inline distT="114300" distB="114300" distL="114300" distR="114300" wp14:anchorId="0C8A5C85" wp14:editId="330C09D2">
            <wp:extent cx="3529013" cy="1972740"/>
            <wp:effectExtent l="12700" t="12700" r="12700" b="12700"/>
            <wp:docPr id="6" name="image2.png"/>
            <wp:cNvGraphicFramePr/>
            <a:graphic xmlns:a="http://schemas.openxmlformats.org/drawingml/2006/main">
              <a:graphicData uri="http://schemas.openxmlformats.org/drawingml/2006/picture">
                <pic:pic xmlns:pic="http://schemas.openxmlformats.org/drawingml/2006/picture">
                  <pic:nvPicPr>
                    <pic:cNvPr id="6" name="image2.png"/>
                    <pic:cNvPicPr/>
                  </pic:nvPicPr>
                  <pic:blipFill>
                    <a:blip r:embed="rId10"/>
                    <a:srcRect l="8010" t="24967" r="8785" b="13243"/>
                    <a:stretch>
                      <a:fillRect/>
                    </a:stretch>
                  </pic:blipFill>
                  <pic:spPr>
                    <a:xfrm>
                      <a:off x="0" y="0"/>
                      <a:ext cx="3529013" cy="1972740"/>
                    </a:xfrm>
                    <a:prstGeom prst="rect">
                      <a:avLst/>
                    </a:prstGeom>
                    <a:ln w="12700">
                      <a:solidFill>
                        <a:srgbClr val="000000"/>
                      </a:solidFill>
                      <a:prstDash val="solid"/>
                    </a:ln>
                  </pic:spPr>
                </pic:pic>
              </a:graphicData>
            </a:graphic>
          </wp:inline>
        </w:drawing>
      </w:r>
    </w:p>
    <w:p w14:paraId="19761ACF" w14:textId="77777777" w:rsidR="00CF60D7" w:rsidRPr="00B54F55" w:rsidRDefault="00CF60D7">
      <w:pPr>
        <w:rPr>
          <w:rFonts w:eastAsia="Times New Roman" w:cs="Times New Roman"/>
          <w:b/>
          <w:szCs w:val="24"/>
        </w:rPr>
      </w:pPr>
    </w:p>
    <w:p w14:paraId="62EF29ED" w14:textId="77777777" w:rsidR="00CF60D7" w:rsidRPr="00B54F55" w:rsidRDefault="001A38E2">
      <w:pPr>
        <w:jc w:val="center"/>
        <w:rPr>
          <w:rFonts w:eastAsia="Times New Roman" w:cs="Times New Roman"/>
          <w:b/>
          <w:szCs w:val="24"/>
        </w:rPr>
      </w:pPr>
      <w:r w:rsidRPr="00B54F55">
        <w:rPr>
          <w:rFonts w:eastAsia="Times New Roman" w:cs="Times New Roman"/>
          <w:b/>
          <w:szCs w:val="24"/>
        </w:rPr>
        <w:t>Fig: Porter’s Five Forces Market Analysis of Sony Corporation.</w:t>
      </w:r>
    </w:p>
    <w:p w14:paraId="0C2841D1" w14:textId="77777777" w:rsidR="00CF60D7" w:rsidRPr="00B54F55" w:rsidRDefault="001A38E2">
      <w:pPr>
        <w:jc w:val="center"/>
        <w:rPr>
          <w:rFonts w:eastAsia="Times New Roman" w:cs="Times New Roman"/>
          <w:b/>
          <w:szCs w:val="24"/>
        </w:rPr>
      </w:pPr>
      <w:r w:rsidRPr="00B54F55">
        <w:rPr>
          <w:rFonts w:eastAsia="Times New Roman" w:cs="Times New Roman"/>
          <w:b/>
          <w:szCs w:val="24"/>
        </w:rPr>
        <w:t xml:space="preserve">Source: </w:t>
      </w:r>
      <w:r w:rsidRPr="00B54F55">
        <w:rPr>
          <w:rFonts w:eastAsia="Times New Roman" w:cs="Times New Roman"/>
          <w:szCs w:val="24"/>
        </w:rPr>
        <w:t>(</w:t>
      </w:r>
      <w:r w:rsidRPr="00B54F55">
        <w:rPr>
          <w:rFonts w:eastAsia="Times New Roman" w:cs="Times New Roman"/>
          <w:szCs w:val="24"/>
          <w:highlight w:val="white"/>
        </w:rPr>
        <w:t>Arshad and Yazdanifard, 2017)</w:t>
      </w:r>
    </w:p>
    <w:p w14:paraId="7F71A4CC" w14:textId="77777777" w:rsidR="00CF60D7" w:rsidRPr="00B54F55" w:rsidRDefault="00CF60D7">
      <w:pPr>
        <w:jc w:val="center"/>
        <w:rPr>
          <w:rFonts w:eastAsia="Times New Roman" w:cs="Times New Roman"/>
          <w:b/>
          <w:szCs w:val="24"/>
        </w:rPr>
      </w:pPr>
    </w:p>
    <w:p w14:paraId="45CC16F4" w14:textId="77777777" w:rsidR="00CF60D7" w:rsidRPr="00B54F55" w:rsidRDefault="00CF60D7">
      <w:pPr>
        <w:rPr>
          <w:rFonts w:eastAsia="Times New Roman" w:cs="Times New Roman"/>
          <w:b/>
          <w:szCs w:val="24"/>
        </w:rPr>
      </w:pPr>
    </w:p>
    <w:p w14:paraId="41995765" w14:textId="77777777" w:rsidR="00CF60D7" w:rsidRPr="00B54F55" w:rsidRDefault="00CF60D7">
      <w:pPr>
        <w:rPr>
          <w:rFonts w:eastAsia="Times New Roman" w:cs="Times New Roman"/>
          <w:b/>
          <w:szCs w:val="24"/>
        </w:rPr>
      </w:pPr>
    </w:p>
    <w:p w14:paraId="32BAA5D8" w14:textId="77777777" w:rsidR="00CF60D7" w:rsidRPr="00B54F55" w:rsidRDefault="001A38E2">
      <w:pPr>
        <w:jc w:val="center"/>
        <w:rPr>
          <w:rFonts w:eastAsia="Times New Roman" w:cs="Times New Roman"/>
          <w:b/>
          <w:szCs w:val="24"/>
        </w:rPr>
      </w:pPr>
      <w:r w:rsidRPr="00B54F55">
        <w:rPr>
          <w:rFonts w:eastAsia="Times New Roman" w:cs="Times New Roman"/>
          <w:b/>
          <w:noProof/>
          <w:szCs w:val="24"/>
        </w:rPr>
        <w:lastRenderedPageBreak/>
        <w:drawing>
          <wp:inline distT="114300" distB="114300" distL="114300" distR="114300" wp14:anchorId="6FE19D45" wp14:editId="3D5B540E">
            <wp:extent cx="3376613" cy="23241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1"/>
                    <a:stretch>
                      <a:fillRect/>
                    </a:stretch>
                  </pic:blipFill>
                  <pic:spPr>
                    <a:xfrm>
                      <a:off x="0" y="0"/>
                      <a:ext cx="3376613" cy="2324100"/>
                    </a:xfrm>
                    <a:prstGeom prst="rect">
                      <a:avLst/>
                    </a:prstGeom>
                    <a:ln w="25400">
                      <a:solidFill>
                        <a:srgbClr val="000000"/>
                      </a:solidFill>
                      <a:prstDash val="solid"/>
                    </a:ln>
                  </pic:spPr>
                </pic:pic>
              </a:graphicData>
            </a:graphic>
          </wp:inline>
        </w:drawing>
      </w:r>
    </w:p>
    <w:p w14:paraId="3D791561" w14:textId="77777777" w:rsidR="00CF60D7" w:rsidRPr="00B54F55" w:rsidRDefault="001A38E2">
      <w:pPr>
        <w:jc w:val="center"/>
        <w:rPr>
          <w:rFonts w:eastAsia="Times New Roman" w:cs="Times New Roman"/>
          <w:b/>
          <w:szCs w:val="24"/>
        </w:rPr>
      </w:pPr>
      <w:r w:rsidRPr="00B54F55">
        <w:rPr>
          <w:rFonts w:eastAsia="Times New Roman" w:cs="Times New Roman"/>
          <w:b/>
          <w:szCs w:val="24"/>
        </w:rPr>
        <w:t>Fig: Strategic options of Sony to maintain sustainability in the market</w:t>
      </w:r>
    </w:p>
    <w:p w14:paraId="6935EFC5" w14:textId="77777777" w:rsidR="00CF60D7" w:rsidRPr="00B54F55" w:rsidRDefault="001A38E2">
      <w:pPr>
        <w:jc w:val="center"/>
        <w:rPr>
          <w:rFonts w:eastAsia="Times New Roman" w:cs="Times New Roman"/>
          <w:b/>
          <w:szCs w:val="24"/>
        </w:rPr>
      </w:pPr>
      <w:r w:rsidRPr="00B54F55">
        <w:rPr>
          <w:rFonts w:eastAsia="Times New Roman" w:cs="Times New Roman"/>
          <w:b/>
          <w:szCs w:val="24"/>
        </w:rPr>
        <w:t xml:space="preserve">Source: </w:t>
      </w:r>
      <w:r w:rsidRPr="00B54F55">
        <w:rPr>
          <w:rFonts w:eastAsia="Times New Roman" w:cs="Times New Roman"/>
          <w:szCs w:val="24"/>
        </w:rPr>
        <w:t>(</w:t>
      </w:r>
      <w:r w:rsidRPr="00B54F55">
        <w:rPr>
          <w:rFonts w:eastAsia="Times New Roman" w:cs="Times New Roman"/>
          <w:szCs w:val="24"/>
          <w:highlight w:val="white"/>
        </w:rPr>
        <w:t>Dupre and Vetta, 2018)</w:t>
      </w:r>
    </w:p>
    <w:p w14:paraId="553C47FC" w14:textId="77777777" w:rsidR="00CF60D7" w:rsidRPr="00B54F55" w:rsidRDefault="00CF60D7">
      <w:pPr>
        <w:jc w:val="center"/>
        <w:rPr>
          <w:rFonts w:eastAsia="Times New Roman" w:cs="Times New Roman"/>
          <w:b/>
          <w:szCs w:val="24"/>
        </w:rPr>
      </w:pPr>
    </w:p>
    <w:p w14:paraId="04A26C36" w14:textId="77777777" w:rsidR="00CF60D7" w:rsidRPr="00B54F55" w:rsidRDefault="00CF60D7">
      <w:pPr>
        <w:rPr>
          <w:rFonts w:eastAsia="Times New Roman" w:cs="Times New Roman"/>
          <w:b/>
          <w:szCs w:val="24"/>
        </w:rPr>
      </w:pPr>
    </w:p>
    <w:p w14:paraId="661E090A" w14:textId="77777777" w:rsidR="00CF60D7" w:rsidRPr="00B54F55" w:rsidRDefault="001A38E2">
      <w:pPr>
        <w:jc w:val="center"/>
        <w:rPr>
          <w:rFonts w:eastAsia="Times New Roman" w:cs="Times New Roman"/>
          <w:b/>
          <w:szCs w:val="24"/>
        </w:rPr>
      </w:pPr>
      <w:r w:rsidRPr="00B54F55">
        <w:rPr>
          <w:rFonts w:eastAsia="Times New Roman" w:cs="Times New Roman"/>
          <w:b/>
          <w:noProof/>
          <w:szCs w:val="24"/>
        </w:rPr>
        <w:drawing>
          <wp:inline distT="114300" distB="114300" distL="114300" distR="114300" wp14:anchorId="73B47DD1" wp14:editId="6E4BA7DE">
            <wp:extent cx="3929063" cy="2361084"/>
            <wp:effectExtent l="12700" t="12700" r="12700" b="12700"/>
            <wp:docPr id="3" name="image5.png"/>
            <wp:cNvGraphicFramePr/>
            <a:graphic xmlns:a="http://schemas.openxmlformats.org/drawingml/2006/main">
              <a:graphicData uri="http://schemas.openxmlformats.org/drawingml/2006/picture">
                <pic:pic xmlns:pic="http://schemas.openxmlformats.org/drawingml/2006/picture">
                  <pic:nvPicPr>
                    <pic:cNvPr id="3" name="image5.png"/>
                    <pic:cNvPicPr/>
                  </pic:nvPicPr>
                  <pic:blipFill>
                    <a:blip r:embed="rId12"/>
                    <a:stretch>
                      <a:fillRect/>
                    </a:stretch>
                  </pic:blipFill>
                  <pic:spPr>
                    <a:xfrm>
                      <a:off x="0" y="0"/>
                      <a:ext cx="3929063" cy="2361084"/>
                    </a:xfrm>
                    <a:prstGeom prst="rect">
                      <a:avLst/>
                    </a:prstGeom>
                    <a:ln w="12700">
                      <a:solidFill>
                        <a:srgbClr val="000000"/>
                      </a:solidFill>
                      <a:prstDash val="solid"/>
                    </a:ln>
                  </pic:spPr>
                </pic:pic>
              </a:graphicData>
            </a:graphic>
          </wp:inline>
        </w:drawing>
      </w:r>
    </w:p>
    <w:p w14:paraId="294DB208" w14:textId="77777777" w:rsidR="00CF60D7" w:rsidRPr="00B54F55" w:rsidRDefault="001A38E2">
      <w:pPr>
        <w:jc w:val="center"/>
        <w:rPr>
          <w:rFonts w:eastAsia="Times New Roman" w:cs="Times New Roman"/>
          <w:b/>
          <w:szCs w:val="24"/>
        </w:rPr>
      </w:pPr>
      <w:r w:rsidRPr="00B54F55">
        <w:rPr>
          <w:rFonts w:eastAsia="Times New Roman" w:cs="Times New Roman"/>
          <w:b/>
          <w:szCs w:val="24"/>
        </w:rPr>
        <w:t>Fig: Gaming consoles sales of Sony, Microsoft Xbox, and Nintendo.</w:t>
      </w:r>
    </w:p>
    <w:p w14:paraId="24B397E0" w14:textId="77777777" w:rsidR="00CF60D7" w:rsidRPr="00B54F55" w:rsidRDefault="001A38E2">
      <w:pPr>
        <w:jc w:val="center"/>
        <w:rPr>
          <w:rFonts w:eastAsia="Times New Roman" w:cs="Times New Roman"/>
          <w:b/>
          <w:szCs w:val="24"/>
        </w:rPr>
      </w:pPr>
      <w:r w:rsidRPr="00B54F55">
        <w:rPr>
          <w:rFonts w:eastAsia="Times New Roman" w:cs="Times New Roman"/>
          <w:b/>
          <w:szCs w:val="24"/>
        </w:rPr>
        <w:t xml:space="preserve">Source: </w:t>
      </w:r>
      <w:r w:rsidRPr="00B54F55">
        <w:rPr>
          <w:rFonts w:eastAsia="Times New Roman" w:cs="Times New Roman"/>
          <w:szCs w:val="24"/>
        </w:rPr>
        <w:t>(Fernandez-Stark and Gereffi, 2019)</w:t>
      </w:r>
      <w:r w:rsidRPr="00B54F55">
        <w:rPr>
          <w:rFonts w:eastAsia="Times New Roman" w:cs="Times New Roman"/>
          <w:b/>
          <w:szCs w:val="24"/>
        </w:rPr>
        <w:t xml:space="preserve"> </w:t>
      </w:r>
    </w:p>
    <w:p w14:paraId="18D64458" w14:textId="77777777" w:rsidR="00CF60D7" w:rsidRPr="00B54F55" w:rsidRDefault="001A38E2">
      <w:pPr>
        <w:jc w:val="center"/>
        <w:rPr>
          <w:rFonts w:eastAsia="Times New Roman" w:cs="Times New Roman"/>
          <w:b/>
          <w:szCs w:val="24"/>
        </w:rPr>
      </w:pPr>
      <w:r w:rsidRPr="00B54F55">
        <w:rPr>
          <w:rFonts w:eastAsia="Times New Roman" w:cs="Times New Roman"/>
          <w:b/>
          <w:noProof/>
          <w:szCs w:val="24"/>
        </w:rPr>
        <w:drawing>
          <wp:inline distT="114300" distB="114300" distL="114300" distR="114300" wp14:anchorId="6773F40B" wp14:editId="666648B3">
            <wp:extent cx="2143125" cy="2143125"/>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3"/>
                    <a:stretch>
                      <a:fillRect/>
                    </a:stretch>
                  </pic:blipFill>
                  <pic:spPr>
                    <a:xfrm>
                      <a:off x="0" y="0"/>
                      <a:ext cx="2143125" cy="2143125"/>
                    </a:xfrm>
                    <a:prstGeom prst="rect">
                      <a:avLst/>
                    </a:prstGeom>
                  </pic:spPr>
                </pic:pic>
              </a:graphicData>
            </a:graphic>
          </wp:inline>
        </w:drawing>
      </w:r>
    </w:p>
    <w:p w14:paraId="6F08A0E2" w14:textId="77777777" w:rsidR="00CF60D7" w:rsidRPr="00B54F55" w:rsidRDefault="001A38E2">
      <w:pPr>
        <w:jc w:val="center"/>
        <w:rPr>
          <w:rFonts w:eastAsia="Times New Roman" w:cs="Times New Roman"/>
          <w:b/>
          <w:szCs w:val="24"/>
        </w:rPr>
      </w:pPr>
      <w:r w:rsidRPr="00B54F55">
        <w:rPr>
          <w:rFonts w:eastAsia="Times New Roman" w:cs="Times New Roman"/>
          <w:b/>
          <w:szCs w:val="24"/>
        </w:rPr>
        <w:lastRenderedPageBreak/>
        <w:t>Fig: Business Model</w:t>
      </w:r>
    </w:p>
    <w:p w14:paraId="3910F1CB" w14:textId="77777777" w:rsidR="00CF60D7" w:rsidRPr="00B54F55" w:rsidRDefault="001A38E2">
      <w:pPr>
        <w:jc w:val="center"/>
        <w:rPr>
          <w:rFonts w:eastAsia="Times New Roman" w:cs="Times New Roman"/>
          <w:b/>
          <w:szCs w:val="24"/>
        </w:rPr>
      </w:pPr>
      <w:r w:rsidRPr="00B54F55">
        <w:rPr>
          <w:rFonts w:eastAsia="Times New Roman" w:cs="Times New Roman"/>
          <w:b/>
          <w:szCs w:val="24"/>
        </w:rPr>
        <w:t xml:space="preserve">Source: </w:t>
      </w:r>
      <w:r w:rsidRPr="00B54F55">
        <w:rPr>
          <w:rFonts w:eastAsia="Times New Roman" w:cs="Times New Roman"/>
          <w:szCs w:val="24"/>
        </w:rPr>
        <w:t>(</w:t>
      </w:r>
      <w:r w:rsidRPr="00B54F55">
        <w:rPr>
          <w:rFonts w:eastAsia="Times New Roman" w:cs="Times New Roman"/>
          <w:szCs w:val="24"/>
          <w:highlight w:val="white"/>
        </w:rPr>
        <w:t xml:space="preserve">Sony, </w:t>
      </w:r>
      <w:r w:rsidRPr="00B54F55">
        <w:rPr>
          <w:rFonts w:eastAsia="Times New Roman" w:cs="Times New Roman"/>
          <w:szCs w:val="24"/>
          <w:highlight w:val="white"/>
        </w:rPr>
        <w:t>2019)</w:t>
      </w:r>
    </w:p>
    <w:p w14:paraId="5A18BD9B" w14:textId="77777777" w:rsidR="00CF60D7" w:rsidRPr="00B54F55" w:rsidRDefault="001A38E2">
      <w:pPr>
        <w:rPr>
          <w:rFonts w:eastAsia="Times New Roman" w:cs="Times New Roman"/>
          <w:b/>
          <w:szCs w:val="24"/>
        </w:rPr>
      </w:pPr>
      <w:r w:rsidRPr="00B54F55">
        <w:rPr>
          <w:rFonts w:eastAsia="Times New Roman" w:cs="Times New Roman"/>
          <w:b/>
          <w:noProof/>
          <w:szCs w:val="24"/>
        </w:rPr>
        <w:drawing>
          <wp:inline distT="114300" distB="114300" distL="114300" distR="114300" wp14:anchorId="7CFFDAC8" wp14:editId="7E79301A">
            <wp:extent cx="5372100" cy="4029075"/>
            <wp:effectExtent l="0" t="0" r="0" b="0"/>
            <wp:docPr id="5" name="image6.png"/>
            <wp:cNvGraphicFramePr/>
            <a:graphic xmlns:a="http://schemas.openxmlformats.org/drawingml/2006/main">
              <a:graphicData uri="http://schemas.openxmlformats.org/drawingml/2006/picture">
                <pic:pic xmlns:pic="http://schemas.openxmlformats.org/drawingml/2006/picture">
                  <pic:nvPicPr>
                    <pic:cNvPr id="5" name="image6.png"/>
                    <pic:cNvPicPr/>
                  </pic:nvPicPr>
                  <pic:blipFill>
                    <a:blip r:embed="rId14"/>
                    <a:stretch>
                      <a:fillRect/>
                    </a:stretch>
                  </pic:blipFill>
                  <pic:spPr>
                    <a:xfrm>
                      <a:off x="0" y="0"/>
                      <a:ext cx="5372100" cy="4029075"/>
                    </a:xfrm>
                    <a:prstGeom prst="rect">
                      <a:avLst/>
                    </a:prstGeom>
                  </pic:spPr>
                </pic:pic>
              </a:graphicData>
            </a:graphic>
          </wp:inline>
        </w:drawing>
      </w:r>
    </w:p>
    <w:p w14:paraId="022EBA61" w14:textId="77777777" w:rsidR="00CF60D7" w:rsidRPr="00B54F55" w:rsidRDefault="001A38E2">
      <w:pPr>
        <w:jc w:val="center"/>
        <w:rPr>
          <w:rFonts w:eastAsia="Times New Roman" w:cs="Times New Roman"/>
          <w:b/>
          <w:szCs w:val="24"/>
        </w:rPr>
      </w:pPr>
      <w:r w:rsidRPr="00B54F55">
        <w:rPr>
          <w:rFonts w:eastAsia="Times New Roman" w:cs="Times New Roman"/>
          <w:b/>
          <w:szCs w:val="24"/>
        </w:rPr>
        <w:t>Fig: Sony - new business model</w:t>
      </w:r>
    </w:p>
    <w:p w14:paraId="55B0D143" w14:textId="77777777" w:rsidR="00CF60D7" w:rsidRPr="00B54F55" w:rsidRDefault="001A38E2">
      <w:pPr>
        <w:jc w:val="center"/>
        <w:rPr>
          <w:rFonts w:eastAsia="Times New Roman" w:cs="Times New Roman"/>
          <w:b/>
          <w:szCs w:val="24"/>
        </w:rPr>
      </w:pPr>
      <w:r w:rsidRPr="00B54F55">
        <w:rPr>
          <w:rFonts w:eastAsia="Times New Roman" w:cs="Times New Roman"/>
          <w:b/>
          <w:szCs w:val="24"/>
        </w:rPr>
        <w:t xml:space="preserve">Source: </w:t>
      </w:r>
      <w:r w:rsidRPr="00B54F55">
        <w:rPr>
          <w:rFonts w:eastAsia="Times New Roman" w:cs="Times New Roman"/>
          <w:szCs w:val="24"/>
        </w:rPr>
        <w:t>(</w:t>
      </w:r>
      <w:r w:rsidRPr="00B54F55">
        <w:rPr>
          <w:rFonts w:eastAsia="Times New Roman" w:cs="Times New Roman"/>
          <w:szCs w:val="24"/>
          <w:highlight w:val="white"/>
        </w:rPr>
        <w:t>Chintalapati, 2020)</w:t>
      </w:r>
    </w:p>
    <w:sectPr w:rsidR="00CF60D7" w:rsidRPr="00B54F55" w:rsidSect="00B54F55">
      <w:footerReference w:type="default" r:id="rId15"/>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AC2664" w14:textId="77777777" w:rsidR="001A38E2" w:rsidRDefault="001A38E2">
      <w:pPr>
        <w:spacing w:line="240" w:lineRule="auto"/>
      </w:pPr>
      <w:r>
        <w:separator/>
      </w:r>
    </w:p>
  </w:endnote>
  <w:endnote w:type="continuationSeparator" w:id="0">
    <w:p w14:paraId="151F7E43" w14:textId="77777777" w:rsidR="001A38E2" w:rsidRDefault="001A38E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0719881"/>
      <w:docPartObj>
        <w:docPartGallery w:val="Page Numbers (Bottom of Page)"/>
        <w:docPartUnique/>
      </w:docPartObj>
    </w:sdtPr>
    <w:sdtEndPr>
      <w:rPr>
        <w:noProof/>
      </w:rPr>
    </w:sdtEndPr>
    <w:sdtContent>
      <w:p w14:paraId="11563579" w14:textId="77777777" w:rsidR="00B54F55" w:rsidRDefault="001A38E2">
        <w:pPr>
          <w:pStyle w:val="Subsol"/>
          <w:jc w:val="right"/>
        </w:pPr>
        <w:r>
          <w:fldChar w:fldCharType="begin"/>
        </w:r>
        <w:r>
          <w:instrText xml:space="preserve"> PAGE   \* MERGEFORMAT </w:instrText>
        </w:r>
        <w:r>
          <w:fldChar w:fldCharType="separate"/>
        </w:r>
        <w:r w:rsidR="003E3DC8">
          <w:rPr>
            <w:noProof/>
          </w:rPr>
          <w:t>21</w:t>
        </w:r>
        <w:r>
          <w:rPr>
            <w:noProof/>
          </w:rPr>
          <w:fldChar w:fldCharType="end"/>
        </w:r>
      </w:p>
    </w:sdtContent>
  </w:sdt>
  <w:p w14:paraId="334E0D11" w14:textId="77777777" w:rsidR="00B54F55" w:rsidRDefault="00B54F55">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5F5825" w14:textId="77777777" w:rsidR="001A38E2" w:rsidRDefault="001A38E2">
      <w:pPr>
        <w:spacing w:line="240" w:lineRule="auto"/>
      </w:pPr>
      <w:r>
        <w:separator/>
      </w:r>
    </w:p>
  </w:footnote>
  <w:footnote w:type="continuationSeparator" w:id="0">
    <w:p w14:paraId="2D9A96A9" w14:textId="77777777" w:rsidR="001A38E2" w:rsidRDefault="001A38E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2654CE"/>
    <w:multiLevelType w:val="multilevel"/>
    <w:tmpl w:val="3112DC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C6D2DB3"/>
    <w:multiLevelType w:val="multilevel"/>
    <w:tmpl w:val="C2523AB2"/>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2200B7A"/>
    <w:multiLevelType w:val="hybridMultilevel"/>
    <w:tmpl w:val="03E22DE8"/>
    <w:lvl w:ilvl="0" w:tplc="FAC64AAE">
      <w:start w:val="1"/>
      <w:numFmt w:val="decimal"/>
      <w:lvlText w:val="%1."/>
      <w:lvlJc w:val="left"/>
      <w:pPr>
        <w:ind w:left="720" w:hanging="360"/>
      </w:pPr>
    </w:lvl>
    <w:lvl w:ilvl="1" w:tplc="67C4310E" w:tentative="1">
      <w:start w:val="1"/>
      <w:numFmt w:val="lowerLetter"/>
      <w:lvlText w:val="%2."/>
      <w:lvlJc w:val="left"/>
      <w:pPr>
        <w:ind w:left="1440" w:hanging="360"/>
      </w:pPr>
    </w:lvl>
    <w:lvl w:ilvl="2" w:tplc="6A022D36" w:tentative="1">
      <w:start w:val="1"/>
      <w:numFmt w:val="lowerRoman"/>
      <w:lvlText w:val="%3."/>
      <w:lvlJc w:val="right"/>
      <w:pPr>
        <w:ind w:left="2160" w:hanging="180"/>
      </w:pPr>
    </w:lvl>
    <w:lvl w:ilvl="3" w:tplc="F86AB556" w:tentative="1">
      <w:start w:val="1"/>
      <w:numFmt w:val="decimal"/>
      <w:lvlText w:val="%4."/>
      <w:lvlJc w:val="left"/>
      <w:pPr>
        <w:ind w:left="2880" w:hanging="360"/>
      </w:pPr>
    </w:lvl>
    <w:lvl w:ilvl="4" w:tplc="58763A48" w:tentative="1">
      <w:start w:val="1"/>
      <w:numFmt w:val="lowerLetter"/>
      <w:lvlText w:val="%5."/>
      <w:lvlJc w:val="left"/>
      <w:pPr>
        <w:ind w:left="3600" w:hanging="360"/>
      </w:pPr>
    </w:lvl>
    <w:lvl w:ilvl="5" w:tplc="27125EF0" w:tentative="1">
      <w:start w:val="1"/>
      <w:numFmt w:val="lowerRoman"/>
      <w:lvlText w:val="%6."/>
      <w:lvlJc w:val="right"/>
      <w:pPr>
        <w:ind w:left="4320" w:hanging="180"/>
      </w:pPr>
    </w:lvl>
    <w:lvl w:ilvl="6" w:tplc="A9025482" w:tentative="1">
      <w:start w:val="1"/>
      <w:numFmt w:val="decimal"/>
      <w:lvlText w:val="%7."/>
      <w:lvlJc w:val="left"/>
      <w:pPr>
        <w:ind w:left="5040" w:hanging="360"/>
      </w:pPr>
    </w:lvl>
    <w:lvl w:ilvl="7" w:tplc="5F524D7C" w:tentative="1">
      <w:start w:val="1"/>
      <w:numFmt w:val="lowerLetter"/>
      <w:lvlText w:val="%8."/>
      <w:lvlJc w:val="left"/>
      <w:pPr>
        <w:ind w:left="5760" w:hanging="360"/>
      </w:pPr>
    </w:lvl>
    <w:lvl w:ilvl="8" w:tplc="E76E07C4" w:tentative="1">
      <w:start w:val="1"/>
      <w:numFmt w:val="lowerRoman"/>
      <w:lvlText w:val="%9."/>
      <w:lvlJc w:val="right"/>
      <w:pPr>
        <w:ind w:left="6480" w:hanging="180"/>
      </w:pPr>
    </w:lvl>
  </w:abstractNum>
  <w:abstractNum w:abstractNumId="3" w15:restartNumberingAfterBreak="0">
    <w:nsid w:val="7CCF64FC"/>
    <w:multiLevelType w:val="multilevel"/>
    <w:tmpl w:val="AA841B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F60D7"/>
    <w:rsid w:val="00114C1F"/>
    <w:rsid w:val="001A38E2"/>
    <w:rsid w:val="0024427E"/>
    <w:rsid w:val="00351F9F"/>
    <w:rsid w:val="003A7646"/>
    <w:rsid w:val="003E3DC8"/>
    <w:rsid w:val="00647235"/>
    <w:rsid w:val="00971ED2"/>
    <w:rsid w:val="00B54F55"/>
    <w:rsid w:val="00CF60D7"/>
    <w:rsid w:val="00E10DD8"/>
    <w:rsid w:val="00F051C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F21F32"/>
  <w15:docId w15:val="{230ED474-95AA-402A-9F32-E547B88DD2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B54F55"/>
    <w:pPr>
      <w:spacing w:line="360" w:lineRule="auto"/>
      <w:jc w:val="both"/>
    </w:pPr>
    <w:rPr>
      <w:rFonts w:ascii="Times New Roman" w:hAnsi="Times New Roman"/>
      <w:sz w:val="24"/>
    </w:rPr>
  </w:style>
  <w:style w:type="paragraph" w:styleId="Titlu1">
    <w:name w:val="heading 1"/>
    <w:basedOn w:val="Normal"/>
    <w:next w:val="Normal"/>
    <w:rsid w:val="00B54F55"/>
    <w:pPr>
      <w:keepNext/>
      <w:keepLines/>
      <w:spacing w:before="400" w:after="120"/>
      <w:outlineLvl w:val="0"/>
    </w:pPr>
    <w:rPr>
      <w:b/>
      <w:szCs w:val="40"/>
    </w:rPr>
  </w:style>
  <w:style w:type="paragraph" w:styleId="Titlu2">
    <w:name w:val="heading 2"/>
    <w:basedOn w:val="Normal"/>
    <w:next w:val="Normal"/>
    <w:rsid w:val="00B54F55"/>
    <w:pPr>
      <w:keepNext/>
      <w:keepLines/>
      <w:spacing w:before="360" w:after="120"/>
      <w:outlineLvl w:val="1"/>
    </w:pPr>
    <w:rPr>
      <w:b/>
      <w:szCs w:val="32"/>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szCs w:val="24"/>
    </w:rPr>
  </w:style>
  <w:style w:type="paragraph" w:styleId="Titlu5">
    <w:name w:val="heading 5"/>
    <w:basedOn w:val="Normal"/>
    <w:next w:val="Normal"/>
    <w:pPr>
      <w:keepNext/>
      <w:keepLines/>
      <w:spacing w:before="240" w:after="80"/>
      <w:outlineLvl w:val="4"/>
    </w:pPr>
    <w:rPr>
      <w:color w:val="666666"/>
      <w:sz w:val="22"/>
    </w:rPr>
  </w:style>
  <w:style w:type="paragraph" w:styleId="Titlu6">
    <w:name w:val="heading 6"/>
    <w:basedOn w:val="Normal"/>
    <w:next w:val="Normal"/>
    <w:pPr>
      <w:keepNext/>
      <w:keepLines/>
      <w:spacing w:before="240" w:after="80"/>
      <w:outlineLvl w:val="5"/>
    </w:pPr>
    <w:rPr>
      <w:i/>
      <w:color w:val="666666"/>
      <w:sz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pPr>
      <w:keepNext/>
      <w:keepLines/>
      <w:spacing w:after="60"/>
    </w:pPr>
    <w:rPr>
      <w:sz w:val="52"/>
      <w:szCs w:val="52"/>
    </w:rPr>
  </w:style>
  <w:style w:type="paragraph" w:styleId="Subtitlu">
    <w:name w:val="Subtitle"/>
    <w:basedOn w:val="Normal"/>
    <w:next w:val="Normal"/>
    <w:pPr>
      <w:keepNext/>
      <w:keepLines/>
      <w:spacing w:after="320"/>
    </w:pPr>
    <w:rPr>
      <w:rFonts w:ascii="Arial" w:hAnsi="Arial"/>
      <w:color w:val="666666"/>
      <w:sz w:val="30"/>
      <w:szCs w:val="30"/>
    </w:rPr>
  </w:style>
  <w:style w:type="table" w:customStyle="1" w:styleId="a">
    <w:name w:val="a"/>
    <w:basedOn w:val="TabelNormal"/>
    <w:tblPr>
      <w:tblStyleRowBandSize w:val="1"/>
      <w:tblStyleColBandSize w:val="1"/>
      <w:tblCellMar>
        <w:top w:w="100" w:type="dxa"/>
        <w:left w:w="100" w:type="dxa"/>
        <w:bottom w:w="100" w:type="dxa"/>
        <w:right w:w="100" w:type="dxa"/>
      </w:tblCellMar>
    </w:tblPr>
  </w:style>
  <w:style w:type="table" w:customStyle="1" w:styleId="a0">
    <w:name w:val="a0"/>
    <w:basedOn w:val="TabelNormal"/>
    <w:tblPr>
      <w:tblStyleRowBandSize w:val="1"/>
      <w:tblStyleColBandSize w:val="1"/>
      <w:tblCellMar>
        <w:top w:w="100" w:type="dxa"/>
        <w:left w:w="100" w:type="dxa"/>
        <w:bottom w:w="100" w:type="dxa"/>
        <w:right w:w="100" w:type="dxa"/>
      </w:tblCellMar>
    </w:tblPr>
    <w:tcPr>
      <w:shd w:val="clear" w:color="auto" w:fill="FFFFFF"/>
    </w:tcPr>
  </w:style>
  <w:style w:type="paragraph" w:styleId="Listparagraf">
    <w:name w:val="List Paragraph"/>
    <w:basedOn w:val="Normal"/>
    <w:uiPriority w:val="34"/>
    <w:qFormat/>
    <w:rsid w:val="00B54F55"/>
    <w:pPr>
      <w:ind w:left="720"/>
      <w:contextualSpacing/>
    </w:pPr>
  </w:style>
  <w:style w:type="paragraph" w:styleId="Antet">
    <w:name w:val="header"/>
    <w:basedOn w:val="Normal"/>
    <w:link w:val="AntetCaracter"/>
    <w:uiPriority w:val="99"/>
    <w:unhideWhenUsed/>
    <w:rsid w:val="00B54F55"/>
    <w:pPr>
      <w:tabs>
        <w:tab w:val="center" w:pos="4513"/>
        <w:tab w:val="right" w:pos="9026"/>
      </w:tabs>
      <w:spacing w:line="240" w:lineRule="auto"/>
    </w:pPr>
  </w:style>
  <w:style w:type="character" w:customStyle="1" w:styleId="AntetCaracter">
    <w:name w:val="Antet Caracter"/>
    <w:basedOn w:val="Fontdeparagrafimplicit"/>
    <w:link w:val="Antet"/>
    <w:uiPriority w:val="99"/>
    <w:rsid w:val="00B54F55"/>
    <w:rPr>
      <w:rFonts w:ascii="Times New Roman" w:hAnsi="Times New Roman"/>
      <w:sz w:val="24"/>
    </w:rPr>
  </w:style>
  <w:style w:type="paragraph" w:styleId="Subsol">
    <w:name w:val="footer"/>
    <w:basedOn w:val="Normal"/>
    <w:link w:val="SubsolCaracter"/>
    <w:uiPriority w:val="99"/>
    <w:unhideWhenUsed/>
    <w:rsid w:val="00B54F55"/>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B54F55"/>
    <w:rPr>
      <w:rFonts w:ascii="Times New Roman" w:hAnsi="Times New Roman"/>
      <w:sz w:val="24"/>
    </w:rPr>
  </w:style>
  <w:style w:type="paragraph" w:styleId="Titlucuprins">
    <w:name w:val="TOC Heading"/>
    <w:basedOn w:val="Titlu1"/>
    <w:next w:val="Normal"/>
    <w:uiPriority w:val="39"/>
    <w:unhideWhenUsed/>
    <w:qFormat/>
    <w:rsid w:val="003E3DC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Cuprins1">
    <w:name w:val="toc 1"/>
    <w:basedOn w:val="Normal"/>
    <w:next w:val="Normal"/>
    <w:autoRedefine/>
    <w:uiPriority w:val="39"/>
    <w:unhideWhenUsed/>
    <w:rsid w:val="003E3DC8"/>
    <w:pPr>
      <w:spacing w:after="100"/>
    </w:pPr>
  </w:style>
  <w:style w:type="paragraph" w:styleId="Cuprins2">
    <w:name w:val="toc 2"/>
    <w:basedOn w:val="Normal"/>
    <w:next w:val="Normal"/>
    <w:autoRedefine/>
    <w:uiPriority w:val="39"/>
    <w:unhideWhenUsed/>
    <w:rsid w:val="003E3DC8"/>
    <w:pPr>
      <w:spacing w:after="100"/>
      <w:ind w:left="240"/>
    </w:pPr>
  </w:style>
  <w:style w:type="character" w:styleId="Hyperlink">
    <w:name w:val="Hyperlink"/>
    <w:basedOn w:val="Fontdeparagrafimplicit"/>
    <w:uiPriority w:val="99"/>
    <w:unhideWhenUsed/>
    <w:rsid w:val="003E3DC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3E761EE-B897-46E3-8D95-CC6F69D301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29</Pages>
  <Words>6897</Words>
  <Characters>39315</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46120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Camelia Corbu (2010281)</cp:lastModifiedBy>
  <cp:revision>2</cp:revision>
  <dcterms:created xsi:type="dcterms:W3CDTF">2021-05-15T17:19:00Z</dcterms:created>
  <dcterms:modified xsi:type="dcterms:W3CDTF">2021-05-15T17:19:00Z</dcterms:modified>
</cp:coreProperties>
</file>