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F412" w14:textId="77777777" w:rsidR="00321216" w:rsidRDefault="00321216" w:rsidP="0032121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Student name</w:t>
      </w:r>
      <w:r>
        <w:rPr>
          <w:rStyle w:val="normaltextrun"/>
          <w:rFonts w:ascii="Arial" w:hAnsi="Arial" w:cs="Arial"/>
          <w:sz w:val="28"/>
          <w:szCs w:val="28"/>
        </w:rPr>
        <w:t xml:space="preserve">: Semmie Adeniran </w:t>
      </w:r>
      <w:proofErr w:type="spellStart"/>
      <w:r>
        <w:rPr>
          <w:rStyle w:val="normaltextrun"/>
          <w:rFonts w:ascii="Arial" w:hAnsi="Arial" w:cs="Arial"/>
          <w:sz w:val="28"/>
          <w:szCs w:val="28"/>
        </w:rPr>
        <w:t>Ogunwolu</w:t>
      </w:r>
      <w:proofErr w:type="spellEnd"/>
      <w:r>
        <w:rPr>
          <w:rStyle w:val="eop"/>
          <w:rFonts w:ascii="Arial" w:hAnsi="Arial" w:cs="Arial"/>
          <w:sz w:val="28"/>
          <w:szCs w:val="28"/>
        </w:rPr>
        <w:t> </w:t>
      </w:r>
    </w:p>
    <w:p w14:paraId="28761CF9" w14:textId="77777777" w:rsidR="00321216" w:rsidRDefault="00321216" w:rsidP="0032121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lang w:val="nl-NL"/>
        </w:rPr>
        <w:t>Student ID</w:t>
      </w:r>
      <w:r>
        <w:rPr>
          <w:rStyle w:val="normaltextrun"/>
          <w:rFonts w:ascii="Arial" w:hAnsi="Arial" w:cs="Arial"/>
          <w:sz w:val="28"/>
          <w:szCs w:val="28"/>
          <w:lang w:val="nl-NL"/>
        </w:rPr>
        <w:t>: 2130575</w:t>
      </w:r>
      <w:r>
        <w:rPr>
          <w:rStyle w:val="eop"/>
          <w:rFonts w:ascii="Arial" w:hAnsi="Arial" w:cs="Arial"/>
          <w:sz w:val="28"/>
          <w:szCs w:val="28"/>
        </w:rPr>
        <w:t> </w:t>
      </w:r>
    </w:p>
    <w:p w14:paraId="56424C68" w14:textId="77777777" w:rsidR="00321216" w:rsidRDefault="00321216" w:rsidP="0032121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487A045A" w14:textId="77777777" w:rsidR="00321216" w:rsidRDefault="00321216" w:rsidP="0032121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lang w:val="nl-NL"/>
        </w:rPr>
        <w:t>Module name</w:t>
      </w:r>
      <w:r>
        <w:rPr>
          <w:rStyle w:val="normaltextrun"/>
          <w:rFonts w:ascii="Arial" w:hAnsi="Arial" w:cs="Arial"/>
          <w:sz w:val="28"/>
          <w:szCs w:val="28"/>
          <w:lang w:val="nl-NL"/>
        </w:rPr>
        <w:t xml:space="preserve">: </w:t>
      </w:r>
      <w:r w:rsidRPr="00F20A8C">
        <w:rPr>
          <w:rFonts w:ascii="Arial" w:hAnsi="Arial" w:cs="Arial"/>
          <w:sz w:val="28"/>
          <w:szCs w:val="28"/>
          <w:lang w:val="en"/>
        </w:rPr>
        <w:t>Introduction to Public Health</w:t>
      </w:r>
    </w:p>
    <w:p w14:paraId="0C05D0FB" w14:textId="77777777" w:rsidR="00321216" w:rsidRDefault="00321216" w:rsidP="0032121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 xml:space="preserve">Module </w:t>
      </w:r>
      <w:proofErr w:type="gramStart"/>
      <w:r>
        <w:rPr>
          <w:rStyle w:val="normaltextrun"/>
          <w:rFonts w:ascii="Arial" w:hAnsi="Arial" w:cs="Arial"/>
          <w:b/>
          <w:bCs/>
          <w:sz w:val="28"/>
          <w:szCs w:val="28"/>
        </w:rPr>
        <w:t>code</w:t>
      </w:r>
      <w:r>
        <w:rPr>
          <w:rStyle w:val="normaltextrun"/>
          <w:rFonts w:ascii="Arial" w:hAnsi="Arial" w:cs="Arial"/>
          <w:sz w:val="28"/>
          <w:szCs w:val="28"/>
        </w:rPr>
        <w:t>:LCHS</w:t>
      </w:r>
      <w:proofErr w:type="gramEnd"/>
      <w:r>
        <w:rPr>
          <w:rStyle w:val="normaltextrun"/>
          <w:rFonts w:ascii="Arial" w:hAnsi="Arial" w:cs="Arial"/>
          <w:sz w:val="28"/>
          <w:szCs w:val="28"/>
        </w:rPr>
        <w:t>4004</w:t>
      </w:r>
      <w:r>
        <w:rPr>
          <w:rStyle w:val="eop"/>
          <w:rFonts w:ascii="Arial" w:hAnsi="Arial" w:cs="Arial"/>
          <w:sz w:val="28"/>
          <w:szCs w:val="28"/>
        </w:rPr>
        <w:t> </w:t>
      </w:r>
    </w:p>
    <w:p w14:paraId="562EF051" w14:textId="7B7454A5" w:rsidR="00321216" w:rsidRDefault="00321216" w:rsidP="00321216">
      <w:pPr>
        <w:pStyle w:val="paragraph"/>
        <w:spacing w:before="0" w:beforeAutospacing="0" w:after="0" w:afterAutospacing="0"/>
        <w:textAlignment w:val="baseline"/>
        <w:rPr>
          <w:rStyle w:val="normaltextrun"/>
          <w:rFonts w:ascii="Arial" w:hAnsi="Arial" w:cs="Arial"/>
          <w:sz w:val="28"/>
          <w:szCs w:val="28"/>
        </w:rPr>
      </w:pPr>
      <w:r>
        <w:rPr>
          <w:rStyle w:val="normaltextrun"/>
          <w:rFonts w:ascii="Arial" w:hAnsi="Arial" w:cs="Arial"/>
          <w:b/>
          <w:bCs/>
          <w:sz w:val="28"/>
          <w:szCs w:val="28"/>
        </w:rPr>
        <w:t xml:space="preserve">Lecturer </w:t>
      </w:r>
      <w:proofErr w:type="gramStart"/>
      <w:r>
        <w:rPr>
          <w:rStyle w:val="normaltextrun"/>
          <w:rFonts w:ascii="Arial" w:hAnsi="Arial" w:cs="Arial"/>
          <w:b/>
          <w:bCs/>
          <w:sz w:val="28"/>
          <w:szCs w:val="28"/>
        </w:rPr>
        <w:t>name</w:t>
      </w:r>
      <w:r>
        <w:rPr>
          <w:rStyle w:val="normaltextrun"/>
          <w:rFonts w:ascii="Calibri" w:hAnsi="Calibri" w:cs="Calibri"/>
          <w:sz w:val="22"/>
          <w:szCs w:val="22"/>
        </w:rPr>
        <w:t> </w:t>
      </w:r>
      <w:r>
        <w:rPr>
          <w:rStyle w:val="eop"/>
          <w:rFonts w:ascii="Calibri" w:hAnsi="Calibri" w:cs="Calibri"/>
          <w:sz w:val="22"/>
          <w:szCs w:val="22"/>
        </w:rPr>
        <w:t> </w:t>
      </w:r>
      <w:r w:rsidRPr="00CA097F">
        <w:rPr>
          <w:rStyle w:val="normaltextrun"/>
          <w:rFonts w:ascii="Arial" w:hAnsi="Arial" w:cs="Arial"/>
          <w:sz w:val="28"/>
          <w:szCs w:val="28"/>
        </w:rPr>
        <w:t>Laila</w:t>
      </w:r>
      <w:proofErr w:type="gramEnd"/>
      <w:r w:rsidRPr="00CA097F">
        <w:rPr>
          <w:rStyle w:val="normaltextrun"/>
          <w:rFonts w:ascii="Arial" w:hAnsi="Arial" w:cs="Arial"/>
          <w:sz w:val="28"/>
          <w:szCs w:val="28"/>
        </w:rPr>
        <w:t xml:space="preserve"> Surani</w:t>
      </w:r>
      <w:r>
        <w:rPr>
          <w:rStyle w:val="normaltextrun"/>
          <w:rFonts w:ascii="Arial" w:hAnsi="Arial" w:cs="Arial"/>
          <w:sz w:val="28"/>
          <w:szCs w:val="28"/>
        </w:rPr>
        <w:t xml:space="preserve">; </w:t>
      </w:r>
      <w:r w:rsidRPr="00CA097F">
        <w:rPr>
          <w:rStyle w:val="normaltextrun"/>
          <w:rFonts w:ascii="Arial" w:hAnsi="Arial" w:cs="Arial"/>
          <w:sz w:val="28"/>
          <w:szCs w:val="28"/>
        </w:rPr>
        <w:t>Bianca Sanfilippo</w:t>
      </w:r>
    </w:p>
    <w:p w14:paraId="61C64A09" w14:textId="77777777" w:rsidR="00321216" w:rsidRDefault="00321216" w:rsidP="00321216">
      <w:pPr>
        <w:pStyle w:val="paragraph"/>
        <w:spacing w:before="0" w:beforeAutospacing="0" w:after="0" w:afterAutospacing="0"/>
        <w:textAlignment w:val="baseline"/>
        <w:rPr>
          <w:rStyle w:val="normaltextrun"/>
          <w:rFonts w:ascii="Arial" w:hAnsi="Arial" w:cs="Arial"/>
          <w:sz w:val="28"/>
          <w:szCs w:val="28"/>
        </w:rPr>
      </w:pPr>
    </w:p>
    <w:p w14:paraId="0F1329B8" w14:textId="6961856F" w:rsidR="00321216" w:rsidRDefault="00321216" w:rsidP="00321216">
      <w:pPr>
        <w:pStyle w:val="paragraph"/>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Assignment 1</w:t>
      </w:r>
    </w:p>
    <w:p w14:paraId="5D48EA16" w14:textId="77777777" w:rsidR="00321216" w:rsidRDefault="00321216">
      <w:pPr>
        <w:rPr>
          <w:rStyle w:val="normaltextrun"/>
          <w:rFonts w:eastAsia="Times New Roman"/>
          <w:sz w:val="28"/>
          <w:szCs w:val="28"/>
        </w:rPr>
      </w:pPr>
      <w:r>
        <w:rPr>
          <w:rStyle w:val="normaltextrun"/>
          <w:sz w:val="28"/>
          <w:szCs w:val="28"/>
        </w:rPr>
        <w:br w:type="page"/>
      </w:r>
    </w:p>
    <w:p w14:paraId="00000001" w14:textId="77777777" w:rsidR="006E1356" w:rsidRDefault="00000000">
      <w:pPr>
        <w:spacing w:line="360" w:lineRule="auto"/>
        <w:rPr>
          <w:b/>
          <w:sz w:val="26"/>
          <w:szCs w:val="26"/>
        </w:rPr>
      </w:pPr>
      <w:r>
        <w:rPr>
          <w:b/>
          <w:sz w:val="26"/>
          <w:szCs w:val="26"/>
        </w:rPr>
        <w:lastRenderedPageBreak/>
        <w:t>Introduction</w:t>
      </w:r>
    </w:p>
    <w:p w14:paraId="00000002" w14:textId="77777777" w:rsidR="006E1356" w:rsidRDefault="00000000">
      <w:pPr>
        <w:spacing w:line="360" w:lineRule="auto"/>
      </w:pPr>
      <w:r>
        <w:t xml:space="preserve">According to Tenny and Boktor (2022), disease incidence is the rate of new cases or events over a specified period for the population at risk for the event. In medicine, it is the identification of new cases of a disease or condition per population at risk of being affected by such disease over a specified timeframe. Accurate measurement, monitoring, and control of disease incidence are crucial for public health interventions (Tulchinsky &amp; </w:t>
      </w:r>
      <w:proofErr w:type="spellStart"/>
      <w:r>
        <w:t>Varavikova</w:t>
      </w:r>
      <w:proofErr w:type="spellEnd"/>
      <w:r>
        <w:t>, 2014). This report focuses on chickenpox as a case study to explore the approaches and strategies employed in the United Kingdom (UK) to measure, monitor, and control the incidence of this infectious disease.</w:t>
      </w:r>
    </w:p>
    <w:p w14:paraId="00000003" w14:textId="77777777" w:rsidR="006E1356" w:rsidRDefault="006E1356">
      <w:pPr>
        <w:spacing w:line="360" w:lineRule="auto"/>
      </w:pPr>
    </w:p>
    <w:p w14:paraId="00000004" w14:textId="77777777" w:rsidR="006E1356" w:rsidRDefault="00000000">
      <w:pPr>
        <w:spacing w:line="360" w:lineRule="auto"/>
        <w:rPr>
          <w:b/>
          <w:sz w:val="26"/>
          <w:szCs w:val="26"/>
        </w:rPr>
      </w:pPr>
      <w:r>
        <w:rPr>
          <w:b/>
          <w:sz w:val="26"/>
          <w:szCs w:val="26"/>
        </w:rPr>
        <w:t>Strategies used in the UK to measure the incidence of chickenpox</w:t>
      </w:r>
    </w:p>
    <w:p w14:paraId="00000005" w14:textId="77777777" w:rsidR="006E1356" w:rsidRDefault="00000000">
      <w:pPr>
        <w:spacing w:line="360" w:lineRule="auto"/>
      </w:pPr>
      <w:r>
        <w:t>In the UK, the measurement of chickenpox incidence, caused by the Varicella-Zoster-Virus (VZV) primarily relies on surveillance systems and studies conducted by healthcare institutions and public health agencies (Amirthalingam and Ramsay, 2015). These systems often include case reporting, laboratory testing, and data collected from primary healthcare providers. The data obtained from these sources are used to estimate the number of new chickenpox cases, incidence rates, and trends. Hence, there is an imperative need for stakeholders who are decision makers altogether, to provide the structure and process required to ensure an effective collection of and accessibility of collected data (Adane, Gizachew and Kendie, 2019).</w:t>
      </w:r>
    </w:p>
    <w:p w14:paraId="00000006" w14:textId="77777777" w:rsidR="006E1356" w:rsidRDefault="006E1356">
      <w:pPr>
        <w:spacing w:line="360" w:lineRule="auto"/>
      </w:pPr>
    </w:p>
    <w:p w14:paraId="00000007" w14:textId="77777777" w:rsidR="006E1356" w:rsidRDefault="00000000">
      <w:pPr>
        <w:spacing w:line="360" w:lineRule="auto"/>
      </w:pPr>
      <w:r>
        <w:t xml:space="preserve">An evaluation of the strategies used to measure chickenpox incidence in the UK reveals several strengths and limitations. Firstly, the use of case reporting facilitates the collection of data from healthcare providers (Adane, Gizachew and Kendie, 2019). This allows for </w:t>
      </w:r>
      <w:proofErr w:type="gramStart"/>
      <w:r>
        <w:t>a  comprehensive</w:t>
      </w:r>
      <w:proofErr w:type="gramEnd"/>
      <w:r>
        <w:t xml:space="preserve"> coverage of diagnosed cases. However, underreporting and incomplete data collection can lead to an underestimation of the true incidence. Moreover, reliance on clinical diagnosis without laboratory confirmation may introduce misclassification bias.</w:t>
      </w:r>
    </w:p>
    <w:p w14:paraId="00000008" w14:textId="77777777" w:rsidR="006E1356" w:rsidRDefault="006E1356">
      <w:pPr>
        <w:spacing w:line="360" w:lineRule="auto"/>
      </w:pPr>
    </w:p>
    <w:p w14:paraId="00000009" w14:textId="77777777" w:rsidR="006E1356" w:rsidRDefault="00000000">
      <w:pPr>
        <w:spacing w:line="360" w:lineRule="auto"/>
        <w:rPr>
          <w:b/>
          <w:sz w:val="26"/>
          <w:szCs w:val="26"/>
        </w:rPr>
      </w:pPr>
      <w:r>
        <w:rPr>
          <w:b/>
          <w:sz w:val="26"/>
          <w:szCs w:val="26"/>
        </w:rPr>
        <w:t>Strategies used in the UK to monitor the incidence of chickenpox</w:t>
      </w:r>
    </w:p>
    <w:p w14:paraId="0000000A" w14:textId="77777777" w:rsidR="006E1356" w:rsidRDefault="00000000">
      <w:pPr>
        <w:spacing w:line="360" w:lineRule="auto"/>
      </w:pPr>
      <w:r>
        <w:t xml:space="preserve">Monitoring the incidence of chickenpox in the UK involves continuous surveillance of disease trends and patterns. This is achieved through routine data collection and analysis from various sources, including healthcare facilities, laboratories, and sentinel surveillance systems (Tulchinsky and </w:t>
      </w:r>
      <w:proofErr w:type="spellStart"/>
      <w:r>
        <w:t>Varavikova</w:t>
      </w:r>
      <w:proofErr w:type="spellEnd"/>
      <w:r>
        <w:t xml:space="preserve">, 2014; King et al., 2016). According to Immunization Agenda, 2030 (2020), the World Health Organization (WHO) has developed but not restricted to, Vaccine-Preventable Disease (VPD) surveillance which is described as the continuous and systematic collection, analysis and interpretation of health-related data </w:t>
      </w:r>
      <w:r>
        <w:lastRenderedPageBreak/>
        <w:t xml:space="preserve">needed for the planning, implementation and evaluation of public health practice. The effect of this is that the right information concerning chickenpox is available at the right time and in the right place to inform public health decisions and actions, especially by the decision makers and key stakeholders of the </w:t>
      </w:r>
      <w:proofErr w:type="spellStart"/>
      <w:r>
        <w:t>the</w:t>
      </w:r>
      <w:proofErr w:type="spellEnd"/>
      <w:r>
        <w:t xml:space="preserve"> public health (Gilbert and Cliffe, 2016).</w:t>
      </w:r>
    </w:p>
    <w:p w14:paraId="0000000B" w14:textId="77777777" w:rsidR="006E1356" w:rsidRDefault="006E1356">
      <w:pPr>
        <w:spacing w:line="360" w:lineRule="auto"/>
      </w:pPr>
    </w:p>
    <w:p w14:paraId="0000000C" w14:textId="77777777" w:rsidR="006E1356" w:rsidRDefault="00000000">
      <w:pPr>
        <w:spacing w:line="360" w:lineRule="auto"/>
      </w:pPr>
      <w:r>
        <w:t>Additionally, serosurveys and population-based studies are conducted to assess the immune status and susceptibility of different age groups (Murhekar and Clapham, 2021). The seroprevalence studies provide information about the extent of transmission in the past and help to predict the direction of the disease incidence in the community, among members of the community (Scozzari et al., 2021)</w:t>
      </w:r>
    </w:p>
    <w:p w14:paraId="0000000D" w14:textId="77777777" w:rsidR="006E1356" w:rsidRDefault="006E1356">
      <w:pPr>
        <w:spacing w:line="360" w:lineRule="auto"/>
      </w:pPr>
    </w:p>
    <w:p w14:paraId="0000000E" w14:textId="77777777" w:rsidR="006E1356" w:rsidRDefault="00000000">
      <w:pPr>
        <w:spacing w:line="360" w:lineRule="auto"/>
      </w:pPr>
      <w:r>
        <w:t xml:space="preserve">The strategies employed for monitoring chickenpox incidence in the UK have notable strengths and weaknesses. The utilization of sentinel surveillance systems provides timely and representative data from selected sites, enabling trend analysis and early detection of outbreaks (Immunization Agenda 2030, 2020; </w:t>
      </w:r>
      <w:proofErr w:type="spellStart"/>
      <w:r>
        <w:t>Gastmeier</w:t>
      </w:r>
      <w:proofErr w:type="spellEnd"/>
      <w:r>
        <w:t xml:space="preserve">, </w:t>
      </w:r>
      <w:proofErr w:type="spellStart"/>
      <w:r>
        <w:t>Coignard</w:t>
      </w:r>
      <w:proofErr w:type="spellEnd"/>
      <w:r>
        <w:t xml:space="preserve"> and Horan, 2013). However, the reliance on voluntary reporting may introduce reporting bias and limit the generalizability of the </w:t>
      </w:r>
      <w:proofErr w:type="gramStart"/>
      <w:r>
        <w:t>findings(</w:t>
      </w:r>
      <w:proofErr w:type="spellStart"/>
      <w:proofErr w:type="gramEnd"/>
      <w:r>
        <w:t>Gastmeier</w:t>
      </w:r>
      <w:proofErr w:type="spellEnd"/>
      <w:r>
        <w:t xml:space="preserve">, </w:t>
      </w:r>
      <w:proofErr w:type="spellStart"/>
      <w:r>
        <w:t>Coignard</w:t>
      </w:r>
      <w:proofErr w:type="spellEnd"/>
      <w:r>
        <w:t xml:space="preserve"> and Horan, 2013). Furthermore, the use of serosurveys and population-based studies can provide valuable information on the susceptibility of the population but may be resource-intensive and time-consuming (Murhekar and Clapham, 2021).</w:t>
      </w:r>
    </w:p>
    <w:p w14:paraId="0000000F" w14:textId="77777777" w:rsidR="006E1356" w:rsidRDefault="006E1356">
      <w:pPr>
        <w:spacing w:line="360" w:lineRule="auto"/>
      </w:pPr>
    </w:p>
    <w:p w14:paraId="00000010" w14:textId="77777777" w:rsidR="006E1356" w:rsidRDefault="00000000">
      <w:pPr>
        <w:spacing w:line="360" w:lineRule="auto"/>
        <w:rPr>
          <w:b/>
          <w:sz w:val="26"/>
          <w:szCs w:val="26"/>
        </w:rPr>
      </w:pPr>
      <w:r>
        <w:rPr>
          <w:b/>
          <w:sz w:val="26"/>
          <w:szCs w:val="26"/>
        </w:rPr>
        <w:t>Strategies used in the UK to control the incidence of chickenpox</w:t>
      </w:r>
    </w:p>
    <w:p w14:paraId="00000011" w14:textId="77777777" w:rsidR="006E1356" w:rsidRDefault="00000000">
      <w:pPr>
        <w:spacing w:line="360" w:lineRule="auto"/>
      </w:pPr>
      <w:r>
        <w:t>Controlling the incidence of chickenpox in the UK involves a multifaceted approach, including vaccination programs, public health campaigns, and infection control measures. The UK follows a routine immunization schedule, which includes the varicella vaccine for eligible individuals (</w:t>
      </w:r>
      <w:proofErr w:type="spellStart"/>
      <w:r>
        <w:t>Hobbelen</w:t>
      </w:r>
      <w:proofErr w:type="spellEnd"/>
      <w:r>
        <w:t xml:space="preserve"> et al., 2016). Vaccination coverage rates are monitored to assess the impact of the vaccine on disease incidence. </w:t>
      </w:r>
    </w:p>
    <w:p w14:paraId="00000012" w14:textId="77777777" w:rsidR="006E1356" w:rsidRDefault="006E1356">
      <w:pPr>
        <w:spacing w:line="360" w:lineRule="auto"/>
      </w:pPr>
    </w:p>
    <w:p w14:paraId="00000013" w14:textId="77777777" w:rsidR="006E1356" w:rsidRDefault="00000000">
      <w:pPr>
        <w:spacing w:line="360" w:lineRule="auto"/>
      </w:pPr>
      <w:r>
        <w:t xml:space="preserve">Additionally, public health campaigns promote awareness about chickenpox, its symptoms, and prevention </w:t>
      </w:r>
      <w:proofErr w:type="gramStart"/>
      <w:r>
        <w:t>methods(</w:t>
      </w:r>
      <w:proofErr w:type="gramEnd"/>
      <w:r>
        <w:t xml:space="preserve">Tomas and </w:t>
      </w:r>
      <w:proofErr w:type="spellStart"/>
      <w:r>
        <w:t>Kampanza</w:t>
      </w:r>
      <w:proofErr w:type="spellEnd"/>
      <w:r>
        <w:t>, 2022). Key stakeholders especially healthcare officials, news agencies, government institutions can carry out sensitization on different media platforms to enlighten the public, and at different times/seasons.</w:t>
      </w:r>
    </w:p>
    <w:p w14:paraId="00000014" w14:textId="77777777" w:rsidR="006E1356" w:rsidRDefault="006E1356">
      <w:pPr>
        <w:spacing w:line="360" w:lineRule="auto"/>
      </w:pPr>
    </w:p>
    <w:p w14:paraId="00000015" w14:textId="77777777" w:rsidR="006E1356" w:rsidRDefault="00000000">
      <w:pPr>
        <w:spacing w:line="360" w:lineRule="auto"/>
      </w:pPr>
      <w:r>
        <w:t xml:space="preserve">The strategies employed for controlling chickenpox incidence in the UK exhibit both pros and cons in their executions. The implementation of routine varicella vaccination has demonstrated effectiveness in reducing chickenpox incidence and its complications </w:t>
      </w:r>
      <w:r>
        <w:lastRenderedPageBreak/>
        <w:t>(</w:t>
      </w:r>
      <w:proofErr w:type="spellStart"/>
      <w:r>
        <w:t>Hobbelen</w:t>
      </w:r>
      <w:proofErr w:type="spellEnd"/>
      <w:r>
        <w:t xml:space="preserve"> et al., 2016; </w:t>
      </w:r>
      <w:proofErr w:type="spellStart"/>
      <w:r>
        <w:t>Papaloukas</w:t>
      </w:r>
      <w:proofErr w:type="spellEnd"/>
      <w:r>
        <w:t xml:space="preserve">, Giannouli and </w:t>
      </w:r>
      <w:proofErr w:type="spellStart"/>
      <w:r>
        <w:t>Papaevangelou</w:t>
      </w:r>
      <w:proofErr w:type="spellEnd"/>
      <w:r>
        <w:t xml:space="preserve">, 2014). However, vaccine coverage rates may vary among different populations, leading to disparities in disease control (van Hoek et al., 2012). These disparities complicate the process for the collection of required data from the relevant sources and lead to either an incomplete data collected or a mismatch of the required data in relation to the affected </w:t>
      </w:r>
      <w:proofErr w:type="gramStart"/>
      <w:r>
        <w:t>group .</w:t>
      </w:r>
      <w:proofErr w:type="gramEnd"/>
      <w:r>
        <w:t xml:space="preserve"> Furthermore, public health campaigns need to ensure the effective dissemination of information to reach diverse populations and address vaccine hesitancy (Altman et al., 2023).</w:t>
      </w:r>
    </w:p>
    <w:p w14:paraId="00000016" w14:textId="77777777" w:rsidR="006E1356" w:rsidRDefault="006E1356">
      <w:pPr>
        <w:spacing w:line="360" w:lineRule="auto"/>
      </w:pPr>
    </w:p>
    <w:p w14:paraId="00000017" w14:textId="77777777" w:rsidR="006E1356" w:rsidRDefault="00000000">
      <w:pPr>
        <w:spacing w:line="360" w:lineRule="auto"/>
        <w:rPr>
          <w:b/>
          <w:sz w:val="26"/>
          <w:szCs w:val="26"/>
        </w:rPr>
      </w:pPr>
      <w:r>
        <w:rPr>
          <w:b/>
          <w:sz w:val="26"/>
          <w:szCs w:val="26"/>
        </w:rPr>
        <w:t>Conclusion</w:t>
      </w:r>
    </w:p>
    <w:p w14:paraId="00000018" w14:textId="77777777" w:rsidR="006E1356" w:rsidRDefault="00000000">
      <w:pPr>
        <w:spacing w:line="360" w:lineRule="auto"/>
      </w:pPr>
      <w:r>
        <w:t>In conclusion, measuring, monitoring, and controlling the incidence of chickenpox in the UK involve a range of strategies and approaches. The measurement of chickenpox incidence relies on case reporting and data collection systems, with some limitations regarding underreporting and misclassification bias. Monitoring disease incidence includes routine surveillance and population-based studies, although reporting bias and resource requirements need to be considered. Controlling the incidence of chickenpox involves vaccination programs, public health campaigns, and infection control measures, but challenges related to coverage rates and vaccine hesitancy as the public’s response are also contingent factors that should be dealt with by the UK decision makers of the public health. Continual evaluation and refinement of these strategies are essential to ensure effective management of chickenpox and other infectious diseases in communities.</w:t>
      </w:r>
    </w:p>
    <w:p w14:paraId="00000019" w14:textId="77777777" w:rsidR="006E1356" w:rsidRDefault="006E1356">
      <w:pPr>
        <w:spacing w:line="360" w:lineRule="auto"/>
      </w:pPr>
    </w:p>
    <w:p w14:paraId="62ED1A0A" w14:textId="77777777" w:rsidR="00EB4D5E" w:rsidRDefault="00EB4D5E">
      <w:pPr>
        <w:rPr>
          <w:b/>
          <w:sz w:val="26"/>
          <w:szCs w:val="26"/>
        </w:rPr>
      </w:pPr>
      <w:r>
        <w:rPr>
          <w:b/>
          <w:sz w:val="26"/>
          <w:szCs w:val="26"/>
        </w:rPr>
        <w:br w:type="page"/>
      </w:r>
    </w:p>
    <w:p w14:paraId="0000001A" w14:textId="1E73FE3D" w:rsidR="006E1356" w:rsidRDefault="00000000">
      <w:pPr>
        <w:spacing w:after="360" w:line="360" w:lineRule="auto"/>
        <w:rPr>
          <w:b/>
          <w:sz w:val="26"/>
          <w:szCs w:val="26"/>
        </w:rPr>
      </w:pPr>
      <w:r>
        <w:rPr>
          <w:b/>
          <w:sz w:val="26"/>
          <w:szCs w:val="26"/>
        </w:rPr>
        <w:lastRenderedPageBreak/>
        <w:t>Reference list</w:t>
      </w:r>
    </w:p>
    <w:p w14:paraId="0000001B" w14:textId="77777777" w:rsidR="006E1356" w:rsidRDefault="00000000">
      <w:pPr>
        <w:spacing w:after="240" w:line="360" w:lineRule="auto"/>
      </w:pPr>
      <w:r>
        <w:t xml:space="preserve">Adane, K., Gizachew, M. and Kendie, S. (2019). The Role of Medical Data in Efficient Patient Care Delivery: A Review. </w:t>
      </w:r>
      <w:r>
        <w:rPr>
          <w:i/>
        </w:rPr>
        <w:t>Risk Management and Healthcare Policy</w:t>
      </w:r>
      <w:r>
        <w:t xml:space="preserve">, [online] Volume 12(12), pp.67–73. </w:t>
      </w:r>
      <w:proofErr w:type="spellStart"/>
      <w:proofErr w:type="gramStart"/>
      <w:r>
        <w:t>doi:https</w:t>
      </w:r>
      <w:proofErr w:type="spellEnd"/>
      <w:r>
        <w:t>://doi.org/10.2147/rmhp.s179259</w:t>
      </w:r>
      <w:proofErr w:type="gramEnd"/>
      <w:r>
        <w:t>.</w:t>
      </w:r>
    </w:p>
    <w:p w14:paraId="0000001C" w14:textId="77777777" w:rsidR="006E1356" w:rsidRDefault="00000000">
      <w:pPr>
        <w:spacing w:after="240" w:line="360" w:lineRule="auto"/>
      </w:pPr>
      <w:r>
        <w:t xml:space="preserve">Altman, J.D., Miner, D.S., Lee, A.A., Asay, A.E., Nielson, B.U., Rose, A.M., Hinton, K. and Poole, B.D. (2023). Factors Affecting Vaccine Attitudes Influenced by the COVID-19 Pandemic. </w:t>
      </w:r>
      <w:r>
        <w:rPr>
          <w:i/>
        </w:rPr>
        <w:t>Vaccines</w:t>
      </w:r>
      <w:r>
        <w:t xml:space="preserve">, 11(3), p.516. </w:t>
      </w:r>
      <w:proofErr w:type="spellStart"/>
      <w:proofErr w:type="gramStart"/>
      <w:r>
        <w:t>doi:https</w:t>
      </w:r>
      <w:proofErr w:type="spellEnd"/>
      <w:r>
        <w:t>://doi.org/10.3390/vaccines11030516</w:t>
      </w:r>
      <w:proofErr w:type="gramEnd"/>
      <w:r>
        <w:t>.</w:t>
      </w:r>
    </w:p>
    <w:p w14:paraId="0000001D" w14:textId="77777777" w:rsidR="006E1356" w:rsidRDefault="00000000">
      <w:pPr>
        <w:spacing w:after="240" w:line="360" w:lineRule="auto"/>
      </w:pPr>
      <w:r>
        <w:t xml:space="preserve">Amirthalingam, G. and Ramsay, M. (2015). Should the UK introduce a universal childhood varicella vaccination programme? </w:t>
      </w:r>
      <w:r>
        <w:rPr>
          <w:i/>
        </w:rPr>
        <w:t>Archives of Disease in Childhood</w:t>
      </w:r>
      <w:r>
        <w:t xml:space="preserve">, 101(1), pp.2–3. </w:t>
      </w:r>
      <w:proofErr w:type="spellStart"/>
      <w:proofErr w:type="gramStart"/>
      <w:r>
        <w:t>doi:https</w:t>
      </w:r>
      <w:proofErr w:type="spellEnd"/>
      <w:r>
        <w:t>://doi.org/10.1136/archdischild-2015-308730</w:t>
      </w:r>
      <w:proofErr w:type="gramEnd"/>
      <w:r>
        <w:t>.</w:t>
      </w:r>
    </w:p>
    <w:p w14:paraId="0000001E" w14:textId="77777777" w:rsidR="006E1356" w:rsidRDefault="00000000">
      <w:pPr>
        <w:spacing w:line="360" w:lineRule="auto"/>
      </w:pPr>
      <w:r>
        <w:t xml:space="preserve">Murhekar, M.V. and Clapham, H., 2021. COVID-19 serosurveys for public health decision making. </w:t>
      </w:r>
      <w:r>
        <w:rPr>
          <w:i/>
        </w:rPr>
        <w:t>The Lancet Global Health</w:t>
      </w:r>
      <w:r>
        <w:t xml:space="preserve">, </w:t>
      </w:r>
      <w:r>
        <w:rPr>
          <w:i/>
        </w:rPr>
        <w:t>9</w:t>
      </w:r>
      <w:r>
        <w:t xml:space="preserve">(5), </w:t>
      </w:r>
      <w:proofErr w:type="gramStart"/>
      <w:r>
        <w:t>pp.e</w:t>
      </w:r>
      <w:proofErr w:type="gramEnd"/>
      <w:r>
        <w:t>559-e560.</w:t>
      </w:r>
    </w:p>
    <w:p w14:paraId="0000001F" w14:textId="77777777" w:rsidR="006E1356" w:rsidRDefault="00000000">
      <w:pPr>
        <w:spacing w:after="240" w:line="360" w:lineRule="auto"/>
      </w:pPr>
      <w:proofErr w:type="spellStart"/>
      <w:r>
        <w:t>Gastmeier</w:t>
      </w:r>
      <w:proofErr w:type="spellEnd"/>
      <w:r>
        <w:t xml:space="preserve">, P., </w:t>
      </w:r>
      <w:proofErr w:type="spellStart"/>
      <w:r>
        <w:t>Coignard</w:t>
      </w:r>
      <w:proofErr w:type="spellEnd"/>
      <w:r>
        <w:t xml:space="preserve">, B. and Horan, T.C. (2013). Surveillance for Healthcare-associated Infections. </w:t>
      </w:r>
      <w:r>
        <w:rPr>
          <w:i/>
        </w:rPr>
        <w:t>Infectious Disease Surveillance</w:t>
      </w:r>
      <w:r>
        <w:t xml:space="preserve">, pp.248–260. </w:t>
      </w:r>
      <w:proofErr w:type="spellStart"/>
      <w:proofErr w:type="gramStart"/>
      <w:r>
        <w:t>doi:https</w:t>
      </w:r>
      <w:proofErr w:type="spellEnd"/>
      <w:r>
        <w:t>://doi.org/10.1002/9781118543504.ch20</w:t>
      </w:r>
      <w:proofErr w:type="gramEnd"/>
      <w:r>
        <w:t>.</w:t>
      </w:r>
    </w:p>
    <w:p w14:paraId="00000020" w14:textId="77777777" w:rsidR="006E1356" w:rsidRDefault="00000000">
      <w:pPr>
        <w:spacing w:after="240" w:line="360" w:lineRule="auto"/>
      </w:pPr>
      <w:r>
        <w:t xml:space="preserve">Gilbert, R. and Cliffe, S.J. (2016). Public Health Surveillance. </w:t>
      </w:r>
      <w:r>
        <w:rPr>
          <w:i/>
        </w:rPr>
        <w:t>Public Health Intelligence</w:t>
      </w:r>
      <w:r>
        <w:t xml:space="preserve">, [online] pp.91–110. </w:t>
      </w:r>
      <w:proofErr w:type="spellStart"/>
      <w:proofErr w:type="gramStart"/>
      <w:r>
        <w:t>doi:https</w:t>
      </w:r>
      <w:proofErr w:type="spellEnd"/>
      <w:r>
        <w:t>://doi.org/10.1007/978-3-319-28326-5_5</w:t>
      </w:r>
      <w:proofErr w:type="gramEnd"/>
      <w:r>
        <w:t>.</w:t>
      </w:r>
    </w:p>
    <w:p w14:paraId="00000021" w14:textId="77777777" w:rsidR="006E1356" w:rsidRDefault="00000000">
      <w:pPr>
        <w:spacing w:after="240" w:line="360" w:lineRule="auto"/>
      </w:pPr>
      <w:proofErr w:type="spellStart"/>
      <w:r>
        <w:t>Hobbelen</w:t>
      </w:r>
      <w:proofErr w:type="spellEnd"/>
      <w:r>
        <w:t xml:space="preserve">, P.H.F., Stowe, J., Amirthalingam, G., Miller, L. and van Hoek, A.-J. (2016). The Burden of Hospitalisation for Varicella and Herpes Zoster in England from 2004 to 2013. </w:t>
      </w:r>
      <w:r>
        <w:rPr>
          <w:i/>
        </w:rPr>
        <w:t>The Journal of Infection</w:t>
      </w:r>
      <w:r>
        <w:t xml:space="preserve">, [online] 73(3), pp.241–253. </w:t>
      </w:r>
      <w:proofErr w:type="spellStart"/>
      <w:proofErr w:type="gramStart"/>
      <w:r>
        <w:t>doi:https</w:t>
      </w:r>
      <w:proofErr w:type="spellEnd"/>
      <w:r>
        <w:t>://doi.org/10.1016/j.jinf.2016.05.008</w:t>
      </w:r>
      <w:proofErr w:type="gramEnd"/>
      <w:r>
        <w:t>.</w:t>
      </w:r>
    </w:p>
    <w:p w14:paraId="00000022" w14:textId="77777777" w:rsidR="006E1356" w:rsidRDefault="00000000">
      <w:pPr>
        <w:spacing w:after="240" w:line="360" w:lineRule="auto"/>
      </w:pPr>
      <w:r>
        <w:t xml:space="preserve">Immunization Agenda, 2030 (2020). </w:t>
      </w:r>
      <w:r>
        <w:rPr>
          <w:i/>
        </w:rPr>
        <w:t>Global Strategy on Comprehensive Vaccine- Preventable Disease Surveillance</w:t>
      </w:r>
      <w:r>
        <w:t>. [online] Available at: https://cdn.who.int/media/docs/default-source/immunization/vpd_surveillance/bls20116-ia-global-strategy-english.pdf?sfvrsn=748c3e30_4&amp;download=true.</w:t>
      </w:r>
    </w:p>
    <w:p w14:paraId="00000023" w14:textId="77777777" w:rsidR="006E1356" w:rsidRDefault="00000000">
      <w:pPr>
        <w:spacing w:after="240" w:line="360" w:lineRule="auto"/>
      </w:pPr>
      <w:r>
        <w:t xml:space="preserve">King, J., Patel, V., </w:t>
      </w:r>
      <w:proofErr w:type="spellStart"/>
      <w:r>
        <w:t>Jamoom</w:t>
      </w:r>
      <w:proofErr w:type="spellEnd"/>
      <w:r>
        <w:t xml:space="preserve">, E. and DesRoches, C. (2016). The Role of Health IT and Delivery System Reform in Facilitating Advanced Care Delivery. </w:t>
      </w:r>
      <w:r>
        <w:rPr>
          <w:i/>
        </w:rPr>
        <w:t>The American Journal of Managed Care</w:t>
      </w:r>
      <w:r>
        <w:t>, [online] 22(4), pp.258–265. Available at: https://www.ncbi.nlm.nih.gov/pmc/articles/PMC4878450/.</w:t>
      </w:r>
    </w:p>
    <w:p w14:paraId="00000024" w14:textId="77777777" w:rsidR="006E1356" w:rsidRDefault="00000000">
      <w:pPr>
        <w:spacing w:after="240" w:line="360" w:lineRule="auto"/>
      </w:pPr>
      <w:r>
        <w:t xml:space="preserve">Murhekar, M.V. and Clapham, H. (2021). COVID-19 Serosurveys for Public Health Decision Making. </w:t>
      </w:r>
      <w:r>
        <w:rPr>
          <w:i/>
        </w:rPr>
        <w:t>The Lancet Global Health</w:t>
      </w:r>
      <w:r>
        <w:t xml:space="preserve">. </w:t>
      </w:r>
      <w:proofErr w:type="spellStart"/>
      <w:proofErr w:type="gramStart"/>
      <w:r>
        <w:t>doi:https</w:t>
      </w:r>
      <w:proofErr w:type="spellEnd"/>
      <w:r>
        <w:t>://doi.org/10.1016/s2214-109x(21)00057-7</w:t>
      </w:r>
      <w:proofErr w:type="gramEnd"/>
      <w:r>
        <w:t>.</w:t>
      </w:r>
    </w:p>
    <w:p w14:paraId="00000025" w14:textId="77777777" w:rsidR="006E1356" w:rsidRDefault="00000000">
      <w:pPr>
        <w:spacing w:after="240" w:line="360" w:lineRule="auto"/>
      </w:pPr>
      <w:proofErr w:type="spellStart"/>
      <w:r>
        <w:lastRenderedPageBreak/>
        <w:t>Papaloukas</w:t>
      </w:r>
      <w:proofErr w:type="spellEnd"/>
      <w:r>
        <w:t xml:space="preserve">, O., Giannouli, G. and </w:t>
      </w:r>
      <w:proofErr w:type="spellStart"/>
      <w:r>
        <w:t>Papaevangelou</w:t>
      </w:r>
      <w:proofErr w:type="spellEnd"/>
      <w:r>
        <w:t xml:space="preserve">, V. (2014). Successes and Challenges in Varicella Vaccine. </w:t>
      </w:r>
      <w:r>
        <w:rPr>
          <w:i/>
        </w:rPr>
        <w:t>Therapeutic Advances in Vaccines</w:t>
      </w:r>
      <w:r>
        <w:t xml:space="preserve">, 2(2), pp.39–55. </w:t>
      </w:r>
      <w:proofErr w:type="spellStart"/>
      <w:proofErr w:type="gramStart"/>
      <w:r>
        <w:t>doi:https</w:t>
      </w:r>
      <w:proofErr w:type="spellEnd"/>
      <w:r>
        <w:t>://doi.org/10.1177/2051013613515621</w:t>
      </w:r>
      <w:proofErr w:type="gramEnd"/>
      <w:r>
        <w:t>.</w:t>
      </w:r>
    </w:p>
    <w:p w14:paraId="00000026" w14:textId="77777777" w:rsidR="006E1356" w:rsidRDefault="00000000">
      <w:pPr>
        <w:spacing w:after="240" w:line="360" w:lineRule="auto"/>
      </w:pPr>
      <w:r>
        <w:t xml:space="preserve">Scozzari, G., Costa, C., Migliore, E., </w:t>
      </w:r>
      <w:proofErr w:type="spellStart"/>
      <w:r>
        <w:t>Coggiola</w:t>
      </w:r>
      <w:proofErr w:type="spellEnd"/>
      <w:r>
        <w:t xml:space="preserve">, M., Ciccone, G., Savio, L., </w:t>
      </w:r>
      <w:proofErr w:type="spellStart"/>
      <w:r>
        <w:t>Scarmozzino</w:t>
      </w:r>
      <w:proofErr w:type="spellEnd"/>
      <w:r>
        <w:t xml:space="preserve">, A., Pira, E., Cassoni, P., Galassi, C. and Cavallo, R., 2021. Prevalence, persistence, and factors associated with SARS-CoV-2 IgG seropositivity in a large cohort of healthcare workers in a tertiary care university hospital in northern Italy. </w:t>
      </w:r>
      <w:r>
        <w:rPr>
          <w:i/>
        </w:rPr>
        <w:t>Viruses</w:t>
      </w:r>
      <w:r>
        <w:t xml:space="preserve">, </w:t>
      </w:r>
      <w:r>
        <w:rPr>
          <w:i/>
        </w:rPr>
        <w:t>13</w:t>
      </w:r>
      <w:r>
        <w:t>(6), p.1064.</w:t>
      </w:r>
    </w:p>
    <w:p w14:paraId="00000027" w14:textId="77777777" w:rsidR="006E1356" w:rsidRDefault="00000000">
      <w:pPr>
        <w:spacing w:after="240" w:line="360" w:lineRule="auto"/>
      </w:pPr>
      <w:r>
        <w:t xml:space="preserve">Tenny, S. and Boktor, S.W. (2022). </w:t>
      </w:r>
      <w:r>
        <w:rPr>
          <w:i/>
        </w:rPr>
        <w:t>Incidence</w:t>
      </w:r>
      <w:r>
        <w:t>. [online] PubMed. Available at: https://www.ncbi.nlm.nih.gov/books/NBK430746/#_NBK430746_pubdet_.</w:t>
      </w:r>
    </w:p>
    <w:p w14:paraId="00000028" w14:textId="77777777" w:rsidR="006E1356" w:rsidRDefault="00000000">
      <w:pPr>
        <w:spacing w:after="240" w:line="360" w:lineRule="auto"/>
      </w:pPr>
      <w:r>
        <w:t xml:space="preserve">Tomas, N. and </w:t>
      </w:r>
      <w:proofErr w:type="spellStart"/>
      <w:r>
        <w:t>Kampanza</w:t>
      </w:r>
      <w:proofErr w:type="spellEnd"/>
      <w:r>
        <w:t xml:space="preserve">, F. (2022). Awareness of Varicella-Zoster Virus among Undergraduate Students at the University of Namibia. </w:t>
      </w:r>
      <w:r>
        <w:rPr>
          <w:i/>
        </w:rPr>
        <w:t>Journal of Public Health in Africa</w:t>
      </w:r>
      <w:r>
        <w:t xml:space="preserve">, 13(2). </w:t>
      </w:r>
      <w:proofErr w:type="spellStart"/>
      <w:proofErr w:type="gramStart"/>
      <w:r>
        <w:t>doi:https</w:t>
      </w:r>
      <w:proofErr w:type="spellEnd"/>
      <w:r>
        <w:t>://doi.org/10.4081/jphia.2022.1923</w:t>
      </w:r>
      <w:proofErr w:type="gramEnd"/>
      <w:r>
        <w:t>.</w:t>
      </w:r>
    </w:p>
    <w:p w14:paraId="00000029" w14:textId="77777777" w:rsidR="006E1356" w:rsidRDefault="00000000">
      <w:pPr>
        <w:spacing w:after="240" w:line="360" w:lineRule="auto"/>
      </w:pPr>
      <w:r>
        <w:t xml:space="preserve">Tulchinsky, T.H. and </w:t>
      </w:r>
      <w:proofErr w:type="spellStart"/>
      <w:r>
        <w:t>Varavikova</w:t>
      </w:r>
      <w:proofErr w:type="spellEnd"/>
      <w:r>
        <w:t xml:space="preserve">, E.A. (2014). Measuring, Monitoring, and Evaluating the Health of a Population. </w:t>
      </w:r>
      <w:r>
        <w:rPr>
          <w:i/>
        </w:rPr>
        <w:t>The New Public Health</w:t>
      </w:r>
      <w:r>
        <w:t xml:space="preserve">, [online] pp.91–147. </w:t>
      </w:r>
      <w:proofErr w:type="spellStart"/>
      <w:proofErr w:type="gramStart"/>
      <w:r>
        <w:t>doi:https</w:t>
      </w:r>
      <w:proofErr w:type="spellEnd"/>
      <w:r>
        <w:t>://doi.org/10.1016/b978-0-12-415766-8.00003-3</w:t>
      </w:r>
      <w:proofErr w:type="gramEnd"/>
      <w:r>
        <w:t>.</w:t>
      </w:r>
    </w:p>
    <w:p w14:paraId="0000002A" w14:textId="77777777" w:rsidR="006E1356" w:rsidRDefault="00000000">
      <w:pPr>
        <w:spacing w:after="240" w:line="360" w:lineRule="auto"/>
      </w:pPr>
      <w:r>
        <w:t xml:space="preserve">van Hoek, A.J., </w:t>
      </w:r>
      <w:proofErr w:type="spellStart"/>
      <w:r>
        <w:t>Melegaro</w:t>
      </w:r>
      <w:proofErr w:type="spellEnd"/>
      <w:r>
        <w:t xml:space="preserve">, A., Gay, N., </w:t>
      </w:r>
      <w:proofErr w:type="spellStart"/>
      <w:r>
        <w:t>Bilcke</w:t>
      </w:r>
      <w:proofErr w:type="spellEnd"/>
      <w:r>
        <w:t xml:space="preserve">, J. and Edmunds, W.J. (2012). The cost-effectiveness of Varicella and Combined Varicella and Herpes Zoster Vaccination Programmes in the United Kingdom. </w:t>
      </w:r>
      <w:r>
        <w:rPr>
          <w:i/>
        </w:rPr>
        <w:t>Vaccine</w:t>
      </w:r>
      <w:r>
        <w:t xml:space="preserve">, 30(6), pp.1225–1234. </w:t>
      </w:r>
      <w:proofErr w:type="spellStart"/>
      <w:proofErr w:type="gramStart"/>
      <w:r>
        <w:t>doi:https</w:t>
      </w:r>
      <w:proofErr w:type="spellEnd"/>
      <w:r>
        <w:t>://doi.org/10.1016/j.vaccine.2011.11.026</w:t>
      </w:r>
      <w:proofErr w:type="gramEnd"/>
      <w:r>
        <w:t>.</w:t>
      </w:r>
    </w:p>
    <w:p w14:paraId="0000002B" w14:textId="77777777" w:rsidR="006E1356" w:rsidRDefault="006E1356">
      <w:pPr>
        <w:spacing w:line="360" w:lineRule="auto"/>
      </w:pPr>
    </w:p>
    <w:p w14:paraId="0000002C" w14:textId="77777777" w:rsidR="006E1356" w:rsidRDefault="006E1356">
      <w:pPr>
        <w:spacing w:line="360" w:lineRule="auto"/>
      </w:pPr>
    </w:p>
    <w:p w14:paraId="0000002D" w14:textId="3D0CCE18" w:rsidR="00EB4D5E" w:rsidRDefault="00EB4D5E">
      <w:r>
        <w:br w:type="page"/>
      </w:r>
    </w:p>
    <w:p w14:paraId="2F4B4E1B" w14:textId="263331DE" w:rsidR="006E1356" w:rsidRDefault="00EB4D5E">
      <w:pPr>
        <w:spacing w:line="360" w:lineRule="auto"/>
      </w:pPr>
      <w:r>
        <w:lastRenderedPageBreak/>
        <w:t>APPENDIX</w:t>
      </w:r>
    </w:p>
    <w:p w14:paraId="2A9EF880" w14:textId="77777777" w:rsidR="00EB4D5E" w:rsidRDefault="00EB4D5E">
      <w:pPr>
        <w:spacing w:line="360" w:lineRule="auto"/>
      </w:pPr>
    </w:p>
    <w:p w14:paraId="0000002E" w14:textId="53031B08" w:rsidR="006E1356" w:rsidRDefault="0001663A">
      <w:pPr>
        <w:spacing w:line="360" w:lineRule="auto"/>
      </w:pPr>
      <w:r>
        <w:rPr>
          <w:noProof/>
        </w:rPr>
        <w:drawing>
          <wp:inline distT="0" distB="0" distL="0" distR="0" wp14:anchorId="4B553A6E" wp14:editId="3D19CAC2">
            <wp:extent cx="5733415" cy="3225165"/>
            <wp:effectExtent l="0" t="0" r="635" b="0"/>
            <wp:docPr id="520255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55075" name="Picture 520255075"/>
                    <pic:cNvPicPr/>
                  </pic:nvPicPr>
                  <pic:blipFill>
                    <a:blip r:embed="rId7">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796C157A" wp14:editId="6CF0DD42">
            <wp:extent cx="5733415" cy="3225165"/>
            <wp:effectExtent l="0" t="0" r="635" b="0"/>
            <wp:docPr id="401300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300211" name="Picture 401300211"/>
                    <pic:cNvPicPr/>
                  </pic:nvPicPr>
                  <pic:blipFill>
                    <a:blip r:embed="rId8">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lastRenderedPageBreak/>
        <w:drawing>
          <wp:inline distT="0" distB="0" distL="0" distR="0" wp14:anchorId="4597761D" wp14:editId="149A90E2">
            <wp:extent cx="5733415" cy="3225165"/>
            <wp:effectExtent l="0" t="0" r="635" b="0"/>
            <wp:docPr id="13219505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50522" name="Picture 1321950522"/>
                    <pic:cNvPicPr/>
                  </pic:nvPicPr>
                  <pic:blipFill>
                    <a:blip r:embed="rId9">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3A4A30FF" wp14:editId="1D2AC8DB">
            <wp:extent cx="5733415" cy="3225165"/>
            <wp:effectExtent l="0" t="0" r="635" b="0"/>
            <wp:docPr id="15484701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70122" name="Picture 1548470122"/>
                    <pic:cNvPicPr/>
                  </pic:nvPicPr>
                  <pic:blipFill>
                    <a:blip r:embed="rId10">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lastRenderedPageBreak/>
        <w:drawing>
          <wp:inline distT="0" distB="0" distL="0" distR="0" wp14:anchorId="22821F42" wp14:editId="724F3006">
            <wp:extent cx="5733415" cy="3225165"/>
            <wp:effectExtent l="0" t="0" r="635" b="0"/>
            <wp:docPr id="20779069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06956" name="Picture 2077906956"/>
                    <pic:cNvPicPr/>
                  </pic:nvPicPr>
                  <pic:blipFill>
                    <a:blip r:embed="rId11">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401F83F4" wp14:editId="02B86415">
            <wp:extent cx="5733415" cy="3225165"/>
            <wp:effectExtent l="0" t="0" r="635" b="0"/>
            <wp:docPr id="14494956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95609" name="Picture 1449495609"/>
                    <pic:cNvPicPr/>
                  </pic:nvPicPr>
                  <pic:blipFill>
                    <a:blip r:embed="rId12">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lastRenderedPageBreak/>
        <w:drawing>
          <wp:inline distT="0" distB="0" distL="0" distR="0" wp14:anchorId="36411DD9" wp14:editId="28C8EBD3">
            <wp:extent cx="5733415" cy="3225165"/>
            <wp:effectExtent l="0" t="0" r="635" b="0"/>
            <wp:docPr id="17401322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32285" name="Picture 1740132285"/>
                    <pic:cNvPicPr/>
                  </pic:nvPicPr>
                  <pic:blipFill>
                    <a:blip r:embed="rId13">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63BBBBD0" wp14:editId="4062FBF8">
            <wp:extent cx="5733415" cy="3225165"/>
            <wp:effectExtent l="0" t="0" r="635" b="0"/>
            <wp:docPr id="12637537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53729" name="Picture 1263753729"/>
                    <pic:cNvPicPr/>
                  </pic:nvPicPr>
                  <pic:blipFill>
                    <a:blip r:embed="rId14">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lastRenderedPageBreak/>
        <w:drawing>
          <wp:inline distT="0" distB="0" distL="0" distR="0" wp14:anchorId="5E08CC71" wp14:editId="4DAE99B0">
            <wp:extent cx="5733415" cy="3225165"/>
            <wp:effectExtent l="0" t="0" r="635" b="0"/>
            <wp:docPr id="1716867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6769" name="Picture 171686769"/>
                    <pic:cNvPicPr/>
                  </pic:nvPicPr>
                  <pic:blipFill>
                    <a:blip r:embed="rId15">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7DF3008D" wp14:editId="569AFD96">
            <wp:extent cx="5733415" cy="3225165"/>
            <wp:effectExtent l="0" t="0" r="635" b="0"/>
            <wp:docPr id="1448745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4529" name="Picture 144874529"/>
                    <pic:cNvPicPr/>
                  </pic:nvPicPr>
                  <pic:blipFill>
                    <a:blip r:embed="rId16">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rPr>
        <w:lastRenderedPageBreak/>
        <w:drawing>
          <wp:inline distT="0" distB="0" distL="0" distR="0" wp14:anchorId="3930EC88" wp14:editId="64DAF7CF">
            <wp:extent cx="5733415" cy="3225165"/>
            <wp:effectExtent l="0" t="0" r="635" b="0"/>
            <wp:docPr id="18774565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56553" name="Picture 1877456553"/>
                    <pic:cNvPicPr/>
                  </pic:nvPicPr>
                  <pic:blipFill>
                    <a:blip r:embed="rId17">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p>
    <w:p w14:paraId="0000002F" w14:textId="77777777" w:rsidR="006E1356" w:rsidRDefault="006E1356">
      <w:pPr>
        <w:spacing w:line="360" w:lineRule="auto"/>
      </w:pPr>
    </w:p>
    <w:sectPr w:rsidR="006E135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C6194" w14:textId="77777777" w:rsidR="009D5072" w:rsidRDefault="009D5072" w:rsidP="00594D03">
      <w:pPr>
        <w:spacing w:line="240" w:lineRule="auto"/>
      </w:pPr>
      <w:r>
        <w:separator/>
      </w:r>
    </w:p>
  </w:endnote>
  <w:endnote w:type="continuationSeparator" w:id="0">
    <w:p w14:paraId="79822472" w14:textId="77777777" w:rsidR="009D5072" w:rsidRDefault="009D5072" w:rsidP="00594D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1FB8" w14:textId="77777777" w:rsidR="009D5072" w:rsidRDefault="009D5072" w:rsidP="00594D03">
      <w:pPr>
        <w:spacing w:line="240" w:lineRule="auto"/>
      </w:pPr>
      <w:r>
        <w:separator/>
      </w:r>
    </w:p>
  </w:footnote>
  <w:footnote w:type="continuationSeparator" w:id="0">
    <w:p w14:paraId="44CE4B6C" w14:textId="77777777" w:rsidR="009D5072" w:rsidRDefault="009D5072" w:rsidP="00594D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06835"/>
    <w:multiLevelType w:val="hybridMultilevel"/>
    <w:tmpl w:val="0456BDC6"/>
    <w:lvl w:ilvl="0" w:tplc="E9F2A7C6">
      <w:start w:val="1"/>
      <w:numFmt w:val="bullet"/>
      <w:lvlText w:val="•"/>
      <w:lvlJc w:val="left"/>
      <w:pPr>
        <w:ind w:left="4288"/>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1" w:tplc="D0DAF100">
      <w:start w:val="1"/>
      <w:numFmt w:val="bullet"/>
      <w:lvlText w:val="o"/>
      <w:lvlJc w:val="left"/>
      <w:pPr>
        <w:ind w:left="268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2" w:tplc="2C90FFA2">
      <w:start w:val="1"/>
      <w:numFmt w:val="bullet"/>
      <w:lvlText w:val="▪"/>
      <w:lvlJc w:val="left"/>
      <w:pPr>
        <w:ind w:left="340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3" w:tplc="AF086B96">
      <w:start w:val="1"/>
      <w:numFmt w:val="bullet"/>
      <w:lvlText w:val="•"/>
      <w:lvlJc w:val="left"/>
      <w:pPr>
        <w:ind w:left="412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4" w:tplc="E3F24194">
      <w:start w:val="1"/>
      <w:numFmt w:val="bullet"/>
      <w:lvlText w:val="o"/>
      <w:lvlJc w:val="left"/>
      <w:pPr>
        <w:ind w:left="484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5" w:tplc="42644D10">
      <w:start w:val="1"/>
      <w:numFmt w:val="bullet"/>
      <w:lvlText w:val="▪"/>
      <w:lvlJc w:val="left"/>
      <w:pPr>
        <w:ind w:left="556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6" w:tplc="F16C85F6">
      <w:start w:val="1"/>
      <w:numFmt w:val="bullet"/>
      <w:lvlText w:val="•"/>
      <w:lvlJc w:val="left"/>
      <w:pPr>
        <w:ind w:left="628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7" w:tplc="A0685D9E">
      <w:start w:val="1"/>
      <w:numFmt w:val="bullet"/>
      <w:lvlText w:val="o"/>
      <w:lvlJc w:val="left"/>
      <w:pPr>
        <w:ind w:left="700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8" w:tplc="E398E436">
      <w:start w:val="1"/>
      <w:numFmt w:val="bullet"/>
      <w:lvlText w:val="▪"/>
      <w:lvlJc w:val="left"/>
      <w:pPr>
        <w:ind w:left="7724"/>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abstractNum>
  <w:abstractNum w:abstractNumId="1" w15:restartNumberingAfterBreak="0">
    <w:nsid w:val="3BA01E84"/>
    <w:multiLevelType w:val="hybridMultilevel"/>
    <w:tmpl w:val="D722C350"/>
    <w:lvl w:ilvl="0" w:tplc="5F4E939A">
      <w:start w:val="1"/>
      <w:numFmt w:val="bullet"/>
      <w:lvlText w:val="•"/>
      <w:lvlJc w:val="left"/>
      <w:pPr>
        <w:ind w:left="54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1" w:tplc="2574167A">
      <w:start w:val="1"/>
      <w:numFmt w:val="bullet"/>
      <w:lvlText w:val="o"/>
      <w:lvlJc w:val="left"/>
      <w:pPr>
        <w:ind w:left="108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2" w:tplc="A19EB232">
      <w:start w:val="1"/>
      <w:numFmt w:val="bullet"/>
      <w:lvlText w:val="▪"/>
      <w:lvlJc w:val="left"/>
      <w:pPr>
        <w:ind w:left="180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3" w:tplc="D60AC514">
      <w:start w:val="1"/>
      <w:numFmt w:val="bullet"/>
      <w:lvlText w:val="•"/>
      <w:lvlJc w:val="left"/>
      <w:pPr>
        <w:ind w:left="252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4" w:tplc="3D2E6A5A">
      <w:start w:val="1"/>
      <w:numFmt w:val="bullet"/>
      <w:lvlText w:val="o"/>
      <w:lvlJc w:val="left"/>
      <w:pPr>
        <w:ind w:left="324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5" w:tplc="99388732">
      <w:start w:val="1"/>
      <w:numFmt w:val="bullet"/>
      <w:lvlText w:val="▪"/>
      <w:lvlJc w:val="left"/>
      <w:pPr>
        <w:ind w:left="396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6" w:tplc="07C444F0">
      <w:start w:val="1"/>
      <w:numFmt w:val="bullet"/>
      <w:lvlText w:val="•"/>
      <w:lvlJc w:val="left"/>
      <w:pPr>
        <w:ind w:left="468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7" w:tplc="0BA8693E">
      <w:start w:val="1"/>
      <w:numFmt w:val="bullet"/>
      <w:lvlText w:val="o"/>
      <w:lvlJc w:val="left"/>
      <w:pPr>
        <w:ind w:left="540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8" w:tplc="FC54C29A">
      <w:start w:val="1"/>
      <w:numFmt w:val="bullet"/>
      <w:lvlText w:val="▪"/>
      <w:lvlJc w:val="left"/>
      <w:pPr>
        <w:ind w:left="612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abstractNum>
  <w:abstractNum w:abstractNumId="2" w15:restartNumberingAfterBreak="0">
    <w:nsid w:val="4346233A"/>
    <w:multiLevelType w:val="hybridMultilevel"/>
    <w:tmpl w:val="66D2FA2A"/>
    <w:lvl w:ilvl="0" w:tplc="B0E025E2">
      <w:start w:val="1"/>
      <w:numFmt w:val="bullet"/>
      <w:lvlText w:val="•"/>
      <w:lvlJc w:val="left"/>
      <w:pPr>
        <w:ind w:left="1586"/>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1" w:tplc="A8EA9F2C">
      <w:start w:val="1"/>
      <w:numFmt w:val="bullet"/>
      <w:lvlText w:val="o"/>
      <w:lvlJc w:val="left"/>
      <w:pPr>
        <w:ind w:left="108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2" w:tplc="D70EF368">
      <w:start w:val="1"/>
      <w:numFmt w:val="bullet"/>
      <w:lvlText w:val="▪"/>
      <w:lvlJc w:val="left"/>
      <w:pPr>
        <w:ind w:left="180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3" w:tplc="A3A2251E">
      <w:start w:val="1"/>
      <w:numFmt w:val="bullet"/>
      <w:lvlText w:val="•"/>
      <w:lvlJc w:val="left"/>
      <w:pPr>
        <w:ind w:left="252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4" w:tplc="6562C82A">
      <w:start w:val="1"/>
      <w:numFmt w:val="bullet"/>
      <w:lvlText w:val="o"/>
      <w:lvlJc w:val="left"/>
      <w:pPr>
        <w:ind w:left="324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5" w:tplc="A608F2FC">
      <w:start w:val="1"/>
      <w:numFmt w:val="bullet"/>
      <w:lvlText w:val="▪"/>
      <w:lvlJc w:val="left"/>
      <w:pPr>
        <w:ind w:left="396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6" w:tplc="66789C0C">
      <w:start w:val="1"/>
      <w:numFmt w:val="bullet"/>
      <w:lvlText w:val="•"/>
      <w:lvlJc w:val="left"/>
      <w:pPr>
        <w:ind w:left="468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7" w:tplc="17824690">
      <w:start w:val="1"/>
      <w:numFmt w:val="bullet"/>
      <w:lvlText w:val="o"/>
      <w:lvlJc w:val="left"/>
      <w:pPr>
        <w:ind w:left="540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8" w:tplc="6DB66934">
      <w:start w:val="1"/>
      <w:numFmt w:val="bullet"/>
      <w:lvlText w:val="▪"/>
      <w:lvlJc w:val="left"/>
      <w:pPr>
        <w:ind w:left="612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abstractNum>
  <w:abstractNum w:abstractNumId="3" w15:restartNumberingAfterBreak="0">
    <w:nsid w:val="6D3C631C"/>
    <w:multiLevelType w:val="hybridMultilevel"/>
    <w:tmpl w:val="EB8E3196"/>
    <w:lvl w:ilvl="0" w:tplc="A224B098">
      <w:start w:val="1"/>
      <w:numFmt w:val="bullet"/>
      <w:lvlText w:val="•"/>
      <w:lvlJc w:val="left"/>
      <w:pPr>
        <w:ind w:left="135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1" w:tplc="65C6D2FE">
      <w:start w:val="1"/>
      <w:numFmt w:val="bullet"/>
      <w:lvlText w:val="o"/>
      <w:lvlJc w:val="left"/>
      <w:pPr>
        <w:ind w:left="108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2" w:tplc="DF401C4A">
      <w:start w:val="1"/>
      <w:numFmt w:val="bullet"/>
      <w:lvlText w:val="▪"/>
      <w:lvlJc w:val="left"/>
      <w:pPr>
        <w:ind w:left="180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3" w:tplc="8C9CC8E0">
      <w:start w:val="1"/>
      <w:numFmt w:val="bullet"/>
      <w:lvlText w:val="•"/>
      <w:lvlJc w:val="left"/>
      <w:pPr>
        <w:ind w:left="252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4" w:tplc="E0AEF5C8">
      <w:start w:val="1"/>
      <w:numFmt w:val="bullet"/>
      <w:lvlText w:val="o"/>
      <w:lvlJc w:val="left"/>
      <w:pPr>
        <w:ind w:left="324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5" w:tplc="A0903014">
      <w:start w:val="1"/>
      <w:numFmt w:val="bullet"/>
      <w:lvlText w:val="▪"/>
      <w:lvlJc w:val="left"/>
      <w:pPr>
        <w:ind w:left="396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6" w:tplc="C40487BE">
      <w:start w:val="1"/>
      <w:numFmt w:val="bullet"/>
      <w:lvlText w:val="•"/>
      <w:lvlJc w:val="left"/>
      <w:pPr>
        <w:ind w:left="468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7" w:tplc="EEA2802C">
      <w:start w:val="1"/>
      <w:numFmt w:val="bullet"/>
      <w:lvlText w:val="o"/>
      <w:lvlJc w:val="left"/>
      <w:pPr>
        <w:ind w:left="540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lvl w:ilvl="8" w:tplc="92DC82CA">
      <w:start w:val="1"/>
      <w:numFmt w:val="bullet"/>
      <w:lvlText w:val="▪"/>
      <w:lvlJc w:val="left"/>
      <w:pPr>
        <w:ind w:left="6120"/>
      </w:pPr>
      <w:rPr>
        <w:rFonts w:ascii="Arial" w:eastAsia="Arial" w:hAnsi="Arial" w:cs="Arial"/>
        <w:b w:val="0"/>
        <w:i w:val="0"/>
        <w:strike w:val="0"/>
        <w:dstrike w:val="0"/>
        <w:color w:val="1F2C8F"/>
        <w:sz w:val="48"/>
        <w:szCs w:val="48"/>
        <w:u w:val="none" w:color="000000"/>
        <w:bdr w:val="none" w:sz="0" w:space="0" w:color="auto"/>
        <w:shd w:val="clear" w:color="auto" w:fill="auto"/>
        <w:vertAlign w:val="baseline"/>
      </w:rPr>
    </w:lvl>
  </w:abstractNum>
  <w:num w:numId="1" w16cid:durableId="120417984">
    <w:abstractNumId w:val="0"/>
  </w:num>
  <w:num w:numId="2" w16cid:durableId="393238857">
    <w:abstractNumId w:val="3"/>
  </w:num>
  <w:num w:numId="3" w16cid:durableId="357050330">
    <w:abstractNumId w:val="2"/>
  </w:num>
  <w:num w:numId="4" w16cid:durableId="166484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356"/>
    <w:rsid w:val="0001663A"/>
    <w:rsid w:val="00321216"/>
    <w:rsid w:val="003666A0"/>
    <w:rsid w:val="00544F08"/>
    <w:rsid w:val="00594D03"/>
    <w:rsid w:val="006E1356"/>
    <w:rsid w:val="009329BF"/>
    <w:rsid w:val="009D5072"/>
    <w:rsid w:val="00EB4D5E"/>
    <w:rsid w:val="00FB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8A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paragraph">
    <w:name w:val="paragraph"/>
    <w:basedOn w:val="Normal"/>
    <w:rsid w:val="003212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21216"/>
  </w:style>
  <w:style w:type="character" w:customStyle="1" w:styleId="eop">
    <w:name w:val="eop"/>
    <w:basedOn w:val="DefaultParagraphFont"/>
    <w:rsid w:val="00321216"/>
  </w:style>
  <w:style w:type="paragraph" w:styleId="Header">
    <w:name w:val="header"/>
    <w:basedOn w:val="Normal"/>
    <w:link w:val="HeaderChar"/>
    <w:uiPriority w:val="99"/>
    <w:unhideWhenUsed/>
    <w:rsid w:val="00594D03"/>
    <w:pPr>
      <w:tabs>
        <w:tab w:val="center" w:pos="4513"/>
        <w:tab w:val="right" w:pos="9026"/>
      </w:tabs>
      <w:spacing w:line="240" w:lineRule="auto"/>
    </w:pPr>
  </w:style>
  <w:style w:type="character" w:customStyle="1" w:styleId="HeaderChar">
    <w:name w:val="Header Char"/>
    <w:basedOn w:val="DefaultParagraphFont"/>
    <w:link w:val="Header"/>
    <w:uiPriority w:val="99"/>
    <w:rsid w:val="00594D03"/>
  </w:style>
  <w:style w:type="paragraph" w:styleId="Footer">
    <w:name w:val="footer"/>
    <w:basedOn w:val="Normal"/>
    <w:link w:val="FooterChar"/>
    <w:uiPriority w:val="99"/>
    <w:unhideWhenUsed/>
    <w:rsid w:val="00594D03"/>
    <w:pPr>
      <w:tabs>
        <w:tab w:val="center" w:pos="4513"/>
        <w:tab w:val="right" w:pos="9026"/>
      </w:tabs>
      <w:spacing w:line="240" w:lineRule="auto"/>
    </w:pPr>
  </w:style>
  <w:style w:type="character" w:customStyle="1" w:styleId="FooterChar">
    <w:name w:val="Footer Char"/>
    <w:basedOn w:val="DefaultParagraphFont"/>
    <w:link w:val="Footer"/>
    <w:uiPriority w:val="99"/>
    <w:rsid w:val="00594D03"/>
  </w:style>
  <w:style w:type="character" w:customStyle="1" w:styleId="Heading1Char">
    <w:name w:val="Heading 1 Char"/>
    <w:link w:val="Heading1"/>
    <w:uiPriority w:val="9"/>
    <w:rsid w:val="003666A0"/>
    <w:rPr>
      <w:sz w:val="40"/>
      <w:szCs w:val="40"/>
    </w:rPr>
  </w:style>
  <w:style w:type="character" w:customStyle="1" w:styleId="Heading2Char">
    <w:name w:val="Heading 2 Char"/>
    <w:link w:val="Heading2"/>
    <w:uiPriority w:val="9"/>
    <w:rsid w:val="003666A0"/>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1595</Words>
  <Characters>9095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2023-05-22T21:41:00Z</dcterms:created>
  <dcterms:modified xsi:type="dcterms:W3CDTF">2023-08-30T14:14:00Z</dcterms:modified>
</cp:coreProperties>
</file>