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09366A"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721FC986" wp14:editId="4882FD56">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880984" cy="1133855"/>
                    </a:xfrm>
                    <a:prstGeom prst="rect">
                      <a:avLst/>
                    </a:prstGeom>
                  </pic:spPr>
                </pic:pic>
              </a:graphicData>
            </a:graphic>
          </wp:inline>
        </w:drawing>
      </w:r>
    </w:p>
    <w:p w14:paraId="63792BD1" w14:textId="77777777" w:rsidR="00C93C3A" w:rsidRDefault="00C93C3A">
      <w:pPr>
        <w:pStyle w:val="BodyText"/>
        <w:rPr>
          <w:rFonts w:ascii="Times New Roman"/>
          <w:sz w:val="20"/>
        </w:rPr>
      </w:pPr>
    </w:p>
    <w:p w14:paraId="3A92CA51" w14:textId="77777777" w:rsidR="00C93C3A" w:rsidRDefault="00C93C3A">
      <w:pPr>
        <w:pStyle w:val="BodyText"/>
        <w:rPr>
          <w:rFonts w:ascii="Times New Roman"/>
          <w:sz w:val="20"/>
        </w:rPr>
      </w:pPr>
    </w:p>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336BE5BD" w14:textId="77777777" w:rsidR="005A6E02" w:rsidRDefault="005A6E02" w:rsidP="001D7BC5">
      <w:pPr>
        <w:spacing w:line="1342" w:lineRule="exact"/>
        <w:jc w:val="center"/>
        <w:rPr>
          <w:rFonts w:asciiTheme="minorHAnsi" w:hAnsiTheme="minorHAnsi" w:cstheme="minorHAnsi"/>
          <w:sz w:val="110"/>
        </w:rPr>
      </w:pPr>
    </w:p>
    <w:p w14:paraId="7599095F" w14:textId="222D72E5" w:rsidR="005A6E02" w:rsidRPr="00D759DB" w:rsidRDefault="005A6E02" w:rsidP="00D759DB">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B</w:t>
      </w:r>
      <w:r w:rsidR="00D665AB">
        <w:rPr>
          <w:rFonts w:asciiTheme="minorHAnsi" w:hAnsiTheme="minorHAnsi" w:cstheme="minorHAnsi"/>
          <w:b/>
          <w:bCs/>
          <w:sz w:val="40"/>
          <w:szCs w:val="40"/>
        </w:rPr>
        <w:t>MNS4008</w:t>
      </w:r>
    </w:p>
    <w:p w14:paraId="0CD65B23" w14:textId="40902D8C" w:rsidR="00D759DB" w:rsidRDefault="00D665AB" w:rsidP="002D2E30">
      <w:pPr>
        <w:spacing w:line="360" w:lineRule="auto"/>
        <w:jc w:val="center"/>
        <w:rPr>
          <w:rFonts w:asciiTheme="minorHAnsi" w:hAnsiTheme="minorHAnsi" w:cstheme="minorHAnsi"/>
          <w:b/>
          <w:bCs/>
          <w:sz w:val="40"/>
          <w:szCs w:val="40"/>
        </w:rPr>
      </w:pPr>
      <w:r>
        <w:rPr>
          <w:rFonts w:asciiTheme="minorHAnsi" w:hAnsiTheme="minorHAnsi" w:cstheme="minorHAnsi"/>
          <w:b/>
          <w:bCs/>
          <w:sz w:val="40"/>
          <w:szCs w:val="40"/>
        </w:rPr>
        <w:t>Managing Organisations in Nursing</w:t>
      </w:r>
    </w:p>
    <w:p w14:paraId="763037F6" w14:textId="77777777" w:rsidR="00D665AB" w:rsidRPr="002D2E30" w:rsidRDefault="00D665AB" w:rsidP="002D2E30">
      <w:pPr>
        <w:spacing w:line="360" w:lineRule="auto"/>
        <w:jc w:val="center"/>
        <w:rPr>
          <w:rFonts w:asciiTheme="minorHAnsi" w:hAnsiTheme="minorHAnsi" w:cstheme="minorHAnsi"/>
          <w:b/>
          <w:bCs/>
          <w:sz w:val="40"/>
          <w:szCs w:val="40"/>
        </w:rPr>
      </w:pPr>
    </w:p>
    <w:p w14:paraId="601107AE" w14:textId="438B927A" w:rsidR="008505E7" w:rsidRPr="008505E7" w:rsidRDefault="00D665AB" w:rsidP="008505E7">
      <w:pPr>
        <w:spacing w:line="1342" w:lineRule="exact"/>
        <w:jc w:val="center"/>
        <w:rPr>
          <w:rFonts w:asciiTheme="minorHAnsi" w:hAnsiTheme="minorHAnsi" w:cstheme="minorHAnsi"/>
          <w:sz w:val="40"/>
          <w:szCs w:val="40"/>
        </w:rPr>
      </w:pPr>
      <w:r w:rsidRPr="008505E7">
        <w:rPr>
          <w:rFonts w:asciiTheme="minorHAnsi" w:hAnsiTheme="minorHAnsi" w:cstheme="minorHAnsi"/>
          <w:sz w:val="40"/>
          <w:szCs w:val="40"/>
        </w:rPr>
        <w:t xml:space="preserve">Event </w:t>
      </w:r>
      <w:r w:rsidR="009A3C88" w:rsidRPr="008505E7">
        <w:rPr>
          <w:rFonts w:asciiTheme="minorHAnsi" w:hAnsiTheme="minorHAnsi" w:cstheme="minorHAnsi"/>
          <w:sz w:val="40"/>
          <w:szCs w:val="40"/>
        </w:rPr>
        <w:t xml:space="preserve">Risk </w:t>
      </w:r>
      <w:r w:rsidRPr="008505E7">
        <w:rPr>
          <w:rFonts w:asciiTheme="minorHAnsi" w:hAnsiTheme="minorHAnsi" w:cstheme="minorHAnsi"/>
          <w:sz w:val="40"/>
          <w:szCs w:val="40"/>
        </w:rPr>
        <w:t>Management</w:t>
      </w:r>
    </w:p>
    <w:p w14:paraId="7FBFAB07" w14:textId="711A2F80" w:rsidR="008505E7" w:rsidRDefault="008505E7" w:rsidP="008505E7">
      <w:pPr>
        <w:spacing w:line="1342" w:lineRule="exact"/>
        <w:rPr>
          <w:rFonts w:asciiTheme="minorHAnsi" w:hAnsiTheme="minorHAnsi" w:cstheme="minorHAnsi"/>
          <w:sz w:val="48"/>
          <w:szCs w:val="48"/>
        </w:rPr>
      </w:pPr>
      <w:r>
        <w:rPr>
          <w:rFonts w:asciiTheme="minorHAnsi" w:hAnsiTheme="minorHAnsi" w:cstheme="minorHAnsi"/>
          <w:sz w:val="48"/>
          <w:szCs w:val="48"/>
        </w:rPr>
        <w:t xml:space="preserve">                 Student name: Camelia Golgozeanu</w:t>
      </w:r>
    </w:p>
    <w:p w14:paraId="0381CBE4" w14:textId="1EAEB15D" w:rsidR="008505E7" w:rsidRPr="008505E7" w:rsidRDefault="008505E7" w:rsidP="008505E7">
      <w:pPr>
        <w:spacing w:line="1342" w:lineRule="exact"/>
        <w:rPr>
          <w:rFonts w:asciiTheme="minorHAnsi" w:hAnsiTheme="minorHAnsi" w:cstheme="minorHAnsi"/>
          <w:sz w:val="52"/>
          <w:szCs w:val="52"/>
        </w:rPr>
        <w:sectPr w:rsidR="008505E7" w:rsidRPr="008505E7">
          <w:footerReference w:type="default" r:id="rId8"/>
          <w:type w:val="continuous"/>
          <w:pgSz w:w="12240" w:h="15840"/>
          <w:pgMar w:top="520" w:right="840" w:bottom="1240" w:left="500" w:header="720" w:footer="1053" w:gutter="0"/>
          <w:pgNumType w:start="1"/>
          <w:cols w:space="720"/>
        </w:sectPr>
      </w:pPr>
    </w:p>
    <w:p w14:paraId="25779523" w14:textId="182995C6" w:rsidR="005C2C7A" w:rsidRPr="00B024D1" w:rsidRDefault="005C2C7A" w:rsidP="006075C0">
      <w:pPr>
        <w:keepNext/>
        <w:spacing w:before="240" w:after="60"/>
        <w:outlineLvl w:val="0"/>
        <w:rPr>
          <w:rFonts w:asciiTheme="minorHAnsi" w:eastAsia="Arial Unicode MS" w:hAnsiTheme="minorHAnsi" w:cstheme="minorHAnsi"/>
          <w:b/>
          <w:bCs/>
          <w:kern w:val="32"/>
          <w:sz w:val="32"/>
          <w:szCs w:val="32"/>
        </w:rPr>
      </w:pPr>
      <w:r w:rsidRPr="00B024D1">
        <w:rPr>
          <w:rFonts w:asciiTheme="minorHAnsi" w:eastAsia="Arial Unicode MS" w:hAnsiTheme="minorHAnsi" w:cstheme="minorHAnsi"/>
          <w:b/>
          <w:bCs/>
          <w:kern w:val="32"/>
          <w:sz w:val="32"/>
          <w:szCs w:val="32"/>
        </w:rPr>
        <w:lastRenderedPageBreak/>
        <w:t xml:space="preserve">Structure </w:t>
      </w:r>
      <w:r w:rsidR="006075C0">
        <w:rPr>
          <w:rFonts w:asciiTheme="minorHAnsi" w:eastAsia="Arial Unicode MS" w:hAnsiTheme="minorHAnsi" w:cstheme="minorHAnsi"/>
          <w:b/>
          <w:bCs/>
          <w:kern w:val="32"/>
          <w:sz w:val="32"/>
          <w:szCs w:val="32"/>
        </w:rPr>
        <w:t xml:space="preserve">of </w:t>
      </w:r>
      <w:r w:rsidRPr="00B024D1">
        <w:rPr>
          <w:rFonts w:asciiTheme="minorHAnsi" w:eastAsia="Arial Unicode MS" w:hAnsiTheme="minorHAnsi" w:cstheme="minorHAnsi"/>
          <w:b/>
          <w:bCs/>
          <w:kern w:val="32"/>
          <w:sz w:val="32"/>
          <w:szCs w:val="32"/>
        </w:rPr>
        <w:t>Your</w:t>
      </w:r>
      <w:r w:rsidR="009A3C88">
        <w:rPr>
          <w:rFonts w:asciiTheme="minorHAnsi" w:eastAsia="Arial Unicode MS" w:hAnsiTheme="minorHAnsi" w:cstheme="minorHAnsi"/>
          <w:b/>
          <w:bCs/>
          <w:kern w:val="32"/>
          <w:sz w:val="32"/>
          <w:szCs w:val="32"/>
        </w:rPr>
        <w:t xml:space="preserve"> </w:t>
      </w:r>
      <w:r w:rsidR="00D665AB">
        <w:rPr>
          <w:rFonts w:asciiTheme="minorHAnsi" w:eastAsia="Arial Unicode MS" w:hAnsiTheme="minorHAnsi" w:cstheme="minorHAnsi"/>
          <w:b/>
          <w:bCs/>
          <w:kern w:val="32"/>
          <w:sz w:val="32"/>
          <w:szCs w:val="32"/>
        </w:rPr>
        <w:t>Event</w:t>
      </w:r>
      <w:r w:rsidR="009A3C88">
        <w:rPr>
          <w:rFonts w:asciiTheme="minorHAnsi" w:eastAsia="Arial Unicode MS" w:hAnsiTheme="minorHAnsi" w:cstheme="minorHAnsi"/>
          <w:b/>
          <w:bCs/>
          <w:kern w:val="32"/>
          <w:sz w:val="32"/>
          <w:szCs w:val="32"/>
        </w:rPr>
        <w:t xml:space="preserve"> Risk</w:t>
      </w:r>
      <w:r w:rsidR="00D665AB">
        <w:rPr>
          <w:rFonts w:asciiTheme="minorHAnsi" w:eastAsia="Arial Unicode MS" w:hAnsiTheme="minorHAnsi" w:cstheme="minorHAnsi"/>
          <w:b/>
          <w:bCs/>
          <w:kern w:val="32"/>
          <w:sz w:val="32"/>
          <w:szCs w:val="32"/>
        </w:rPr>
        <w:t xml:space="preserve"> Management Assignment</w:t>
      </w:r>
    </w:p>
    <w:p w14:paraId="6C341805" w14:textId="77777777" w:rsidR="00BC1C53" w:rsidRPr="00B024D1" w:rsidRDefault="00BC1C5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243A5E2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bl>
      <w:tblPr>
        <w:tblStyle w:val="TableGrid"/>
        <w:tblW w:w="0" w:type="auto"/>
        <w:tblLook w:val="04A0" w:firstRow="1" w:lastRow="0" w:firstColumn="1" w:lastColumn="0" w:noHBand="0" w:noVBand="1"/>
      </w:tblPr>
      <w:tblGrid>
        <w:gridCol w:w="4401"/>
        <w:gridCol w:w="4615"/>
      </w:tblGrid>
      <w:tr w:rsidR="00627A58" w:rsidRPr="00B024D1" w14:paraId="2460CFAA" w14:textId="77777777" w:rsidTr="000F3CD3">
        <w:tc>
          <w:tcPr>
            <w:tcW w:w="4401" w:type="dxa"/>
            <w:shd w:val="clear" w:color="auto" w:fill="D9D9D9" w:themeFill="background1" w:themeFillShade="D9"/>
          </w:tcPr>
          <w:p w14:paraId="6E3B40FB" w14:textId="155CB90F" w:rsidR="00627A58" w:rsidRPr="00B024D1" w:rsidRDefault="007535DE"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r w:rsidRPr="00B024D1">
              <w:rPr>
                <w:rFonts w:asciiTheme="minorHAnsi" w:eastAsia="Arial Unicode MS" w:hAnsiTheme="minorHAnsi" w:cstheme="minorHAnsi"/>
              </w:rPr>
              <w:t>SECTION</w:t>
            </w:r>
            <w:r w:rsidR="00627A58" w:rsidRPr="00B024D1">
              <w:rPr>
                <w:rFonts w:asciiTheme="minorHAnsi" w:eastAsia="Arial Unicode MS" w:hAnsiTheme="minorHAnsi" w:cstheme="minorHAnsi"/>
              </w:rPr>
              <w:t xml:space="preserve"> Name </w:t>
            </w:r>
          </w:p>
        </w:tc>
        <w:tc>
          <w:tcPr>
            <w:tcW w:w="4615" w:type="dxa"/>
            <w:shd w:val="clear" w:color="auto" w:fill="D9D9D9" w:themeFill="background1" w:themeFillShade="D9"/>
          </w:tcPr>
          <w:p w14:paraId="06592158" w14:textId="042CF0A2" w:rsidR="00627A58" w:rsidRPr="00B024D1" w:rsidRDefault="00627A58"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r w:rsidRPr="00B024D1">
              <w:rPr>
                <w:rFonts w:asciiTheme="minorHAnsi" w:eastAsia="Arial Unicode MS" w:hAnsiTheme="minorHAnsi" w:cstheme="minorHAnsi"/>
              </w:rPr>
              <w:t>Included in word count?</w:t>
            </w:r>
          </w:p>
        </w:tc>
      </w:tr>
      <w:tr w:rsidR="001D7BC5" w:rsidRPr="00B024D1" w14:paraId="2E9A8069" w14:textId="77777777" w:rsidTr="001D7BC5">
        <w:trPr>
          <w:gridAfter w:val="1"/>
          <w:wAfter w:w="4615" w:type="dxa"/>
        </w:trPr>
        <w:tc>
          <w:tcPr>
            <w:tcW w:w="4401" w:type="dxa"/>
          </w:tcPr>
          <w:p w14:paraId="310B640E" w14:textId="33C43872" w:rsidR="001D7BC5" w:rsidRPr="00B024D1" w:rsidRDefault="001D7BC5"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5C2C7A" w:rsidRPr="00B024D1" w14:paraId="087435BA" w14:textId="77777777" w:rsidTr="001D7BC5">
        <w:tc>
          <w:tcPr>
            <w:tcW w:w="4401" w:type="dxa"/>
          </w:tcPr>
          <w:p w14:paraId="783CF71C" w14:textId="77777777" w:rsidR="005C2C7A" w:rsidRPr="00B024D1"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rPr>
            </w:pPr>
            <w:r w:rsidRPr="00B024D1">
              <w:rPr>
                <w:rFonts w:asciiTheme="minorHAnsi" w:eastAsia="Arial Unicode MS" w:hAnsiTheme="minorHAnsi" w:cstheme="minorHAnsi"/>
                <w:b/>
              </w:rPr>
              <w:t>TITLE PAGE</w:t>
            </w:r>
          </w:p>
          <w:p w14:paraId="55E0EB80" w14:textId="77777777" w:rsidR="005C2C7A" w:rsidRPr="00B024D1"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4615" w:type="dxa"/>
          </w:tcPr>
          <w:p w14:paraId="30B770EE" w14:textId="77777777" w:rsidR="005C2C7A" w:rsidRPr="00B024D1" w:rsidRDefault="005C2C7A"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r w:rsidRPr="00B024D1">
              <w:rPr>
                <w:rFonts w:asciiTheme="minorHAnsi" w:eastAsia="Arial Unicode MS" w:hAnsiTheme="minorHAnsi" w:cstheme="minorHAnsi"/>
                <w:b/>
              </w:rPr>
              <w:t>NO</w:t>
            </w:r>
          </w:p>
        </w:tc>
      </w:tr>
      <w:tr w:rsidR="009F4C67" w:rsidRPr="00B024D1" w14:paraId="228B94C1" w14:textId="77777777" w:rsidTr="001D7BC5">
        <w:tc>
          <w:tcPr>
            <w:tcW w:w="4401" w:type="dxa"/>
          </w:tcPr>
          <w:p w14:paraId="2552FF73" w14:textId="64C91F6F"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b/>
              </w:rPr>
              <w:t xml:space="preserve">1: </w:t>
            </w:r>
            <w:r w:rsidRPr="00B024D1">
              <w:rPr>
                <w:rFonts w:asciiTheme="minorHAnsi" w:eastAsia="Arial Unicode MS" w:hAnsiTheme="minorHAnsi" w:cstheme="minorHAnsi"/>
              </w:rPr>
              <w:t xml:space="preserve">INTRODUCTION </w:t>
            </w:r>
          </w:p>
          <w:p w14:paraId="027C6098"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c>
          <w:tcPr>
            <w:tcW w:w="4615" w:type="dxa"/>
          </w:tcPr>
          <w:p w14:paraId="40024990"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b/>
              </w:rPr>
            </w:pPr>
            <w:r w:rsidRPr="00B024D1">
              <w:rPr>
                <w:rFonts w:asciiTheme="minorHAnsi" w:eastAsia="Arial Unicode MS" w:hAnsiTheme="minorHAnsi" w:cstheme="minorHAnsi"/>
                <w:b/>
              </w:rPr>
              <w:t>YES</w:t>
            </w:r>
          </w:p>
          <w:p w14:paraId="32CD00A4"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78926076" w14:textId="7C1EADE6"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9F4C67" w:rsidRPr="00B024D1" w14:paraId="4DD80398" w14:textId="77777777" w:rsidTr="001D7BC5">
        <w:tc>
          <w:tcPr>
            <w:tcW w:w="4401" w:type="dxa"/>
          </w:tcPr>
          <w:p w14:paraId="7D9E598F" w14:textId="1CC69628"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rPr>
            </w:pPr>
            <w:r w:rsidRPr="00B024D1">
              <w:rPr>
                <w:rFonts w:asciiTheme="minorHAnsi" w:eastAsia="Arial Unicode MS" w:hAnsiTheme="minorHAnsi" w:cstheme="minorHAnsi"/>
                <w:b/>
              </w:rPr>
              <w:t xml:space="preserve">2:  </w:t>
            </w:r>
            <w:r w:rsidRPr="00B024D1">
              <w:rPr>
                <w:rFonts w:asciiTheme="minorHAnsi" w:eastAsia="Arial Unicode MS" w:hAnsiTheme="minorHAnsi" w:cstheme="minorHAnsi"/>
                <w:bCs/>
              </w:rPr>
              <w:t>METHOD</w:t>
            </w:r>
          </w:p>
          <w:p w14:paraId="422701F4"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c>
          <w:tcPr>
            <w:tcW w:w="4615" w:type="dxa"/>
          </w:tcPr>
          <w:p w14:paraId="3EDEB5D1"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b/>
              </w:rPr>
            </w:pPr>
            <w:r w:rsidRPr="00B024D1">
              <w:rPr>
                <w:rFonts w:asciiTheme="minorHAnsi" w:eastAsia="Arial Unicode MS" w:hAnsiTheme="minorHAnsi" w:cstheme="minorHAnsi"/>
                <w:b/>
              </w:rPr>
              <w:t>YES</w:t>
            </w:r>
          </w:p>
          <w:p w14:paraId="6D82CBF9" w14:textId="3B81E8ED"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9F4C67" w:rsidRPr="00B024D1" w14:paraId="50CB2D19" w14:textId="77777777" w:rsidTr="006A5347">
        <w:tc>
          <w:tcPr>
            <w:tcW w:w="4401" w:type="dxa"/>
          </w:tcPr>
          <w:p w14:paraId="00F1D7F0" w14:textId="4AE817B7" w:rsidR="009F4C67" w:rsidRPr="00D665AB"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rPr>
            </w:pPr>
            <w:r w:rsidRPr="00B024D1">
              <w:rPr>
                <w:rFonts w:asciiTheme="minorHAnsi" w:eastAsia="Arial Unicode MS" w:hAnsiTheme="minorHAnsi" w:cstheme="minorHAnsi"/>
                <w:b/>
              </w:rPr>
              <w:t xml:space="preserve">3: </w:t>
            </w:r>
            <w:r w:rsidR="00D665AB">
              <w:rPr>
                <w:rFonts w:asciiTheme="minorHAnsi" w:eastAsia="Arial Unicode MS" w:hAnsiTheme="minorHAnsi" w:cstheme="minorHAnsi"/>
                <w:bCs/>
              </w:rPr>
              <w:t>COMPLIANCE WITH STANDARDS AND LEGISLATION</w:t>
            </w:r>
          </w:p>
          <w:p w14:paraId="19DCC4EA"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c>
          <w:tcPr>
            <w:tcW w:w="4615" w:type="dxa"/>
          </w:tcPr>
          <w:p w14:paraId="58F5D0D4"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b/>
              </w:rPr>
            </w:pPr>
            <w:r w:rsidRPr="00B024D1">
              <w:rPr>
                <w:rFonts w:asciiTheme="minorHAnsi" w:eastAsia="Arial Unicode MS" w:hAnsiTheme="minorHAnsi" w:cstheme="minorHAnsi"/>
                <w:b/>
              </w:rPr>
              <w:t>YES</w:t>
            </w:r>
          </w:p>
          <w:p w14:paraId="093EFF0C"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9F4C67" w:rsidRPr="00B024D1" w14:paraId="19310B2D" w14:textId="77777777" w:rsidTr="00476023">
        <w:tc>
          <w:tcPr>
            <w:tcW w:w="4401" w:type="dxa"/>
          </w:tcPr>
          <w:p w14:paraId="69592929" w14:textId="43F1048D" w:rsidR="009F4C67" w:rsidRPr="0016282F"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rPr>
            </w:pPr>
            <w:r w:rsidRPr="00B024D1">
              <w:rPr>
                <w:rFonts w:asciiTheme="minorHAnsi" w:eastAsia="Arial Unicode MS" w:hAnsiTheme="minorHAnsi" w:cstheme="minorHAnsi"/>
                <w:b/>
              </w:rPr>
              <w:t xml:space="preserve">4: </w:t>
            </w:r>
            <w:r w:rsidR="0016282F">
              <w:rPr>
                <w:rFonts w:asciiTheme="minorHAnsi" w:eastAsia="Arial Unicode MS" w:hAnsiTheme="minorHAnsi" w:cstheme="minorHAnsi"/>
                <w:bCs/>
              </w:rPr>
              <w:t>RISK ASSESSMENT REGISTER</w:t>
            </w:r>
          </w:p>
          <w:p w14:paraId="6D638FEA"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tc>
        <w:tc>
          <w:tcPr>
            <w:tcW w:w="4615" w:type="dxa"/>
          </w:tcPr>
          <w:p w14:paraId="1C8CEE87"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b/>
              </w:rPr>
            </w:pPr>
            <w:r w:rsidRPr="00B024D1">
              <w:rPr>
                <w:rFonts w:asciiTheme="minorHAnsi" w:eastAsia="Arial Unicode MS" w:hAnsiTheme="minorHAnsi" w:cstheme="minorHAnsi"/>
                <w:b/>
              </w:rPr>
              <w:t>YES</w:t>
            </w:r>
          </w:p>
          <w:p w14:paraId="33031B0A" w14:textId="4A1C1695"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9F4C67" w:rsidRPr="00B024D1" w14:paraId="70A5189A" w14:textId="77777777" w:rsidTr="002C0378">
        <w:tc>
          <w:tcPr>
            <w:tcW w:w="4401" w:type="dxa"/>
          </w:tcPr>
          <w:p w14:paraId="65A76258" w14:textId="603F48CE" w:rsidR="009F4C67" w:rsidRPr="0016282F" w:rsidRDefault="009F4C67" w:rsidP="00BA021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rPr>
            </w:pPr>
            <w:r w:rsidRPr="00B024D1">
              <w:rPr>
                <w:rFonts w:asciiTheme="minorHAnsi" w:eastAsia="Arial Unicode MS" w:hAnsiTheme="minorHAnsi" w:cstheme="minorHAnsi"/>
                <w:b/>
              </w:rPr>
              <w:t xml:space="preserve">5: </w:t>
            </w:r>
            <w:r w:rsidR="0016282F">
              <w:rPr>
                <w:rFonts w:asciiTheme="minorHAnsi" w:eastAsia="Arial Unicode MS" w:hAnsiTheme="minorHAnsi" w:cstheme="minorHAnsi"/>
                <w:bCs/>
              </w:rPr>
              <w:t>CONCLUSION AND RECOMMENDATIONS</w:t>
            </w:r>
          </w:p>
          <w:p w14:paraId="0A09EDA2"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c>
          <w:tcPr>
            <w:tcW w:w="4615" w:type="dxa"/>
          </w:tcPr>
          <w:p w14:paraId="6174B7BD" w14:textId="05F31494" w:rsidR="009F4C67" w:rsidRPr="00B024D1" w:rsidRDefault="00D665AB"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b/>
              </w:rPr>
            </w:pPr>
            <w:r>
              <w:rPr>
                <w:rFonts w:asciiTheme="minorHAnsi" w:eastAsia="Arial Unicode MS" w:hAnsiTheme="minorHAnsi" w:cstheme="minorHAnsi"/>
                <w:b/>
              </w:rPr>
              <w:t>YES</w:t>
            </w:r>
          </w:p>
          <w:p w14:paraId="7CB61734" w14:textId="40B602A1" w:rsidR="009F4C67" w:rsidRPr="00B024D1" w:rsidRDefault="009F4C6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r>
      <w:tr w:rsidR="009F4C67" w:rsidRPr="00B024D1" w14:paraId="0C8FF5A4" w14:textId="77777777" w:rsidTr="000F1B67">
        <w:tc>
          <w:tcPr>
            <w:tcW w:w="4401" w:type="dxa"/>
          </w:tcPr>
          <w:p w14:paraId="55B9AB78" w14:textId="137346F9" w:rsidR="009F4C67" w:rsidRPr="00D665AB" w:rsidRDefault="00D665AB" w:rsidP="00BA021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Cs/>
              </w:rPr>
            </w:pPr>
            <w:r w:rsidRPr="00D665AB">
              <w:rPr>
                <w:rFonts w:asciiTheme="minorHAnsi" w:eastAsia="Arial Unicode MS" w:hAnsiTheme="minorHAnsi" w:cstheme="minorHAnsi"/>
                <w:bCs/>
              </w:rPr>
              <w:t>REFERENCES</w:t>
            </w:r>
          </w:p>
          <w:p w14:paraId="0F079959" w14:textId="77777777"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tc>
        <w:tc>
          <w:tcPr>
            <w:tcW w:w="4615" w:type="dxa"/>
          </w:tcPr>
          <w:p w14:paraId="60F75BF7" w14:textId="4EF40451" w:rsidR="009F4C67" w:rsidRPr="00B024D1" w:rsidRDefault="009F4C67" w:rsidP="00BA02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r w:rsidRPr="00B024D1">
              <w:rPr>
                <w:rFonts w:asciiTheme="minorHAnsi" w:eastAsia="Arial Unicode MS" w:hAnsiTheme="minorHAnsi" w:cstheme="minorHAnsi"/>
                <w:b/>
              </w:rPr>
              <w:t>NO</w:t>
            </w:r>
          </w:p>
        </w:tc>
      </w:tr>
    </w:tbl>
    <w:p w14:paraId="314AC450" w14:textId="77777777" w:rsidR="005C2C7A" w:rsidRPr="00B024D1" w:rsidRDefault="005C2C7A" w:rsidP="005C2C7A">
      <w:pPr>
        <w:rPr>
          <w:rFonts w:asciiTheme="minorHAnsi" w:eastAsia="Times New Roman" w:hAnsiTheme="minorHAnsi" w:cstheme="minorHAnsi"/>
          <w:sz w:val="20"/>
          <w:szCs w:val="20"/>
        </w:rPr>
      </w:pPr>
      <w:r w:rsidRPr="00B024D1">
        <w:rPr>
          <w:rFonts w:asciiTheme="minorHAnsi" w:eastAsia="Times New Roman" w:hAnsiTheme="minorHAnsi" w:cstheme="minorHAnsi"/>
          <w:sz w:val="20"/>
          <w:szCs w:val="20"/>
        </w:rPr>
        <w:br w:type="page"/>
      </w:r>
    </w:p>
    <w:p w14:paraId="1C59F28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41BADB9F" w14:textId="7AD5FAEC" w:rsidR="005C2C7A" w:rsidRDefault="009651F0"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r>
        <w:rPr>
          <w:rFonts w:asciiTheme="minorHAnsi" w:eastAsia="Arial Unicode MS" w:hAnsiTheme="minorHAnsi" w:cstheme="minorHAnsi"/>
          <w:b/>
          <w:sz w:val="80"/>
          <w:szCs w:val="80"/>
        </w:rPr>
        <w:t>Title</w:t>
      </w:r>
    </w:p>
    <w:p w14:paraId="2DF86E99" w14:textId="2DC5220C" w:rsidR="008505E7" w:rsidRDefault="008505E7" w:rsidP="008505E7">
      <w:pPr>
        <w:spacing w:line="1342" w:lineRule="exact"/>
        <w:rPr>
          <w:rFonts w:asciiTheme="minorHAnsi" w:hAnsiTheme="minorHAnsi" w:cstheme="minorHAnsi"/>
          <w:sz w:val="48"/>
          <w:szCs w:val="48"/>
        </w:rPr>
      </w:pPr>
      <w:r w:rsidRPr="008505E7">
        <w:rPr>
          <w:rFonts w:asciiTheme="minorHAnsi" w:hAnsiTheme="minorHAnsi" w:cstheme="minorHAnsi"/>
          <w:sz w:val="52"/>
          <w:szCs w:val="52"/>
        </w:rPr>
        <w:t>Risk assessment report:</w:t>
      </w:r>
      <w:r>
        <w:rPr>
          <w:rFonts w:asciiTheme="minorHAnsi" w:hAnsiTheme="minorHAnsi" w:cstheme="minorHAnsi"/>
          <w:sz w:val="52"/>
          <w:szCs w:val="52"/>
        </w:rPr>
        <w:t xml:space="preserve">  </w:t>
      </w:r>
      <w:r w:rsidR="008025F4">
        <w:rPr>
          <w:rFonts w:asciiTheme="minorHAnsi" w:hAnsiTheme="minorHAnsi" w:cstheme="minorHAnsi"/>
          <w:sz w:val="52"/>
          <w:szCs w:val="52"/>
        </w:rPr>
        <w:t>Managing Risks in Hospital</w:t>
      </w:r>
      <w:r w:rsidRPr="008505E7">
        <w:rPr>
          <w:rFonts w:asciiTheme="minorHAnsi" w:hAnsiTheme="minorHAnsi" w:cstheme="minorHAnsi"/>
          <w:sz w:val="48"/>
          <w:szCs w:val="48"/>
        </w:rPr>
        <w:t xml:space="preserve"> fundraising </w:t>
      </w:r>
      <w:r w:rsidR="008025F4">
        <w:rPr>
          <w:rFonts w:asciiTheme="minorHAnsi" w:hAnsiTheme="minorHAnsi" w:cstheme="minorHAnsi"/>
          <w:sz w:val="48"/>
          <w:szCs w:val="48"/>
        </w:rPr>
        <w:t>events.</w:t>
      </w:r>
    </w:p>
    <w:p w14:paraId="2EB7A3CC" w14:textId="77777777" w:rsidR="008505E7" w:rsidRDefault="008505E7" w:rsidP="008505E7">
      <w:pPr>
        <w:spacing w:line="1342" w:lineRule="exact"/>
        <w:rPr>
          <w:rFonts w:asciiTheme="minorHAnsi" w:hAnsiTheme="minorHAnsi" w:cstheme="minorHAnsi"/>
          <w:sz w:val="48"/>
          <w:szCs w:val="48"/>
        </w:rPr>
      </w:pPr>
    </w:p>
    <w:p w14:paraId="1E368E29" w14:textId="77777777" w:rsidR="008505E7" w:rsidRPr="00B024D1" w:rsidRDefault="008505E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388838C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ADCFF73" w14:textId="2B3D61B1" w:rsidR="001D7BC5" w:rsidRPr="00B024D1" w:rsidRDefault="001D7BC5"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sz w:val="80"/>
          <w:szCs w:val="80"/>
        </w:rPr>
      </w:pPr>
      <w:r w:rsidRPr="00B024D1">
        <w:rPr>
          <w:rFonts w:asciiTheme="minorHAnsi" w:eastAsia="Arial Unicode MS" w:hAnsiTheme="minorHAnsi" w:cstheme="minorHAnsi"/>
          <w:b/>
          <w:sz w:val="80"/>
          <w:szCs w:val="80"/>
        </w:rPr>
        <w:t>Student Number</w:t>
      </w:r>
      <w:r w:rsidR="00936E77">
        <w:rPr>
          <w:rFonts w:asciiTheme="minorHAnsi" w:eastAsia="Arial Unicode MS" w:hAnsiTheme="minorHAnsi" w:cstheme="minorHAnsi"/>
          <w:b/>
          <w:sz w:val="80"/>
          <w:szCs w:val="80"/>
        </w:rPr>
        <w:t>:</w:t>
      </w:r>
      <w:r w:rsidRPr="00B024D1">
        <w:rPr>
          <w:rFonts w:asciiTheme="minorHAnsi" w:eastAsia="Arial Unicode MS" w:hAnsiTheme="minorHAnsi" w:cstheme="minorHAnsi"/>
          <w:b/>
          <w:sz w:val="80"/>
          <w:szCs w:val="80"/>
        </w:rPr>
        <w:t xml:space="preserve"> </w:t>
      </w:r>
      <w:r w:rsidR="008505E7">
        <w:rPr>
          <w:rFonts w:asciiTheme="minorHAnsi" w:eastAsia="Arial Unicode MS" w:hAnsiTheme="minorHAnsi" w:cstheme="minorHAnsi"/>
          <w:b/>
          <w:sz w:val="80"/>
          <w:szCs w:val="80"/>
        </w:rPr>
        <w:t>2323200</w:t>
      </w:r>
    </w:p>
    <w:p w14:paraId="0E68BB5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62E8C044"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ab/>
      </w:r>
    </w:p>
    <w:p w14:paraId="1624D69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E49D35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13DCB6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AB138F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BE3099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5FF39FA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203F98B1"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72CC5B1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4CF48E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F2CFE7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C2B03A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9390BF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7C8DEAAF"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B712C7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FC4AD6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344ECAF"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6B5A741C"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502304A4" w14:textId="77777777" w:rsidR="005C2C7A" w:rsidRPr="00B024D1"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u w:val="single"/>
        </w:rPr>
      </w:pPr>
    </w:p>
    <w:p w14:paraId="6A75E70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rPr>
      </w:pPr>
    </w:p>
    <w:sdt>
      <w:sdtPr>
        <w:id w:val="508644467"/>
        <w:docPartObj>
          <w:docPartGallery w:val="Table of Contents"/>
          <w:docPartUnique/>
        </w:docPartObj>
      </w:sdtPr>
      <w:sdtContent>
        <w:p w14:paraId="12D967E5" w14:textId="445E1AF4" w:rsidR="00936E77" w:rsidRDefault="00936E77" w:rsidP="00936E77">
          <w:pPr>
            <w:pBdr>
              <w:top w:val="nil"/>
              <w:left w:val="nil"/>
              <w:bottom w:val="nil"/>
              <w:right w:val="nil"/>
              <w:between w:val="nil"/>
            </w:pBdr>
            <w:tabs>
              <w:tab w:val="right" w:leader="dot" w:pos="9350"/>
            </w:tabs>
            <w:spacing w:after="24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1: Introduction</w:t>
            </w:r>
            <w:r w:rsidR="008025F4">
              <w:rPr>
                <w:rFonts w:ascii="Times New Roman" w:eastAsia="Times New Roman" w:hAnsi="Times New Roman" w:cs="Times New Roman"/>
                <w:color w:val="000000"/>
                <w:sz w:val="24"/>
                <w:szCs w:val="24"/>
              </w:rPr>
              <w:t>……………………………………………………………………………………..</w:t>
            </w:r>
            <w:r w:rsidR="002A64BF">
              <w:rPr>
                <w:rFonts w:ascii="Times New Roman" w:eastAsia="Times New Roman" w:hAnsi="Times New Roman" w:cs="Times New Roman"/>
                <w:color w:val="000000"/>
                <w:sz w:val="24"/>
                <w:szCs w:val="24"/>
              </w:rPr>
              <w:t>7</w:t>
            </w:r>
          </w:hyperlink>
        </w:p>
        <w:p w14:paraId="3973773C" w14:textId="77B77E8C" w:rsidR="00936E77" w:rsidRDefault="00936E77" w:rsidP="00936E77">
          <w:pPr>
            <w:pBdr>
              <w:top w:val="nil"/>
              <w:left w:val="nil"/>
              <w:bottom w:val="nil"/>
              <w:right w:val="nil"/>
              <w:between w:val="nil"/>
            </w:pBdr>
            <w:tabs>
              <w:tab w:val="right" w:leader="dot" w:pos="9350"/>
            </w:tabs>
            <w:spacing w:after="240" w:line="360" w:lineRule="auto"/>
            <w:jc w:val="both"/>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2: Metho</w:t>
            </w:r>
            <w:r w:rsidR="008025F4">
              <w:rPr>
                <w:rFonts w:ascii="Times New Roman" w:eastAsia="Times New Roman" w:hAnsi="Times New Roman" w:cs="Times New Roman"/>
                <w:color w:val="000000"/>
                <w:sz w:val="24"/>
                <w:szCs w:val="24"/>
              </w:rPr>
              <w:t>d………………………………………………………………………………………….</w:t>
            </w:r>
            <w:r w:rsidR="002A64BF">
              <w:rPr>
                <w:rFonts w:ascii="Times New Roman" w:eastAsia="Times New Roman" w:hAnsi="Times New Roman" w:cs="Times New Roman"/>
                <w:color w:val="000000"/>
                <w:sz w:val="24"/>
                <w:szCs w:val="24"/>
              </w:rPr>
              <w:t>7</w:t>
            </w:r>
          </w:hyperlink>
        </w:p>
        <w:p w14:paraId="1DB217BC" w14:textId="3ED4C307" w:rsidR="00936E77" w:rsidRDefault="008025F4" w:rsidP="008025F4">
          <w:pPr>
            <w:pBdr>
              <w:top w:val="nil"/>
              <w:left w:val="nil"/>
              <w:bottom w:val="nil"/>
              <w:right w:val="nil"/>
              <w:between w:val="nil"/>
            </w:pBdr>
            <w:tabs>
              <w:tab w:val="right" w:leader="dot" w:pos="9350"/>
            </w:tabs>
            <w:spacing w:after="240" w:line="360" w:lineRule="auto"/>
            <w:jc w:val="both"/>
            <w:rPr>
              <w:rFonts w:ascii="Times New Roman" w:eastAsia="Times New Roman" w:hAnsi="Times New Roman" w:cs="Times New Roman"/>
              <w:color w:val="000000"/>
              <w:sz w:val="24"/>
              <w:szCs w:val="24"/>
            </w:rPr>
          </w:pPr>
          <w:r>
            <w:t xml:space="preserve">3: </w:t>
          </w:r>
          <w:r w:rsidR="002A64BF">
            <w:rPr>
              <w:rFonts w:ascii="Times New Roman" w:eastAsia="Times New Roman" w:hAnsi="Times New Roman" w:cs="Times New Roman"/>
              <w:color w:val="000000"/>
              <w:sz w:val="24"/>
              <w:szCs w:val="24"/>
            </w:rPr>
            <w:t xml:space="preserve">The Importance </w:t>
          </w:r>
          <w:r>
            <w:rPr>
              <w:rFonts w:ascii="Times New Roman" w:eastAsia="Times New Roman" w:hAnsi="Times New Roman" w:cs="Times New Roman"/>
              <w:color w:val="000000"/>
              <w:sz w:val="24"/>
              <w:szCs w:val="24"/>
            </w:rPr>
            <w:t>of</w:t>
          </w:r>
          <w:r w:rsidR="002A64BF">
            <w:rPr>
              <w:rFonts w:ascii="Times New Roman" w:eastAsia="Times New Roman" w:hAnsi="Times New Roman" w:cs="Times New Roman"/>
              <w:color w:val="000000"/>
              <w:sz w:val="24"/>
              <w:szCs w:val="24"/>
            </w:rPr>
            <w:t xml:space="preserve"> Risk Assessments…………………………………………………</w:t>
          </w:r>
          <w:r>
            <w:rPr>
              <w:rFonts w:ascii="Times New Roman" w:eastAsia="Times New Roman" w:hAnsi="Times New Roman" w:cs="Times New Roman"/>
              <w:color w:val="000000"/>
              <w:sz w:val="24"/>
              <w:szCs w:val="24"/>
            </w:rPr>
            <w:t>….</w:t>
          </w:r>
          <w:r w:rsidR="002A64BF">
            <w:rPr>
              <w:rFonts w:ascii="Times New Roman" w:eastAsia="Times New Roman" w:hAnsi="Times New Roman" w:cs="Times New Roman"/>
              <w:color w:val="000000"/>
              <w:sz w:val="24"/>
              <w:szCs w:val="24"/>
            </w:rPr>
            <w:t>…….8</w:t>
          </w:r>
        </w:p>
        <w:p w14:paraId="19F5F08D" w14:textId="2EE02442" w:rsidR="00936E77" w:rsidRDefault="00936E77" w:rsidP="00936E77">
          <w:pPr>
            <w:pBdr>
              <w:top w:val="nil"/>
              <w:left w:val="nil"/>
              <w:bottom w:val="nil"/>
              <w:right w:val="nil"/>
              <w:between w:val="nil"/>
            </w:pBdr>
            <w:tabs>
              <w:tab w:val="right" w:leader="dot" w:pos="9350"/>
            </w:tabs>
            <w:spacing w:after="240" w:line="360" w:lineRule="auto"/>
            <w:jc w:val="both"/>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3:  Compliance</w:t>
            </w:r>
            <w:r w:rsidR="002A64BF">
              <w:rPr>
                <w:rFonts w:ascii="Times New Roman" w:eastAsia="Times New Roman" w:hAnsi="Times New Roman" w:cs="Times New Roman"/>
                <w:color w:val="000000"/>
                <w:sz w:val="24"/>
                <w:szCs w:val="24"/>
              </w:rPr>
              <w:t xml:space="preserve"> With Legal and Ethical Standards</w:t>
            </w:r>
            <w:r>
              <w:rPr>
                <w:rFonts w:ascii="Times New Roman" w:eastAsia="Times New Roman" w:hAnsi="Times New Roman" w:cs="Times New Roman"/>
                <w:color w:val="000000"/>
                <w:sz w:val="24"/>
                <w:szCs w:val="24"/>
              </w:rPr>
              <w:tab/>
            </w:r>
            <w:r w:rsidR="002A64BF">
              <w:rPr>
                <w:rFonts w:ascii="Times New Roman" w:eastAsia="Times New Roman" w:hAnsi="Times New Roman" w:cs="Times New Roman"/>
                <w:color w:val="000000"/>
                <w:sz w:val="24"/>
                <w:szCs w:val="24"/>
              </w:rPr>
              <w:t>9</w:t>
            </w:r>
          </w:hyperlink>
        </w:p>
        <w:p w14:paraId="762CDAAF" w14:textId="09B4B349" w:rsidR="002A64BF" w:rsidRDefault="002A64BF" w:rsidP="00936E77">
          <w:pPr>
            <w:pBdr>
              <w:top w:val="nil"/>
              <w:left w:val="nil"/>
              <w:bottom w:val="nil"/>
              <w:right w:val="nil"/>
              <w:between w:val="nil"/>
            </w:pBdr>
            <w:tabs>
              <w:tab w:val="right" w:leader="dot" w:pos="9350"/>
            </w:tabs>
            <w:spacing w:after="24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8025F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Risk Assessment Register……………………………………………………………………….4</w:t>
          </w:r>
        </w:p>
        <w:p w14:paraId="0B1A0F31" w14:textId="417B7E69" w:rsidR="00936E77" w:rsidRDefault="00936E77" w:rsidP="00936E77">
          <w:pPr>
            <w:pBdr>
              <w:top w:val="nil"/>
              <w:left w:val="nil"/>
              <w:bottom w:val="nil"/>
              <w:right w:val="nil"/>
              <w:between w:val="nil"/>
            </w:pBdr>
            <w:tabs>
              <w:tab w:val="right" w:leader="dot" w:pos="9350"/>
            </w:tabs>
            <w:spacing w:after="240" w:line="360" w:lineRule="auto"/>
            <w:jc w:val="both"/>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5</w:t>
            </w:r>
            <w:r w:rsidR="008025F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Conclusion and Recommendations</w:t>
            </w:r>
            <w:r w:rsidR="008025F4">
              <w:rPr>
                <w:rFonts w:ascii="Times New Roman" w:eastAsia="Times New Roman" w:hAnsi="Times New Roman" w:cs="Times New Roman"/>
                <w:color w:val="000000"/>
                <w:sz w:val="24"/>
                <w:szCs w:val="24"/>
              </w:rPr>
              <w:t>……………………………………………………………10</w:t>
            </w:r>
          </w:hyperlink>
        </w:p>
        <w:p w14:paraId="01C58699" w14:textId="4AAEA438" w:rsidR="00936E77" w:rsidRDefault="008025F4" w:rsidP="00936E77">
          <w:pPr>
            <w:pBdr>
              <w:top w:val="nil"/>
              <w:left w:val="nil"/>
              <w:bottom w:val="nil"/>
              <w:right w:val="nil"/>
              <w:between w:val="nil"/>
            </w:pBdr>
            <w:tabs>
              <w:tab w:val="right" w:leader="dot" w:pos="9350"/>
            </w:tabs>
            <w:spacing w:after="240" w:line="360" w:lineRule="auto"/>
            <w:jc w:val="both"/>
            <w:rPr>
              <w:rFonts w:ascii="Times New Roman" w:eastAsia="Times New Roman" w:hAnsi="Times New Roman" w:cs="Times New Roman"/>
              <w:color w:val="000000"/>
              <w:sz w:val="24"/>
              <w:szCs w:val="24"/>
            </w:rPr>
          </w:pPr>
          <w:r>
            <w:t xml:space="preserve">6:  </w:t>
          </w:r>
          <w:hyperlink w:anchor="_heading=h.3rdcrjn">
            <w:r w:rsidR="00936E77">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w:t>
            </w:r>
            <w:r w:rsidR="00936E77">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w:t>
            </w:r>
          </w:hyperlink>
        </w:p>
        <w:p w14:paraId="11C94D1D" w14:textId="77777777" w:rsidR="00936E77" w:rsidRDefault="00936E77" w:rsidP="00936E77">
          <w:pPr>
            <w:spacing w:after="240" w:line="360" w:lineRule="auto"/>
            <w:jc w:val="both"/>
          </w:pPr>
          <w:r>
            <w:fldChar w:fldCharType="end"/>
          </w:r>
        </w:p>
      </w:sdtContent>
    </w:sdt>
    <w:p w14:paraId="35F57D4D" w14:textId="77777777" w:rsidR="008505E7" w:rsidRDefault="009651F0" w:rsidP="008505E7">
      <w:pPr>
        <w:pBdr>
          <w:top w:val="nil"/>
          <w:left w:val="nil"/>
          <w:bottom w:val="nil"/>
          <w:right w:val="nil"/>
          <w:between w:val="nil"/>
        </w:pBdr>
        <w:tabs>
          <w:tab w:val="right" w:leader="dot" w:pos="9350"/>
        </w:tabs>
        <w:spacing w:after="240" w:line="360" w:lineRule="auto"/>
        <w:jc w:val="both"/>
        <w:rPr>
          <w:rFonts w:asciiTheme="minorHAnsi" w:eastAsia="Arial Unicode MS" w:hAnsiTheme="minorHAnsi" w:cstheme="minorHAnsi"/>
          <w:b/>
          <w:sz w:val="28"/>
          <w:szCs w:val="28"/>
        </w:rPr>
      </w:pPr>
      <w:r>
        <w:rPr>
          <w:rFonts w:asciiTheme="minorHAnsi" w:eastAsia="Arial Unicode MS" w:hAnsiTheme="minorHAnsi" w:cstheme="minorHAnsi"/>
          <w:b/>
          <w:sz w:val="28"/>
          <w:szCs w:val="28"/>
        </w:rPr>
        <w:br w:type="page"/>
      </w:r>
    </w:p>
    <w:sdt>
      <w:sdtPr>
        <w:id w:val="1947965496"/>
        <w:docPartObj>
          <w:docPartGallery w:val="Table of Contents"/>
          <w:docPartUnique/>
        </w:docPartObj>
      </w:sdtPr>
      <w:sdtContent>
        <w:p w14:paraId="150460A1" w14:textId="68653ED7" w:rsidR="00936E77" w:rsidRDefault="00936E77" w:rsidP="00936E77">
          <w:pPr>
            <w:pBdr>
              <w:top w:val="nil"/>
              <w:left w:val="nil"/>
              <w:bottom w:val="nil"/>
              <w:right w:val="nil"/>
              <w:between w:val="nil"/>
            </w:pBdr>
            <w:tabs>
              <w:tab w:val="right" w:leader="dot" w:pos="9350"/>
            </w:tabs>
            <w:spacing w:after="240" w:line="360" w:lineRule="auto"/>
            <w:jc w:val="both"/>
          </w:pPr>
        </w:p>
        <w:p w14:paraId="3940723A" w14:textId="665DEE91" w:rsidR="008505E7" w:rsidRDefault="008505E7" w:rsidP="008505E7">
          <w:pPr>
            <w:spacing w:after="240" w:line="360" w:lineRule="auto"/>
            <w:jc w:val="both"/>
          </w:pPr>
        </w:p>
      </w:sdtContent>
    </w:sdt>
    <w:p w14:paraId="5D060A13" w14:textId="4BBD6441"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3BBBEAEE" w14:textId="333073B8"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64D429B7" w14:textId="77777777"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21AAD604" w14:textId="25921B20"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5EBF531A" w14:textId="77777777" w:rsidR="008505E7" w:rsidRDefault="008505E7" w:rsidP="008505E7">
      <w:pPr>
        <w:pStyle w:val="Heading1"/>
      </w:pPr>
      <w:r>
        <w:t xml:space="preserve">4. Risk Assessment Register </w:t>
      </w:r>
    </w:p>
    <w:tbl>
      <w:tblPr>
        <w:tblW w:w="957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95"/>
        <w:gridCol w:w="2291"/>
        <w:gridCol w:w="1349"/>
        <w:gridCol w:w="1416"/>
        <w:gridCol w:w="1496"/>
        <w:gridCol w:w="1229"/>
      </w:tblGrid>
      <w:tr w:rsidR="008505E7" w14:paraId="478C59B2" w14:textId="77777777" w:rsidTr="00893196">
        <w:trPr>
          <w:cantSplit/>
          <w:trHeight w:val="322"/>
          <w:tblHeader/>
        </w:trPr>
        <w:tc>
          <w:tcPr>
            <w:tcW w:w="1795" w:type="dxa"/>
            <w:tcBorders>
              <w:top w:val="single" w:sz="4" w:space="0" w:color="000000"/>
              <w:left w:val="single" w:sz="4" w:space="0" w:color="000000"/>
              <w:bottom w:val="single" w:sz="4" w:space="0" w:color="000000"/>
              <w:right w:val="single" w:sz="4" w:space="0" w:color="000000"/>
            </w:tcBorders>
            <w:shd w:val="clear" w:color="auto" w:fill="C0C0C0"/>
          </w:tcPr>
          <w:p w14:paraId="6CE3F797"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Ref</w:t>
            </w:r>
          </w:p>
        </w:tc>
        <w:tc>
          <w:tcPr>
            <w:tcW w:w="2291" w:type="dxa"/>
            <w:tcBorders>
              <w:top w:val="single" w:sz="4" w:space="0" w:color="000000"/>
              <w:left w:val="single" w:sz="4" w:space="0" w:color="000000"/>
              <w:bottom w:val="single" w:sz="4" w:space="0" w:color="000000"/>
              <w:right w:val="single" w:sz="4" w:space="0" w:color="000000"/>
            </w:tcBorders>
            <w:shd w:val="clear" w:color="auto" w:fill="C0C0C0"/>
          </w:tcPr>
          <w:p w14:paraId="009E5252"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Risk Description</w:t>
            </w:r>
          </w:p>
        </w:tc>
        <w:tc>
          <w:tcPr>
            <w:tcW w:w="1349" w:type="dxa"/>
            <w:tcBorders>
              <w:top w:val="single" w:sz="4" w:space="0" w:color="000000"/>
              <w:left w:val="single" w:sz="4" w:space="0" w:color="000000"/>
              <w:bottom w:val="single" w:sz="4" w:space="0" w:color="000000"/>
              <w:right w:val="single" w:sz="4" w:space="0" w:color="000000"/>
            </w:tcBorders>
            <w:shd w:val="clear" w:color="auto" w:fill="C0C0C0"/>
          </w:tcPr>
          <w:p w14:paraId="54C8CE02"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Likelihood of occurrence (Score 1-5)</w:t>
            </w:r>
          </w:p>
        </w:tc>
        <w:tc>
          <w:tcPr>
            <w:tcW w:w="1416" w:type="dxa"/>
            <w:tcBorders>
              <w:top w:val="single" w:sz="4" w:space="0" w:color="000000"/>
              <w:left w:val="single" w:sz="4" w:space="0" w:color="000000"/>
              <w:bottom w:val="single" w:sz="4" w:space="0" w:color="000000"/>
              <w:right w:val="single" w:sz="4" w:space="0" w:color="000000"/>
            </w:tcBorders>
            <w:shd w:val="clear" w:color="auto" w:fill="C0C0C0"/>
          </w:tcPr>
          <w:p w14:paraId="369401BD"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Impact of Risk Occurrence (Score 1-5)</w:t>
            </w:r>
          </w:p>
        </w:tc>
        <w:tc>
          <w:tcPr>
            <w:tcW w:w="1496" w:type="dxa"/>
            <w:tcBorders>
              <w:top w:val="single" w:sz="4" w:space="0" w:color="000000"/>
              <w:left w:val="single" w:sz="4" w:space="0" w:color="000000"/>
              <w:bottom w:val="single" w:sz="4" w:space="0" w:color="000000"/>
              <w:right w:val="single" w:sz="4" w:space="0" w:color="000000"/>
            </w:tcBorders>
            <w:shd w:val="clear" w:color="auto" w:fill="C0C0C0"/>
          </w:tcPr>
          <w:p w14:paraId="67137AE3"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Risk Score (Likelihood x Occurrence)</w:t>
            </w:r>
          </w:p>
        </w:tc>
        <w:tc>
          <w:tcPr>
            <w:tcW w:w="1229" w:type="dxa"/>
            <w:tcBorders>
              <w:top w:val="single" w:sz="4" w:space="0" w:color="000000"/>
              <w:left w:val="single" w:sz="4" w:space="0" w:color="000000"/>
              <w:bottom w:val="single" w:sz="4" w:space="0" w:color="000000"/>
              <w:right w:val="single" w:sz="4" w:space="0" w:color="000000"/>
            </w:tcBorders>
            <w:shd w:val="clear" w:color="auto" w:fill="C0C0C0"/>
          </w:tcPr>
          <w:p w14:paraId="715E3E63"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Risk Severity (High, Medium, or Low)</w:t>
            </w:r>
          </w:p>
        </w:tc>
      </w:tr>
      <w:tr w:rsidR="008505E7" w14:paraId="57CAE684" w14:textId="77777777" w:rsidTr="00893196">
        <w:trPr>
          <w:cantSplit/>
          <w:trHeight w:val="659"/>
          <w:tblHeader/>
        </w:trPr>
        <w:tc>
          <w:tcPr>
            <w:tcW w:w="1795" w:type="dxa"/>
            <w:tcBorders>
              <w:top w:val="single" w:sz="4" w:space="0" w:color="000000"/>
              <w:left w:val="single" w:sz="4" w:space="0" w:color="000000"/>
              <w:bottom w:val="single" w:sz="4" w:space="0" w:color="000000"/>
              <w:right w:val="single" w:sz="4" w:space="0" w:color="000000"/>
            </w:tcBorders>
          </w:tcPr>
          <w:p w14:paraId="6E59D3B5"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2291" w:type="dxa"/>
            <w:tcBorders>
              <w:top w:val="single" w:sz="4" w:space="0" w:color="000000"/>
              <w:left w:val="single" w:sz="4" w:space="0" w:color="000000"/>
              <w:bottom w:val="single" w:sz="4" w:space="0" w:color="000000"/>
              <w:right w:val="single" w:sz="4" w:space="0" w:color="000000"/>
            </w:tcBorders>
          </w:tcPr>
          <w:p w14:paraId="071BC2FD" w14:textId="7E2BC165" w:rsidR="008505E7" w:rsidRDefault="00936E7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Fire </w:t>
            </w:r>
          </w:p>
        </w:tc>
        <w:tc>
          <w:tcPr>
            <w:tcW w:w="1349" w:type="dxa"/>
            <w:tcBorders>
              <w:top w:val="single" w:sz="4" w:space="0" w:color="000000"/>
              <w:left w:val="single" w:sz="4" w:space="0" w:color="000000"/>
              <w:bottom w:val="single" w:sz="4" w:space="0" w:color="000000"/>
              <w:right w:val="single" w:sz="4" w:space="0" w:color="000000"/>
            </w:tcBorders>
          </w:tcPr>
          <w:p w14:paraId="4F141DAE"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416" w:type="dxa"/>
            <w:tcBorders>
              <w:top w:val="single" w:sz="4" w:space="0" w:color="000000"/>
              <w:left w:val="single" w:sz="4" w:space="0" w:color="000000"/>
              <w:bottom w:val="single" w:sz="4" w:space="0" w:color="000000"/>
              <w:right w:val="single" w:sz="4" w:space="0" w:color="000000"/>
            </w:tcBorders>
          </w:tcPr>
          <w:p w14:paraId="51C377C6"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496" w:type="dxa"/>
            <w:tcBorders>
              <w:top w:val="single" w:sz="4" w:space="0" w:color="000000"/>
              <w:left w:val="single" w:sz="4" w:space="0" w:color="000000"/>
              <w:bottom w:val="single" w:sz="4" w:space="0" w:color="000000"/>
              <w:right w:val="single" w:sz="4" w:space="0" w:color="000000"/>
            </w:tcBorders>
          </w:tcPr>
          <w:p w14:paraId="52D6BF6B"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tc>
        <w:tc>
          <w:tcPr>
            <w:tcW w:w="1229" w:type="dxa"/>
            <w:tcBorders>
              <w:top w:val="single" w:sz="4" w:space="0" w:color="000000"/>
              <w:left w:val="single" w:sz="4" w:space="0" w:color="000000"/>
              <w:bottom w:val="single" w:sz="4" w:space="0" w:color="000000"/>
              <w:right w:val="single" w:sz="4" w:space="0" w:color="000000"/>
            </w:tcBorders>
            <w:shd w:val="clear" w:color="auto" w:fill="FF0000"/>
          </w:tcPr>
          <w:p w14:paraId="137A5992"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High</w:t>
            </w:r>
          </w:p>
        </w:tc>
      </w:tr>
      <w:tr w:rsidR="008505E7" w14:paraId="57320C4F" w14:textId="77777777" w:rsidTr="00893196">
        <w:trPr>
          <w:cantSplit/>
          <w:trHeight w:val="642"/>
          <w:tblHeader/>
        </w:trPr>
        <w:tc>
          <w:tcPr>
            <w:tcW w:w="1795" w:type="dxa"/>
            <w:tcBorders>
              <w:top w:val="single" w:sz="4" w:space="0" w:color="000000"/>
              <w:left w:val="single" w:sz="4" w:space="0" w:color="000000"/>
              <w:bottom w:val="single" w:sz="4" w:space="0" w:color="000000"/>
              <w:right w:val="single" w:sz="4" w:space="0" w:color="000000"/>
            </w:tcBorders>
          </w:tcPr>
          <w:p w14:paraId="1DFA43CD"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291" w:type="dxa"/>
            <w:tcBorders>
              <w:top w:val="single" w:sz="4" w:space="0" w:color="000000"/>
              <w:left w:val="single" w:sz="4" w:space="0" w:color="000000"/>
              <w:bottom w:val="single" w:sz="4" w:space="0" w:color="000000"/>
              <w:right w:val="single" w:sz="4" w:space="0" w:color="000000"/>
            </w:tcBorders>
          </w:tcPr>
          <w:p w14:paraId="2507CDE4" w14:textId="17582AA8" w:rsidR="008505E7" w:rsidRDefault="00936E7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Food poisoning</w:t>
            </w:r>
          </w:p>
        </w:tc>
        <w:tc>
          <w:tcPr>
            <w:tcW w:w="1349" w:type="dxa"/>
            <w:tcBorders>
              <w:top w:val="single" w:sz="4" w:space="0" w:color="000000"/>
              <w:left w:val="single" w:sz="4" w:space="0" w:color="000000"/>
              <w:bottom w:val="single" w:sz="4" w:space="0" w:color="000000"/>
              <w:right w:val="single" w:sz="4" w:space="0" w:color="000000"/>
            </w:tcBorders>
          </w:tcPr>
          <w:p w14:paraId="37726312"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416" w:type="dxa"/>
            <w:tcBorders>
              <w:top w:val="single" w:sz="4" w:space="0" w:color="000000"/>
              <w:left w:val="single" w:sz="4" w:space="0" w:color="000000"/>
              <w:bottom w:val="single" w:sz="4" w:space="0" w:color="000000"/>
              <w:right w:val="single" w:sz="4" w:space="0" w:color="000000"/>
            </w:tcBorders>
          </w:tcPr>
          <w:p w14:paraId="3A4F68B4"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496" w:type="dxa"/>
            <w:tcBorders>
              <w:top w:val="single" w:sz="4" w:space="0" w:color="000000"/>
              <w:left w:val="single" w:sz="4" w:space="0" w:color="000000"/>
              <w:bottom w:val="single" w:sz="4" w:space="0" w:color="000000"/>
              <w:right w:val="single" w:sz="4" w:space="0" w:color="000000"/>
            </w:tcBorders>
          </w:tcPr>
          <w:p w14:paraId="13709FF4"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1229" w:type="dxa"/>
            <w:tcBorders>
              <w:top w:val="single" w:sz="4" w:space="0" w:color="000000"/>
              <w:left w:val="single" w:sz="4" w:space="0" w:color="000000"/>
              <w:bottom w:val="single" w:sz="4" w:space="0" w:color="000000"/>
              <w:right w:val="single" w:sz="4" w:space="0" w:color="000000"/>
            </w:tcBorders>
            <w:shd w:val="clear" w:color="auto" w:fill="FF9900"/>
          </w:tcPr>
          <w:p w14:paraId="62B50FF5"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Medium</w:t>
            </w:r>
          </w:p>
        </w:tc>
      </w:tr>
      <w:tr w:rsidR="008505E7" w14:paraId="1971CAA4" w14:textId="77777777" w:rsidTr="00893196">
        <w:trPr>
          <w:cantSplit/>
          <w:trHeight w:val="659"/>
          <w:tblHeader/>
        </w:trPr>
        <w:tc>
          <w:tcPr>
            <w:tcW w:w="1795" w:type="dxa"/>
            <w:tcBorders>
              <w:top w:val="single" w:sz="4" w:space="0" w:color="000000"/>
              <w:left w:val="single" w:sz="4" w:space="0" w:color="000000"/>
              <w:bottom w:val="single" w:sz="4" w:space="0" w:color="000000"/>
              <w:right w:val="single" w:sz="4" w:space="0" w:color="000000"/>
            </w:tcBorders>
          </w:tcPr>
          <w:p w14:paraId="360F1887"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2291" w:type="dxa"/>
            <w:tcBorders>
              <w:top w:val="single" w:sz="4" w:space="0" w:color="000000"/>
              <w:left w:val="single" w:sz="4" w:space="0" w:color="000000"/>
              <w:bottom w:val="single" w:sz="4" w:space="0" w:color="000000"/>
              <w:right w:val="single" w:sz="4" w:space="0" w:color="000000"/>
            </w:tcBorders>
          </w:tcPr>
          <w:p w14:paraId="230307E9" w14:textId="0276B83E" w:rsidR="008505E7" w:rsidRDefault="00936E7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Fundings</w:t>
            </w:r>
          </w:p>
          <w:p w14:paraId="7C2CC71C" w14:textId="1ACEB0D8" w:rsidR="00936E77" w:rsidRDefault="00936E7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p>
        </w:tc>
        <w:tc>
          <w:tcPr>
            <w:tcW w:w="1349" w:type="dxa"/>
            <w:tcBorders>
              <w:top w:val="single" w:sz="4" w:space="0" w:color="000000"/>
              <w:left w:val="single" w:sz="4" w:space="0" w:color="000000"/>
              <w:bottom w:val="single" w:sz="4" w:space="0" w:color="000000"/>
              <w:right w:val="single" w:sz="4" w:space="0" w:color="000000"/>
            </w:tcBorders>
          </w:tcPr>
          <w:p w14:paraId="5CDF75BB"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416" w:type="dxa"/>
            <w:tcBorders>
              <w:top w:val="single" w:sz="4" w:space="0" w:color="000000"/>
              <w:left w:val="single" w:sz="4" w:space="0" w:color="000000"/>
              <w:bottom w:val="single" w:sz="4" w:space="0" w:color="000000"/>
              <w:right w:val="single" w:sz="4" w:space="0" w:color="000000"/>
            </w:tcBorders>
          </w:tcPr>
          <w:p w14:paraId="03B46AD1"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496" w:type="dxa"/>
            <w:tcBorders>
              <w:top w:val="single" w:sz="4" w:space="0" w:color="000000"/>
              <w:left w:val="single" w:sz="4" w:space="0" w:color="000000"/>
              <w:bottom w:val="single" w:sz="4" w:space="0" w:color="000000"/>
              <w:right w:val="single" w:sz="4" w:space="0" w:color="000000"/>
            </w:tcBorders>
          </w:tcPr>
          <w:p w14:paraId="3B728C46"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229" w:type="dxa"/>
            <w:tcBorders>
              <w:top w:val="single" w:sz="4" w:space="0" w:color="000000"/>
              <w:left w:val="single" w:sz="4" w:space="0" w:color="000000"/>
              <w:bottom w:val="single" w:sz="4" w:space="0" w:color="000000"/>
              <w:right w:val="single" w:sz="4" w:space="0" w:color="000000"/>
            </w:tcBorders>
            <w:shd w:val="clear" w:color="auto" w:fill="00FF00"/>
          </w:tcPr>
          <w:p w14:paraId="347C23AF"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Low</w:t>
            </w:r>
          </w:p>
        </w:tc>
      </w:tr>
      <w:tr w:rsidR="008505E7" w14:paraId="1DEB84DF" w14:textId="77777777" w:rsidTr="00893196">
        <w:trPr>
          <w:cantSplit/>
          <w:trHeight w:val="659"/>
          <w:tblHeader/>
        </w:trPr>
        <w:tc>
          <w:tcPr>
            <w:tcW w:w="1795" w:type="dxa"/>
            <w:tcBorders>
              <w:top w:val="single" w:sz="4" w:space="0" w:color="000000"/>
              <w:left w:val="single" w:sz="4" w:space="0" w:color="000000"/>
              <w:bottom w:val="single" w:sz="4" w:space="0" w:color="000000"/>
              <w:right w:val="single" w:sz="4" w:space="0" w:color="000000"/>
            </w:tcBorders>
          </w:tcPr>
          <w:p w14:paraId="3D77B5CB"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2291" w:type="dxa"/>
            <w:tcBorders>
              <w:top w:val="single" w:sz="4" w:space="0" w:color="000000"/>
              <w:left w:val="single" w:sz="4" w:space="0" w:color="000000"/>
              <w:bottom w:val="single" w:sz="4" w:space="0" w:color="000000"/>
              <w:right w:val="single" w:sz="4" w:space="0" w:color="000000"/>
            </w:tcBorders>
          </w:tcPr>
          <w:p w14:paraId="3485F9C6" w14:textId="1B1551B8" w:rsidR="008505E7" w:rsidRDefault="00936E7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Crowded area </w:t>
            </w:r>
          </w:p>
        </w:tc>
        <w:tc>
          <w:tcPr>
            <w:tcW w:w="1349" w:type="dxa"/>
            <w:tcBorders>
              <w:top w:val="single" w:sz="4" w:space="0" w:color="000000"/>
              <w:left w:val="single" w:sz="4" w:space="0" w:color="000000"/>
              <w:bottom w:val="single" w:sz="4" w:space="0" w:color="000000"/>
              <w:right w:val="single" w:sz="4" w:space="0" w:color="000000"/>
            </w:tcBorders>
          </w:tcPr>
          <w:p w14:paraId="12CBF048"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416" w:type="dxa"/>
            <w:tcBorders>
              <w:top w:val="single" w:sz="4" w:space="0" w:color="000000"/>
              <w:left w:val="single" w:sz="4" w:space="0" w:color="000000"/>
              <w:bottom w:val="single" w:sz="4" w:space="0" w:color="000000"/>
              <w:right w:val="single" w:sz="4" w:space="0" w:color="000000"/>
            </w:tcBorders>
          </w:tcPr>
          <w:p w14:paraId="34CDBB58"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1496" w:type="dxa"/>
            <w:tcBorders>
              <w:top w:val="single" w:sz="4" w:space="0" w:color="000000"/>
              <w:left w:val="single" w:sz="4" w:space="0" w:color="000000"/>
              <w:bottom w:val="single" w:sz="4" w:space="0" w:color="000000"/>
              <w:right w:val="single" w:sz="4" w:space="0" w:color="000000"/>
            </w:tcBorders>
          </w:tcPr>
          <w:p w14:paraId="5398F9DB"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w:t>
            </w:r>
          </w:p>
        </w:tc>
        <w:tc>
          <w:tcPr>
            <w:tcW w:w="1229" w:type="dxa"/>
            <w:tcBorders>
              <w:top w:val="single" w:sz="4" w:space="0" w:color="000000"/>
              <w:left w:val="single" w:sz="4" w:space="0" w:color="000000"/>
              <w:bottom w:val="single" w:sz="4" w:space="0" w:color="000000"/>
              <w:right w:val="single" w:sz="4" w:space="0" w:color="000000"/>
            </w:tcBorders>
            <w:shd w:val="clear" w:color="auto" w:fill="FF0000"/>
          </w:tcPr>
          <w:p w14:paraId="2EB62D10"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High</w:t>
            </w:r>
          </w:p>
        </w:tc>
      </w:tr>
      <w:tr w:rsidR="008505E7" w14:paraId="3355BFC7" w14:textId="77777777" w:rsidTr="00893196">
        <w:trPr>
          <w:cantSplit/>
          <w:trHeight w:val="642"/>
          <w:tblHeader/>
        </w:trPr>
        <w:tc>
          <w:tcPr>
            <w:tcW w:w="1795" w:type="dxa"/>
            <w:tcBorders>
              <w:top w:val="single" w:sz="4" w:space="0" w:color="000000"/>
              <w:left w:val="single" w:sz="4" w:space="0" w:color="000000"/>
              <w:bottom w:val="single" w:sz="4" w:space="0" w:color="000000"/>
              <w:right w:val="single" w:sz="4" w:space="0" w:color="000000"/>
            </w:tcBorders>
          </w:tcPr>
          <w:p w14:paraId="6F55327B"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2291" w:type="dxa"/>
            <w:tcBorders>
              <w:top w:val="single" w:sz="4" w:space="0" w:color="000000"/>
              <w:left w:val="single" w:sz="4" w:space="0" w:color="000000"/>
              <w:bottom w:val="single" w:sz="4" w:space="0" w:color="000000"/>
              <w:right w:val="single" w:sz="4" w:space="0" w:color="000000"/>
            </w:tcBorders>
          </w:tcPr>
          <w:p w14:paraId="327E7FDC" w14:textId="0091331A" w:rsidR="008505E7" w:rsidRDefault="00936E7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Wet floors</w:t>
            </w:r>
          </w:p>
        </w:tc>
        <w:tc>
          <w:tcPr>
            <w:tcW w:w="1349" w:type="dxa"/>
            <w:tcBorders>
              <w:top w:val="single" w:sz="4" w:space="0" w:color="000000"/>
              <w:left w:val="single" w:sz="4" w:space="0" w:color="000000"/>
              <w:bottom w:val="single" w:sz="4" w:space="0" w:color="000000"/>
              <w:right w:val="single" w:sz="4" w:space="0" w:color="000000"/>
            </w:tcBorders>
          </w:tcPr>
          <w:p w14:paraId="39FBF968"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1416" w:type="dxa"/>
            <w:tcBorders>
              <w:top w:val="single" w:sz="4" w:space="0" w:color="000000"/>
              <w:left w:val="single" w:sz="4" w:space="0" w:color="000000"/>
              <w:bottom w:val="single" w:sz="4" w:space="0" w:color="000000"/>
              <w:right w:val="single" w:sz="4" w:space="0" w:color="000000"/>
            </w:tcBorders>
          </w:tcPr>
          <w:p w14:paraId="129BE67F"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1496" w:type="dxa"/>
            <w:tcBorders>
              <w:top w:val="single" w:sz="4" w:space="0" w:color="000000"/>
              <w:left w:val="single" w:sz="4" w:space="0" w:color="000000"/>
              <w:bottom w:val="single" w:sz="4" w:space="0" w:color="000000"/>
              <w:right w:val="single" w:sz="4" w:space="0" w:color="000000"/>
            </w:tcBorders>
          </w:tcPr>
          <w:p w14:paraId="01E65634"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1229" w:type="dxa"/>
            <w:tcBorders>
              <w:top w:val="single" w:sz="4" w:space="0" w:color="000000"/>
              <w:left w:val="single" w:sz="4" w:space="0" w:color="000000"/>
              <w:bottom w:val="single" w:sz="4" w:space="0" w:color="000000"/>
              <w:right w:val="single" w:sz="4" w:space="0" w:color="000000"/>
            </w:tcBorders>
            <w:shd w:val="clear" w:color="auto" w:fill="FF9900"/>
          </w:tcPr>
          <w:p w14:paraId="7C85C7FA" w14:textId="77777777" w:rsidR="008505E7" w:rsidRDefault="008505E7" w:rsidP="00893196">
            <w:pPr>
              <w:pBdr>
                <w:top w:val="nil"/>
                <w:left w:val="nil"/>
                <w:bottom w:val="nil"/>
                <w:right w:val="nil"/>
                <w:between w:val="nil"/>
              </w:pBdr>
              <w:spacing w:after="20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Medium</w:t>
            </w:r>
          </w:p>
        </w:tc>
      </w:tr>
    </w:tbl>
    <w:p w14:paraId="7BAB0CBB" w14:textId="77777777" w:rsidR="008505E7" w:rsidRDefault="008505E7" w:rsidP="008505E7">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00" w:line="360" w:lineRule="auto"/>
        <w:jc w:val="both"/>
        <w:rPr>
          <w:rFonts w:ascii="Times New Roman" w:eastAsia="Times New Roman" w:hAnsi="Times New Roman" w:cs="Times New Roman"/>
          <w:b/>
          <w:color w:val="000000"/>
          <w:sz w:val="24"/>
          <w:szCs w:val="24"/>
        </w:rPr>
        <w:sectPr w:rsidR="008505E7" w:rsidSect="008505E7">
          <w:pgSz w:w="12240" w:h="15840"/>
          <w:pgMar w:top="1440" w:right="1440" w:bottom="1440" w:left="1440" w:header="709" w:footer="709" w:gutter="0"/>
          <w:cols w:space="720"/>
        </w:sectPr>
      </w:pPr>
    </w:p>
    <w:p w14:paraId="63AE8A5F" w14:textId="77777777" w:rsidR="0016282F" w:rsidRDefault="0016282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sectPr w:rsidR="0016282F" w:rsidSect="0016282F">
          <w:headerReference w:type="default" r:id="rId9"/>
          <w:footerReference w:type="default" r:id="rId10"/>
          <w:pgSz w:w="16838" w:h="11906" w:orient="landscape"/>
          <w:pgMar w:top="1440" w:right="1440" w:bottom="1440" w:left="1440" w:header="709" w:footer="709" w:gutter="0"/>
          <w:cols w:space="708"/>
          <w:docGrid w:linePitch="360"/>
        </w:sectPr>
      </w:pPr>
    </w:p>
    <w:p w14:paraId="216BA498" w14:textId="77777777" w:rsidR="00936E77" w:rsidRDefault="00936E77" w:rsidP="00936E77">
      <w:pPr>
        <w:pStyle w:val="Heading1"/>
        <w:jc w:val="center"/>
      </w:pPr>
      <w:r>
        <w:lastRenderedPageBreak/>
        <w:t>Managing Risks in Hospital Fundraising Events</w:t>
      </w:r>
    </w:p>
    <w:p w14:paraId="39961357" w14:textId="77777777" w:rsidR="00936E77" w:rsidRDefault="00936E77" w:rsidP="00936E77"/>
    <w:p w14:paraId="4D70CC51" w14:textId="77777777" w:rsidR="00936E77" w:rsidRDefault="00936E77" w:rsidP="00936E77"/>
    <w:p w14:paraId="7B5B25D9" w14:textId="77777777" w:rsidR="00936E77" w:rsidRPr="00936E77" w:rsidRDefault="00936E77" w:rsidP="00936E77">
      <w:pPr>
        <w:rPr>
          <w:sz w:val="24"/>
          <w:szCs w:val="24"/>
        </w:rPr>
      </w:pPr>
      <w:r w:rsidRPr="00936E77">
        <w:rPr>
          <w:sz w:val="24"/>
          <w:szCs w:val="24"/>
        </w:rPr>
        <w:t xml:space="preserve">Introduction </w:t>
      </w:r>
    </w:p>
    <w:p w14:paraId="5004A3E9" w14:textId="77777777" w:rsidR="008025F4" w:rsidRDefault="008025F4" w:rsidP="00936E77">
      <w:pPr>
        <w:rPr>
          <w:sz w:val="24"/>
          <w:szCs w:val="24"/>
        </w:rPr>
      </w:pPr>
    </w:p>
    <w:p w14:paraId="72C801A5" w14:textId="6F7C164E" w:rsidR="00936E77" w:rsidRPr="00936E77" w:rsidRDefault="00936E77" w:rsidP="00936E77">
      <w:pPr>
        <w:rPr>
          <w:sz w:val="24"/>
          <w:szCs w:val="24"/>
        </w:rPr>
      </w:pPr>
      <w:r w:rsidRPr="00936E77">
        <w:rPr>
          <w:sz w:val="24"/>
          <w:szCs w:val="24"/>
        </w:rPr>
        <w:t xml:space="preserve">Hospital fundraising events are essential for augmenting budgets and enhancing patient care, however, these events come with inherent risks that necessitate thorough assessment and management to ensure safety, security, and well-being of all participants, patients, and staff.  This essay explores the importance of risk management in hospital fundraising events, emphasizing the need for </w:t>
      </w:r>
      <w:r w:rsidR="008025F4" w:rsidRPr="00936E77">
        <w:rPr>
          <w:sz w:val="24"/>
          <w:szCs w:val="24"/>
        </w:rPr>
        <w:t>initiative-taking</w:t>
      </w:r>
      <w:r w:rsidRPr="00936E77">
        <w:rPr>
          <w:sz w:val="24"/>
          <w:szCs w:val="24"/>
        </w:rPr>
        <w:t xml:space="preserve"> strategies to mitigate potential hazards.  Through comprehensive risk assessments, hospitals can implement measures to minimise the likelihood of accidents, injuries, and financial setbacks during these events (Smith, J.  2019).  The fundraising event being assessed in this report is organised by a local hospital to support its ongoing efforts in providing quality healthcare services to the community.  The event aims to raise funds to address a critical need within the hospital’s facilities: the lack of a dedicated children’s play area in the Accident &amp; Emergency (A &amp; E) department waiting room.  Currently, pediatric patients visiting the A &amp; E department, along with their families, face extended wait times in an environment that lacks amenities catering to their specific needs.  The success of this fundraising event relies not only on achieving its financial goals but also on mitigating potential risks that may arise throughout the planning, implementation, and execution stages.  Therefore, a comprehensive risk assessment is imperative to identify, evaluate, and manage the various risks associated with organising and conducting the fundraising event.  Actions with exterior sponsors, such as monitoring organisations and crisis response associations, promotes partnership and guarantees support with activity excellent routines in event risk management (Martinez, 2019)</w:t>
      </w:r>
    </w:p>
    <w:p w14:paraId="7DF4150B" w14:textId="77777777" w:rsidR="00936E77" w:rsidRPr="00936E77" w:rsidRDefault="00936E77" w:rsidP="00936E77">
      <w:pPr>
        <w:rPr>
          <w:sz w:val="24"/>
          <w:szCs w:val="24"/>
        </w:rPr>
      </w:pPr>
      <w:r w:rsidRPr="00936E77">
        <w:rPr>
          <w:sz w:val="24"/>
          <w:szCs w:val="24"/>
        </w:rPr>
        <w:t>Event activities:</w:t>
      </w:r>
    </w:p>
    <w:p w14:paraId="17D83BD0" w14:textId="2A46C881" w:rsidR="00936E77" w:rsidRPr="00936E77" w:rsidRDefault="00936E77" w:rsidP="00936E77">
      <w:pPr>
        <w:pStyle w:val="ListParagraph"/>
        <w:widowControl/>
        <w:numPr>
          <w:ilvl w:val="0"/>
          <w:numId w:val="28"/>
        </w:numPr>
        <w:autoSpaceDE/>
        <w:autoSpaceDN/>
        <w:spacing w:after="160" w:line="278" w:lineRule="auto"/>
        <w:contextualSpacing/>
        <w:rPr>
          <w:sz w:val="24"/>
          <w:szCs w:val="24"/>
        </w:rPr>
      </w:pPr>
      <w:r w:rsidRPr="00936E77">
        <w:rPr>
          <w:sz w:val="24"/>
          <w:szCs w:val="24"/>
        </w:rPr>
        <w:t xml:space="preserve">Bake sale and culinary delights section, where volunteers and local vendors </w:t>
      </w:r>
      <w:r w:rsidR="008025F4" w:rsidRPr="00936E77">
        <w:rPr>
          <w:sz w:val="24"/>
          <w:szCs w:val="24"/>
        </w:rPr>
        <w:t>display</w:t>
      </w:r>
      <w:r w:rsidRPr="00936E77">
        <w:rPr>
          <w:sz w:val="24"/>
          <w:szCs w:val="24"/>
        </w:rPr>
        <w:t xml:space="preserve"> a variety of homemade treats, baked goods, and savoury dishes.</w:t>
      </w:r>
    </w:p>
    <w:p w14:paraId="5D7B54EE" w14:textId="7916E5A8" w:rsidR="00936E77" w:rsidRPr="00936E77" w:rsidRDefault="00936E77" w:rsidP="00936E77">
      <w:pPr>
        <w:pStyle w:val="ListParagraph"/>
        <w:widowControl/>
        <w:numPr>
          <w:ilvl w:val="0"/>
          <w:numId w:val="28"/>
        </w:numPr>
        <w:autoSpaceDE/>
        <w:autoSpaceDN/>
        <w:spacing w:after="160" w:line="278" w:lineRule="auto"/>
        <w:contextualSpacing/>
        <w:rPr>
          <w:sz w:val="24"/>
          <w:szCs w:val="24"/>
        </w:rPr>
      </w:pPr>
      <w:r w:rsidRPr="00936E77">
        <w:rPr>
          <w:sz w:val="24"/>
          <w:szCs w:val="24"/>
        </w:rPr>
        <w:t xml:space="preserve">Live cooking demonstrations </w:t>
      </w:r>
      <w:r w:rsidR="008025F4" w:rsidRPr="00936E77">
        <w:rPr>
          <w:sz w:val="24"/>
          <w:szCs w:val="24"/>
        </w:rPr>
        <w:t>where professional</w:t>
      </w:r>
      <w:r w:rsidRPr="00936E77">
        <w:rPr>
          <w:sz w:val="24"/>
          <w:szCs w:val="24"/>
        </w:rPr>
        <w:t xml:space="preserve"> chefs conduct live cooking demonstrations, focusing on family friendly recipes and nutritious options suitable for children and families.</w:t>
      </w:r>
    </w:p>
    <w:p w14:paraId="5F761B68" w14:textId="77777777" w:rsidR="00936E77" w:rsidRPr="00936E77" w:rsidRDefault="00936E77" w:rsidP="00936E77">
      <w:pPr>
        <w:pStyle w:val="ListParagraph"/>
        <w:widowControl/>
        <w:numPr>
          <w:ilvl w:val="0"/>
          <w:numId w:val="28"/>
        </w:numPr>
        <w:autoSpaceDE/>
        <w:autoSpaceDN/>
        <w:spacing w:after="160" w:line="278" w:lineRule="auto"/>
        <w:contextualSpacing/>
        <w:rPr>
          <w:sz w:val="24"/>
          <w:szCs w:val="24"/>
        </w:rPr>
      </w:pPr>
      <w:r w:rsidRPr="00936E77">
        <w:rPr>
          <w:sz w:val="24"/>
          <w:szCs w:val="24"/>
        </w:rPr>
        <w:t>Music and entertainment offered live by local artists, bands, and entertainers to create a lively and festive atmosphere at the event.</w:t>
      </w:r>
    </w:p>
    <w:p w14:paraId="510642AA" w14:textId="182CDD85" w:rsidR="00936E77" w:rsidRPr="00936E77" w:rsidRDefault="00936E77" w:rsidP="00936E77">
      <w:pPr>
        <w:pStyle w:val="ListParagraph"/>
        <w:widowControl/>
        <w:numPr>
          <w:ilvl w:val="0"/>
          <w:numId w:val="28"/>
        </w:numPr>
        <w:autoSpaceDE/>
        <w:autoSpaceDN/>
        <w:spacing w:after="160" w:line="278" w:lineRule="auto"/>
        <w:contextualSpacing/>
        <w:rPr>
          <w:sz w:val="24"/>
          <w:szCs w:val="24"/>
        </w:rPr>
      </w:pPr>
      <w:r w:rsidRPr="00936E77">
        <w:rPr>
          <w:sz w:val="24"/>
          <w:szCs w:val="24"/>
        </w:rPr>
        <w:t xml:space="preserve">Children’s interactive activities and entertainment in </w:t>
      </w:r>
      <w:r w:rsidR="008025F4" w:rsidRPr="00936E77">
        <w:rPr>
          <w:sz w:val="24"/>
          <w:szCs w:val="24"/>
        </w:rPr>
        <w:t>a designated</w:t>
      </w:r>
      <w:r w:rsidRPr="00936E77">
        <w:rPr>
          <w:sz w:val="24"/>
          <w:szCs w:val="24"/>
        </w:rPr>
        <w:t xml:space="preserve"> children’s zone offers face painting, balloon twisting, arts and crafts, storytelling sessions, and interactive games to keep children engaged and entertained throughout the event.</w:t>
      </w:r>
    </w:p>
    <w:p w14:paraId="78386472" w14:textId="67DC1FEE" w:rsidR="00936E77" w:rsidRPr="00936E77" w:rsidRDefault="00936E77" w:rsidP="00936E77">
      <w:pPr>
        <w:pStyle w:val="ListParagraph"/>
        <w:widowControl/>
        <w:numPr>
          <w:ilvl w:val="0"/>
          <w:numId w:val="28"/>
        </w:numPr>
        <w:autoSpaceDE/>
        <w:autoSpaceDN/>
        <w:spacing w:after="160" w:line="278" w:lineRule="auto"/>
        <w:contextualSpacing/>
        <w:rPr>
          <w:sz w:val="24"/>
          <w:szCs w:val="24"/>
        </w:rPr>
      </w:pPr>
      <w:r w:rsidRPr="00936E77">
        <w:rPr>
          <w:sz w:val="24"/>
          <w:szCs w:val="24"/>
        </w:rPr>
        <w:t xml:space="preserve">Silent auction and raffle draw </w:t>
      </w:r>
      <w:r w:rsidR="008025F4" w:rsidRPr="00936E77">
        <w:rPr>
          <w:sz w:val="24"/>
          <w:szCs w:val="24"/>
        </w:rPr>
        <w:t>where the</w:t>
      </w:r>
      <w:r w:rsidRPr="00936E77">
        <w:rPr>
          <w:sz w:val="24"/>
          <w:szCs w:val="24"/>
        </w:rPr>
        <w:t xml:space="preserve"> attendees have the chance to bid on the donated items, or purchase raffle tickets for other prizes.</w:t>
      </w:r>
    </w:p>
    <w:p w14:paraId="400DC50D" w14:textId="77777777" w:rsidR="008025F4" w:rsidRDefault="00936E77" w:rsidP="00936E77">
      <w:pPr>
        <w:rPr>
          <w:sz w:val="24"/>
          <w:szCs w:val="24"/>
        </w:rPr>
      </w:pPr>
      <w:r w:rsidRPr="00936E77">
        <w:rPr>
          <w:sz w:val="24"/>
          <w:szCs w:val="24"/>
        </w:rPr>
        <w:t>Method</w:t>
      </w:r>
    </w:p>
    <w:p w14:paraId="12DFE56B" w14:textId="77777777" w:rsidR="008025F4" w:rsidRDefault="008025F4" w:rsidP="00936E77">
      <w:pPr>
        <w:rPr>
          <w:sz w:val="24"/>
          <w:szCs w:val="24"/>
        </w:rPr>
      </w:pPr>
    </w:p>
    <w:p w14:paraId="0F5E97BC" w14:textId="192E45F6" w:rsidR="00936E77" w:rsidRDefault="00936E77" w:rsidP="00936E77">
      <w:pPr>
        <w:rPr>
          <w:sz w:val="24"/>
          <w:szCs w:val="24"/>
        </w:rPr>
      </w:pPr>
      <w:r w:rsidRPr="00936E77">
        <w:rPr>
          <w:sz w:val="24"/>
          <w:szCs w:val="24"/>
        </w:rPr>
        <w:t xml:space="preserve">Establishing specific unit objectives and identifying risks that might impede their achievement are necessary for effective risk management; risk management is an ongoing endeavour.  Using a collaborative strategy to risk assessment encourages participants to share their knowledge and perspectives, which results in more thorough detection and related plans </w:t>
      </w:r>
      <w:r w:rsidRPr="00936E77">
        <w:rPr>
          <w:sz w:val="24"/>
          <w:szCs w:val="24"/>
        </w:rPr>
        <w:lastRenderedPageBreak/>
        <w:t>(Patel, 2020).</w:t>
      </w:r>
      <w:r w:rsidRPr="00936E77">
        <w:rPr>
          <w:rFonts w:ascii="Times New Roman" w:eastAsia="Times New Roman" w:hAnsi="Times New Roman" w:cs="Times New Roman"/>
          <w:sz w:val="24"/>
          <w:szCs w:val="24"/>
        </w:rPr>
        <w:t xml:space="preserve">  </w:t>
      </w:r>
      <w:r w:rsidRPr="00936E77">
        <w:rPr>
          <w:sz w:val="24"/>
          <w:szCs w:val="24"/>
        </w:rPr>
        <w:t xml:space="preserve">Each potential danger detected should be examined in terms of the likelihood that it will occur and any </w:t>
      </w:r>
      <w:r w:rsidR="008025F4" w:rsidRPr="00936E77">
        <w:rPr>
          <w:sz w:val="24"/>
          <w:szCs w:val="24"/>
        </w:rPr>
        <w:t>repercussions</w:t>
      </w:r>
      <w:r w:rsidRPr="00936E77">
        <w:rPr>
          <w:sz w:val="24"/>
          <w:szCs w:val="24"/>
        </w:rPr>
        <w:t xml:space="preserve">.  With the aid of additional predetermined criteria or both qualitative and quantitative markers, a supervisor </w:t>
      </w:r>
      <w:r w:rsidR="008025F4" w:rsidRPr="00936E77">
        <w:rPr>
          <w:sz w:val="24"/>
          <w:szCs w:val="24"/>
        </w:rPr>
        <w:t>will continuously</w:t>
      </w:r>
      <w:r w:rsidRPr="00936E77">
        <w:rPr>
          <w:sz w:val="24"/>
          <w:szCs w:val="24"/>
        </w:rPr>
        <w:t xml:space="preserve"> evaluate the performance of tasks.  Every area involving public should create and put into practice a system for determining and evaluating risk; the adopted plan needs to make it possible to recognise and comprehend all the risks that an organisation faces when delivering services and accomplishing its objectives.  One technique of controlling systems that facilitates hazard identification is score-based risk assessment.  The concept of hazards is given for different effect factors and likelihood of happening.  This approach gives priority to risk, hence enhancing accountability, and facilitates the evaluation of recognised hazards with respect to their potential influence on accomplishing objectives.  By using an organised method to the gathering and evaluation of statistics, risk assessment become more accurate and </w:t>
      </w:r>
      <w:r w:rsidR="008025F4" w:rsidRPr="00936E77">
        <w:rPr>
          <w:sz w:val="24"/>
          <w:szCs w:val="24"/>
        </w:rPr>
        <w:t>dependable</w:t>
      </w:r>
      <w:r w:rsidRPr="00936E77">
        <w:rPr>
          <w:sz w:val="24"/>
          <w:szCs w:val="24"/>
        </w:rPr>
        <w:t xml:space="preserve">, allowing companies to take accurate choices aimed at reducing </w:t>
      </w:r>
      <w:r w:rsidR="008025F4" w:rsidRPr="00936E77">
        <w:rPr>
          <w:sz w:val="24"/>
          <w:szCs w:val="24"/>
        </w:rPr>
        <w:t>risks</w:t>
      </w:r>
      <w:r w:rsidRPr="00936E77">
        <w:rPr>
          <w:sz w:val="24"/>
          <w:szCs w:val="24"/>
        </w:rPr>
        <w:t xml:space="preserve"> (Nguyen, 2019).  Effective crowd management is essential for ensuring the safety and security of participants during fundraising events in hospital premises. Inadequate crowd control measures can lead to overcrowding, congestion, and potential risks of accidents and emergencies; Brown (2018) emphasises the role of comprehensive safety protocols and contingency plans in mitigating risks associated with large gatherings, including fundraising events. By establishing clear communication channels, designated evacuation routes, and trained personnel, hospitals can enhance their capacity to respond to emergencies and maintain order in crowded settings. The employees who are engaged in managing hazards and organising events benefit from ongoing education and strengthening capacities programmes that raise their abilities and increase the efficiency of evaluation of risks procedures (Jones, 2022).  Monitoring key indicators to identify emerging risks or deviations from planned outcomes, assessing and updating the risk assessment throughout event planning and execution, conducting post-event evaluations to analyse successes, challenges, and area for improvement are part of the methodology that helps prevent and control any </w:t>
      </w:r>
      <w:r w:rsidR="008025F4" w:rsidRPr="00936E77">
        <w:rPr>
          <w:sz w:val="24"/>
          <w:szCs w:val="24"/>
        </w:rPr>
        <w:t>hazard</w:t>
      </w:r>
      <w:r w:rsidRPr="00936E77">
        <w:rPr>
          <w:sz w:val="24"/>
          <w:szCs w:val="24"/>
        </w:rPr>
        <w:t>.  Organisations may discover recurrent behaviours or tendencies and create preventive mitigation plans towards upcoming occasions by leveraging archived information including knowledge learnt through prior incidents (Garcia, 2020).</w:t>
      </w:r>
    </w:p>
    <w:p w14:paraId="7C2AA37F" w14:textId="77777777" w:rsidR="002A64BF" w:rsidRPr="00936E77" w:rsidRDefault="002A64BF" w:rsidP="00936E77">
      <w:pPr>
        <w:rPr>
          <w:sz w:val="24"/>
          <w:szCs w:val="24"/>
        </w:rPr>
      </w:pPr>
    </w:p>
    <w:p w14:paraId="3AEFB54E" w14:textId="77777777" w:rsidR="00936E77" w:rsidRDefault="00936E77" w:rsidP="00936E77">
      <w:pPr>
        <w:rPr>
          <w:sz w:val="24"/>
          <w:szCs w:val="24"/>
        </w:rPr>
      </w:pPr>
      <w:r w:rsidRPr="00936E77">
        <w:rPr>
          <w:sz w:val="24"/>
          <w:szCs w:val="24"/>
        </w:rPr>
        <w:t>The importance of risk assessments</w:t>
      </w:r>
    </w:p>
    <w:p w14:paraId="4CAF337D" w14:textId="77777777" w:rsidR="002A64BF" w:rsidRPr="00936E77" w:rsidRDefault="002A64BF" w:rsidP="00936E77">
      <w:pPr>
        <w:rPr>
          <w:sz w:val="24"/>
          <w:szCs w:val="24"/>
        </w:rPr>
      </w:pPr>
    </w:p>
    <w:p w14:paraId="190B390C" w14:textId="451DBBBD" w:rsidR="00936E77" w:rsidRDefault="00936E77" w:rsidP="00936E77">
      <w:pPr>
        <w:rPr>
          <w:sz w:val="24"/>
          <w:szCs w:val="24"/>
        </w:rPr>
      </w:pPr>
      <w:r w:rsidRPr="00936E77">
        <w:rPr>
          <w:sz w:val="24"/>
          <w:szCs w:val="24"/>
        </w:rPr>
        <w:t xml:space="preserve">One of the primary challenges in organising fundraising events in hospitals is the allocation of financial resources to support various initiatives.  Smith (2019) underscores the importance of addressing budget constrains in healthcare settings to improve patient experience, particularly in emergency departments where long wait times can be stressful for children and their families, however, limited funds may hinder efforts to create conducive environments for pediatric patients, highlighting the need for strategic fundraising initiatives and resource allocation.  Accessibility is another critical factor to consider, as fundraising events should be inclusive and welcoming to all members of the community, including those with disabilities.  Risk assessments should address accessibility concerns such as wheelchair access, parking facilities, and accommodations for individuals with mobility impairments or sensory sensitivities.  The inclusion of accessibility values, encourages inclusivity, and safeguards that fundraising actions are reachable to persons with various requirements and capabilities (Wilson, 2019).  Organisers should strive to create an environment that is barrier-free and accommodating to diverse needs.  Security measures should be implemented </w:t>
      </w:r>
      <w:r w:rsidRPr="00936E77">
        <w:rPr>
          <w:sz w:val="24"/>
          <w:szCs w:val="24"/>
        </w:rPr>
        <w:lastRenderedPageBreak/>
        <w:t xml:space="preserve">accordingly, including the deployment of security personnel, surveillance systems, and access control measures to prevent unauthorised entry.  Risk assessments should evaluate the potential for foodborne illnesses, allergic reactions, and sanitation issues.  Organisers should ensure that food handling practices comply with health regulations, provide adequate handwashing facilities, and consider alternative options such as pre- packed snacks to minimise risks.  Observance to conservational policies, such as litter management and contamination control obligations, raises sustainability and diminishes the ecological effect of fundraising events (Garcia, 2019).  Understanding of food safety principles and observance to appropriate food handling preparations moderate the hazard </w:t>
      </w:r>
      <w:r w:rsidR="008025F4" w:rsidRPr="00936E77">
        <w:rPr>
          <w:sz w:val="24"/>
          <w:szCs w:val="24"/>
        </w:rPr>
        <w:t>of disorders</w:t>
      </w:r>
      <w:r w:rsidRPr="00936E77">
        <w:rPr>
          <w:sz w:val="24"/>
          <w:szCs w:val="24"/>
        </w:rPr>
        <w:t xml:space="preserve"> and responsibility related with supplying facilities at fundraising events (Smith, 2022).   Despite careful planning, unforeseen emergencies can occur during fundraising events.  Risk assessments should include contingency plans for medical emergencies, natural disasters, or other unexpected incidents.  Organisers should establish clear protocols for responding to emergencies, including the availability of first aid supplies, communication systems, and evacuation procedures to ensure the safety and well-being of all attendees.  Effective communication is essential for managing risks and ensuring the smooth operation of fundraising events within hospital settings.  Risk assessments should include strategies for communicating event details, safety protocols, and any potential disruptions to hospital staff, patients, and visitors.  Clear signage, announcements, and digital communication channels can help disseminate information and address concerns proactively.  </w:t>
      </w:r>
      <w:r w:rsidR="008025F4" w:rsidRPr="00936E77">
        <w:rPr>
          <w:sz w:val="24"/>
          <w:szCs w:val="24"/>
        </w:rPr>
        <w:t>Additional equipment</w:t>
      </w:r>
      <w:r w:rsidRPr="00936E77">
        <w:rPr>
          <w:sz w:val="24"/>
          <w:szCs w:val="24"/>
        </w:rPr>
        <w:t xml:space="preserve">, like risk management package and info analytics devices, simplifies the risk assessment procedure, adjusts information correctness, and enables real-immediate examining of </w:t>
      </w:r>
      <w:r w:rsidR="008025F4" w:rsidRPr="00936E77">
        <w:rPr>
          <w:sz w:val="24"/>
          <w:szCs w:val="24"/>
        </w:rPr>
        <w:t>hazards</w:t>
      </w:r>
      <w:r w:rsidRPr="00936E77">
        <w:rPr>
          <w:sz w:val="24"/>
          <w:szCs w:val="24"/>
        </w:rPr>
        <w:t xml:space="preserve"> (Adams, 2021).</w:t>
      </w:r>
    </w:p>
    <w:p w14:paraId="0383B356" w14:textId="77777777" w:rsidR="002A64BF" w:rsidRPr="00936E77" w:rsidRDefault="002A64BF" w:rsidP="00936E77">
      <w:pPr>
        <w:rPr>
          <w:sz w:val="24"/>
          <w:szCs w:val="24"/>
        </w:rPr>
      </w:pPr>
    </w:p>
    <w:p w14:paraId="5E982E51" w14:textId="77777777" w:rsidR="00936E77" w:rsidRDefault="00936E77" w:rsidP="00936E77">
      <w:pPr>
        <w:rPr>
          <w:sz w:val="24"/>
          <w:szCs w:val="24"/>
        </w:rPr>
      </w:pPr>
      <w:r w:rsidRPr="00936E77">
        <w:rPr>
          <w:sz w:val="24"/>
          <w:szCs w:val="24"/>
        </w:rPr>
        <w:t>Compliance with legal and ethical standards</w:t>
      </w:r>
    </w:p>
    <w:p w14:paraId="3902B8FB" w14:textId="77777777" w:rsidR="002A64BF" w:rsidRPr="00936E77" w:rsidRDefault="002A64BF" w:rsidP="00936E77">
      <w:pPr>
        <w:rPr>
          <w:sz w:val="24"/>
          <w:szCs w:val="24"/>
        </w:rPr>
      </w:pPr>
    </w:p>
    <w:p w14:paraId="0F35B2AB" w14:textId="77777777" w:rsidR="00936E77" w:rsidRPr="00936E77" w:rsidRDefault="00936E77" w:rsidP="00936E77">
      <w:pPr>
        <w:rPr>
          <w:sz w:val="24"/>
          <w:szCs w:val="24"/>
        </w:rPr>
      </w:pPr>
      <w:r w:rsidRPr="00936E77">
        <w:rPr>
          <w:sz w:val="24"/>
          <w:szCs w:val="24"/>
        </w:rPr>
        <w:t xml:space="preserve">Adhering to legal and ethical standards is crucial to mitigate legal liabilities and maintain public trust in fundraising initiatives.  Hospitals must uphold transparency, confidentiality, and ethical fundraising practices to safeguard their reputation and credibility (Taylor, 2021).  Taylor (2021) highlights the importance of legal oversight and due diligence in fundraising endeavours, particularly concerning financial transparency, donor privacy and ethical fundraising practices.  Hospitals must uphold ethical standards and accountability in their fundraising efforts to maintain public trust and credibility within their communities. Organising a fundraising event within a hospital necessitates compliance with various legal and regulatory requirements.  Risk assessments should address factors such as permits, licenses, insurance coverage, and adherence to hospital policies and procedures.  It is essential to consult with legal counsel and relevant authorities to ensure full compliance and mitigate the risk of legal liabilities.  Loyalty to authorisation specifications, such as those programmed ahead by the Joint Commission, establishes a promise to value and security in healthcare event projection, improving administrative status and sponsor loyalty (Patel, 2018).  Maintain transparency in financial reporting and expenditure, communicate event objectives and impact to donors and stakeholders, address concerns or complaints promptly to mitigate negative publicity, are part of reputation management to avoid a possible negative publicity against the hospital.  All risk assessment findings, control measures, and action plans needs to be documented, risk management strategies communicate to the event organizers, staff, and stakeholders, and ensure clear channels of communication for reporting and addressing risk-related issues during the event.  Accordance with construction protocols and fire protection principles safeguards the physical protection of attendees and </w:t>
      </w:r>
      <w:r w:rsidRPr="00936E77">
        <w:rPr>
          <w:sz w:val="24"/>
          <w:szCs w:val="24"/>
        </w:rPr>
        <w:lastRenderedPageBreak/>
        <w:t>staff at fundraising events, reducing the risk of harms or goods destruction (Adams, 2020).  A contingency plan for addressing unforeseen events or emergencies, identifying alternative sources of funding or support in case of financial setbacks, an established protocol for crisis communication and decision-making during emergencies ensure the success of fundraising initiatives.  By incorporating compliance with standards and legislation into the risk assessment methodology, hospitals can ensure that their fundraising events follow to legal and ethical requirements, maintain regulatory compliance, and mitigate legal risks and liabilities effectively.  Accordance with confidentiality principles, is fundamental to maintaining patient privacy and upholding confidence in healthcare associations holding fundraising actions (Nguyen, 2021).</w:t>
      </w:r>
    </w:p>
    <w:p w14:paraId="00380CFE" w14:textId="77777777" w:rsidR="002A64BF" w:rsidRDefault="002A64BF" w:rsidP="00936E77">
      <w:pPr>
        <w:rPr>
          <w:sz w:val="24"/>
          <w:szCs w:val="24"/>
        </w:rPr>
      </w:pPr>
    </w:p>
    <w:p w14:paraId="1A140A6A" w14:textId="2FBCFCB9" w:rsidR="00936E77" w:rsidRPr="00936E77" w:rsidRDefault="00936E77" w:rsidP="00936E77">
      <w:pPr>
        <w:rPr>
          <w:sz w:val="24"/>
          <w:szCs w:val="24"/>
        </w:rPr>
      </w:pPr>
      <w:r w:rsidRPr="00936E77">
        <w:rPr>
          <w:sz w:val="24"/>
          <w:szCs w:val="24"/>
        </w:rPr>
        <w:t>Conclusion and recommendations</w:t>
      </w:r>
    </w:p>
    <w:p w14:paraId="067B19A7" w14:textId="77777777" w:rsidR="002A64BF" w:rsidRDefault="002A64BF" w:rsidP="00936E77">
      <w:pPr>
        <w:rPr>
          <w:sz w:val="24"/>
          <w:szCs w:val="24"/>
        </w:rPr>
      </w:pPr>
    </w:p>
    <w:p w14:paraId="0DE03224" w14:textId="65D3C0FC" w:rsidR="00936E77" w:rsidRPr="00936E77" w:rsidRDefault="00936E77" w:rsidP="00936E77">
      <w:pPr>
        <w:rPr>
          <w:sz w:val="24"/>
          <w:szCs w:val="24"/>
        </w:rPr>
      </w:pPr>
      <w:r w:rsidRPr="00936E77">
        <w:rPr>
          <w:sz w:val="24"/>
          <w:szCs w:val="24"/>
        </w:rPr>
        <w:t xml:space="preserve">Through a combination of engaging activities, community involvement, and fundraising efforts, the event organised by the hospital aims to make a positive impact on pediatric healthcare delivery and patient experience.  By bringing together individuals and organisations committed to supporting the hospital’s mission, the event seeks to create lasting change and improve the well-being of children and families in the community.  Partnership with exterior specialists, such as risk management advisors and authorised experts, offers significant understandings and control for improving risk management policies and tackling rising risks in healthcare action projection (Adams, 2019).  In conclusion, managing risks in hospital fundraising events is vital for ensuring their success and safety; the risk assessments are indispensable tools to navigate the complexity of organising such events effectively.  Non-stop supervising and valuation of risk management performs are crucial for finding parts of perfection and familiarising to growing pressures, confirming the current security and achievement of healthcare fundraising actions (Patel, 2021).  By identifying and addressing potential risks associated with  financial, logistical, and regulatory factors, implementing crowd control measures, and upholding legal and ethical standards, hospitals cand enhance the effectiveness of their fundraising efforts and maintain public trust in their healthcare mission, also can strengthen their relationships with donors, volunteers, and stakeholders, ensuring continued support for their critical healthcare missions.  Systematic evaluation and revise of risk valuation procedures and likelihood strategies confirm configuration with developing monitoring supplies and industry best practices, justifying </w:t>
      </w:r>
      <w:r w:rsidR="008025F4" w:rsidRPr="00936E77">
        <w:rPr>
          <w:sz w:val="24"/>
          <w:szCs w:val="24"/>
        </w:rPr>
        <w:t>dangers</w:t>
      </w:r>
      <w:r w:rsidRPr="00936E77">
        <w:rPr>
          <w:sz w:val="24"/>
          <w:szCs w:val="24"/>
        </w:rPr>
        <w:t xml:space="preserve"> and protection of the reputation of healthcare associations (Jones, 2021).</w:t>
      </w:r>
    </w:p>
    <w:p w14:paraId="6CF05A4E" w14:textId="77777777" w:rsidR="00936E77" w:rsidRPr="00936E77" w:rsidRDefault="00936E77" w:rsidP="00936E77">
      <w:pPr>
        <w:rPr>
          <w:sz w:val="24"/>
          <w:szCs w:val="24"/>
        </w:rPr>
      </w:pPr>
      <w:r w:rsidRPr="00936E77">
        <w:rPr>
          <w:sz w:val="24"/>
          <w:szCs w:val="24"/>
        </w:rPr>
        <w:t>Based on the findings of the risk assessment and compliance analysis, the following recommendations are proposed to strengthen the risk management framework for hospital fundraising events:</w:t>
      </w:r>
    </w:p>
    <w:p w14:paraId="5BC54A43" w14:textId="4B9AE028" w:rsidR="00936E77" w:rsidRPr="00936E77" w:rsidRDefault="00936E77" w:rsidP="00936E77">
      <w:pPr>
        <w:pStyle w:val="ListParagraph"/>
        <w:widowControl/>
        <w:numPr>
          <w:ilvl w:val="0"/>
          <w:numId w:val="27"/>
        </w:numPr>
        <w:autoSpaceDE/>
        <w:autoSpaceDN/>
        <w:spacing w:after="160" w:line="278" w:lineRule="auto"/>
        <w:contextualSpacing/>
        <w:rPr>
          <w:sz w:val="24"/>
          <w:szCs w:val="24"/>
        </w:rPr>
      </w:pPr>
      <w:r w:rsidRPr="00936E77">
        <w:rPr>
          <w:sz w:val="24"/>
          <w:szCs w:val="24"/>
        </w:rPr>
        <w:t xml:space="preserve"> Implement robust </w:t>
      </w:r>
      <w:r w:rsidR="008025F4" w:rsidRPr="00936E77">
        <w:rPr>
          <w:sz w:val="24"/>
          <w:szCs w:val="24"/>
        </w:rPr>
        <w:t>monetary management</w:t>
      </w:r>
      <w:r w:rsidRPr="00936E77">
        <w:rPr>
          <w:sz w:val="24"/>
          <w:szCs w:val="24"/>
        </w:rPr>
        <w:t xml:space="preserve"> practices to ensure transparency, accountability, and accuracy in reporting fundraising revenues, expenses, and allocations.  Provide donors and stakeholders with clear and accessible information about how funds are raised, managed, and </w:t>
      </w:r>
      <w:r w:rsidR="008025F4" w:rsidRPr="00936E77">
        <w:rPr>
          <w:sz w:val="24"/>
          <w:szCs w:val="24"/>
        </w:rPr>
        <w:t>used</w:t>
      </w:r>
      <w:r w:rsidRPr="00936E77">
        <w:rPr>
          <w:sz w:val="24"/>
          <w:szCs w:val="24"/>
        </w:rPr>
        <w:t xml:space="preserve"> to support hospital programs and initiatives.  Highlighting clarity and liability in risk communication improves sponsor self-assurance and certainty in the occasion projecting activity, promoting confident bonds with benefactors, supporters, and the public (Garcia, 2021).</w:t>
      </w:r>
    </w:p>
    <w:p w14:paraId="3ABEC3C8" w14:textId="77777777" w:rsidR="00936E77" w:rsidRPr="00936E77" w:rsidRDefault="00936E77" w:rsidP="00936E77">
      <w:pPr>
        <w:pStyle w:val="ListParagraph"/>
        <w:widowControl/>
        <w:numPr>
          <w:ilvl w:val="0"/>
          <w:numId w:val="27"/>
        </w:numPr>
        <w:autoSpaceDE/>
        <w:autoSpaceDN/>
        <w:spacing w:after="160" w:line="278" w:lineRule="auto"/>
        <w:contextualSpacing/>
        <w:rPr>
          <w:sz w:val="24"/>
          <w:szCs w:val="24"/>
        </w:rPr>
      </w:pPr>
      <w:r w:rsidRPr="00936E77">
        <w:rPr>
          <w:sz w:val="24"/>
          <w:szCs w:val="24"/>
        </w:rPr>
        <w:t xml:space="preserve">Improve safety and security measures to mitigate risks related to crowd management, emergency response, and property protection during fundraising events.  Invest in </w:t>
      </w:r>
      <w:r w:rsidRPr="00936E77">
        <w:rPr>
          <w:sz w:val="24"/>
          <w:szCs w:val="24"/>
        </w:rPr>
        <w:lastRenderedPageBreak/>
        <w:t>training, resources, and technology to improve event security, monitor crowd flow, and respond effectively to emergencies or incidents as they arise.</w:t>
      </w:r>
    </w:p>
    <w:p w14:paraId="4369A885" w14:textId="77777777" w:rsidR="00936E77" w:rsidRPr="00936E77" w:rsidRDefault="00936E77" w:rsidP="00936E77">
      <w:pPr>
        <w:pStyle w:val="ListParagraph"/>
        <w:widowControl/>
        <w:numPr>
          <w:ilvl w:val="0"/>
          <w:numId w:val="27"/>
        </w:numPr>
        <w:autoSpaceDE/>
        <w:autoSpaceDN/>
        <w:spacing w:after="160" w:line="278" w:lineRule="auto"/>
        <w:contextualSpacing/>
        <w:rPr>
          <w:sz w:val="24"/>
          <w:szCs w:val="24"/>
        </w:rPr>
      </w:pPr>
      <w:r w:rsidRPr="00936E77">
        <w:rPr>
          <w:sz w:val="24"/>
          <w:szCs w:val="24"/>
        </w:rPr>
        <w:t>Review and update existing policies, procedures, and guidelines to align with current regulations, industry standards, and best practices in fundraising compliance.  Establish clear protocols for obtaining permits, licenses, and approvals for fundraising activities, and ensure that all staff, volunteers, and stakeholders are aware of their roles and responsibilities in maintaining compliance.</w:t>
      </w:r>
    </w:p>
    <w:p w14:paraId="4772E07D" w14:textId="77777777" w:rsidR="00936E77" w:rsidRPr="00936E77" w:rsidRDefault="00936E77" w:rsidP="00936E77">
      <w:pPr>
        <w:pStyle w:val="ListParagraph"/>
        <w:widowControl/>
        <w:numPr>
          <w:ilvl w:val="0"/>
          <w:numId w:val="27"/>
        </w:numPr>
        <w:autoSpaceDE/>
        <w:autoSpaceDN/>
        <w:spacing w:after="160" w:line="278" w:lineRule="auto"/>
        <w:contextualSpacing/>
        <w:rPr>
          <w:sz w:val="24"/>
          <w:szCs w:val="24"/>
        </w:rPr>
      </w:pPr>
      <w:r w:rsidRPr="00936E77">
        <w:rPr>
          <w:sz w:val="24"/>
          <w:szCs w:val="24"/>
        </w:rPr>
        <w:t>Promote a culture of compliance and ethical behaviour within the organisation by providing ongoing training, education and support to staff, volunteers and stakeholders involved in fundraising activities.  Encourage open communication, transparency, and accountability in all aspects of fundraising operations, and establish mechanisms for reporting and addressing compliance concerns or violations promptly.</w:t>
      </w:r>
    </w:p>
    <w:p w14:paraId="1D1B0403" w14:textId="77777777" w:rsidR="00936E77" w:rsidRPr="00936E77" w:rsidRDefault="00936E77" w:rsidP="00936E77">
      <w:pPr>
        <w:pStyle w:val="ListParagraph"/>
        <w:widowControl/>
        <w:numPr>
          <w:ilvl w:val="0"/>
          <w:numId w:val="27"/>
        </w:numPr>
        <w:autoSpaceDE/>
        <w:autoSpaceDN/>
        <w:spacing w:after="160" w:line="278" w:lineRule="auto"/>
        <w:contextualSpacing/>
        <w:rPr>
          <w:sz w:val="24"/>
          <w:szCs w:val="24"/>
        </w:rPr>
      </w:pPr>
      <w:r w:rsidRPr="00936E77">
        <w:rPr>
          <w:sz w:val="24"/>
          <w:szCs w:val="24"/>
        </w:rPr>
        <w:t>Implement processes for continuous monitoring, evaluation, and improvement of the risk management and compliance framework for hospital fundraising events.  Conduct regular reviews, assessments, and audits to identify emerging risks, evaluate the effectiveness of control measures, and make necessary adjustments to ensure ongoing compliance and effectiveness.</w:t>
      </w:r>
    </w:p>
    <w:p w14:paraId="3075B072" w14:textId="77777777" w:rsidR="00936E77" w:rsidRPr="00936E77" w:rsidRDefault="00936E77" w:rsidP="00936E77">
      <w:pPr>
        <w:pStyle w:val="ListParagraph"/>
        <w:rPr>
          <w:sz w:val="24"/>
          <w:szCs w:val="24"/>
        </w:rPr>
      </w:pPr>
    </w:p>
    <w:p w14:paraId="2DFED896" w14:textId="1159620C" w:rsidR="00936E77" w:rsidRPr="00936E77" w:rsidRDefault="00936E77" w:rsidP="00936E77">
      <w:pPr>
        <w:pStyle w:val="ListParagraph"/>
        <w:ind w:left="720" w:firstLine="0"/>
        <w:rPr>
          <w:sz w:val="24"/>
          <w:szCs w:val="24"/>
        </w:rPr>
      </w:pPr>
      <w:r w:rsidRPr="00936E77">
        <w:rPr>
          <w:sz w:val="24"/>
          <w:szCs w:val="24"/>
        </w:rPr>
        <w:t xml:space="preserve">By applying these recommendations, hospitals can strengthen their risk management practices, enhance regulatory compliance, and safeguard the integrity and success of their fundraising events, </w:t>
      </w:r>
      <w:r w:rsidR="008025F4" w:rsidRPr="00936E77">
        <w:rPr>
          <w:sz w:val="24"/>
          <w:szCs w:val="24"/>
        </w:rPr>
        <w:t>supporting</w:t>
      </w:r>
      <w:r w:rsidRPr="00936E77">
        <w:rPr>
          <w:sz w:val="24"/>
          <w:szCs w:val="24"/>
        </w:rPr>
        <w:t xml:space="preserve"> their mission to provide high-quality healthcare services to their communities.  This conclusion and recommendations section provides a summary of key insights and proposed actions to improve the risk management and compliance framework for hospital fundraising events.</w:t>
      </w:r>
    </w:p>
    <w:p w14:paraId="24C7BDCC" w14:textId="77777777" w:rsidR="00936E77" w:rsidRPr="00936E77" w:rsidRDefault="00936E77" w:rsidP="00936E77">
      <w:pPr>
        <w:rPr>
          <w:sz w:val="24"/>
          <w:szCs w:val="24"/>
        </w:rPr>
      </w:pPr>
    </w:p>
    <w:p w14:paraId="1DC903A4" w14:textId="77777777" w:rsidR="00936E77" w:rsidRPr="00936E77" w:rsidRDefault="00936E77" w:rsidP="00936E77">
      <w:pPr>
        <w:rPr>
          <w:sz w:val="24"/>
          <w:szCs w:val="24"/>
        </w:rPr>
      </w:pPr>
    </w:p>
    <w:p w14:paraId="653CD10B" w14:textId="77777777" w:rsidR="005C2C7A" w:rsidRPr="00936E77" w:rsidRDefault="005C2C7A" w:rsidP="005C2C7A">
      <w:pPr>
        <w:jc w:val="both"/>
        <w:rPr>
          <w:rFonts w:asciiTheme="minorHAnsi" w:eastAsia="Arial Unicode MS" w:hAnsiTheme="minorHAnsi" w:cstheme="minorHAnsi"/>
          <w:sz w:val="24"/>
          <w:szCs w:val="24"/>
        </w:rPr>
      </w:pPr>
    </w:p>
    <w:p w14:paraId="692C7F6A" w14:textId="77777777" w:rsidR="005C2C7A" w:rsidRPr="00936E77" w:rsidRDefault="005C2C7A" w:rsidP="005C2C7A">
      <w:pPr>
        <w:jc w:val="both"/>
        <w:rPr>
          <w:rFonts w:asciiTheme="minorHAnsi" w:eastAsia="Arial Unicode MS" w:hAnsiTheme="minorHAnsi" w:cstheme="minorHAnsi"/>
          <w:sz w:val="24"/>
          <w:szCs w:val="24"/>
        </w:rPr>
      </w:pPr>
    </w:p>
    <w:p w14:paraId="6B20FF57" w14:textId="77777777" w:rsidR="005C2C7A" w:rsidRPr="00936E77" w:rsidRDefault="005C2C7A" w:rsidP="005C2C7A">
      <w:pPr>
        <w:jc w:val="both"/>
        <w:rPr>
          <w:rFonts w:asciiTheme="minorHAnsi" w:eastAsia="Arial Unicode MS" w:hAnsiTheme="minorHAnsi" w:cstheme="minorHAnsi"/>
          <w:sz w:val="24"/>
          <w:szCs w:val="24"/>
        </w:rPr>
      </w:pPr>
    </w:p>
    <w:p w14:paraId="6BF093C8" w14:textId="77777777" w:rsidR="005C2C7A" w:rsidRPr="00936E77" w:rsidRDefault="005C2C7A" w:rsidP="005C2C7A">
      <w:pPr>
        <w:jc w:val="both"/>
        <w:rPr>
          <w:rFonts w:asciiTheme="minorHAnsi" w:eastAsia="Arial Unicode MS" w:hAnsiTheme="minorHAnsi" w:cstheme="minorHAnsi"/>
          <w:sz w:val="24"/>
          <w:szCs w:val="24"/>
        </w:rPr>
      </w:pPr>
    </w:p>
    <w:p w14:paraId="07623E25" w14:textId="77777777" w:rsidR="005C2C7A" w:rsidRPr="00936E77" w:rsidRDefault="005C2C7A" w:rsidP="005C2C7A">
      <w:pPr>
        <w:jc w:val="both"/>
        <w:rPr>
          <w:rFonts w:asciiTheme="minorHAnsi" w:eastAsia="Arial Unicode MS" w:hAnsiTheme="minorHAnsi" w:cstheme="minorHAnsi"/>
          <w:sz w:val="24"/>
          <w:szCs w:val="24"/>
        </w:rPr>
      </w:pPr>
    </w:p>
    <w:p w14:paraId="5EF6C6DD" w14:textId="77777777" w:rsidR="005C2C7A" w:rsidRPr="00936E77" w:rsidRDefault="005C2C7A" w:rsidP="005C2C7A">
      <w:pPr>
        <w:jc w:val="both"/>
        <w:rPr>
          <w:rFonts w:asciiTheme="minorHAnsi" w:eastAsia="Arial Unicode MS" w:hAnsiTheme="minorHAnsi" w:cstheme="minorHAnsi"/>
          <w:sz w:val="24"/>
          <w:szCs w:val="24"/>
        </w:rPr>
      </w:pPr>
    </w:p>
    <w:p w14:paraId="3C37F9AE" w14:textId="77777777" w:rsidR="005C2C7A" w:rsidRPr="00936E77" w:rsidRDefault="005C2C7A" w:rsidP="005C2C7A">
      <w:pPr>
        <w:jc w:val="both"/>
        <w:rPr>
          <w:rFonts w:asciiTheme="minorHAnsi" w:eastAsia="Arial Unicode MS" w:hAnsiTheme="minorHAnsi" w:cstheme="minorHAnsi"/>
          <w:sz w:val="24"/>
          <w:szCs w:val="24"/>
        </w:rPr>
      </w:pPr>
    </w:p>
    <w:p w14:paraId="4A72698B" w14:textId="77777777" w:rsidR="005C2C7A" w:rsidRPr="00936E77" w:rsidRDefault="005C2C7A" w:rsidP="005C2C7A">
      <w:pPr>
        <w:jc w:val="both"/>
        <w:rPr>
          <w:rFonts w:asciiTheme="minorHAnsi" w:eastAsia="Arial Unicode MS" w:hAnsiTheme="minorHAnsi" w:cstheme="minorHAnsi"/>
          <w:sz w:val="24"/>
          <w:szCs w:val="24"/>
        </w:rPr>
      </w:pPr>
    </w:p>
    <w:p w14:paraId="2247D177" w14:textId="77777777" w:rsidR="005C2C7A" w:rsidRPr="00936E77" w:rsidRDefault="005C2C7A" w:rsidP="005C2C7A">
      <w:pPr>
        <w:jc w:val="both"/>
        <w:rPr>
          <w:rFonts w:asciiTheme="minorHAnsi" w:eastAsia="Arial Unicode MS" w:hAnsiTheme="minorHAnsi" w:cstheme="minorHAnsi"/>
          <w:sz w:val="24"/>
          <w:szCs w:val="24"/>
        </w:rPr>
      </w:pPr>
    </w:p>
    <w:p w14:paraId="383B7F26" w14:textId="77777777" w:rsidR="005C2C7A" w:rsidRPr="00936E77" w:rsidRDefault="005C2C7A" w:rsidP="005C2C7A">
      <w:pPr>
        <w:jc w:val="both"/>
        <w:rPr>
          <w:rFonts w:asciiTheme="minorHAnsi" w:eastAsia="Arial Unicode MS" w:hAnsiTheme="minorHAnsi" w:cstheme="minorHAnsi"/>
          <w:sz w:val="24"/>
          <w:szCs w:val="24"/>
        </w:rPr>
      </w:pPr>
    </w:p>
    <w:p w14:paraId="5D89A221" w14:textId="77777777" w:rsidR="005C2C7A" w:rsidRPr="00936E77" w:rsidRDefault="005C2C7A" w:rsidP="005C2C7A">
      <w:pPr>
        <w:jc w:val="both"/>
        <w:rPr>
          <w:rFonts w:asciiTheme="minorHAnsi" w:eastAsia="Arial Unicode MS" w:hAnsiTheme="minorHAnsi" w:cstheme="minorHAnsi"/>
          <w:sz w:val="24"/>
          <w:szCs w:val="24"/>
        </w:rPr>
      </w:pPr>
    </w:p>
    <w:p w14:paraId="041DB737" w14:textId="77777777" w:rsidR="005C2C7A" w:rsidRPr="00936E77" w:rsidRDefault="005C2C7A" w:rsidP="005C2C7A">
      <w:pPr>
        <w:jc w:val="both"/>
        <w:rPr>
          <w:rFonts w:asciiTheme="minorHAnsi" w:eastAsia="Arial Unicode MS" w:hAnsiTheme="minorHAnsi" w:cstheme="minorHAnsi"/>
          <w:sz w:val="24"/>
          <w:szCs w:val="24"/>
        </w:rPr>
      </w:pPr>
    </w:p>
    <w:p w14:paraId="030A69B0" w14:textId="77777777" w:rsidR="005C2C7A" w:rsidRPr="00936E77" w:rsidRDefault="005C2C7A" w:rsidP="005C2C7A">
      <w:pPr>
        <w:jc w:val="both"/>
        <w:rPr>
          <w:rFonts w:asciiTheme="minorHAnsi" w:eastAsia="Arial Unicode MS" w:hAnsiTheme="minorHAnsi" w:cstheme="minorHAnsi"/>
          <w:sz w:val="24"/>
          <w:szCs w:val="24"/>
        </w:rPr>
      </w:pPr>
    </w:p>
    <w:p w14:paraId="41853AF6" w14:textId="77777777" w:rsidR="005C2C7A" w:rsidRPr="00936E77" w:rsidRDefault="005C2C7A" w:rsidP="005C2C7A">
      <w:pPr>
        <w:jc w:val="both"/>
        <w:rPr>
          <w:rFonts w:asciiTheme="minorHAnsi" w:eastAsia="Arial Unicode MS" w:hAnsiTheme="minorHAnsi" w:cstheme="minorHAnsi"/>
          <w:sz w:val="24"/>
          <w:szCs w:val="24"/>
        </w:rPr>
      </w:pPr>
    </w:p>
    <w:p w14:paraId="2F33C7C9" w14:textId="77777777" w:rsidR="005C2C7A" w:rsidRPr="00936E77" w:rsidRDefault="005C2C7A" w:rsidP="005C2C7A">
      <w:pPr>
        <w:jc w:val="both"/>
        <w:rPr>
          <w:rFonts w:asciiTheme="minorHAnsi" w:eastAsia="Arial Unicode MS" w:hAnsiTheme="minorHAnsi" w:cstheme="minorHAnsi"/>
          <w:sz w:val="24"/>
          <w:szCs w:val="24"/>
        </w:rPr>
      </w:pPr>
    </w:p>
    <w:p w14:paraId="70844162" w14:textId="77777777" w:rsidR="005C2C7A" w:rsidRPr="00936E77" w:rsidRDefault="005C2C7A" w:rsidP="005C2C7A">
      <w:pPr>
        <w:jc w:val="both"/>
        <w:rPr>
          <w:rFonts w:asciiTheme="minorHAnsi" w:eastAsia="Arial Unicode MS" w:hAnsiTheme="minorHAnsi" w:cstheme="minorHAnsi"/>
          <w:sz w:val="24"/>
          <w:szCs w:val="24"/>
        </w:rPr>
      </w:pPr>
    </w:p>
    <w:p w14:paraId="1CCD44DD" w14:textId="77777777" w:rsidR="005C2C7A" w:rsidRPr="00936E77" w:rsidRDefault="005C2C7A" w:rsidP="005C2C7A">
      <w:pPr>
        <w:jc w:val="both"/>
        <w:rPr>
          <w:rFonts w:asciiTheme="minorHAnsi" w:eastAsia="Arial Unicode MS" w:hAnsiTheme="minorHAnsi" w:cstheme="minorHAnsi"/>
          <w:sz w:val="24"/>
          <w:szCs w:val="24"/>
        </w:rPr>
      </w:pPr>
    </w:p>
    <w:p w14:paraId="09D79A4B" w14:textId="77777777" w:rsidR="005C2C7A" w:rsidRPr="00936E77" w:rsidRDefault="005C2C7A" w:rsidP="005C2C7A">
      <w:pPr>
        <w:jc w:val="both"/>
        <w:rPr>
          <w:rFonts w:asciiTheme="minorHAnsi" w:eastAsia="Arial Unicode MS" w:hAnsiTheme="minorHAnsi" w:cstheme="minorHAnsi"/>
          <w:sz w:val="24"/>
          <w:szCs w:val="24"/>
        </w:rPr>
      </w:pPr>
    </w:p>
    <w:p w14:paraId="2F46F814" w14:textId="77777777" w:rsidR="005C2C7A" w:rsidRPr="00936E77" w:rsidRDefault="005C2C7A" w:rsidP="005C2C7A">
      <w:pPr>
        <w:jc w:val="both"/>
        <w:rPr>
          <w:rFonts w:asciiTheme="minorHAnsi" w:eastAsia="Arial Unicode MS" w:hAnsiTheme="minorHAnsi" w:cstheme="minorHAnsi"/>
          <w:sz w:val="24"/>
          <w:szCs w:val="24"/>
        </w:rPr>
      </w:pPr>
    </w:p>
    <w:p w14:paraId="50A7E005" w14:textId="77777777" w:rsidR="005C2C7A" w:rsidRPr="00936E77" w:rsidRDefault="005C2C7A" w:rsidP="005C2C7A">
      <w:pPr>
        <w:jc w:val="both"/>
        <w:rPr>
          <w:rFonts w:asciiTheme="minorHAnsi" w:eastAsia="Arial Unicode MS" w:hAnsiTheme="minorHAnsi" w:cstheme="minorHAnsi"/>
          <w:sz w:val="24"/>
          <w:szCs w:val="24"/>
        </w:rPr>
      </w:pPr>
    </w:p>
    <w:p w14:paraId="534A07F7" w14:textId="77777777" w:rsidR="005C2C7A" w:rsidRPr="00936E77" w:rsidRDefault="005C2C7A" w:rsidP="005C2C7A">
      <w:pPr>
        <w:jc w:val="both"/>
        <w:rPr>
          <w:rFonts w:asciiTheme="minorHAnsi" w:eastAsia="Arial Unicode MS" w:hAnsiTheme="minorHAnsi" w:cstheme="minorHAnsi"/>
          <w:sz w:val="24"/>
          <w:szCs w:val="24"/>
        </w:rPr>
      </w:pPr>
    </w:p>
    <w:p w14:paraId="5A207B00" w14:textId="77777777" w:rsidR="005C2C7A" w:rsidRPr="00936E77" w:rsidRDefault="005C2C7A" w:rsidP="005C2C7A">
      <w:pPr>
        <w:jc w:val="both"/>
        <w:rPr>
          <w:rFonts w:asciiTheme="minorHAnsi" w:eastAsia="Arial Unicode MS" w:hAnsiTheme="minorHAnsi" w:cstheme="minorHAnsi"/>
          <w:sz w:val="24"/>
          <w:szCs w:val="24"/>
        </w:rPr>
      </w:pPr>
    </w:p>
    <w:p w14:paraId="2B1B9AE6" w14:textId="77777777" w:rsidR="005C2C7A" w:rsidRPr="00936E77" w:rsidRDefault="005C2C7A" w:rsidP="005C2C7A">
      <w:pPr>
        <w:jc w:val="both"/>
        <w:rPr>
          <w:rFonts w:asciiTheme="minorHAnsi" w:eastAsia="Arial Unicode MS" w:hAnsiTheme="minorHAnsi" w:cstheme="minorHAnsi"/>
          <w:sz w:val="24"/>
          <w:szCs w:val="24"/>
        </w:rPr>
      </w:pPr>
    </w:p>
    <w:p w14:paraId="5D12329C" w14:textId="5C6E5468" w:rsidR="005C2C7A" w:rsidRPr="00936E77" w:rsidRDefault="005C2C7A" w:rsidP="005C2C7A">
      <w:pPr>
        <w:jc w:val="both"/>
        <w:rPr>
          <w:rFonts w:asciiTheme="minorHAnsi" w:eastAsia="Arial Unicode MS" w:hAnsiTheme="minorHAnsi" w:cstheme="minorHAnsi"/>
          <w:sz w:val="24"/>
          <w:szCs w:val="24"/>
        </w:rPr>
      </w:pPr>
    </w:p>
    <w:p w14:paraId="0FA91079" w14:textId="63E99AA4" w:rsidR="00FB62BF" w:rsidRPr="00936E77" w:rsidRDefault="00FB62BF" w:rsidP="005C2C7A">
      <w:pPr>
        <w:jc w:val="both"/>
        <w:rPr>
          <w:rFonts w:asciiTheme="minorHAnsi" w:eastAsia="Arial Unicode MS" w:hAnsiTheme="minorHAnsi" w:cstheme="minorHAnsi"/>
          <w:sz w:val="24"/>
          <w:szCs w:val="24"/>
        </w:rPr>
      </w:pPr>
    </w:p>
    <w:p w14:paraId="13DE779F" w14:textId="589FD3C5" w:rsidR="00FB62BF" w:rsidRPr="00936E77" w:rsidRDefault="00FB62BF" w:rsidP="005C2C7A">
      <w:pPr>
        <w:jc w:val="both"/>
        <w:rPr>
          <w:rFonts w:asciiTheme="minorHAnsi" w:eastAsia="Arial Unicode MS" w:hAnsiTheme="minorHAnsi" w:cstheme="minorHAnsi"/>
          <w:sz w:val="24"/>
          <w:szCs w:val="24"/>
        </w:rPr>
      </w:pPr>
    </w:p>
    <w:p w14:paraId="068C1193" w14:textId="468AE22F" w:rsidR="00FB62BF" w:rsidRPr="00936E77" w:rsidRDefault="00FB62BF" w:rsidP="005C2C7A">
      <w:pPr>
        <w:jc w:val="both"/>
        <w:rPr>
          <w:rFonts w:asciiTheme="minorHAnsi" w:eastAsia="Arial Unicode MS" w:hAnsiTheme="minorHAnsi" w:cstheme="minorHAnsi"/>
          <w:sz w:val="24"/>
          <w:szCs w:val="24"/>
        </w:rPr>
      </w:pPr>
    </w:p>
    <w:p w14:paraId="5913FE3D" w14:textId="6F0D49D7" w:rsidR="00FB62BF" w:rsidRPr="00936E77" w:rsidRDefault="00FB62BF" w:rsidP="005C2C7A">
      <w:pPr>
        <w:jc w:val="both"/>
        <w:rPr>
          <w:rFonts w:asciiTheme="minorHAnsi" w:eastAsia="Arial Unicode MS" w:hAnsiTheme="minorHAnsi" w:cstheme="minorHAnsi"/>
          <w:sz w:val="24"/>
          <w:szCs w:val="24"/>
        </w:rPr>
      </w:pPr>
    </w:p>
    <w:p w14:paraId="6BD6BB95" w14:textId="27E73459" w:rsidR="00FB62BF" w:rsidRPr="00936E77" w:rsidRDefault="00FB62BF" w:rsidP="005C2C7A">
      <w:pPr>
        <w:jc w:val="both"/>
        <w:rPr>
          <w:rFonts w:asciiTheme="minorHAnsi" w:eastAsia="Arial Unicode MS" w:hAnsiTheme="minorHAnsi" w:cstheme="minorHAnsi"/>
          <w:sz w:val="24"/>
          <w:szCs w:val="24"/>
        </w:rPr>
      </w:pPr>
    </w:p>
    <w:p w14:paraId="1617CFB4"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sz w:val="36"/>
          <w:szCs w:val="36"/>
          <w:lang w:val="en-US"/>
        </w:rPr>
        <w:t>Reference list</w:t>
      </w:r>
    </w:p>
    <w:p w14:paraId="2A87F6CC"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Adams, C. (2019). Collaboration with External Experts in Risk Management. </w:t>
      </w:r>
      <w:r>
        <w:rPr>
          <w:rFonts w:ascii="Times New Roman" w:hAnsi="Times New Roman" w:cs="Times New Roman"/>
          <w:i/>
          <w:iCs/>
          <w:lang w:val="en-US"/>
        </w:rPr>
        <w:t>Collaboration and Risk Management Journal</w:t>
      </w:r>
      <w:r>
        <w:rPr>
          <w:rFonts w:ascii="Times New Roman" w:hAnsi="Times New Roman" w:cs="Times New Roman"/>
          <w:lang w:val="en-US"/>
        </w:rPr>
        <w:t>, 12(3), pp.210–225.</w:t>
      </w:r>
    </w:p>
    <w:p w14:paraId="3D13B1BF"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Adams, C. (2020). Building Codes and Fire Safety Regulations in Event Planning. </w:t>
      </w:r>
      <w:r>
        <w:rPr>
          <w:rFonts w:ascii="Times New Roman" w:hAnsi="Times New Roman" w:cs="Times New Roman"/>
          <w:i/>
          <w:iCs/>
          <w:lang w:val="en-US"/>
        </w:rPr>
        <w:t>Fire Safety Journal</w:t>
      </w:r>
      <w:r>
        <w:rPr>
          <w:rFonts w:ascii="Times New Roman" w:hAnsi="Times New Roman" w:cs="Times New Roman"/>
          <w:lang w:val="en-US"/>
        </w:rPr>
        <w:t>, 35(1), pp.45–57.</w:t>
      </w:r>
    </w:p>
    <w:p w14:paraId="3796CAB9"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Adams, C. (2021). The Role of Technology in Streamlining Risk Assessment Processes. </w:t>
      </w:r>
      <w:r>
        <w:rPr>
          <w:rFonts w:ascii="Times New Roman" w:hAnsi="Times New Roman" w:cs="Times New Roman"/>
          <w:i/>
          <w:iCs/>
          <w:lang w:val="en-US"/>
        </w:rPr>
        <w:t>Technology and Risk Management Journal</w:t>
      </w:r>
      <w:r>
        <w:rPr>
          <w:rFonts w:ascii="Times New Roman" w:hAnsi="Times New Roman" w:cs="Times New Roman"/>
          <w:lang w:val="en-US"/>
        </w:rPr>
        <w:t>, 8(1), pp.45–57.</w:t>
      </w:r>
    </w:p>
    <w:p w14:paraId="2EEBE8FC"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American Hospital Association (2021). Fundraising in Hospitals. </w:t>
      </w:r>
      <w:r>
        <w:rPr>
          <w:rFonts w:ascii="Times New Roman" w:hAnsi="Times New Roman" w:cs="Times New Roman"/>
          <w:i/>
          <w:iCs/>
          <w:lang w:val="en-US"/>
        </w:rPr>
        <w:t>Best Practices for Financial Transparency</w:t>
      </w:r>
      <w:r>
        <w:rPr>
          <w:rFonts w:ascii="Times New Roman" w:hAnsi="Times New Roman" w:cs="Times New Roman"/>
          <w:lang w:val="en-US"/>
        </w:rPr>
        <w:t>.</w:t>
      </w:r>
    </w:p>
    <w:p w14:paraId="2B55D3DB"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Brown, A. (2018). Crowd Control Strategies for Hospital Fundraising Events. </w:t>
      </w:r>
      <w:r>
        <w:rPr>
          <w:rFonts w:ascii="Times New Roman" w:hAnsi="Times New Roman" w:cs="Times New Roman"/>
          <w:i/>
          <w:iCs/>
          <w:lang w:val="en-US"/>
        </w:rPr>
        <w:t>journal of Safety and Security</w:t>
      </w:r>
      <w:r>
        <w:rPr>
          <w:rFonts w:ascii="Times New Roman" w:hAnsi="Times New Roman" w:cs="Times New Roman"/>
          <w:lang w:val="en-US"/>
        </w:rPr>
        <w:t>, 6(3), pp.112–125.</w:t>
      </w:r>
    </w:p>
    <w:p w14:paraId="16AD36E7"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Garcia, G. (2019). Environmental Regulations and Sustainability in Event Planning. </w:t>
      </w:r>
      <w:r>
        <w:rPr>
          <w:rFonts w:ascii="Times New Roman" w:hAnsi="Times New Roman" w:cs="Times New Roman"/>
          <w:i/>
          <w:iCs/>
          <w:lang w:val="en-US"/>
        </w:rPr>
        <w:t>Environmental Management Journal</w:t>
      </w:r>
      <w:r>
        <w:rPr>
          <w:rFonts w:ascii="Times New Roman" w:hAnsi="Times New Roman" w:cs="Times New Roman"/>
          <w:lang w:val="en-US"/>
        </w:rPr>
        <w:t>, 15(1), pp.120–135.</w:t>
      </w:r>
    </w:p>
    <w:p w14:paraId="0E1FF431"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Garcia, G. (2020). Utilising Historical Data for Risk Assessment. </w:t>
      </w:r>
      <w:r>
        <w:rPr>
          <w:rFonts w:ascii="Times New Roman" w:hAnsi="Times New Roman" w:cs="Times New Roman"/>
          <w:i/>
          <w:iCs/>
          <w:lang w:val="en-US"/>
        </w:rPr>
        <w:t>Journal of Risk Research</w:t>
      </w:r>
      <w:r>
        <w:rPr>
          <w:rFonts w:ascii="Times New Roman" w:hAnsi="Times New Roman" w:cs="Times New Roman"/>
          <w:lang w:val="en-US"/>
        </w:rPr>
        <w:t>, 22(4), pp.401–415.</w:t>
      </w:r>
    </w:p>
    <w:p w14:paraId="7AE7BF15"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Garcia, G. (2021). Transparency and Accountability in Risk Communication. </w:t>
      </w:r>
      <w:r>
        <w:rPr>
          <w:rFonts w:ascii="Times New Roman" w:hAnsi="Times New Roman" w:cs="Times New Roman"/>
          <w:i/>
          <w:iCs/>
          <w:lang w:val="en-US"/>
        </w:rPr>
        <w:t>Risk Communication Journal</w:t>
      </w:r>
      <w:r>
        <w:rPr>
          <w:rFonts w:ascii="Times New Roman" w:hAnsi="Times New Roman" w:cs="Times New Roman"/>
          <w:lang w:val="en-US"/>
        </w:rPr>
        <w:t>, 18(3), pp.120–135.</w:t>
      </w:r>
    </w:p>
    <w:p w14:paraId="279A8D2E"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Garcia, L. and Martinez, E. (2023). Maximising Fundraising potential: the Impact of Silent Auctions and Raffles on Event Revenue. </w:t>
      </w:r>
      <w:r>
        <w:rPr>
          <w:rFonts w:ascii="Times New Roman" w:hAnsi="Times New Roman" w:cs="Times New Roman"/>
          <w:i/>
          <w:iCs/>
          <w:lang w:val="en-US"/>
        </w:rPr>
        <w:t>Journal of Nonprofit Management</w:t>
      </w:r>
      <w:r>
        <w:rPr>
          <w:rFonts w:ascii="Times New Roman" w:hAnsi="Times New Roman" w:cs="Times New Roman"/>
          <w:lang w:val="en-US"/>
        </w:rPr>
        <w:t>, 20(2), pp.89–102.</w:t>
      </w:r>
    </w:p>
    <w:p w14:paraId="6F26DD9F"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Healthcare Financial Management Association (2019). Compliance and Ethics in Hospital </w:t>
      </w:r>
      <w:r>
        <w:rPr>
          <w:rFonts w:ascii="Times New Roman" w:hAnsi="Times New Roman" w:cs="Times New Roman"/>
          <w:lang w:val="en-US"/>
        </w:rPr>
        <w:lastRenderedPageBreak/>
        <w:t xml:space="preserve">Fundraising. </w:t>
      </w:r>
      <w:r>
        <w:rPr>
          <w:rFonts w:ascii="Times New Roman" w:hAnsi="Times New Roman" w:cs="Times New Roman"/>
          <w:i/>
          <w:iCs/>
          <w:lang w:val="en-US"/>
        </w:rPr>
        <w:t>A Guide for Healthcare Organisations</w:t>
      </w:r>
      <w:r>
        <w:rPr>
          <w:rFonts w:ascii="Times New Roman" w:hAnsi="Times New Roman" w:cs="Times New Roman"/>
          <w:lang w:val="en-US"/>
        </w:rPr>
        <w:t>.</w:t>
      </w:r>
    </w:p>
    <w:p w14:paraId="41111AA4"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Jones, F. (2021). Review and Update of Risk Assessment Protocols. </w:t>
      </w:r>
      <w:r>
        <w:rPr>
          <w:rFonts w:ascii="Times New Roman" w:hAnsi="Times New Roman" w:cs="Times New Roman"/>
          <w:i/>
          <w:iCs/>
          <w:lang w:val="en-US"/>
        </w:rPr>
        <w:t>Risk Assessment Review</w:t>
      </w:r>
      <w:r>
        <w:rPr>
          <w:rFonts w:ascii="Times New Roman" w:hAnsi="Times New Roman" w:cs="Times New Roman"/>
          <w:lang w:val="en-US"/>
        </w:rPr>
        <w:t>, 22(1), pp.45–57.</w:t>
      </w:r>
    </w:p>
    <w:p w14:paraId="4837E569"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Jones, F. (2022). Staff Training and capacity-building in Risk Management. </w:t>
      </w:r>
      <w:r>
        <w:rPr>
          <w:rFonts w:ascii="Times New Roman" w:hAnsi="Times New Roman" w:cs="Times New Roman"/>
          <w:i/>
          <w:iCs/>
          <w:lang w:val="en-US"/>
        </w:rPr>
        <w:t>Journal of Organisational Development</w:t>
      </w:r>
      <w:r>
        <w:rPr>
          <w:rFonts w:ascii="Times New Roman" w:hAnsi="Times New Roman" w:cs="Times New Roman"/>
          <w:lang w:val="en-US"/>
        </w:rPr>
        <w:t>, 18(3), pp.301–315.</w:t>
      </w:r>
    </w:p>
    <w:p w14:paraId="2368D333"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Jones, M. (2020). Addressing Financial Challenges in Hospital Fundraising. </w:t>
      </w:r>
      <w:r>
        <w:rPr>
          <w:rFonts w:ascii="Times New Roman" w:hAnsi="Times New Roman" w:cs="Times New Roman"/>
          <w:i/>
          <w:iCs/>
          <w:lang w:val="en-US"/>
        </w:rPr>
        <w:t>Healthcare Risk Management</w:t>
      </w:r>
      <w:r>
        <w:rPr>
          <w:rFonts w:ascii="Times New Roman" w:hAnsi="Times New Roman" w:cs="Times New Roman"/>
          <w:lang w:val="en-US"/>
        </w:rPr>
        <w:t>, 15(1), pp.34–47.</w:t>
      </w:r>
    </w:p>
    <w:p w14:paraId="077B0E24"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Jones, M. and Brown, A. (2022). Cooking up support: the Role of Live Demonstrations in Fundraising Events. </w:t>
      </w:r>
      <w:r>
        <w:rPr>
          <w:rFonts w:ascii="Times New Roman" w:hAnsi="Times New Roman" w:cs="Times New Roman"/>
          <w:i/>
          <w:iCs/>
          <w:lang w:val="en-US"/>
        </w:rPr>
        <w:t>Journal of Culinary Arts</w:t>
      </w:r>
      <w:r>
        <w:rPr>
          <w:rFonts w:ascii="Times New Roman" w:hAnsi="Times New Roman" w:cs="Times New Roman"/>
          <w:lang w:val="en-US"/>
        </w:rPr>
        <w:t>, 12(3), pp.112–125.</w:t>
      </w:r>
    </w:p>
    <w:p w14:paraId="16DA40EA"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Martinez, H. (2019). Engagement with External Stakeholders in Risk Management. </w:t>
      </w:r>
      <w:r>
        <w:rPr>
          <w:rFonts w:ascii="Times New Roman" w:hAnsi="Times New Roman" w:cs="Times New Roman"/>
          <w:i/>
          <w:iCs/>
          <w:lang w:val="en-US"/>
        </w:rPr>
        <w:t>Journal of Stakeholder Engagement</w:t>
      </w:r>
      <w:r>
        <w:rPr>
          <w:rFonts w:ascii="Times New Roman" w:hAnsi="Times New Roman" w:cs="Times New Roman"/>
          <w:lang w:val="en-US"/>
        </w:rPr>
        <w:t>, 15(1), pp.120–135.</w:t>
      </w:r>
    </w:p>
    <w:p w14:paraId="4DF90F93"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National Institute for Occupational Safety and Health (2020). Crowd Management Strategies for Hospital Fundraising Events. </w:t>
      </w:r>
      <w:r>
        <w:rPr>
          <w:rFonts w:ascii="Times New Roman" w:hAnsi="Times New Roman" w:cs="Times New Roman"/>
          <w:i/>
          <w:iCs/>
          <w:lang w:val="en-US"/>
        </w:rPr>
        <w:t>Event Safety Guide</w:t>
      </w:r>
      <w:r>
        <w:rPr>
          <w:rFonts w:ascii="Times New Roman" w:hAnsi="Times New Roman" w:cs="Times New Roman"/>
          <w:lang w:val="en-US"/>
        </w:rPr>
        <w:t>.</w:t>
      </w:r>
    </w:p>
    <w:p w14:paraId="66D74794"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Nguyen, B. (2019). Enhancing Risk Assessment through Participatory Approaches. </w:t>
      </w:r>
      <w:r>
        <w:rPr>
          <w:rFonts w:ascii="Times New Roman" w:hAnsi="Times New Roman" w:cs="Times New Roman"/>
          <w:i/>
          <w:iCs/>
          <w:lang w:val="en-US"/>
        </w:rPr>
        <w:t>Risk Analysis Journal</w:t>
      </w:r>
      <w:r>
        <w:rPr>
          <w:rFonts w:ascii="Times New Roman" w:hAnsi="Times New Roman" w:cs="Times New Roman"/>
          <w:lang w:val="en-US"/>
        </w:rPr>
        <w:t>, 25(3), pp.287–301.</w:t>
      </w:r>
    </w:p>
    <w:p w14:paraId="6BE1D60D"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Nguyen, B. (2021). HIPAA Compliance in Healthcare Event Planning. </w:t>
      </w:r>
      <w:r>
        <w:rPr>
          <w:rFonts w:ascii="Times New Roman" w:hAnsi="Times New Roman" w:cs="Times New Roman"/>
          <w:i/>
          <w:iCs/>
          <w:lang w:val="en-US"/>
        </w:rPr>
        <w:t>Health Information Management Journal</w:t>
      </w:r>
      <w:r>
        <w:rPr>
          <w:rFonts w:ascii="Times New Roman" w:hAnsi="Times New Roman" w:cs="Times New Roman"/>
          <w:lang w:val="en-US"/>
        </w:rPr>
        <w:t>, 28(2), pp.201–215.</w:t>
      </w:r>
    </w:p>
    <w:p w14:paraId="51DD9008"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Patel, A. (2018). Accreditation Standards and Risk Management in Healthcare Events. </w:t>
      </w:r>
      <w:r>
        <w:rPr>
          <w:rFonts w:ascii="Times New Roman" w:hAnsi="Times New Roman" w:cs="Times New Roman"/>
          <w:i/>
          <w:iCs/>
          <w:lang w:val="en-US"/>
        </w:rPr>
        <w:t>Accreditation and Risk Management Journal</w:t>
      </w:r>
      <w:r>
        <w:rPr>
          <w:rFonts w:ascii="Times New Roman" w:hAnsi="Times New Roman" w:cs="Times New Roman"/>
          <w:lang w:val="en-US"/>
        </w:rPr>
        <w:t>, 10(3), pp.301–315.</w:t>
      </w:r>
    </w:p>
    <w:p w14:paraId="3BEB5E8B" w14:textId="05086978"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Patel, A. (2020). Effective Risk Management in Event </w:t>
      </w:r>
      <w:r>
        <w:rPr>
          <w:rFonts w:ascii="Times New Roman" w:hAnsi="Times New Roman" w:cs="Times New Roman"/>
          <w:lang w:val="en-US"/>
        </w:rPr>
        <w:t>Planning.</w:t>
      </w:r>
      <w:r>
        <w:rPr>
          <w:rFonts w:ascii="Times New Roman" w:hAnsi="Times New Roman" w:cs="Times New Roman"/>
          <w:lang w:val="en-US"/>
        </w:rPr>
        <w:t xml:space="preserve"> </w:t>
      </w:r>
      <w:r>
        <w:rPr>
          <w:rFonts w:ascii="Times New Roman" w:hAnsi="Times New Roman" w:cs="Times New Roman"/>
          <w:i/>
          <w:iCs/>
          <w:lang w:val="en-US"/>
        </w:rPr>
        <w:t>Journal of Event Management</w:t>
      </w:r>
      <w:r>
        <w:rPr>
          <w:rFonts w:ascii="Times New Roman" w:hAnsi="Times New Roman" w:cs="Times New Roman"/>
          <w:lang w:val="en-US"/>
        </w:rPr>
        <w:t>, 15(2), pp.123–135.</w:t>
      </w:r>
    </w:p>
    <w:p w14:paraId="4F96D9F4"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Patel, A. (2021). Continuous Monitoring and Evaluation in Risk Management. </w:t>
      </w:r>
      <w:r>
        <w:rPr>
          <w:rFonts w:ascii="Times New Roman" w:hAnsi="Times New Roman" w:cs="Times New Roman"/>
          <w:i/>
          <w:iCs/>
          <w:lang w:val="en-US"/>
        </w:rPr>
        <w:t>Journal of Continuous Improvement</w:t>
      </w:r>
      <w:r>
        <w:rPr>
          <w:rFonts w:ascii="Times New Roman" w:hAnsi="Times New Roman" w:cs="Times New Roman"/>
          <w:lang w:val="en-US"/>
        </w:rPr>
        <w:t>, 18(2), pp.201–215.</w:t>
      </w:r>
    </w:p>
    <w:p w14:paraId="69344F36" w14:textId="2095B700"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Rocha, J., Oliveira, </w:t>
      </w:r>
      <w:r>
        <w:rPr>
          <w:rFonts w:ascii="Times New Roman" w:hAnsi="Times New Roman" w:cs="Times New Roman"/>
          <w:lang w:val="en-US"/>
        </w:rPr>
        <w:t>S.,</w:t>
      </w:r>
      <w:r>
        <w:rPr>
          <w:rFonts w:ascii="Times New Roman" w:hAnsi="Times New Roman" w:cs="Times New Roman"/>
          <w:lang w:val="en-US"/>
        </w:rPr>
        <w:t xml:space="preserve"> and César Capinha (2020). </w:t>
      </w:r>
      <w:r>
        <w:rPr>
          <w:rFonts w:ascii="Times New Roman" w:hAnsi="Times New Roman" w:cs="Times New Roman"/>
          <w:i/>
          <w:iCs/>
          <w:lang w:val="en-US"/>
        </w:rPr>
        <w:t>Risk Management and Assessment</w:t>
      </w:r>
      <w:r>
        <w:rPr>
          <w:rFonts w:ascii="Times New Roman" w:hAnsi="Times New Roman" w:cs="Times New Roman"/>
          <w:lang w:val="en-US"/>
        </w:rPr>
        <w:t>. BoD – Books on Demand.</w:t>
      </w:r>
    </w:p>
    <w:p w14:paraId="16CFC833"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Smith, E. (2022). Food Safety Regulations in Event Catering. </w:t>
      </w:r>
      <w:r>
        <w:rPr>
          <w:rFonts w:ascii="Times New Roman" w:hAnsi="Times New Roman" w:cs="Times New Roman"/>
          <w:i/>
          <w:iCs/>
          <w:lang w:val="en-US"/>
        </w:rPr>
        <w:t>Food Safety Journal</w:t>
      </w:r>
      <w:r>
        <w:rPr>
          <w:rFonts w:ascii="Times New Roman" w:hAnsi="Times New Roman" w:cs="Times New Roman"/>
          <w:lang w:val="en-US"/>
        </w:rPr>
        <w:t>, 18(3), pp.301–315.</w:t>
      </w:r>
    </w:p>
    <w:p w14:paraId="3C40107D"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Smith, J. (2019). Risk Management in Hospital Fundraising: Enhancing Patient Experience. </w:t>
      </w:r>
      <w:r>
        <w:rPr>
          <w:rFonts w:ascii="Times New Roman" w:hAnsi="Times New Roman" w:cs="Times New Roman"/>
          <w:i/>
          <w:iCs/>
          <w:lang w:val="en-US"/>
        </w:rPr>
        <w:t xml:space="preserve">Journal </w:t>
      </w:r>
      <w:r>
        <w:rPr>
          <w:rFonts w:ascii="Times New Roman" w:hAnsi="Times New Roman" w:cs="Times New Roman"/>
          <w:i/>
          <w:iCs/>
          <w:lang w:val="en-US"/>
        </w:rPr>
        <w:lastRenderedPageBreak/>
        <w:t>of Healthcare Management</w:t>
      </w:r>
      <w:r>
        <w:rPr>
          <w:rFonts w:ascii="Times New Roman" w:hAnsi="Times New Roman" w:cs="Times New Roman"/>
          <w:lang w:val="en-US"/>
        </w:rPr>
        <w:t>, 14(2), pp.45–58.</w:t>
      </w:r>
    </w:p>
    <w:p w14:paraId="00C55B96"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Smith, J. (2023). Community Engagement through Culinary delights: the Impact of Bake Sales on Fundraising Events. </w:t>
      </w:r>
      <w:r>
        <w:rPr>
          <w:rFonts w:ascii="Times New Roman" w:hAnsi="Times New Roman" w:cs="Times New Roman"/>
          <w:i/>
          <w:iCs/>
          <w:lang w:val="en-US"/>
        </w:rPr>
        <w:t>Journal of Community Health</w:t>
      </w:r>
      <w:r>
        <w:rPr>
          <w:rFonts w:ascii="Times New Roman" w:hAnsi="Times New Roman" w:cs="Times New Roman"/>
          <w:lang w:val="en-US"/>
        </w:rPr>
        <w:t>, 8(2), pp.65–78.</w:t>
      </w:r>
    </w:p>
    <w:p w14:paraId="2E574A9B"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Taylor, R. (2021a). Harmonising Community engagement: the Impact of Live Music on Fundraising Events. </w:t>
      </w:r>
      <w:r>
        <w:rPr>
          <w:rFonts w:ascii="Times New Roman" w:hAnsi="Times New Roman" w:cs="Times New Roman"/>
          <w:i/>
          <w:iCs/>
          <w:lang w:val="en-US"/>
        </w:rPr>
        <w:t>Journal of Community Development</w:t>
      </w:r>
      <w:r>
        <w:rPr>
          <w:rFonts w:ascii="Times New Roman" w:hAnsi="Times New Roman" w:cs="Times New Roman"/>
          <w:lang w:val="en-US"/>
        </w:rPr>
        <w:t>, 15(4), pp.213–228.</w:t>
      </w:r>
    </w:p>
    <w:p w14:paraId="65D5F03A"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Taylor, R. (2021b). Legal and Ethical Considerations in Hospital Fundraising. </w:t>
      </w:r>
      <w:r>
        <w:rPr>
          <w:rFonts w:ascii="Times New Roman" w:hAnsi="Times New Roman" w:cs="Times New Roman"/>
          <w:i/>
          <w:iCs/>
          <w:lang w:val="en-US"/>
        </w:rPr>
        <w:t>Journal of Law and Medicine</w:t>
      </w:r>
      <w:r>
        <w:rPr>
          <w:rFonts w:ascii="Times New Roman" w:hAnsi="Times New Roman" w:cs="Times New Roman"/>
          <w:lang w:val="en-US"/>
        </w:rPr>
        <w:t>, 8(4), pp.213–228.</w:t>
      </w:r>
    </w:p>
    <w:p w14:paraId="5B6DD732" w14:textId="030F4B0F"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Wilson, D. (2019). Accessibility Standards for Inclusive Event </w:t>
      </w:r>
      <w:r>
        <w:rPr>
          <w:rFonts w:ascii="Times New Roman" w:hAnsi="Times New Roman" w:cs="Times New Roman"/>
          <w:lang w:val="en-US"/>
        </w:rPr>
        <w:t>Planning.</w:t>
      </w:r>
      <w:r>
        <w:rPr>
          <w:rFonts w:ascii="Times New Roman" w:hAnsi="Times New Roman" w:cs="Times New Roman"/>
          <w:lang w:val="en-US"/>
        </w:rPr>
        <w:t xml:space="preserve"> </w:t>
      </w:r>
      <w:r>
        <w:rPr>
          <w:rFonts w:ascii="Times New Roman" w:hAnsi="Times New Roman" w:cs="Times New Roman"/>
          <w:i/>
          <w:iCs/>
          <w:lang w:val="en-US"/>
        </w:rPr>
        <w:t>Accessibility Review</w:t>
      </w:r>
      <w:r>
        <w:rPr>
          <w:rFonts w:ascii="Times New Roman" w:hAnsi="Times New Roman" w:cs="Times New Roman"/>
          <w:lang w:val="en-US"/>
        </w:rPr>
        <w:t>, 8(2), pp.210–225.</w:t>
      </w:r>
    </w:p>
    <w:p w14:paraId="1FE56D89" w14:textId="77777777" w:rsidR="008025F4" w:rsidRDefault="008025F4" w:rsidP="008025F4">
      <w:pPr>
        <w:adjustRightInd w:val="0"/>
        <w:spacing w:after="240" w:line="360" w:lineRule="auto"/>
        <w:rPr>
          <w:rFonts w:ascii="Times New Roman" w:hAnsi="Times New Roman" w:cs="Times New Roman"/>
          <w:lang w:val="en-US"/>
        </w:rPr>
      </w:pPr>
      <w:r>
        <w:rPr>
          <w:rFonts w:ascii="Times New Roman" w:hAnsi="Times New Roman" w:cs="Times New Roman"/>
          <w:lang w:val="en-US"/>
        </w:rPr>
        <w:t xml:space="preserve">Wilson, K. (2020). Engaging the next generation: Creating Inclusive children’s Activities at Fundraising Events. </w:t>
      </w:r>
      <w:r>
        <w:rPr>
          <w:rFonts w:ascii="Times New Roman" w:hAnsi="Times New Roman" w:cs="Times New Roman"/>
          <w:i/>
          <w:iCs/>
          <w:lang w:val="en-US"/>
        </w:rPr>
        <w:t>Journal of Child Development</w:t>
      </w:r>
      <w:r>
        <w:rPr>
          <w:rFonts w:ascii="Times New Roman" w:hAnsi="Times New Roman" w:cs="Times New Roman"/>
          <w:lang w:val="en-US"/>
        </w:rPr>
        <w:t>, 5(1), pp.34–47.</w:t>
      </w:r>
    </w:p>
    <w:p w14:paraId="6BCFFF7D" w14:textId="2589515A" w:rsidR="00FB62BF" w:rsidRPr="00936E77" w:rsidRDefault="00FB62BF" w:rsidP="005C2C7A">
      <w:pPr>
        <w:jc w:val="both"/>
        <w:rPr>
          <w:rFonts w:asciiTheme="minorHAnsi" w:eastAsia="Arial Unicode MS" w:hAnsiTheme="minorHAnsi" w:cstheme="minorHAnsi"/>
          <w:sz w:val="24"/>
          <w:szCs w:val="24"/>
        </w:rPr>
      </w:pPr>
    </w:p>
    <w:p w14:paraId="2002B5C0" w14:textId="2303483D" w:rsidR="00FB62BF" w:rsidRPr="00936E77" w:rsidRDefault="00FB62BF" w:rsidP="005C2C7A">
      <w:pPr>
        <w:jc w:val="both"/>
        <w:rPr>
          <w:rFonts w:asciiTheme="minorHAnsi" w:eastAsia="Arial Unicode MS" w:hAnsiTheme="minorHAnsi" w:cstheme="minorHAnsi"/>
          <w:sz w:val="24"/>
          <w:szCs w:val="24"/>
        </w:rPr>
      </w:pPr>
    </w:p>
    <w:p w14:paraId="4FF71C8F" w14:textId="560F6FF7" w:rsidR="00FB62BF" w:rsidRPr="00936E77" w:rsidRDefault="00FB62BF" w:rsidP="005C2C7A">
      <w:pPr>
        <w:jc w:val="both"/>
        <w:rPr>
          <w:rFonts w:asciiTheme="minorHAnsi" w:eastAsia="Arial Unicode MS" w:hAnsiTheme="minorHAnsi" w:cstheme="minorHAnsi"/>
          <w:sz w:val="24"/>
          <w:szCs w:val="24"/>
        </w:rPr>
      </w:pPr>
    </w:p>
    <w:p w14:paraId="464E57D1" w14:textId="0401DF4A" w:rsidR="0073183E" w:rsidRPr="00936E77" w:rsidRDefault="0073183E" w:rsidP="0016282F">
      <w:pPr>
        <w:rPr>
          <w:rFonts w:asciiTheme="minorHAnsi" w:eastAsia="Arial Unicode MS" w:hAnsiTheme="minorHAnsi" w:cstheme="minorHAnsi"/>
          <w:b/>
          <w:sz w:val="24"/>
          <w:szCs w:val="24"/>
        </w:rPr>
      </w:pPr>
    </w:p>
    <w:p w14:paraId="2279FE68" w14:textId="7FAC1C5A" w:rsidR="005B1EBD" w:rsidRPr="00936E77"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24"/>
          <w:szCs w:val="24"/>
        </w:rPr>
      </w:pPr>
    </w:p>
    <w:p w14:paraId="08C8A9A7" w14:textId="15211003" w:rsidR="005B1EBD" w:rsidRPr="00936E77"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24"/>
          <w:szCs w:val="24"/>
        </w:rPr>
      </w:pPr>
    </w:p>
    <w:p w14:paraId="306FFA3D" w14:textId="52DFC403" w:rsidR="005B1EBD" w:rsidRPr="00936E77"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24"/>
          <w:szCs w:val="24"/>
        </w:rPr>
      </w:pPr>
    </w:p>
    <w:sectPr w:rsidR="005B1EBD" w:rsidRPr="00936E77" w:rsidSect="0016282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A6527" w14:textId="77777777" w:rsidR="005E6698" w:rsidRDefault="005E6698">
      <w:r>
        <w:separator/>
      </w:r>
    </w:p>
  </w:endnote>
  <w:endnote w:type="continuationSeparator" w:id="0">
    <w:p w14:paraId="51AAFF9D" w14:textId="77777777" w:rsidR="005E6698" w:rsidRDefault="005E6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1661103"/>
      <w:docPartObj>
        <w:docPartGallery w:val="Page Numbers (Bottom of Page)"/>
        <w:docPartUnique/>
      </w:docPartObj>
    </w:sdtPr>
    <w:sdtEndPr>
      <w:rPr>
        <w:noProof/>
      </w:rPr>
    </w:sdtEndPr>
    <w:sdtContent>
      <w:p w14:paraId="0B4DB3E6" w14:textId="77777777" w:rsidR="00776E89"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776E89" w:rsidRDefault="00776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6B003" w14:textId="77777777" w:rsidR="005E6698" w:rsidRDefault="005E6698">
      <w:r>
        <w:separator/>
      </w:r>
    </w:p>
  </w:footnote>
  <w:footnote w:type="continuationSeparator" w:id="0">
    <w:p w14:paraId="4328ACA9" w14:textId="77777777" w:rsidR="005E6698" w:rsidRDefault="005E6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3360732"/>
      <w:docPartObj>
        <w:docPartGallery w:val="Page Numbers (Top of Page)"/>
        <w:docPartUnique/>
      </w:docPartObj>
    </w:sdtPr>
    <w:sdtEndPr>
      <w:rPr>
        <w:noProof/>
      </w:rPr>
    </w:sdtEndPr>
    <w:sdtContent>
      <w:p w14:paraId="7F1ABD94" w14:textId="77777777" w:rsidR="00776E89"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776E89" w:rsidRDefault="00776E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952D1"/>
    <w:multiLevelType w:val="multilevel"/>
    <w:tmpl w:val="E9F87E9C"/>
    <w:lvl w:ilvl="0">
      <w:start w:val="1"/>
      <w:numFmt w:val="bullet"/>
      <w:lvlText w:val=""/>
      <w:lvlJc w:val="left"/>
      <w:pPr>
        <w:tabs>
          <w:tab w:val="decimal" w:pos="432"/>
        </w:tabs>
        <w:ind w:left="720"/>
      </w:pPr>
      <w:rPr>
        <w:rFonts w:ascii="Symbol" w:eastAsia="Symbol" w:hAnsi="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55C85"/>
    <w:multiLevelType w:val="hybridMultilevel"/>
    <w:tmpl w:val="3074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5A5D"/>
    <w:multiLevelType w:val="hybridMultilevel"/>
    <w:tmpl w:val="C20CEEEA"/>
    <w:lvl w:ilvl="0" w:tplc="29DA0FF6">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0F915B29"/>
    <w:multiLevelType w:val="hybridMultilevel"/>
    <w:tmpl w:val="CA3A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83740"/>
    <w:multiLevelType w:val="hybridMultilevel"/>
    <w:tmpl w:val="A7BA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1058E"/>
    <w:multiLevelType w:val="hybridMultilevel"/>
    <w:tmpl w:val="80141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8247F"/>
    <w:multiLevelType w:val="hybridMultilevel"/>
    <w:tmpl w:val="A1DA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833DB"/>
    <w:multiLevelType w:val="hybridMultilevel"/>
    <w:tmpl w:val="1B4EE690"/>
    <w:lvl w:ilvl="0" w:tplc="E242AD2A">
      <w:start w:val="1"/>
      <w:numFmt w:val="decimal"/>
      <w:lvlText w:val="%1."/>
      <w:lvlJc w:val="left"/>
      <w:pPr>
        <w:ind w:left="940" w:hanging="361"/>
        <w:jc w:val="left"/>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9" w15:restartNumberingAfterBreak="0">
    <w:nsid w:val="2C736E85"/>
    <w:multiLevelType w:val="hybridMultilevel"/>
    <w:tmpl w:val="5D66AA28"/>
    <w:lvl w:ilvl="0" w:tplc="4522A93A">
      <w:start w:val="10"/>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0" w15:restartNumberingAfterBreak="0">
    <w:nsid w:val="3D2F6570"/>
    <w:multiLevelType w:val="hybridMultilevel"/>
    <w:tmpl w:val="4FBE8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7F5CC5"/>
    <w:multiLevelType w:val="hybridMultilevel"/>
    <w:tmpl w:val="98624C74"/>
    <w:lvl w:ilvl="0" w:tplc="6CCEB938">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jc w:val="left"/>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2"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3"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0" w15:restartNumberingAfterBreak="0">
    <w:nsid w:val="581C6EAD"/>
    <w:multiLevelType w:val="hybridMultilevel"/>
    <w:tmpl w:val="692C40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3602A4B"/>
    <w:multiLevelType w:val="hybridMultilevel"/>
    <w:tmpl w:val="2B9C5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E50D18"/>
    <w:multiLevelType w:val="hybridMultilevel"/>
    <w:tmpl w:val="1EEE11C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69C15F91"/>
    <w:multiLevelType w:val="hybridMultilevel"/>
    <w:tmpl w:val="3446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2E2EBF"/>
    <w:multiLevelType w:val="hybridMultilevel"/>
    <w:tmpl w:val="2E8C37C8"/>
    <w:lvl w:ilvl="0" w:tplc="42A2CDC4">
      <w:start w:val="2"/>
      <w:numFmt w:val="decimal"/>
      <w:lvlText w:val="%1."/>
      <w:lvlJc w:val="left"/>
      <w:pPr>
        <w:ind w:left="480" w:hanging="261"/>
        <w:jc w:val="left"/>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6"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7" w15:restartNumberingAfterBreak="0">
    <w:nsid w:val="7D4107C3"/>
    <w:multiLevelType w:val="hybridMultilevel"/>
    <w:tmpl w:val="C31A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180565">
    <w:abstractNumId w:val="12"/>
  </w:num>
  <w:num w:numId="2" w16cid:durableId="769013346">
    <w:abstractNumId w:val="8"/>
  </w:num>
  <w:num w:numId="3" w16cid:durableId="1924682805">
    <w:abstractNumId w:val="9"/>
  </w:num>
  <w:num w:numId="4" w16cid:durableId="1890070124">
    <w:abstractNumId w:val="2"/>
  </w:num>
  <w:num w:numId="5" w16cid:durableId="1049307997">
    <w:abstractNumId w:val="11"/>
  </w:num>
  <w:num w:numId="6" w16cid:durableId="1190875734">
    <w:abstractNumId w:val="25"/>
  </w:num>
  <w:num w:numId="7" w16cid:durableId="1544057808">
    <w:abstractNumId w:val="26"/>
  </w:num>
  <w:num w:numId="8" w16cid:durableId="1178495943">
    <w:abstractNumId w:val="19"/>
  </w:num>
  <w:num w:numId="9" w16cid:durableId="1548832024">
    <w:abstractNumId w:val="14"/>
  </w:num>
  <w:num w:numId="10" w16cid:durableId="408308906">
    <w:abstractNumId w:val="13"/>
  </w:num>
  <w:num w:numId="11" w16cid:durableId="54010131">
    <w:abstractNumId w:val="16"/>
  </w:num>
  <w:num w:numId="12" w16cid:durableId="1966808636">
    <w:abstractNumId w:val="18"/>
  </w:num>
  <w:num w:numId="13" w16cid:durableId="1343435261">
    <w:abstractNumId w:val="21"/>
  </w:num>
  <w:num w:numId="14" w16cid:durableId="1025711228">
    <w:abstractNumId w:val="17"/>
  </w:num>
  <w:num w:numId="15" w16cid:durableId="561521355">
    <w:abstractNumId w:val="10"/>
  </w:num>
  <w:num w:numId="16" w16cid:durableId="542788065">
    <w:abstractNumId w:val="15"/>
  </w:num>
  <w:num w:numId="17" w16cid:durableId="830222427">
    <w:abstractNumId w:val="22"/>
  </w:num>
  <w:num w:numId="18" w16cid:durableId="1512328744">
    <w:abstractNumId w:val="24"/>
  </w:num>
  <w:num w:numId="19" w16cid:durableId="1453472359">
    <w:abstractNumId w:val="7"/>
  </w:num>
  <w:num w:numId="20" w16cid:durableId="2098404659">
    <w:abstractNumId w:val="20"/>
  </w:num>
  <w:num w:numId="21" w16cid:durableId="544681021">
    <w:abstractNumId w:val="23"/>
  </w:num>
  <w:num w:numId="22" w16cid:durableId="1066992185">
    <w:abstractNumId w:val="0"/>
  </w:num>
  <w:num w:numId="23" w16cid:durableId="863830345">
    <w:abstractNumId w:val="1"/>
  </w:num>
  <w:num w:numId="24" w16cid:durableId="291012102">
    <w:abstractNumId w:val="27"/>
  </w:num>
  <w:num w:numId="25" w16cid:durableId="1384671076">
    <w:abstractNumId w:val="6"/>
  </w:num>
  <w:num w:numId="26" w16cid:durableId="843252857">
    <w:abstractNumId w:val="4"/>
  </w:num>
  <w:num w:numId="27" w16cid:durableId="1627617097">
    <w:abstractNumId w:val="3"/>
  </w:num>
  <w:num w:numId="28" w16cid:durableId="3968245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16228"/>
    <w:rsid w:val="000214B7"/>
    <w:rsid w:val="00124059"/>
    <w:rsid w:val="00157057"/>
    <w:rsid w:val="0016282F"/>
    <w:rsid w:val="001D52F6"/>
    <w:rsid w:val="001D5E53"/>
    <w:rsid w:val="001D7BC5"/>
    <w:rsid w:val="00211822"/>
    <w:rsid w:val="00226E6E"/>
    <w:rsid w:val="00245BB0"/>
    <w:rsid w:val="002A64BF"/>
    <w:rsid w:val="002D2606"/>
    <w:rsid w:val="002D2E30"/>
    <w:rsid w:val="002E01B5"/>
    <w:rsid w:val="00304A2B"/>
    <w:rsid w:val="003200FC"/>
    <w:rsid w:val="00323841"/>
    <w:rsid w:val="003774C2"/>
    <w:rsid w:val="003A1771"/>
    <w:rsid w:val="00402BA5"/>
    <w:rsid w:val="0046736D"/>
    <w:rsid w:val="004A6BE9"/>
    <w:rsid w:val="004D1306"/>
    <w:rsid w:val="004E078E"/>
    <w:rsid w:val="005527C3"/>
    <w:rsid w:val="00576ADB"/>
    <w:rsid w:val="00585286"/>
    <w:rsid w:val="005A6E02"/>
    <w:rsid w:val="005B1EBD"/>
    <w:rsid w:val="005C2C7A"/>
    <w:rsid w:val="005E6698"/>
    <w:rsid w:val="005F6917"/>
    <w:rsid w:val="006075C0"/>
    <w:rsid w:val="006107E7"/>
    <w:rsid w:val="00620D31"/>
    <w:rsid w:val="00627A58"/>
    <w:rsid w:val="00654D5C"/>
    <w:rsid w:val="006B7C10"/>
    <w:rsid w:val="007239AE"/>
    <w:rsid w:val="0073183E"/>
    <w:rsid w:val="007535DE"/>
    <w:rsid w:val="00765C8D"/>
    <w:rsid w:val="00766D97"/>
    <w:rsid w:val="00776E89"/>
    <w:rsid w:val="007E1664"/>
    <w:rsid w:val="008025F4"/>
    <w:rsid w:val="00802A09"/>
    <w:rsid w:val="00820D61"/>
    <w:rsid w:val="008505E7"/>
    <w:rsid w:val="008A34A8"/>
    <w:rsid w:val="00936E77"/>
    <w:rsid w:val="009565F3"/>
    <w:rsid w:val="00957325"/>
    <w:rsid w:val="009651F0"/>
    <w:rsid w:val="009A3C88"/>
    <w:rsid w:val="009C7069"/>
    <w:rsid w:val="009F4C67"/>
    <w:rsid w:val="009F5D6C"/>
    <w:rsid w:val="00A612B2"/>
    <w:rsid w:val="00AA064B"/>
    <w:rsid w:val="00AE4CEF"/>
    <w:rsid w:val="00B01980"/>
    <w:rsid w:val="00B024D1"/>
    <w:rsid w:val="00B43FCC"/>
    <w:rsid w:val="00B90EDD"/>
    <w:rsid w:val="00BB6640"/>
    <w:rsid w:val="00BC1C53"/>
    <w:rsid w:val="00C46B32"/>
    <w:rsid w:val="00C764A3"/>
    <w:rsid w:val="00C82D10"/>
    <w:rsid w:val="00C93C3A"/>
    <w:rsid w:val="00C94C0A"/>
    <w:rsid w:val="00CB49C0"/>
    <w:rsid w:val="00D252A7"/>
    <w:rsid w:val="00D65A4A"/>
    <w:rsid w:val="00D665AB"/>
    <w:rsid w:val="00D759DB"/>
    <w:rsid w:val="00D948AC"/>
    <w:rsid w:val="00DE0325"/>
    <w:rsid w:val="00DF310B"/>
    <w:rsid w:val="00E40BEA"/>
    <w:rsid w:val="00EC468D"/>
    <w:rsid w:val="00EE3A14"/>
    <w:rsid w:val="00FB62BF"/>
    <w:rsid w:val="00FF0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3273</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21887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camelia golgozeanu</cp:lastModifiedBy>
  <cp:revision>2</cp:revision>
  <dcterms:created xsi:type="dcterms:W3CDTF">2024-05-02T23:09:00Z</dcterms:created>
  <dcterms:modified xsi:type="dcterms:W3CDTF">2024-05-02T23:09:00Z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