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471A" w:rsidRDefault="0071471A">
      <w:pPr>
        <w:rPr>
          <w:rFonts w:ascii="Times New Roman" w:eastAsia="Times New Roman" w:hAnsi="Times New Roman" w:cs="Times New Roman"/>
          <w:b/>
          <w:sz w:val="28"/>
          <w:szCs w:val="28"/>
        </w:rPr>
      </w:pPr>
    </w:p>
    <w:p w:rsidR="0071471A" w:rsidRDefault="0071471A">
      <w:pPr>
        <w:rPr>
          <w:rFonts w:ascii="Times New Roman" w:eastAsia="Times New Roman" w:hAnsi="Times New Roman" w:cs="Times New Roman"/>
          <w:b/>
          <w:sz w:val="28"/>
          <w:szCs w:val="28"/>
        </w:rPr>
      </w:pPr>
    </w:p>
    <w:p w:rsidR="0071471A" w:rsidRDefault="0071471A">
      <w:pPr>
        <w:rPr>
          <w:rFonts w:ascii="Times New Roman" w:eastAsia="Times New Roman" w:hAnsi="Times New Roman" w:cs="Times New Roman"/>
          <w:b/>
          <w:sz w:val="28"/>
          <w:szCs w:val="28"/>
        </w:rPr>
      </w:pPr>
    </w:p>
    <w:p w:rsidR="0071471A" w:rsidRDefault="0071471A">
      <w:pPr>
        <w:rPr>
          <w:rFonts w:ascii="Times New Roman" w:eastAsia="Times New Roman" w:hAnsi="Times New Roman" w:cs="Times New Roman"/>
          <w:b/>
          <w:sz w:val="28"/>
          <w:szCs w:val="28"/>
        </w:rPr>
      </w:pPr>
    </w:p>
    <w:p w:rsidR="0071471A" w:rsidRDefault="0071471A">
      <w:pPr>
        <w:rPr>
          <w:rFonts w:ascii="Times New Roman" w:eastAsia="Times New Roman" w:hAnsi="Times New Roman" w:cs="Times New Roman"/>
          <w:b/>
          <w:sz w:val="28"/>
          <w:szCs w:val="28"/>
        </w:rPr>
      </w:pPr>
    </w:p>
    <w:p w:rsidR="0071471A" w:rsidRDefault="0071471A">
      <w:pPr>
        <w:rPr>
          <w:rFonts w:ascii="Times New Roman" w:eastAsia="Times New Roman" w:hAnsi="Times New Roman" w:cs="Times New Roman"/>
          <w:b/>
          <w:sz w:val="28"/>
          <w:szCs w:val="28"/>
        </w:rPr>
      </w:pPr>
    </w:p>
    <w:p w:rsidR="0071471A" w:rsidRDefault="0071471A">
      <w:pPr>
        <w:rPr>
          <w:rFonts w:ascii="Times New Roman" w:eastAsia="Times New Roman" w:hAnsi="Times New Roman" w:cs="Times New Roman"/>
          <w:b/>
          <w:sz w:val="28"/>
          <w:szCs w:val="28"/>
        </w:rPr>
      </w:pPr>
    </w:p>
    <w:p w:rsidR="0035138A" w:rsidRDefault="0071471A" w:rsidP="0071471A">
      <w:pPr>
        <w:spacing w:line="360" w:lineRule="auto"/>
        <w:jc w:val="center"/>
        <w:rPr>
          <w:rFonts w:ascii="Times New Roman" w:eastAsia="Times New Roman" w:hAnsi="Times New Roman" w:cs="Times New Roman"/>
          <w:b/>
          <w:sz w:val="44"/>
          <w:szCs w:val="44"/>
        </w:rPr>
      </w:pPr>
      <w:r w:rsidRPr="0071471A">
        <w:rPr>
          <w:rFonts w:ascii="Times New Roman" w:eastAsia="Times New Roman" w:hAnsi="Times New Roman" w:cs="Times New Roman"/>
          <w:b/>
          <w:sz w:val="44"/>
          <w:szCs w:val="44"/>
        </w:rPr>
        <w:t>COMMUNITY ENGAGEMENT</w:t>
      </w:r>
    </w:p>
    <w:p w:rsidR="0035138A" w:rsidRDefault="0035138A" w:rsidP="0071471A">
      <w:pPr>
        <w:spacing w:line="360" w:lineRule="auto"/>
        <w:jc w:val="center"/>
        <w:rPr>
          <w:rFonts w:ascii="Times New Roman" w:eastAsia="Times New Roman" w:hAnsi="Times New Roman" w:cs="Times New Roman"/>
          <w:b/>
          <w:sz w:val="44"/>
          <w:szCs w:val="44"/>
        </w:rPr>
      </w:pPr>
    </w:p>
    <w:p w:rsidR="0035138A" w:rsidRDefault="0035138A" w:rsidP="0071471A">
      <w:pPr>
        <w:spacing w:line="360" w:lineRule="auto"/>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Student N</w:t>
      </w:r>
      <w:bookmarkStart w:id="0" w:name="_GoBack"/>
      <w:bookmarkEnd w:id="0"/>
      <w:r>
        <w:rPr>
          <w:rFonts w:ascii="Times New Roman" w:eastAsia="Times New Roman" w:hAnsi="Times New Roman" w:cs="Times New Roman"/>
          <w:b/>
          <w:sz w:val="44"/>
          <w:szCs w:val="44"/>
        </w:rPr>
        <w:t>ame : Stanimir Simeonov</w:t>
      </w:r>
    </w:p>
    <w:p w:rsidR="0035138A" w:rsidRDefault="0035138A" w:rsidP="0071471A">
      <w:pPr>
        <w:spacing w:line="360" w:lineRule="auto"/>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Student ID : 2247426</w:t>
      </w:r>
    </w:p>
    <w:p w:rsidR="0071471A" w:rsidRPr="0071471A" w:rsidRDefault="0035138A" w:rsidP="0071471A">
      <w:pPr>
        <w:spacing w:line="360" w:lineRule="auto"/>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Tutors Name – Dr Faizu Edu</w:t>
      </w:r>
      <w:r w:rsidR="0071471A" w:rsidRPr="0071471A">
        <w:rPr>
          <w:rFonts w:ascii="Times New Roman" w:eastAsia="Times New Roman" w:hAnsi="Times New Roman" w:cs="Times New Roman"/>
          <w:b/>
          <w:sz w:val="44"/>
          <w:szCs w:val="44"/>
        </w:rPr>
        <w:br w:type="page"/>
      </w:r>
    </w:p>
    <w:sdt>
      <w:sdtPr>
        <w:rPr>
          <w:rFonts w:ascii="Arial" w:eastAsia="Arial" w:hAnsi="Arial" w:cs="Arial"/>
          <w:b w:val="0"/>
          <w:bCs w:val="0"/>
          <w:color w:val="auto"/>
          <w:sz w:val="22"/>
          <w:szCs w:val="22"/>
          <w:lang w:val="en-GB"/>
        </w:rPr>
        <w:id w:val="1107721392"/>
        <w:docPartObj>
          <w:docPartGallery w:val="Table of Contents"/>
          <w:docPartUnique/>
        </w:docPartObj>
      </w:sdtPr>
      <w:sdtEndPr/>
      <w:sdtContent>
        <w:p w:rsidR="0071471A" w:rsidRPr="0071471A" w:rsidRDefault="0071471A" w:rsidP="0071471A">
          <w:pPr>
            <w:pStyle w:val="TOCHeading"/>
            <w:spacing w:before="0" w:line="360" w:lineRule="auto"/>
            <w:jc w:val="both"/>
            <w:rPr>
              <w:rFonts w:ascii="Times New Roman" w:hAnsi="Times New Roman" w:cs="Times New Roman"/>
              <w:color w:val="auto"/>
              <w:sz w:val="24"/>
              <w:szCs w:val="24"/>
            </w:rPr>
          </w:pPr>
          <w:r w:rsidRPr="0071471A">
            <w:rPr>
              <w:rFonts w:ascii="Times New Roman" w:hAnsi="Times New Roman" w:cs="Times New Roman"/>
              <w:color w:val="auto"/>
              <w:sz w:val="24"/>
              <w:szCs w:val="24"/>
            </w:rPr>
            <w:t>Table of Contents</w:t>
          </w:r>
        </w:p>
        <w:p w:rsidR="0071471A" w:rsidRPr="0071471A" w:rsidRDefault="0071471A" w:rsidP="0071471A">
          <w:pPr>
            <w:pStyle w:val="TOC1"/>
            <w:tabs>
              <w:tab w:val="right" w:leader="dot" w:pos="9019"/>
            </w:tabs>
            <w:spacing w:line="360" w:lineRule="auto"/>
            <w:jc w:val="both"/>
            <w:rPr>
              <w:rFonts w:ascii="Times New Roman" w:hAnsi="Times New Roman" w:cs="Times New Roman"/>
              <w:noProof/>
              <w:sz w:val="24"/>
              <w:szCs w:val="24"/>
            </w:rPr>
          </w:pPr>
          <w:r w:rsidRPr="0071471A">
            <w:rPr>
              <w:rFonts w:ascii="Times New Roman" w:hAnsi="Times New Roman" w:cs="Times New Roman"/>
              <w:sz w:val="24"/>
              <w:szCs w:val="24"/>
            </w:rPr>
            <w:fldChar w:fldCharType="begin"/>
          </w:r>
          <w:r w:rsidRPr="0071471A">
            <w:rPr>
              <w:rFonts w:ascii="Times New Roman" w:hAnsi="Times New Roman" w:cs="Times New Roman"/>
              <w:sz w:val="24"/>
              <w:szCs w:val="24"/>
            </w:rPr>
            <w:instrText xml:space="preserve"> TOC \o "1-3" \h \z \u </w:instrText>
          </w:r>
          <w:r w:rsidRPr="0071471A">
            <w:rPr>
              <w:rFonts w:ascii="Times New Roman" w:hAnsi="Times New Roman" w:cs="Times New Roman"/>
              <w:sz w:val="24"/>
              <w:szCs w:val="24"/>
            </w:rPr>
            <w:fldChar w:fldCharType="separate"/>
          </w:r>
          <w:hyperlink w:anchor="_Toc149225406" w:history="1">
            <w:r w:rsidRPr="0071471A">
              <w:rPr>
                <w:rStyle w:val="Hyperlink"/>
                <w:rFonts w:ascii="Times New Roman" w:hAnsi="Times New Roman" w:cs="Times New Roman"/>
                <w:noProof/>
                <w:color w:val="auto"/>
                <w:sz w:val="24"/>
                <w:szCs w:val="24"/>
              </w:rPr>
              <w:t>Introduction</w:t>
            </w:r>
            <w:r w:rsidRPr="0071471A">
              <w:rPr>
                <w:rFonts w:ascii="Times New Roman" w:hAnsi="Times New Roman" w:cs="Times New Roman"/>
                <w:noProof/>
                <w:webHidden/>
                <w:sz w:val="24"/>
                <w:szCs w:val="24"/>
              </w:rPr>
              <w:tab/>
            </w:r>
            <w:r w:rsidRPr="0071471A">
              <w:rPr>
                <w:rFonts w:ascii="Times New Roman" w:hAnsi="Times New Roman" w:cs="Times New Roman"/>
                <w:noProof/>
                <w:webHidden/>
                <w:sz w:val="24"/>
                <w:szCs w:val="24"/>
              </w:rPr>
              <w:fldChar w:fldCharType="begin"/>
            </w:r>
            <w:r w:rsidRPr="0071471A">
              <w:rPr>
                <w:rFonts w:ascii="Times New Roman" w:hAnsi="Times New Roman" w:cs="Times New Roman"/>
                <w:noProof/>
                <w:webHidden/>
                <w:sz w:val="24"/>
                <w:szCs w:val="24"/>
              </w:rPr>
              <w:instrText xml:space="preserve"> PAGEREF _Toc149225406 \h </w:instrText>
            </w:r>
            <w:r w:rsidRPr="0071471A">
              <w:rPr>
                <w:rFonts w:ascii="Times New Roman" w:hAnsi="Times New Roman" w:cs="Times New Roman"/>
                <w:noProof/>
                <w:webHidden/>
                <w:sz w:val="24"/>
                <w:szCs w:val="24"/>
              </w:rPr>
            </w:r>
            <w:r w:rsidRPr="0071471A">
              <w:rPr>
                <w:rFonts w:ascii="Times New Roman" w:hAnsi="Times New Roman" w:cs="Times New Roman"/>
                <w:noProof/>
                <w:webHidden/>
                <w:sz w:val="24"/>
                <w:szCs w:val="24"/>
              </w:rPr>
              <w:fldChar w:fldCharType="separate"/>
            </w:r>
            <w:r w:rsidRPr="0071471A">
              <w:rPr>
                <w:rFonts w:ascii="Times New Roman" w:hAnsi="Times New Roman" w:cs="Times New Roman"/>
                <w:noProof/>
                <w:webHidden/>
                <w:sz w:val="24"/>
                <w:szCs w:val="24"/>
              </w:rPr>
              <w:t>3</w:t>
            </w:r>
            <w:r w:rsidRPr="0071471A">
              <w:rPr>
                <w:rFonts w:ascii="Times New Roman" w:hAnsi="Times New Roman" w:cs="Times New Roman"/>
                <w:noProof/>
                <w:webHidden/>
                <w:sz w:val="24"/>
                <w:szCs w:val="24"/>
              </w:rPr>
              <w:fldChar w:fldCharType="end"/>
            </w:r>
          </w:hyperlink>
        </w:p>
        <w:p w:rsidR="0071471A" w:rsidRPr="0071471A" w:rsidRDefault="002A19CA" w:rsidP="0071471A">
          <w:pPr>
            <w:pStyle w:val="TOC1"/>
            <w:tabs>
              <w:tab w:val="right" w:leader="dot" w:pos="9019"/>
            </w:tabs>
            <w:spacing w:line="360" w:lineRule="auto"/>
            <w:jc w:val="both"/>
            <w:rPr>
              <w:rFonts w:ascii="Times New Roman" w:hAnsi="Times New Roman" w:cs="Times New Roman"/>
              <w:noProof/>
              <w:sz w:val="24"/>
              <w:szCs w:val="24"/>
            </w:rPr>
          </w:pPr>
          <w:hyperlink w:anchor="_Toc149225407" w:history="1">
            <w:r w:rsidR="0071471A" w:rsidRPr="0071471A">
              <w:rPr>
                <w:rStyle w:val="Hyperlink"/>
                <w:rFonts w:ascii="Times New Roman" w:hAnsi="Times New Roman" w:cs="Times New Roman"/>
                <w:noProof/>
                <w:color w:val="auto"/>
                <w:sz w:val="24"/>
                <w:szCs w:val="24"/>
              </w:rPr>
              <w:t>Discussion</w:t>
            </w:r>
            <w:r w:rsidR="0071471A" w:rsidRPr="0071471A">
              <w:rPr>
                <w:rFonts w:ascii="Times New Roman" w:hAnsi="Times New Roman" w:cs="Times New Roman"/>
                <w:noProof/>
                <w:webHidden/>
                <w:sz w:val="24"/>
                <w:szCs w:val="24"/>
              </w:rPr>
              <w:tab/>
            </w:r>
            <w:r w:rsidR="0071471A" w:rsidRPr="0071471A">
              <w:rPr>
                <w:rFonts w:ascii="Times New Roman" w:hAnsi="Times New Roman" w:cs="Times New Roman"/>
                <w:noProof/>
                <w:webHidden/>
                <w:sz w:val="24"/>
                <w:szCs w:val="24"/>
              </w:rPr>
              <w:fldChar w:fldCharType="begin"/>
            </w:r>
            <w:r w:rsidR="0071471A" w:rsidRPr="0071471A">
              <w:rPr>
                <w:rFonts w:ascii="Times New Roman" w:hAnsi="Times New Roman" w:cs="Times New Roman"/>
                <w:noProof/>
                <w:webHidden/>
                <w:sz w:val="24"/>
                <w:szCs w:val="24"/>
              </w:rPr>
              <w:instrText xml:space="preserve"> PAGEREF _Toc149225407 \h </w:instrText>
            </w:r>
            <w:r w:rsidR="0071471A" w:rsidRPr="0071471A">
              <w:rPr>
                <w:rFonts w:ascii="Times New Roman" w:hAnsi="Times New Roman" w:cs="Times New Roman"/>
                <w:noProof/>
                <w:webHidden/>
                <w:sz w:val="24"/>
                <w:szCs w:val="24"/>
              </w:rPr>
            </w:r>
            <w:r w:rsidR="0071471A" w:rsidRPr="0071471A">
              <w:rPr>
                <w:rFonts w:ascii="Times New Roman" w:hAnsi="Times New Roman" w:cs="Times New Roman"/>
                <w:noProof/>
                <w:webHidden/>
                <w:sz w:val="24"/>
                <w:szCs w:val="24"/>
              </w:rPr>
              <w:fldChar w:fldCharType="separate"/>
            </w:r>
            <w:r w:rsidR="0071471A" w:rsidRPr="0071471A">
              <w:rPr>
                <w:rFonts w:ascii="Times New Roman" w:hAnsi="Times New Roman" w:cs="Times New Roman"/>
                <w:noProof/>
                <w:webHidden/>
                <w:sz w:val="24"/>
                <w:szCs w:val="24"/>
              </w:rPr>
              <w:t>3</w:t>
            </w:r>
            <w:r w:rsidR="0071471A" w:rsidRPr="0071471A">
              <w:rPr>
                <w:rFonts w:ascii="Times New Roman" w:hAnsi="Times New Roman" w:cs="Times New Roman"/>
                <w:noProof/>
                <w:webHidden/>
                <w:sz w:val="24"/>
                <w:szCs w:val="24"/>
              </w:rPr>
              <w:fldChar w:fldCharType="end"/>
            </w:r>
          </w:hyperlink>
        </w:p>
        <w:p w:rsidR="0071471A" w:rsidRPr="0071471A" w:rsidRDefault="002A19CA" w:rsidP="0071471A">
          <w:pPr>
            <w:pStyle w:val="TOC1"/>
            <w:tabs>
              <w:tab w:val="right" w:leader="dot" w:pos="9019"/>
            </w:tabs>
            <w:spacing w:line="360" w:lineRule="auto"/>
            <w:jc w:val="both"/>
            <w:rPr>
              <w:rFonts w:ascii="Times New Roman" w:hAnsi="Times New Roman" w:cs="Times New Roman"/>
              <w:noProof/>
              <w:sz w:val="24"/>
              <w:szCs w:val="24"/>
            </w:rPr>
          </w:pPr>
          <w:hyperlink w:anchor="_Toc149225408" w:history="1">
            <w:r w:rsidR="0071471A" w:rsidRPr="0071471A">
              <w:rPr>
                <w:rStyle w:val="Hyperlink"/>
                <w:rFonts w:ascii="Times New Roman" w:hAnsi="Times New Roman" w:cs="Times New Roman"/>
                <w:noProof/>
                <w:color w:val="auto"/>
                <w:sz w:val="24"/>
                <w:szCs w:val="24"/>
              </w:rPr>
              <w:t>Conclusion</w:t>
            </w:r>
            <w:r w:rsidR="0071471A" w:rsidRPr="0071471A">
              <w:rPr>
                <w:rFonts w:ascii="Times New Roman" w:hAnsi="Times New Roman" w:cs="Times New Roman"/>
                <w:noProof/>
                <w:webHidden/>
                <w:sz w:val="24"/>
                <w:szCs w:val="24"/>
              </w:rPr>
              <w:tab/>
            </w:r>
            <w:r w:rsidR="0071471A" w:rsidRPr="0071471A">
              <w:rPr>
                <w:rFonts w:ascii="Times New Roman" w:hAnsi="Times New Roman" w:cs="Times New Roman"/>
                <w:noProof/>
                <w:webHidden/>
                <w:sz w:val="24"/>
                <w:szCs w:val="24"/>
              </w:rPr>
              <w:fldChar w:fldCharType="begin"/>
            </w:r>
            <w:r w:rsidR="0071471A" w:rsidRPr="0071471A">
              <w:rPr>
                <w:rFonts w:ascii="Times New Roman" w:hAnsi="Times New Roman" w:cs="Times New Roman"/>
                <w:noProof/>
                <w:webHidden/>
                <w:sz w:val="24"/>
                <w:szCs w:val="24"/>
              </w:rPr>
              <w:instrText xml:space="preserve"> PAGEREF _Toc149225408 \h </w:instrText>
            </w:r>
            <w:r w:rsidR="0071471A" w:rsidRPr="0071471A">
              <w:rPr>
                <w:rFonts w:ascii="Times New Roman" w:hAnsi="Times New Roman" w:cs="Times New Roman"/>
                <w:noProof/>
                <w:webHidden/>
                <w:sz w:val="24"/>
                <w:szCs w:val="24"/>
              </w:rPr>
            </w:r>
            <w:r w:rsidR="0071471A" w:rsidRPr="0071471A">
              <w:rPr>
                <w:rFonts w:ascii="Times New Roman" w:hAnsi="Times New Roman" w:cs="Times New Roman"/>
                <w:noProof/>
                <w:webHidden/>
                <w:sz w:val="24"/>
                <w:szCs w:val="24"/>
              </w:rPr>
              <w:fldChar w:fldCharType="separate"/>
            </w:r>
            <w:r w:rsidR="0071471A" w:rsidRPr="0071471A">
              <w:rPr>
                <w:rFonts w:ascii="Times New Roman" w:hAnsi="Times New Roman" w:cs="Times New Roman"/>
                <w:noProof/>
                <w:webHidden/>
                <w:sz w:val="24"/>
                <w:szCs w:val="24"/>
              </w:rPr>
              <w:t>7</w:t>
            </w:r>
            <w:r w:rsidR="0071471A" w:rsidRPr="0071471A">
              <w:rPr>
                <w:rFonts w:ascii="Times New Roman" w:hAnsi="Times New Roman" w:cs="Times New Roman"/>
                <w:noProof/>
                <w:webHidden/>
                <w:sz w:val="24"/>
                <w:szCs w:val="24"/>
              </w:rPr>
              <w:fldChar w:fldCharType="end"/>
            </w:r>
          </w:hyperlink>
        </w:p>
        <w:p w:rsidR="0071471A" w:rsidRPr="0071471A" w:rsidRDefault="002A19CA" w:rsidP="0071471A">
          <w:pPr>
            <w:pStyle w:val="TOC1"/>
            <w:tabs>
              <w:tab w:val="right" w:leader="dot" w:pos="9019"/>
            </w:tabs>
            <w:spacing w:line="360" w:lineRule="auto"/>
            <w:jc w:val="both"/>
            <w:rPr>
              <w:rFonts w:ascii="Times New Roman" w:hAnsi="Times New Roman" w:cs="Times New Roman"/>
              <w:noProof/>
              <w:sz w:val="24"/>
              <w:szCs w:val="24"/>
            </w:rPr>
          </w:pPr>
          <w:hyperlink w:anchor="_Toc149225409" w:history="1">
            <w:r w:rsidR="0071471A" w:rsidRPr="0071471A">
              <w:rPr>
                <w:rStyle w:val="Hyperlink"/>
                <w:rFonts w:ascii="Times New Roman" w:hAnsi="Times New Roman" w:cs="Times New Roman"/>
                <w:noProof/>
                <w:color w:val="auto"/>
                <w:sz w:val="24"/>
                <w:szCs w:val="24"/>
              </w:rPr>
              <w:t>References</w:t>
            </w:r>
            <w:r w:rsidR="0071471A" w:rsidRPr="0071471A">
              <w:rPr>
                <w:rFonts w:ascii="Times New Roman" w:hAnsi="Times New Roman" w:cs="Times New Roman"/>
                <w:noProof/>
                <w:webHidden/>
                <w:sz w:val="24"/>
                <w:szCs w:val="24"/>
              </w:rPr>
              <w:tab/>
            </w:r>
            <w:r w:rsidR="0071471A" w:rsidRPr="0071471A">
              <w:rPr>
                <w:rFonts w:ascii="Times New Roman" w:hAnsi="Times New Roman" w:cs="Times New Roman"/>
                <w:noProof/>
                <w:webHidden/>
                <w:sz w:val="24"/>
                <w:szCs w:val="24"/>
              </w:rPr>
              <w:fldChar w:fldCharType="begin"/>
            </w:r>
            <w:r w:rsidR="0071471A" w:rsidRPr="0071471A">
              <w:rPr>
                <w:rFonts w:ascii="Times New Roman" w:hAnsi="Times New Roman" w:cs="Times New Roman"/>
                <w:noProof/>
                <w:webHidden/>
                <w:sz w:val="24"/>
                <w:szCs w:val="24"/>
              </w:rPr>
              <w:instrText xml:space="preserve"> PAGEREF _Toc149225409 \h </w:instrText>
            </w:r>
            <w:r w:rsidR="0071471A" w:rsidRPr="0071471A">
              <w:rPr>
                <w:rFonts w:ascii="Times New Roman" w:hAnsi="Times New Roman" w:cs="Times New Roman"/>
                <w:noProof/>
                <w:webHidden/>
                <w:sz w:val="24"/>
                <w:szCs w:val="24"/>
              </w:rPr>
            </w:r>
            <w:r w:rsidR="0071471A" w:rsidRPr="0071471A">
              <w:rPr>
                <w:rFonts w:ascii="Times New Roman" w:hAnsi="Times New Roman" w:cs="Times New Roman"/>
                <w:noProof/>
                <w:webHidden/>
                <w:sz w:val="24"/>
                <w:szCs w:val="24"/>
              </w:rPr>
              <w:fldChar w:fldCharType="separate"/>
            </w:r>
            <w:r w:rsidR="0071471A" w:rsidRPr="0071471A">
              <w:rPr>
                <w:rFonts w:ascii="Times New Roman" w:hAnsi="Times New Roman" w:cs="Times New Roman"/>
                <w:noProof/>
                <w:webHidden/>
                <w:sz w:val="24"/>
                <w:szCs w:val="24"/>
              </w:rPr>
              <w:t>9</w:t>
            </w:r>
            <w:r w:rsidR="0071471A" w:rsidRPr="0071471A">
              <w:rPr>
                <w:rFonts w:ascii="Times New Roman" w:hAnsi="Times New Roman" w:cs="Times New Roman"/>
                <w:noProof/>
                <w:webHidden/>
                <w:sz w:val="24"/>
                <w:szCs w:val="24"/>
              </w:rPr>
              <w:fldChar w:fldCharType="end"/>
            </w:r>
          </w:hyperlink>
        </w:p>
        <w:p w:rsidR="0071471A" w:rsidRDefault="0071471A" w:rsidP="0071471A">
          <w:pPr>
            <w:spacing w:line="360" w:lineRule="auto"/>
            <w:jc w:val="both"/>
          </w:pPr>
          <w:r w:rsidRPr="0071471A">
            <w:rPr>
              <w:rFonts w:ascii="Times New Roman" w:hAnsi="Times New Roman" w:cs="Times New Roman"/>
              <w:sz w:val="24"/>
              <w:szCs w:val="24"/>
            </w:rPr>
            <w:fldChar w:fldCharType="end"/>
          </w:r>
        </w:p>
      </w:sdtContent>
    </w:sdt>
    <w:p w:rsidR="0071471A" w:rsidRDefault="0071471A">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rsidR="00C52FB5" w:rsidRDefault="00383677" w:rsidP="0071471A">
      <w:pPr>
        <w:pStyle w:val="Heading1"/>
        <w:spacing w:before="0" w:after="0" w:line="360" w:lineRule="auto"/>
      </w:pPr>
      <w:bookmarkStart w:id="1" w:name="_Toc149225406"/>
      <w:r>
        <w:lastRenderedPageBreak/>
        <w:t>Introduction</w:t>
      </w:r>
      <w:bookmarkEnd w:id="1"/>
    </w:p>
    <w:p w:rsidR="00C52FB5" w:rsidRDefault="0038367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development projects aim to ensure the well-being of every individual and assist them to reach their full potential. Therefore, community engagement is the most strategic initiative to accelerate equitable outcomes (</w:t>
      </w:r>
      <w:r>
        <w:rPr>
          <w:rFonts w:ascii="Times New Roman" w:eastAsia="Times New Roman" w:hAnsi="Times New Roman" w:cs="Times New Roman"/>
          <w:color w:val="222222"/>
          <w:sz w:val="24"/>
          <w:szCs w:val="24"/>
          <w:highlight w:val="white"/>
        </w:rPr>
        <w:t xml:space="preserve">Jani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Along with strengthening social licence engaging surrounding communities and responding to community complaints become easier. In the case of social development projects community engagement increases the chances for increasing visibility, understanding issues and demonstrating the impact of community contribution. The mental and physiological well-being of the community is the most crucial factor in developing a stable social structure. Keeping this fact in mind NHS, England launched a social prescribing project. </w:t>
      </w:r>
    </w:p>
    <w:p w:rsidR="00C52FB5" w:rsidRDefault="0038367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social prescribing project aims to improve the health and well-being of society by connecting them with local community services (</w:t>
      </w:r>
      <w:r>
        <w:rPr>
          <w:rFonts w:ascii="Times New Roman" w:eastAsia="Times New Roman" w:hAnsi="Times New Roman" w:cs="Times New Roman"/>
          <w:color w:val="222222"/>
          <w:sz w:val="24"/>
          <w:szCs w:val="24"/>
          <w:highlight w:val="white"/>
        </w:rPr>
        <w:t xml:space="preserve">Moore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xml:space="preserve">. Lack of fulfilment of the practical, social and emotional needs of an individual creates challenges in managing community well-being. The study aims to evaluate the role of social prescribing projects in the social development of the UK. Multiple areas of community engagement issues and challenges associated are analysed. This project provided scope to doctors, organisations and professionals to help people with certain sorts of healthcare needs. Thus with proper strategic planning, it aims at issue identification, development of strategy and implementation along with analysis of post-project plan. </w:t>
      </w:r>
    </w:p>
    <w:p w:rsidR="00C52FB5" w:rsidRDefault="00383677" w:rsidP="0071471A">
      <w:pPr>
        <w:pStyle w:val="Heading1"/>
        <w:spacing w:before="0" w:after="0" w:line="360" w:lineRule="auto"/>
      </w:pPr>
      <w:bookmarkStart w:id="2" w:name="_Toc149225407"/>
      <w:r>
        <w:t>Discussion</w:t>
      </w:r>
      <w:bookmarkEnd w:id="2"/>
    </w:p>
    <w:p w:rsidR="00C52FB5" w:rsidRDefault="00383677">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Description of the project</w:t>
      </w:r>
    </w:p>
    <w:p w:rsidR="00C52FB5" w:rsidRDefault="0038367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Considering a long-term plan for community development NHS launched The Social Prescribing Project in 2020 to embed a community-based approach in social care. By the end of 2024, universal personalised care is going to benefit 2.5 million people. This project conducts proactive prescribing services by following PCN Reference Guidance (</w:t>
      </w:r>
      <w:r>
        <w:rPr>
          <w:rFonts w:ascii="Times New Roman" w:eastAsia="Times New Roman" w:hAnsi="Times New Roman" w:cs="Times New Roman"/>
          <w:color w:val="222222"/>
          <w:sz w:val="24"/>
          <w:szCs w:val="24"/>
          <w:highlight w:val="white"/>
        </w:rPr>
        <w:t xml:space="preserve">Husk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xml:space="preserve">. This Project started in collaboration between NHS and the National Academy For Social Prescribing. Along with the assistance of social media platforms, it has opened 1,000 social prescribing links in 2022. </w:t>
      </w:r>
    </w:p>
    <w:p w:rsidR="00C52FB5" w:rsidRDefault="00383677">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Problems the project tends to address</w:t>
      </w:r>
    </w:p>
    <w:p w:rsidR="00C52FB5" w:rsidRDefault="0038367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objective of The Social Prescribing Project is to provide personalised care to the mental and physiological needs of the community (</w:t>
      </w:r>
      <w:r>
        <w:rPr>
          <w:rFonts w:ascii="Times New Roman" w:eastAsia="Times New Roman" w:hAnsi="Times New Roman" w:cs="Times New Roman"/>
          <w:color w:val="222222"/>
          <w:sz w:val="24"/>
          <w:szCs w:val="24"/>
          <w:highlight w:val="white"/>
        </w:rPr>
        <w:t xml:space="preserve">Pescheny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It has been observed that from 2019-2020, 5% of the total community was devoid of proper healthcare support due to financial issues. 11% of people in remote areas do not have access due to connectivity issues. </w:t>
      </w:r>
      <w:r>
        <w:rPr>
          <w:rFonts w:ascii="Times New Roman" w:eastAsia="Times New Roman" w:hAnsi="Times New Roman" w:cs="Times New Roman"/>
          <w:sz w:val="24"/>
          <w:szCs w:val="24"/>
        </w:rPr>
        <w:lastRenderedPageBreak/>
        <w:t xml:space="preserve">Thus the project tends to solve the problem by following a few steps such as making the diagnosis, estimating of prognosis and selecting of most appropriate treatment process. It provides the opportunity to reduce challenges in healthcare standards. </w:t>
      </w:r>
    </w:p>
    <w:p w:rsidR="00C52FB5" w:rsidRDefault="00383677">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Objectives of the project</w:t>
      </w:r>
    </w:p>
    <w:p w:rsidR="00C52FB5" w:rsidRDefault="0038367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objective of The NHS Social Prescribing Project is to develop better community infrastructure for primary care and embedded community-based approaches in terms of social prescribing. </w:t>
      </w:r>
    </w:p>
    <w:p w:rsidR="00C52FB5" w:rsidRDefault="00383677">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The target stakeholders and their benefits </w:t>
      </w:r>
    </w:p>
    <w:p w:rsidR="00C52FB5" w:rsidRDefault="0038367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targeted stakeholders in the social prescribing project are patients, referrers, social prescriber coordinators, and community service providers. Patients get benefits with equitable assistance in healthcare support (</w:t>
      </w:r>
      <w:r>
        <w:rPr>
          <w:rFonts w:ascii="Times New Roman" w:eastAsia="Times New Roman" w:hAnsi="Times New Roman" w:cs="Times New Roman"/>
          <w:color w:val="222222"/>
          <w:sz w:val="24"/>
          <w:szCs w:val="24"/>
          <w:highlight w:val="white"/>
        </w:rPr>
        <w:t xml:space="preserve">Chatterjee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 xml:space="preserve">. Referees gain financial benefits from the project coordination team. Prescriber coordinators and community service providers gain benefits from the completion of the project goal. It helps to deal with the challenges observed in the situation. </w:t>
      </w:r>
    </w:p>
    <w:p w:rsidR="00C52FB5" w:rsidRDefault="0038367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Stakeholders ‘ engagement can help to accomplish project goals within the allocated deadline (</w:t>
      </w:r>
      <w:r>
        <w:rPr>
          <w:rFonts w:ascii="Times New Roman" w:eastAsia="Times New Roman" w:hAnsi="Times New Roman" w:cs="Times New Roman"/>
          <w:color w:val="222222"/>
          <w:sz w:val="24"/>
          <w:szCs w:val="24"/>
          <w:highlight w:val="white"/>
        </w:rPr>
        <w:t xml:space="preserve">Whitelaw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 xml:space="preserve">. In consideration of their roles and responsibilities, there are certain strategies which can be adopted to make them engaged such as </w:t>
      </w:r>
      <w:r>
        <w:rPr>
          <w:rFonts w:ascii="Times New Roman" w:eastAsia="Times New Roman" w:hAnsi="Times New Roman" w:cs="Times New Roman"/>
          <w:b/>
          <w:i/>
          <w:sz w:val="24"/>
          <w:szCs w:val="24"/>
        </w:rPr>
        <w:t xml:space="preserve">getting feedback, understanding their expectations, developing a coalition, keeping track of desired change and measuring and evaluating the range of stakeholders’ engagement. </w:t>
      </w:r>
      <w:r>
        <w:rPr>
          <w:rFonts w:ascii="Times New Roman" w:eastAsia="Times New Roman" w:hAnsi="Times New Roman" w:cs="Times New Roman"/>
          <w:sz w:val="24"/>
          <w:szCs w:val="24"/>
        </w:rPr>
        <w:t xml:space="preserve">Certain pillars of community engagement can help to deal with this aspect for instance </w:t>
      </w:r>
      <w:r>
        <w:rPr>
          <w:rFonts w:ascii="Times New Roman" w:eastAsia="Times New Roman" w:hAnsi="Times New Roman" w:cs="Times New Roman"/>
          <w:b/>
          <w:i/>
          <w:sz w:val="24"/>
          <w:szCs w:val="24"/>
        </w:rPr>
        <w:t>participation, barrier removal, transparency, accountability and local power.</w:t>
      </w:r>
      <w:r>
        <w:rPr>
          <w:rFonts w:ascii="Times New Roman" w:eastAsia="Times New Roman" w:hAnsi="Times New Roman" w:cs="Times New Roman"/>
          <w:sz w:val="24"/>
          <w:szCs w:val="24"/>
        </w:rPr>
        <w:t xml:space="preserve"> In consideration of the social prescribing project active community, participation can help to deal with stakeholders’ involvement issues. </w:t>
      </w:r>
    </w:p>
    <w:p w:rsidR="00C52FB5" w:rsidRDefault="00383677">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Identification of areas they are most active </w:t>
      </w:r>
    </w:p>
    <w:p w:rsidR="00C52FB5" w:rsidRDefault="0038367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Outreach to support the project objectives stakeholders are active in certain areas such as developing more than one long-term condition, identifying low-level mental health issues, identifying a community which is isolated, and evaluating the complex social needs which can affect overall psychological well-being. In the case of patients, they are most active in identifying the accessibility of healthcare support systems with social prescribing projects (</w:t>
      </w:r>
      <w:r>
        <w:rPr>
          <w:rFonts w:ascii="Times New Roman" w:eastAsia="Times New Roman" w:hAnsi="Times New Roman" w:cs="Times New Roman"/>
          <w:color w:val="222222"/>
          <w:sz w:val="24"/>
          <w:szCs w:val="24"/>
          <w:highlight w:val="white"/>
        </w:rPr>
        <w:t xml:space="preserve">Holding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To ensure collaborative community participation different social media platforms are used Facebook, and Linkedin to develop professional networking with stakeholders. Active participation of stakeholders has ensured proactive community participation and thus fulfilling project objectives becomes easier. </w:t>
      </w:r>
    </w:p>
    <w:p w:rsidR="00C52FB5" w:rsidRDefault="0038367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the case of The Social Prescribing Project social media platforms play a huge role in increasing professional network, increasing awareness and involvement of stakeholders, motivating patients, and providing them with the necessary guidance and help the community to access healthcare-related information (</w:t>
      </w:r>
      <w:r>
        <w:rPr>
          <w:rFonts w:ascii="Times New Roman" w:eastAsia="Times New Roman" w:hAnsi="Times New Roman" w:cs="Times New Roman"/>
          <w:color w:val="222222"/>
          <w:sz w:val="24"/>
          <w:szCs w:val="24"/>
          <w:highlight w:val="white"/>
        </w:rPr>
        <w:t xml:space="preserve">Moffatt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xml:space="preserve">. The Workforce Development Framework of NHS with the collaboration of social media platforms increase the scope of expanding online network and community-based practices.  Community-embedded implementation and personalised care approaches are successfully implemented by NHS along with the collaboration of social media platforms. Thus active participation of all stakeholders and reducing challenges have become easier. </w:t>
      </w:r>
    </w:p>
    <w:p w:rsidR="00C52FB5" w:rsidRDefault="00383677">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Approaches adopted</w:t>
      </w:r>
    </w:p>
    <w:p w:rsidR="00C52FB5" w:rsidRDefault="0038367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standard model of social prescribing developed by NHS, England aims at ensuring at least 90000 people are referred by the end of 2024. It included non-medical community-based activities and medical support with a </w:t>
      </w:r>
      <w:r>
        <w:rPr>
          <w:rFonts w:ascii="Times New Roman" w:eastAsia="Times New Roman" w:hAnsi="Times New Roman" w:cs="Times New Roman"/>
          <w:b/>
          <w:i/>
          <w:sz w:val="24"/>
          <w:szCs w:val="24"/>
        </w:rPr>
        <w:t>personalised care approach.</w:t>
      </w:r>
      <w:r>
        <w:rPr>
          <w:rFonts w:ascii="Times New Roman" w:eastAsia="Times New Roman" w:hAnsi="Times New Roman" w:cs="Times New Roman"/>
          <w:sz w:val="24"/>
          <w:szCs w:val="24"/>
        </w:rPr>
        <w:t xml:space="preserve"> The personalised care approach adopted by stakeholders stands upon certain principles such as shared decision-making, planning, personal health budget and supported self-management. On the other hand, the </w:t>
      </w:r>
      <w:r>
        <w:rPr>
          <w:rFonts w:ascii="Times New Roman" w:eastAsia="Times New Roman" w:hAnsi="Times New Roman" w:cs="Times New Roman"/>
          <w:b/>
          <w:i/>
          <w:sz w:val="24"/>
          <w:szCs w:val="24"/>
        </w:rPr>
        <w:t xml:space="preserve">community-embedded implementation approach </w:t>
      </w:r>
      <w:r>
        <w:rPr>
          <w:rFonts w:ascii="Times New Roman" w:eastAsia="Times New Roman" w:hAnsi="Times New Roman" w:cs="Times New Roman"/>
          <w:sz w:val="24"/>
          <w:szCs w:val="24"/>
        </w:rPr>
        <w:t>provides scope to engage local communities in the project (</w:t>
      </w:r>
      <w:r>
        <w:rPr>
          <w:rFonts w:ascii="Times New Roman" w:eastAsia="Times New Roman" w:hAnsi="Times New Roman" w:cs="Times New Roman"/>
          <w:color w:val="222222"/>
          <w:sz w:val="24"/>
          <w:szCs w:val="24"/>
          <w:highlight w:val="white"/>
        </w:rPr>
        <w:t xml:space="preserve">Hamilton-West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Following this approach, stakeholders in the situation can support the community by taking control over their psychological and physiological well-being to fulfil the project objective. </w:t>
      </w:r>
    </w:p>
    <w:p w:rsidR="00C52FB5" w:rsidRDefault="0038367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promote community participation successfully collaboration, diversity inclusion, socio-cultural integration, and multiculturalism can optimise the level of stakeholders’ participation and achieve the desired success (</w:t>
      </w:r>
      <w:r>
        <w:rPr>
          <w:rFonts w:ascii="Times New Roman" w:eastAsia="Times New Roman" w:hAnsi="Times New Roman" w:cs="Times New Roman"/>
          <w:color w:val="222222"/>
          <w:sz w:val="24"/>
          <w:szCs w:val="24"/>
          <w:highlight w:val="white"/>
        </w:rPr>
        <w:t xml:space="preserve">Baska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Thus The Department of Social and Healthcare, the Department of Culture, and the Department of Media work in collaboration with each other for the successful implementation of the project goal. To accelerate innovation in The Social Community Prescribing Programme The National Healthcare Social Service arranges for multiple Webinar programmes to increase stakeholders’ engagement. PCN Reference Guidance in Proactive Prescribing Services has given the authority the necessary motivation to launch the green social prescribing project (</w:t>
      </w:r>
      <w:r>
        <w:rPr>
          <w:rFonts w:ascii="Times New Roman" w:eastAsia="Times New Roman" w:hAnsi="Times New Roman" w:cs="Times New Roman"/>
          <w:color w:val="222222"/>
          <w:sz w:val="24"/>
          <w:szCs w:val="24"/>
          <w:highlight w:val="white"/>
        </w:rPr>
        <w:t xml:space="preserve">Moffatt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xml:space="preserve">.  </w:t>
      </w:r>
    </w:p>
    <w:p w:rsidR="00C52FB5" w:rsidRDefault="00383677">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process to engage community members through the planning process</w:t>
      </w:r>
    </w:p>
    <w:p w:rsidR="00C52FB5" w:rsidRDefault="0038367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Engaging community members throughout multiple stages of planning is the most crucial need to fulfil the project goal. In consideration of the situation, The Social Prescribing Project needs to follow a few stages to achieve success in community engagement such as understanding community needs, planning based on their needs, identifying gaps and working with the help of a two-way dialogue. Community engagement increases the scope of </w:t>
      </w:r>
      <w:r>
        <w:rPr>
          <w:rFonts w:ascii="Times New Roman" w:eastAsia="Times New Roman" w:hAnsi="Times New Roman" w:cs="Times New Roman"/>
          <w:sz w:val="24"/>
          <w:szCs w:val="24"/>
        </w:rPr>
        <w:lastRenderedPageBreak/>
        <w:t>the project management team to identify areas of gap and plan necessary actions in the situation (</w:t>
      </w:r>
      <w:r>
        <w:rPr>
          <w:rFonts w:ascii="Times New Roman" w:eastAsia="Times New Roman" w:hAnsi="Times New Roman" w:cs="Times New Roman"/>
          <w:color w:val="222222"/>
          <w:sz w:val="24"/>
          <w:szCs w:val="24"/>
          <w:highlight w:val="white"/>
        </w:rPr>
        <w:t xml:space="preserve">Holding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Thus the process of collaborative commissioning and partnership-based working can better develop social prescribing links. </w:t>
      </w:r>
    </w:p>
    <w:p w:rsidR="00C52FB5" w:rsidRDefault="0038367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case of The Social Prescribing Project, community engagement is the pillar in achieving success and fulfilling community needs of healthcare (</w:t>
      </w:r>
      <w:r>
        <w:rPr>
          <w:rFonts w:ascii="Times New Roman" w:eastAsia="Times New Roman" w:hAnsi="Times New Roman" w:cs="Times New Roman"/>
          <w:color w:val="222222"/>
          <w:sz w:val="24"/>
          <w:szCs w:val="24"/>
          <w:highlight w:val="white"/>
        </w:rPr>
        <w:t xml:space="preserve">Chatterjee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 xml:space="preserve">.  There are multiple community engagement methods which can be considered in the situation such as public meetings, events, surveys, focused group workshops, development of citizen’s panels, development of websites and blogs, and management of social media integration. In consideration of The Social Prescribing Project external factors such as socio, economic and political situations can determine healthcare support needs. Internal conditions such as the planning process of NHS, infrastructure development and involvement of professionals can increase community engagement. </w:t>
      </w:r>
    </w:p>
    <w:p w:rsidR="00C52FB5" w:rsidRDefault="0038367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Central Board of Disease Control and Preservation UK, states that community engagement is the process of working collaboratively with diversity inclusion. Being affiliated by issues such as geographical proximity, special interests and healthcare programmes is responsible for developing a stable structure (</w:t>
      </w:r>
      <w:r>
        <w:rPr>
          <w:rFonts w:ascii="Times New Roman" w:eastAsia="Times New Roman" w:hAnsi="Times New Roman" w:cs="Times New Roman"/>
          <w:color w:val="222222"/>
          <w:sz w:val="24"/>
          <w:szCs w:val="24"/>
          <w:highlight w:val="white"/>
        </w:rPr>
        <w:t xml:space="preserve">Husk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xml:space="preserve">. The case of The Social Prescribing Project UK focuses on the process of managing demographic diversity with inclusive patterns. NHS, UK has started GP practice in collaboration with 1000 healthcare workers and it addresses inequality in social prescribing strategy. Thus the practitioners need to adopt a look-forwarding approach to deal with the needs. Integration of the concept of multiculturalism can improve success. </w:t>
      </w:r>
    </w:p>
    <w:p w:rsidR="00C52FB5" w:rsidRDefault="00383677">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Lessons learnt from the project</w:t>
      </w:r>
    </w:p>
    <w:p w:rsidR="00C52FB5" w:rsidRDefault="0038367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Social Prescribing Project is run by The Council of Local Charity UK to fulfil practical and social needs (</w:t>
      </w:r>
      <w:r>
        <w:rPr>
          <w:rFonts w:ascii="Times New Roman" w:eastAsia="Times New Roman" w:hAnsi="Times New Roman" w:cs="Times New Roman"/>
          <w:color w:val="222222"/>
          <w:sz w:val="24"/>
          <w:szCs w:val="24"/>
          <w:highlight w:val="white"/>
        </w:rPr>
        <w:t xml:space="preserve">Whitelaw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 xml:space="preserve">. From the project, it can be understood that recognising people's health is determined by social, economic and environmental factors. Social factors play a predominant role in increasing successful outcomes in the situation. As a grassroots movement, multiple projects of social prescribing are run in England. From this project NHS, England it has been learned that increasing the universal availability of services is the need of the hour. From the record accessed in this project from 2021-2022, the depression rate has been reduced by 4% in the South-Eastern regions of the UK due to the inclusion of mental health issues in this campaign. </w:t>
      </w:r>
    </w:p>
    <w:p w:rsidR="00C52FB5" w:rsidRDefault="0038367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this instance, it can be understood that adequate focus on psychological well-being through social prescribing campaigns can increase the scope of project success. Thus from this learning London Arts in Health Forum, Wellbeing Network, Art and Health in South </w:t>
      </w:r>
      <w:r>
        <w:rPr>
          <w:rFonts w:ascii="Times New Roman" w:eastAsia="Times New Roman" w:hAnsi="Times New Roman" w:cs="Times New Roman"/>
          <w:sz w:val="24"/>
          <w:szCs w:val="24"/>
        </w:rPr>
        <w:lastRenderedPageBreak/>
        <w:t>East, and Art Derbyshire tend to develop collaborative planning to deal with the challenges concerned. Future projects considering the scope of sustainability, tend to adopt The Green Social Prescribing Programme by overviewing existing evidence (</w:t>
      </w:r>
      <w:r>
        <w:rPr>
          <w:rFonts w:ascii="Times New Roman" w:eastAsia="Times New Roman" w:hAnsi="Times New Roman" w:cs="Times New Roman"/>
          <w:color w:val="222222"/>
          <w:sz w:val="24"/>
          <w:szCs w:val="24"/>
          <w:highlight w:val="white"/>
        </w:rPr>
        <w:t xml:space="preserve">Jani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It does not only protect the issues of environmental stability but at the same time deals with harmful emissions more easily. In this manner reaching targeted outcomes can become easier in this situation. </w:t>
      </w:r>
    </w:p>
    <w:p w:rsidR="00C52FB5" w:rsidRDefault="0038367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Engaging community members depends upon collaboration, inclusion of diversity and understanding the dimensions of multiculturalism. Social prescribing projects can develop opportunities for primary care staff and local agencies to refer people with developing linkage among workers. From the project has been learnt that the Social Prescribing Project gives scope for decreases in loneliness, and improvements in mental health and well-being, in social connections and overall well-being(</w:t>
      </w:r>
      <w:r>
        <w:rPr>
          <w:rFonts w:ascii="Times New Roman" w:eastAsia="Times New Roman" w:hAnsi="Times New Roman" w:cs="Times New Roman"/>
          <w:color w:val="222222"/>
          <w:sz w:val="24"/>
          <w:szCs w:val="24"/>
          <w:highlight w:val="white"/>
        </w:rPr>
        <w:t xml:space="preserve">Moore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xml:space="preserve">. Thus the forward-looking approach can help to deal with the challenges observed in this context. </w:t>
      </w:r>
    </w:p>
    <w:p w:rsidR="00C52FB5" w:rsidRDefault="00383677">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Post-project plan for consideration </w:t>
      </w:r>
    </w:p>
    <w:p w:rsidR="00C52FB5" w:rsidRDefault="0038367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post-project plan of consideration includes the implication of the project goal, determines the future needs of budget allocation, evaluation of future scope, organising the necessary skills for future implementation of objectives and potential risk evaluation process (</w:t>
      </w:r>
      <w:r>
        <w:rPr>
          <w:rFonts w:ascii="Times New Roman" w:eastAsia="Times New Roman" w:hAnsi="Times New Roman" w:cs="Times New Roman"/>
          <w:color w:val="222222"/>
          <w:sz w:val="24"/>
          <w:szCs w:val="24"/>
          <w:highlight w:val="white"/>
        </w:rPr>
        <w:t xml:space="preserve">Moffatt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xml:space="preserve">. The purpose of the project is to increase The Social Prescribing Campaign and increase interaction with community support. In terms of the multicultural approach inclusion of diversity is the need of the hour to implement the project plan. In terms of the future consideration NHS targets to focus on increasing the prescribing network and deal with the challenges. </w:t>
      </w:r>
    </w:p>
    <w:p w:rsidR="00C52FB5" w:rsidRDefault="0038367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consideration of the impact of external and internal factors, the purpose is to deal with the challenges and optimise the scope of better healthcare standards (</w:t>
      </w:r>
      <w:r>
        <w:rPr>
          <w:rFonts w:ascii="Times New Roman" w:eastAsia="Times New Roman" w:hAnsi="Times New Roman" w:cs="Times New Roman"/>
          <w:color w:val="222222"/>
          <w:sz w:val="24"/>
          <w:szCs w:val="24"/>
          <w:highlight w:val="white"/>
        </w:rPr>
        <w:t xml:space="preserve">Holding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The Cross Government Green Social Prescribing Programme requires overviewing the existing shreds of evidence and demonstrating an integrated healthcare system. The Department of Levelling up Community Healthcare tends to prioritise better healthcare standards and increase the scope of long-term progress. Thus in a project management plan, the need is to develop a resilient and accessible healthcare programme. </w:t>
      </w:r>
    </w:p>
    <w:p w:rsidR="00C52FB5" w:rsidRDefault="00383677" w:rsidP="0071471A">
      <w:pPr>
        <w:pStyle w:val="Heading1"/>
        <w:spacing w:before="0" w:after="0" w:line="360" w:lineRule="auto"/>
      </w:pPr>
      <w:bookmarkStart w:id="3" w:name="_Toc149225408"/>
      <w:r>
        <w:t>Conclusion</w:t>
      </w:r>
      <w:bookmarkEnd w:id="3"/>
    </w:p>
    <w:p w:rsidR="00C52FB5" w:rsidRDefault="0038367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discussion, it can be concluded that the development of better healthcare infrastructure is the need of the hour to develop better healthcare support. Along with the launch of The Social Prescribing Project, the scope of providing better healthcare support </w:t>
      </w:r>
      <w:r>
        <w:rPr>
          <w:rFonts w:ascii="Times New Roman" w:eastAsia="Times New Roman" w:hAnsi="Times New Roman" w:cs="Times New Roman"/>
          <w:sz w:val="24"/>
          <w:szCs w:val="24"/>
        </w:rPr>
        <w:lastRenderedPageBreak/>
        <w:t xml:space="preserve">becomes easier. NHS England aims to provide better healthcare support in terms of physiological and psychological health.  There are multiple layers of challenges observed in terms of dealing with the challenges in the situation. In consideration of The Green Social Prescribing Project inclusion of the concept of sustainability in the situation will become easier. The development of better healthcare infrastructure needs strategic planning and logical decision-making practices to deal with the challenges concerned. Along with the implementation of the project planning addressing multiple layers of challenges and optimising long-term success become easier. Thus dealing with the challenges in the concerned situation can become easier. </w:t>
      </w:r>
    </w:p>
    <w:p w:rsidR="0071471A" w:rsidRDefault="0071471A">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rsidR="00C52FB5" w:rsidRDefault="00383677" w:rsidP="0071471A">
      <w:pPr>
        <w:pStyle w:val="Heading1"/>
        <w:spacing w:before="0" w:after="0" w:line="360" w:lineRule="auto"/>
      </w:pPr>
      <w:bookmarkStart w:id="4" w:name="_Toc149225409"/>
      <w:r>
        <w:lastRenderedPageBreak/>
        <w:t>References</w:t>
      </w:r>
      <w:bookmarkEnd w:id="4"/>
      <w:r>
        <w:t xml:space="preserve"> </w:t>
      </w:r>
    </w:p>
    <w:p w:rsidR="0071471A" w:rsidRDefault="0071471A" w:rsidP="0071471A">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Baska, A., Kurpas, D., Kenkre, J., Vidal-Alaball, J., Petrazzuoli, F., Dolan, M., Śliż, D. and Robins, J., 2021. Social prescribing and lifestyle medicine—a remedy to chronic health problems? </w:t>
      </w:r>
      <w:r>
        <w:rPr>
          <w:rFonts w:ascii="Times New Roman" w:eastAsia="Times New Roman" w:hAnsi="Times New Roman" w:cs="Times New Roman"/>
          <w:i/>
          <w:color w:val="222222"/>
          <w:sz w:val="24"/>
          <w:szCs w:val="24"/>
          <w:highlight w:val="white"/>
        </w:rPr>
        <w:t>International Journal of Environmental Research and Public Health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18</w:t>
      </w:r>
      <w:r>
        <w:rPr>
          <w:rFonts w:ascii="Times New Roman" w:eastAsia="Times New Roman" w:hAnsi="Times New Roman" w:cs="Times New Roman"/>
          <w:color w:val="222222"/>
          <w:sz w:val="24"/>
          <w:szCs w:val="24"/>
          <w:highlight w:val="white"/>
        </w:rPr>
        <w:t>(19), p.10096.</w:t>
      </w:r>
    </w:p>
    <w:p w:rsidR="0071471A" w:rsidRDefault="0071471A" w:rsidP="0071471A">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Chatterjee, H.J., Camic, P.M., Lockyer, B. and Thomson, L.J., 2018. Non-clinical community interventions: a systematised review of social prescribing schemes. </w:t>
      </w:r>
      <w:r>
        <w:rPr>
          <w:rFonts w:ascii="Times New Roman" w:eastAsia="Times New Roman" w:hAnsi="Times New Roman" w:cs="Times New Roman"/>
          <w:i/>
          <w:color w:val="222222"/>
          <w:sz w:val="24"/>
          <w:szCs w:val="24"/>
          <w:highlight w:val="white"/>
        </w:rPr>
        <w:t>Arts &amp; Health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(2), pp.97-123.</w:t>
      </w:r>
    </w:p>
    <w:p w:rsidR="0071471A" w:rsidRDefault="0071471A" w:rsidP="0071471A">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Hamilton-West, K., Milne, A. and Hotham, S., 2020. New horizons in supporting older people's health and well-being: is social prescribing a way forward? </w:t>
      </w:r>
      <w:r>
        <w:rPr>
          <w:rFonts w:ascii="Times New Roman" w:eastAsia="Times New Roman" w:hAnsi="Times New Roman" w:cs="Times New Roman"/>
          <w:i/>
          <w:color w:val="222222"/>
          <w:sz w:val="24"/>
          <w:szCs w:val="24"/>
          <w:highlight w:val="white"/>
        </w:rPr>
        <w:t>Age and Ageing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49</w:t>
      </w:r>
      <w:r>
        <w:rPr>
          <w:rFonts w:ascii="Times New Roman" w:eastAsia="Times New Roman" w:hAnsi="Times New Roman" w:cs="Times New Roman"/>
          <w:color w:val="222222"/>
          <w:sz w:val="24"/>
          <w:szCs w:val="24"/>
          <w:highlight w:val="white"/>
        </w:rPr>
        <w:t>(3), pp.319-326.</w:t>
      </w:r>
    </w:p>
    <w:p w:rsidR="0071471A" w:rsidRDefault="0071471A" w:rsidP="0071471A">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Holding, E., Thompson, J., Foster, A. and Haywood, A., 2020. Connecting communities: a qualitative investigation of the challenges in delivering a national social prescribing service to reduce loneliness. </w:t>
      </w:r>
      <w:r>
        <w:rPr>
          <w:rFonts w:ascii="Times New Roman" w:eastAsia="Times New Roman" w:hAnsi="Times New Roman" w:cs="Times New Roman"/>
          <w:i/>
          <w:color w:val="222222"/>
          <w:sz w:val="24"/>
          <w:szCs w:val="24"/>
          <w:highlight w:val="white"/>
        </w:rPr>
        <w:t>Health &amp; social care in the community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28</w:t>
      </w:r>
      <w:r>
        <w:rPr>
          <w:rFonts w:ascii="Times New Roman" w:eastAsia="Times New Roman" w:hAnsi="Times New Roman" w:cs="Times New Roman"/>
          <w:color w:val="222222"/>
          <w:sz w:val="24"/>
          <w:szCs w:val="24"/>
          <w:highlight w:val="white"/>
        </w:rPr>
        <w:t>(5), pp.1535-1543.</w:t>
      </w:r>
    </w:p>
    <w:p w:rsidR="0071471A" w:rsidRDefault="0071471A" w:rsidP="0071471A">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Husk, K., Blockley, K., Lovell, R., Bethel, A., Lang, I., Byng, R. and Garside, R., 2020. What approaches to social prescribing work, for whom, and in what circumstances? A realist review. </w:t>
      </w:r>
      <w:r>
        <w:rPr>
          <w:rFonts w:ascii="Times New Roman" w:eastAsia="Times New Roman" w:hAnsi="Times New Roman" w:cs="Times New Roman"/>
          <w:i/>
          <w:color w:val="222222"/>
          <w:sz w:val="24"/>
          <w:szCs w:val="24"/>
          <w:highlight w:val="white"/>
        </w:rPr>
        <w:t>Health &amp; social care in the community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28</w:t>
      </w:r>
      <w:r>
        <w:rPr>
          <w:rFonts w:ascii="Times New Roman" w:eastAsia="Times New Roman" w:hAnsi="Times New Roman" w:cs="Times New Roman"/>
          <w:color w:val="222222"/>
          <w:sz w:val="24"/>
          <w:szCs w:val="24"/>
          <w:highlight w:val="white"/>
        </w:rPr>
        <w:t>(2), pp.309-324.</w:t>
      </w:r>
    </w:p>
    <w:p w:rsidR="0071471A" w:rsidRDefault="0071471A" w:rsidP="0071471A">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Jani, A., Liyanage, H., Hoang, U., Moore, L., Ferreira, F., Yonova, I., Brown, V.T. and de Lusignan, S., 2020. Use and impact of social prescribing: a mixed-methods feasibility study protocol. </w:t>
      </w:r>
      <w:r>
        <w:rPr>
          <w:rFonts w:ascii="Times New Roman" w:eastAsia="Times New Roman" w:hAnsi="Times New Roman" w:cs="Times New Roman"/>
          <w:i/>
          <w:color w:val="222222"/>
          <w:sz w:val="24"/>
          <w:szCs w:val="24"/>
          <w:highlight w:val="white"/>
        </w:rPr>
        <w:t>BMJ open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(9), p.e037681.</w:t>
      </w:r>
    </w:p>
    <w:p w:rsidR="0071471A" w:rsidRDefault="0071471A" w:rsidP="0071471A">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Moffatt, S., Wildman, J., Pollard, T.M., Penn, L., O’Brien, N., Pearce, M.S. and Wildman, J.M., 2019. Evaluating the impact of a community-based social prescribing intervention on people with type 2 diabetes in North East England: mixed-methods study protocol. </w:t>
      </w:r>
      <w:r>
        <w:rPr>
          <w:rFonts w:ascii="Times New Roman" w:eastAsia="Times New Roman" w:hAnsi="Times New Roman" w:cs="Times New Roman"/>
          <w:i/>
          <w:color w:val="222222"/>
          <w:sz w:val="24"/>
          <w:szCs w:val="24"/>
          <w:highlight w:val="white"/>
        </w:rPr>
        <w:t>BMJ open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(1), p.e026826.</w:t>
      </w:r>
    </w:p>
    <w:p w:rsidR="0071471A" w:rsidRDefault="0071471A" w:rsidP="0071471A">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Moore, C., Unwin, P., Evans, N. and Howie, F., 2022. Social prescribing: Exploring general practitioners' and healthcare professionals' perceptions of, and engagement with, the NHS model. </w:t>
      </w:r>
      <w:r>
        <w:rPr>
          <w:rFonts w:ascii="Times New Roman" w:eastAsia="Times New Roman" w:hAnsi="Times New Roman" w:cs="Times New Roman"/>
          <w:i/>
          <w:color w:val="222222"/>
          <w:sz w:val="24"/>
          <w:szCs w:val="24"/>
          <w:highlight w:val="white"/>
        </w:rPr>
        <w:t>Health &amp; Social Care in the Community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30</w:t>
      </w:r>
      <w:r>
        <w:rPr>
          <w:rFonts w:ascii="Times New Roman" w:eastAsia="Times New Roman" w:hAnsi="Times New Roman" w:cs="Times New Roman"/>
          <w:color w:val="222222"/>
          <w:sz w:val="24"/>
          <w:szCs w:val="24"/>
          <w:highlight w:val="white"/>
        </w:rPr>
        <w:t>(6), pp.e5176-e5185.</w:t>
      </w:r>
    </w:p>
    <w:p w:rsidR="0071471A" w:rsidRDefault="0071471A" w:rsidP="0071471A">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Pescheny, J.V., Randhawa, G. and Pappas, Y., 2020. The impact of social prescribing services on service users: a systematic review of the evidence. </w:t>
      </w:r>
      <w:r>
        <w:rPr>
          <w:rFonts w:ascii="Times New Roman" w:eastAsia="Times New Roman" w:hAnsi="Times New Roman" w:cs="Times New Roman"/>
          <w:i/>
          <w:color w:val="222222"/>
          <w:sz w:val="24"/>
          <w:szCs w:val="24"/>
          <w:highlight w:val="white"/>
        </w:rPr>
        <w:t>European Journal of Public Health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30</w:t>
      </w:r>
      <w:r>
        <w:rPr>
          <w:rFonts w:ascii="Times New Roman" w:eastAsia="Times New Roman" w:hAnsi="Times New Roman" w:cs="Times New Roman"/>
          <w:color w:val="222222"/>
          <w:sz w:val="24"/>
          <w:szCs w:val="24"/>
          <w:highlight w:val="white"/>
        </w:rPr>
        <w:t>(4), pp.664-673.</w:t>
      </w:r>
    </w:p>
    <w:p w:rsidR="0071471A" w:rsidRDefault="0071471A" w:rsidP="0071471A">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Whitelaw, S., Thirlwall, C., Morrison, A., Osborne, J., Tattum, L. and Walker, S., 2017. Developing and implementing a social prescribing initiative in primary care: insights into the </w:t>
      </w:r>
      <w:r>
        <w:rPr>
          <w:rFonts w:ascii="Times New Roman" w:eastAsia="Times New Roman" w:hAnsi="Times New Roman" w:cs="Times New Roman"/>
          <w:color w:val="222222"/>
          <w:sz w:val="24"/>
          <w:szCs w:val="24"/>
          <w:highlight w:val="white"/>
        </w:rPr>
        <w:lastRenderedPageBreak/>
        <w:t xml:space="preserve">possibility of normalisation and sustainability from a UK case study. </w:t>
      </w:r>
      <w:r>
        <w:rPr>
          <w:rFonts w:ascii="Times New Roman" w:eastAsia="Times New Roman" w:hAnsi="Times New Roman" w:cs="Times New Roman"/>
          <w:i/>
          <w:color w:val="222222"/>
          <w:sz w:val="24"/>
          <w:szCs w:val="24"/>
          <w:highlight w:val="white"/>
        </w:rPr>
        <w:t>Primary health care research &amp; development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18</w:t>
      </w:r>
      <w:r>
        <w:rPr>
          <w:rFonts w:ascii="Times New Roman" w:eastAsia="Times New Roman" w:hAnsi="Times New Roman" w:cs="Times New Roman"/>
          <w:color w:val="222222"/>
          <w:sz w:val="24"/>
          <w:szCs w:val="24"/>
          <w:highlight w:val="white"/>
        </w:rPr>
        <w:t>(2), pp.112-121.</w:t>
      </w:r>
    </w:p>
    <w:p w:rsidR="00C52FB5" w:rsidRDefault="00C52FB5">
      <w:pPr>
        <w:pStyle w:val="Normal1"/>
        <w:spacing w:line="360" w:lineRule="auto"/>
        <w:jc w:val="both"/>
        <w:rPr>
          <w:rFonts w:ascii="Times New Roman" w:eastAsia="Times New Roman" w:hAnsi="Times New Roman" w:cs="Times New Roman"/>
          <w:color w:val="222222"/>
          <w:sz w:val="24"/>
          <w:szCs w:val="24"/>
          <w:highlight w:val="white"/>
        </w:rPr>
      </w:pPr>
    </w:p>
    <w:p w:rsidR="00C52FB5" w:rsidRDefault="0071471A" w:rsidP="0071471A">
      <w:pPr>
        <w:pStyle w:val="Normal1"/>
        <w:tabs>
          <w:tab w:val="left" w:pos="6240"/>
        </w:tabs>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ab/>
      </w:r>
    </w:p>
    <w:sectPr w:rsidR="00C52FB5" w:rsidSect="0071471A">
      <w:footerReference w:type="default" r:id="rId7"/>
      <w:pgSz w:w="11909" w:h="16834"/>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19CA" w:rsidRDefault="002A19CA" w:rsidP="0071471A">
      <w:pPr>
        <w:spacing w:line="240" w:lineRule="auto"/>
      </w:pPr>
      <w:r>
        <w:separator/>
      </w:r>
    </w:p>
  </w:endnote>
  <w:endnote w:type="continuationSeparator" w:id="0">
    <w:p w:rsidR="002A19CA" w:rsidRDefault="002A19CA" w:rsidP="007147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7721391"/>
      <w:docPartObj>
        <w:docPartGallery w:val="Page Numbers (Bottom of Page)"/>
        <w:docPartUnique/>
      </w:docPartObj>
    </w:sdtPr>
    <w:sdtEndPr/>
    <w:sdtContent>
      <w:sdt>
        <w:sdtPr>
          <w:id w:val="565050523"/>
          <w:docPartObj>
            <w:docPartGallery w:val="Page Numbers (Top of Page)"/>
            <w:docPartUnique/>
          </w:docPartObj>
        </w:sdtPr>
        <w:sdtEndPr/>
        <w:sdtContent>
          <w:p w:rsidR="0071471A" w:rsidRDefault="0071471A">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35138A">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5138A">
              <w:rPr>
                <w:b/>
                <w:noProof/>
              </w:rPr>
              <w:t>10</w:t>
            </w:r>
            <w:r>
              <w:rPr>
                <w:b/>
                <w:sz w:val="24"/>
                <w:szCs w:val="24"/>
              </w:rPr>
              <w:fldChar w:fldCharType="end"/>
            </w:r>
          </w:p>
        </w:sdtContent>
      </w:sdt>
    </w:sdtContent>
  </w:sdt>
  <w:p w:rsidR="0071471A" w:rsidRDefault="007147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19CA" w:rsidRDefault="002A19CA" w:rsidP="0071471A">
      <w:pPr>
        <w:spacing w:line="240" w:lineRule="auto"/>
      </w:pPr>
      <w:r>
        <w:separator/>
      </w:r>
    </w:p>
  </w:footnote>
  <w:footnote w:type="continuationSeparator" w:id="0">
    <w:p w:rsidR="002A19CA" w:rsidRDefault="002A19CA" w:rsidP="0071471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52FB5"/>
    <w:rsid w:val="002A19CA"/>
    <w:rsid w:val="0035138A"/>
    <w:rsid w:val="00383677"/>
    <w:rsid w:val="0071471A"/>
    <w:rsid w:val="00C52F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E5EDF"/>
  <w15:docId w15:val="{941A5611-2311-47DE-B467-EE461BC73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77B5"/>
  </w:style>
  <w:style w:type="paragraph" w:styleId="Heading1">
    <w:name w:val="heading 1"/>
    <w:basedOn w:val="Normal1"/>
    <w:next w:val="Normal1"/>
    <w:rsid w:val="0071471A"/>
    <w:pPr>
      <w:keepNext/>
      <w:keepLines/>
      <w:spacing w:before="400" w:after="120"/>
      <w:jc w:val="both"/>
      <w:outlineLvl w:val="0"/>
    </w:pPr>
    <w:rPr>
      <w:rFonts w:ascii="Times New Roman" w:hAnsi="Times New Roman"/>
      <w:b/>
      <w:sz w:val="28"/>
      <w:szCs w:val="40"/>
    </w:rPr>
  </w:style>
  <w:style w:type="paragraph" w:styleId="Heading2">
    <w:name w:val="heading 2"/>
    <w:basedOn w:val="Normal1"/>
    <w:next w:val="Normal1"/>
    <w:rsid w:val="00C52FB5"/>
    <w:pPr>
      <w:keepNext/>
      <w:keepLines/>
      <w:spacing w:before="360" w:after="120"/>
      <w:outlineLvl w:val="1"/>
    </w:pPr>
    <w:rPr>
      <w:sz w:val="32"/>
      <w:szCs w:val="32"/>
    </w:rPr>
  </w:style>
  <w:style w:type="paragraph" w:styleId="Heading3">
    <w:name w:val="heading 3"/>
    <w:basedOn w:val="Normal1"/>
    <w:next w:val="Normal1"/>
    <w:rsid w:val="00C52FB5"/>
    <w:pPr>
      <w:keepNext/>
      <w:keepLines/>
      <w:spacing w:before="320" w:after="80"/>
      <w:outlineLvl w:val="2"/>
    </w:pPr>
    <w:rPr>
      <w:color w:val="434343"/>
      <w:sz w:val="28"/>
      <w:szCs w:val="28"/>
    </w:rPr>
  </w:style>
  <w:style w:type="paragraph" w:styleId="Heading4">
    <w:name w:val="heading 4"/>
    <w:basedOn w:val="Normal1"/>
    <w:next w:val="Normal1"/>
    <w:rsid w:val="00C52FB5"/>
    <w:pPr>
      <w:keepNext/>
      <w:keepLines/>
      <w:spacing w:before="280" w:after="80"/>
      <w:outlineLvl w:val="3"/>
    </w:pPr>
    <w:rPr>
      <w:color w:val="666666"/>
      <w:sz w:val="24"/>
      <w:szCs w:val="24"/>
    </w:rPr>
  </w:style>
  <w:style w:type="paragraph" w:styleId="Heading5">
    <w:name w:val="heading 5"/>
    <w:basedOn w:val="Normal1"/>
    <w:next w:val="Normal1"/>
    <w:rsid w:val="00C52FB5"/>
    <w:pPr>
      <w:keepNext/>
      <w:keepLines/>
      <w:spacing w:before="240" w:after="80"/>
      <w:outlineLvl w:val="4"/>
    </w:pPr>
    <w:rPr>
      <w:color w:val="666666"/>
    </w:rPr>
  </w:style>
  <w:style w:type="paragraph" w:styleId="Heading6">
    <w:name w:val="heading 6"/>
    <w:basedOn w:val="Normal1"/>
    <w:next w:val="Normal1"/>
    <w:rsid w:val="00C52FB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52FB5"/>
  </w:style>
  <w:style w:type="table" w:customStyle="1" w:styleId="TableNormal1">
    <w:name w:val="Table Normal1"/>
    <w:rsid w:val="00C52FB5"/>
    <w:tblPr>
      <w:tblCellMar>
        <w:top w:w="0" w:type="dxa"/>
        <w:left w:w="0" w:type="dxa"/>
        <w:bottom w:w="0" w:type="dxa"/>
        <w:right w:w="0" w:type="dxa"/>
      </w:tblCellMar>
    </w:tblPr>
  </w:style>
  <w:style w:type="paragraph" w:styleId="Title">
    <w:name w:val="Title"/>
    <w:basedOn w:val="Normal1"/>
    <w:next w:val="Normal1"/>
    <w:rsid w:val="00C52FB5"/>
    <w:pPr>
      <w:keepNext/>
      <w:keepLines/>
      <w:spacing w:after="60"/>
    </w:pPr>
    <w:rPr>
      <w:sz w:val="52"/>
      <w:szCs w:val="52"/>
    </w:rPr>
  </w:style>
  <w:style w:type="paragraph" w:styleId="Subtitle">
    <w:name w:val="Subtitle"/>
    <w:basedOn w:val="Normal1"/>
    <w:next w:val="Normal1"/>
    <w:rsid w:val="00C52FB5"/>
    <w:pPr>
      <w:keepNext/>
      <w:keepLines/>
      <w:spacing w:after="320"/>
    </w:pPr>
    <w:rPr>
      <w:color w:val="666666"/>
      <w:sz w:val="30"/>
      <w:szCs w:val="30"/>
    </w:rPr>
  </w:style>
  <w:style w:type="paragraph" w:styleId="Header">
    <w:name w:val="header"/>
    <w:basedOn w:val="Normal"/>
    <w:link w:val="HeaderChar"/>
    <w:uiPriority w:val="99"/>
    <w:semiHidden/>
    <w:unhideWhenUsed/>
    <w:rsid w:val="0071471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1471A"/>
  </w:style>
  <w:style w:type="paragraph" w:styleId="Footer">
    <w:name w:val="footer"/>
    <w:basedOn w:val="Normal"/>
    <w:link w:val="FooterChar"/>
    <w:uiPriority w:val="99"/>
    <w:unhideWhenUsed/>
    <w:rsid w:val="0071471A"/>
    <w:pPr>
      <w:tabs>
        <w:tab w:val="center" w:pos="4680"/>
        <w:tab w:val="right" w:pos="9360"/>
      </w:tabs>
      <w:spacing w:line="240" w:lineRule="auto"/>
    </w:pPr>
  </w:style>
  <w:style w:type="character" w:customStyle="1" w:styleId="FooterChar">
    <w:name w:val="Footer Char"/>
    <w:basedOn w:val="DefaultParagraphFont"/>
    <w:link w:val="Footer"/>
    <w:uiPriority w:val="99"/>
    <w:rsid w:val="0071471A"/>
  </w:style>
  <w:style w:type="paragraph" w:styleId="TOCHeading">
    <w:name w:val="TOC Heading"/>
    <w:basedOn w:val="Heading1"/>
    <w:next w:val="Normal"/>
    <w:uiPriority w:val="39"/>
    <w:semiHidden/>
    <w:unhideWhenUsed/>
    <w:qFormat/>
    <w:rsid w:val="0071471A"/>
    <w:pPr>
      <w:spacing w:before="480" w:after="0"/>
      <w:jc w:val="left"/>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71471A"/>
    <w:pPr>
      <w:spacing w:after="100"/>
    </w:pPr>
  </w:style>
  <w:style w:type="character" w:styleId="Hyperlink">
    <w:name w:val="Hyperlink"/>
    <w:basedOn w:val="DefaultParagraphFont"/>
    <w:uiPriority w:val="99"/>
    <w:unhideWhenUsed/>
    <w:rsid w:val="0071471A"/>
    <w:rPr>
      <w:color w:val="0000FF" w:themeColor="hyperlink"/>
      <w:u w:val="single"/>
    </w:rPr>
  </w:style>
  <w:style w:type="paragraph" w:styleId="BalloonText">
    <w:name w:val="Balloon Text"/>
    <w:basedOn w:val="Normal"/>
    <w:link w:val="BalloonTextChar"/>
    <w:uiPriority w:val="99"/>
    <w:semiHidden/>
    <w:unhideWhenUsed/>
    <w:rsid w:val="0071471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471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63FDA7-C3D4-44C7-B4F7-9C48F3F53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2557</Words>
  <Characters>14575</Characters>
  <Application>Microsoft Office Word</Application>
  <DocSecurity>0</DocSecurity>
  <Lines>121</Lines>
  <Paragraphs>34</Paragraphs>
  <ScaleCrop>false</ScaleCrop>
  <Company/>
  <LinksUpToDate>false</LinksUpToDate>
  <CharactersWithSpaces>17098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Stanimir Simeonov</cp:lastModifiedBy>
  <cp:revision>3</cp:revision>
  <dcterms:created xsi:type="dcterms:W3CDTF">2023-10-26T09:40:00Z</dcterms:created>
  <dcterms:modified xsi:type="dcterms:W3CDTF">2023-11-30T20:37:00Z</dcterms:modified>
</cp:coreProperties>
</file>