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79EE" w:rsidRDefault="00B179EE" w:rsidP="00B179EE">
      <w:pPr>
        <w:rPr>
          <w:b/>
          <w:u w:val="single"/>
        </w:rPr>
      </w:pPr>
      <w:r w:rsidRPr="00673070">
        <w:rPr>
          <w:b/>
          <w:u w:val="single"/>
        </w:rPr>
        <w:t xml:space="preserve">Question 1 </w:t>
      </w:r>
    </w:p>
    <w:p w:rsidR="003313D9" w:rsidRPr="00673070" w:rsidRDefault="003313D9" w:rsidP="00B179EE">
      <w:pPr>
        <w:rPr>
          <w:b/>
          <w:u w:val="single"/>
        </w:rPr>
      </w:pPr>
    </w:p>
    <w:p w:rsidR="003313D9" w:rsidRPr="003313D9" w:rsidRDefault="003313D9" w:rsidP="003313D9">
      <w:pPr>
        <w:rPr>
          <w:b/>
        </w:rPr>
      </w:pPr>
      <w:r w:rsidRPr="003313D9">
        <w:rPr>
          <w:b/>
        </w:rPr>
        <w:t>Evaluate - How you have worked with others (</w:t>
      </w:r>
      <w:proofErr w:type="spellStart"/>
      <w:r w:rsidRPr="003313D9">
        <w:rPr>
          <w:b/>
        </w:rPr>
        <w:t>eg</w:t>
      </w:r>
      <w:proofErr w:type="spellEnd"/>
      <w:r w:rsidRPr="003313D9">
        <w:rPr>
          <w:b/>
        </w:rPr>
        <w:t xml:space="preserve"> investigators. specialists and managers) to establish and use appropriate methods for gathering information .</w:t>
      </w:r>
    </w:p>
    <w:p w:rsidR="003313D9" w:rsidRPr="003313D9" w:rsidRDefault="003313D9" w:rsidP="003313D9">
      <w:pPr>
        <w:rPr>
          <w:b/>
        </w:rPr>
      </w:pPr>
      <w:r w:rsidRPr="003313D9">
        <w:rPr>
          <w:b/>
        </w:rPr>
        <w:t xml:space="preserve">Assess how you have gathered material from a range of appropriate sources. Consider how you have recorded and retained evidence in a format in line with policy and procedure </w:t>
      </w:r>
    </w:p>
    <w:p w:rsidR="003313D9" w:rsidRPr="003313D9" w:rsidRDefault="003313D9" w:rsidP="003313D9">
      <w:pPr>
        <w:rPr>
          <w:b/>
        </w:rPr>
      </w:pPr>
      <w:r w:rsidRPr="003313D9">
        <w:rPr>
          <w:b/>
        </w:rPr>
        <w:t xml:space="preserve">Describe how you have identified and planned your own investigative actions. Taking in account resources, priorities and proportionality to achieve investigatory outcomes   </w:t>
      </w:r>
    </w:p>
    <w:p w:rsidR="003313D9" w:rsidRDefault="003313D9" w:rsidP="003313D9"/>
    <w:p w:rsidR="00B179EE" w:rsidRDefault="00B179EE" w:rsidP="003313D9">
      <w:r>
        <w:t xml:space="preserve">This assignment relates to a domestic murder. JC had beaten his partner to death at her home address and fled the scene. A murder enquiry was launched. I was the officer in the case and attended several briefings with investigators from different departments. The information gathered was shared and actions were raised acknowledging that the Golden Hour of policing is critical in securing key evidence that may be lost if not seized immediately. Examining and evaluating forensic opportunities is critical as the scene can often explain how the crime has occurred (Innes 2002). </w:t>
      </w:r>
    </w:p>
    <w:p w:rsidR="00B179EE" w:rsidRDefault="00B179EE" w:rsidP="00B179EE"/>
    <w:p w:rsidR="00B179EE" w:rsidRDefault="00B179EE" w:rsidP="00B179EE">
      <w:r>
        <w:t>Scene of Crime investigators attended the scene and the findings were discussed.  Roycroft and Roach`s research (2019) found that most of the evidence to identify the suspect comes from</w:t>
      </w:r>
      <w:r w:rsidR="005072AE">
        <w:t xml:space="preserve"> the scene, however, c</w:t>
      </w:r>
      <w:r>
        <w:t xml:space="preserve">rime scenes can be confusing and complex and interpreting the scene is specialised and highly skilled (Innes 2002). I therefore decided to instruct a blood pattern analyst. The blood pattern indicated that HB had been battered in one room, dragged to the bathroom, and left to die in another </w:t>
      </w:r>
      <w:r w:rsidR="005072AE">
        <w:t>room. This analysis was vital, h</w:t>
      </w:r>
      <w:r>
        <w:t xml:space="preserve">owever, the potential for `contextual information` to influence the blood pattern analysts' results is a crucial factor to consider. Although the information provided to the analysts is helpful for their interpretation of the scene, it must be acknowledged that there are situations where this could lead to misinterpretation, </w:t>
      </w:r>
      <w:r w:rsidR="00E624D7">
        <w:t>however</w:t>
      </w:r>
      <w:r>
        <w:t>, not giving contextual infor</w:t>
      </w:r>
      <w:r w:rsidR="005072AE">
        <w:t>mation could hinder the analyst’s</w:t>
      </w:r>
      <w:r>
        <w:t xml:space="preserve"> ability to provide an accurate interpretation. According to Osborne, Taylor and Zajac (2016) </w:t>
      </w:r>
      <w:r w:rsidR="00E624D7">
        <w:t>the</w:t>
      </w:r>
      <w:r>
        <w:t xml:space="preserve"> management of contextual information is crucial and adopting appropriate procedures enhances the reliability of BPA in crime scene cases. </w:t>
      </w:r>
    </w:p>
    <w:p w:rsidR="00B179EE" w:rsidRDefault="00B179EE" w:rsidP="00B179EE"/>
    <w:p w:rsidR="00B179EE" w:rsidRDefault="00B179EE" w:rsidP="00B179EE">
      <w:r>
        <w:t>Prioritisation of forensic actions was vital. The investigation continued whilst waiting for the results. JC was named</w:t>
      </w:r>
      <w:r w:rsidR="00DB5363">
        <w:t xml:space="preserve"> as the suspect as HB had told w</w:t>
      </w:r>
      <w:r>
        <w:t xml:space="preserve">itnesses that she was worried that JC would kill her. In interview JC admitted to beating HB but claimed she was still alive when he left her. The priority of the investigation then focused on the circumstances surrounding HB's death. Mitchell (1990) suggested that changing the emphasis of the investigation can help confirm or disprove the suspect's involvement. </w:t>
      </w:r>
    </w:p>
    <w:p w:rsidR="00B179EE" w:rsidRDefault="00B179EE" w:rsidP="00B179EE"/>
    <w:p w:rsidR="00B179EE" w:rsidRDefault="00B179EE" w:rsidP="00B179EE">
      <w:r>
        <w:t xml:space="preserve">Understanding why or determining a motive is crucial since it can reveal who did what to whom. Obtaining witness accounts was critical to achieving this. I kept an open mind by directing officers to conduct inquiries around the crime scene to identify any third parties who may have visited the victim or the scene in the days prior to the murder. This led to witnesses being identified. Often far more emphasis is placed on the suspect interview than obtaining the witness statements </w:t>
      </w:r>
      <w:r>
        <w:lastRenderedPageBreak/>
        <w:t>(Armstrong, Shepherd, and Wolchover 1999) Although, the information obtained from a witness is often the most important piece of evidence from the investigation (Milne and Bull 2003). This is supported by Fisher (1995) who suggested that police receive little training to interview witnesses, which can lead to mistakes and can affect the amount of information that witnesses remember.  Although witness accounts are crucial, the information provided must be interpreted cautiously</w:t>
      </w:r>
      <w:r w:rsidR="00DB5363">
        <w:t>. A</w:t>
      </w:r>
      <w:r>
        <w:t xml:space="preserve">ccording to Skolnick (1994) not all witnesses are reliable, and they can make mistakes when recalling past events. Furthermore, police officers may misinterpret information, causing problems, especially if not recognized early on (Innes 2002). One key witness refused to sign her statement. I evaluated the available information and considered whether she was a reluctant or intimidated witness. Further questioning revealed that she feared repercussions from JC`s family. Correctly identifying her as an intimidated witness meant that a strategy was devised according to Achieving </w:t>
      </w:r>
      <w:r w:rsidR="00DB5363">
        <w:t>Best E</w:t>
      </w:r>
      <w:r>
        <w:t>vidence (Ministry of Justice 2011)</w:t>
      </w:r>
      <w:r w:rsidR="00870BB2">
        <w:t>,</w:t>
      </w:r>
      <w:r>
        <w:t xml:space="preserve"> </w:t>
      </w:r>
      <w:r w:rsidR="00E624D7">
        <w:t>the</w:t>
      </w:r>
      <w:r>
        <w:t xml:space="preserve"> witness subsequently provided a statement. Had this witness not been correctly identified this evidence may have been lost. </w:t>
      </w:r>
    </w:p>
    <w:p w:rsidR="00B179EE" w:rsidRDefault="00B179EE" w:rsidP="00B179EE"/>
    <w:p w:rsidR="00B179EE" w:rsidRDefault="00B179EE" w:rsidP="00B179EE">
      <w:r>
        <w:t>It is critical to obtain forensic evidence and eyewitness accounts. However, most cases contain some form of digital evidence</w:t>
      </w:r>
      <w:r w:rsidR="008C122A">
        <w:t xml:space="preserve"> or intelligence</w:t>
      </w:r>
      <w:r>
        <w:t xml:space="preserve"> (Vincze 2016) </w:t>
      </w:r>
      <w:r w:rsidR="008C122A">
        <w:t xml:space="preserve">such as </w:t>
      </w:r>
      <w:r w:rsidR="00E624D7">
        <w:t>“</w:t>
      </w:r>
      <w:r>
        <w:t>CCTV, mobile phones, and</w:t>
      </w:r>
      <w:r w:rsidR="008C122A">
        <w:t>/or</w:t>
      </w:r>
      <w:r>
        <w:t xml:space="preserve"> computers</w:t>
      </w:r>
      <w:r w:rsidR="00E624D7">
        <w:t>”</w:t>
      </w:r>
      <w:r>
        <w:t xml:space="preserve"> (Tully et al. 2020). </w:t>
      </w:r>
      <w:r w:rsidR="00E624D7">
        <w:t>“</w:t>
      </w:r>
      <w:r>
        <w:t>CCTV and</w:t>
      </w:r>
      <w:r w:rsidR="008C122A">
        <w:t xml:space="preserve"> house-to-house inquiries are </w:t>
      </w:r>
      <w:r>
        <w:t>routine line</w:t>
      </w:r>
      <w:r w:rsidR="008C122A">
        <w:t>s</w:t>
      </w:r>
      <w:r>
        <w:t xml:space="preserve"> of inquiry in all murder investigations and are viewed as high priority actions</w:t>
      </w:r>
      <w:r w:rsidR="00E624D7">
        <w:t>”</w:t>
      </w:r>
      <w:r>
        <w:t xml:space="preserve"> (Cook 2019). Officers who have not received specialised training typically identify, recover, and view CCTV (Brookman and Jones 2022)</w:t>
      </w:r>
      <w:r w:rsidR="00870BB2">
        <w:t>.</w:t>
      </w:r>
      <w:r>
        <w:t xml:space="preserve"> If the data is not captured correctly, this can be problematic. According to Gerrard (2007), the police strategy to gathering CCTV is insufficient, and officers should be trained. Officers with little experience are asked to analyse and assess photos of people, clothing, footwear, and vehicles. There is no training for comparing or interpreting images, which is worrying as untrained officers undertake this analysis without skills or expertise (Tully 2020). Without the ability to validate their findings, there is a risk of misleading evidence being submitted in court (Smit et al 2018) </w:t>
      </w:r>
    </w:p>
    <w:p w:rsidR="00B179EE" w:rsidRDefault="00B179EE" w:rsidP="00B179EE"/>
    <w:p w:rsidR="00B179EE" w:rsidRDefault="00B179EE" w:rsidP="00B179EE">
      <w:r>
        <w:t>Storyboards are created for use in court, although they are not consistent between police organisations. These storyboards can be p</w:t>
      </w:r>
      <w:r w:rsidR="009C2FF8">
        <w:t>owerful evidence (Evison 2015) h</w:t>
      </w:r>
      <w:r>
        <w:t xml:space="preserve">owever, to present this evidence, the CCTV must go </w:t>
      </w:r>
      <w:r w:rsidR="00E624D7">
        <w:t>through “</w:t>
      </w:r>
      <w:r>
        <w:t>re-construction processes, which can lead to different interpretations of the same CCTV footage</w:t>
      </w:r>
      <w:r w:rsidR="00E624D7">
        <w:t>”</w:t>
      </w:r>
      <w:r>
        <w:t xml:space="preserve"> (Goodwin 1994). </w:t>
      </w:r>
    </w:p>
    <w:p w:rsidR="00B179EE" w:rsidRDefault="00B179EE" w:rsidP="00B179EE"/>
    <w:p w:rsidR="00B179EE" w:rsidRDefault="00B179EE" w:rsidP="00B179EE">
      <w:r>
        <w:t xml:space="preserve">Other shortcomings must be acknowledged. Often, public areas not covered, and time is wasted searching for CCTV that does not exist or work. Edwards (2008) criticised the evidence they provide, stating that CCTV is frequently inadequate in quality and can be useless for detecting crimes. However, Taylor and Gill`s (2014) research found that newer cameras are likely to produce high quality images and improvements allow for extended storage of these images. Another factor to evaluate is the amount of time officers spend examining CCTV, which was an issue we had to consider. The amount of CCTV that was retrieved was huge. Obtaining vast amounts of data poses difficulties and risks in relation to how the data is managed and reviewed in a timely manner (McCartney 2018) </w:t>
      </w:r>
    </w:p>
    <w:p w:rsidR="00B179EE" w:rsidRDefault="00B179EE" w:rsidP="00B179EE"/>
    <w:p w:rsidR="00B179EE" w:rsidRDefault="00B179EE" w:rsidP="00B179EE">
      <w:r>
        <w:t xml:space="preserve">When evaluating the importance of CCTV to an investigation it's crucial to note that, like other types of forensic evidence, CCTV footage doesn't always provide the whole story. It requires an evaluation </w:t>
      </w:r>
      <w:r>
        <w:lastRenderedPageBreak/>
        <w:t xml:space="preserve">and interpretation of the footage. However, the information gathered should not be misread, misrepresented, or altered in any way (Casey 2019)  </w:t>
      </w:r>
    </w:p>
    <w:p w:rsidR="00B179EE" w:rsidRDefault="00B179EE" w:rsidP="00B179EE"/>
    <w:p w:rsidR="00B179EE" w:rsidRDefault="009C2FF8" w:rsidP="00B179EE">
      <w:r>
        <w:t>It can be</w:t>
      </w:r>
      <w:r w:rsidR="00B179EE">
        <w:t xml:space="preserve"> argued that CCTV is an effective investigation tool as it can identify offenders and can corroborate, or </w:t>
      </w:r>
      <w:r>
        <w:t>refute witness accounts</w:t>
      </w:r>
      <w:r w:rsidR="00B179EE">
        <w:t xml:space="preserve"> (College of policing 2014). Accordi</w:t>
      </w:r>
      <w:r w:rsidR="00E624D7">
        <w:t>ng to Ashby's (2017) research, “</w:t>
      </w:r>
      <w:r w:rsidR="00B179EE">
        <w:t>availability of CCTV is linked with significant increases in the likelihood of crimes being detected, with some crimes being very unlikely to be so</w:t>
      </w:r>
      <w:r w:rsidR="00E624D7">
        <w:t>lved when CCTV is not available”</w:t>
      </w:r>
      <w:r w:rsidR="00B179EE">
        <w:t xml:space="preserve">. The CCTV footage obtained in this investigation was crucial as it showed JC entering and leaving the property alone, proving that no one else was present at the time of the offence.  </w:t>
      </w:r>
    </w:p>
    <w:p w:rsidR="00B179EE" w:rsidRDefault="00B179EE" w:rsidP="00B179EE"/>
    <w:p w:rsidR="00B179EE" w:rsidRDefault="00B179EE" w:rsidP="00B179EE">
      <w:r>
        <w:t>Phone and Intelligence records were evaluated for their relevance to the case. A skilled analyst was identified and asked to create a sequence of events. Analysts are extremely beneficial as they can identify gaps and highlight material that needs further verification. However, the College of policing (2013) advised that interpreting the results also requires the investigator to understand the techniques used. Investigations are becoming more so</w:t>
      </w:r>
      <w:r w:rsidR="009C2FF8">
        <w:t>phisticated as modern technologies</w:t>
      </w:r>
      <w:r>
        <w:t xml:space="preserve"> emerge. Advanced forensic technologies are being used, which necessitates the deployment of well-trained staff. If the correct techniques and investigators are not employed, there is the potential of major mistakes being made in the gathering and analysis of vital evidence. (Nicol et al, 2004). With technological advancements, it was critical that I identified experts who were specialists in specific techniques and assigned them responsibility for their role. The Flanagan report (2004) emphasised the need to understand what skills are required for various areas of the investigation and to assign these responsibilities to investigators with the necessary skills. Successful investigations require a combination of expert evidence along with the major investigation teams' extensive body of knowledge from past murder cases (Roycroft and Roach 2019). </w:t>
      </w:r>
    </w:p>
    <w:p w:rsidR="00B179EE" w:rsidRDefault="00B179EE" w:rsidP="00B179EE"/>
    <w:p w:rsidR="00B179EE" w:rsidRDefault="00B179EE" w:rsidP="00B179EE">
      <w:r>
        <w:t>Information from Social Services was assessed. These records were lengthy and time consuming, but relevant to the investigation. The records provided context and gave some understanding on why J</w:t>
      </w:r>
      <w:r w:rsidR="009C2FF8">
        <w:t>C killed HB. Roycroft and Roach</w:t>
      </w:r>
      <w:r>
        <w:t>`s (2019) research found that officers must interpret and analyse vast quantities of data to make critical judgements and prompt decision-making which is sometimes based on insufficient data. Based on the information I acquired, I determined that a bad character application detailing previous incidents between the two was crucial as it would be used to determine how HB`s death should be defined in law – Murder or Manslaughter (Crown Prosecution Service 2019)</w:t>
      </w:r>
      <w:r w:rsidR="00F93AEE">
        <w:t>,</w:t>
      </w:r>
      <w:r>
        <w:t xml:space="preserve"> </w:t>
      </w:r>
      <w:r w:rsidR="00F93AEE">
        <w:t>t</w:t>
      </w:r>
      <w:r>
        <w:t xml:space="preserve">he records revealed motives and hypotheses. I contacted Social Services and completed the necessary paperwork, requesting that their records be included in the bad character application. They were told that the information needed to be shared promptly as per Crime and Disorder Act (1998)  </w:t>
      </w:r>
    </w:p>
    <w:p w:rsidR="00B179EE" w:rsidRDefault="00B179EE" w:rsidP="00B179EE"/>
    <w:p w:rsidR="00B179EE" w:rsidRDefault="00B179EE" w:rsidP="00B179EE">
      <w:r>
        <w:t xml:space="preserve">This investigation demonstrated the importance of gathering information and evidence from a range of sources rather than depending on one source or technique while maintaining an open mind. 'The ability of the investigator to make good decisions is critical to the success of a murder inquiry' (Fahsing and Ask 2013).  </w:t>
      </w:r>
    </w:p>
    <w:p w:rsidR="00B179EE" w:rsidRDefault="00B179EE" w:rsidP="00B179EE"/>
    <w:p w:rsidR="00B179EE" w:rsidRDefault="00B179EE" w:rsidP="00B179EE">
      <w:r>
        <w:lastRenderedPageBreak/>
        <w:t>Once</w:t>
      </w:r>
      <w:r w:rsidR="00F93AEE">
        <w:t xml:space="preserve"> the data had been gathered,</w:t>
      </w:r>
      <w:r>
        <w:t xml:space="preserve"> it was crucial that the information and evidence was reviewed, recorded, and retained in line with force policy. McConville et al`s (1991) `Case Constructionism model` outlined the importance of collecting and examining large volumes of data to support the case and explai</w:t>
      </w:r>
      <w:r w:rsidR="00E624D7">
        <w:t xml:space="preserve">n the suspect's involvement, </w:t>
      </w:r>
      <w:r w:rsidR="003F4785">
        <w:t>stating “it’s</w:t>
      </w:r>
      <w:r>
        <w:t xml:space="preserve"> an ongoing p</w:t>
      </w:r>
      <w:r w:rsidR="00E624D7">
        <w:t>rocess with changing objectives”</w:t>
      </w:r>
      <w:r>
        <w:t>. The priority of case construction, accordi</w:t>
      </w:r>
      <w:r w:rsidR="00E624D7">
        <w:t>ng to McConville (1991), is to “</w:t>
      </w:r>
      <w:r>
        <w:t>transparently explain the investigation process, indicating how the case was developed from start to finish. It is important to collect and retrieve information and evidence, as well as to develop and present information in such a way that it becomes evidence of what has occurred</w:t>
      </w:r>
      <w:r w:rsidR="00E624D7">
        <w:t>”</w:t>
      </w:r>
      <w:r>
        <w:t>. Innes (2002) supports this by</w:t>
      </w:r>
      <w:r w:rsidR="00E624D7">
        <w:t xml:space="preserve"> stating that evidence must be “</w:t>
      </w:r>
      <w:r>
        <w:t xml:space="preserve">transparent, </w:t>
      </w:r>
      <w:r w:rsidR="00E624D7">
        <w:t>accurate, credible, and factual”</w:t>
      </w:r>
      <w:r>
        <w:t>. According to I</w:t>
      </w:r>
      <w:r w:rsidR="003F4785">
        <w:t>nnes (2003), it is critical to “</w:t>
      </w:r>
      <w:r>
        <w:t>define appropriate line</w:t>
      </w:r>
      <w:r w:rsidR="003F4785">
        <w:t>s of inquiry and set parameters”</w:t>
      </w:r>
      <w:r>
        <w:t xml:space="preserve">. I had overall responsibility for documenting the information gathered. At the start of an investigation, Information is brought into the room quickly and sometimes overwhelmingly. This data had to be evaluated and actions prioritised quickly but accurately and without error. I was aware that rushing investigations can lead to bad practise and errors, which could result in significant mistakes and bad practise. Innes (2003) invented the phrase `compliance drift` to describe this situation.  </w:t>
      </w:r>
    </w:p>
    <w:p w:rsidR="00B179EE" w:rsidRDefault="00B179EE" w:rsidP="00B179EE"/>
    <w:p w:rsidR="00B179EE" w:rsidRDefault="00B179EE" w:rsidP="00B179EE">
      <w:r>
        <w:t>I was mindful of this and addressed it. I adhered to the policies in terms of retaining documents and accurately and appropriately used the home office's huge major inquiry system (HOLMES). Investigators use the system for case management and to cross-reference documents and create and coordinate enquiries. Transparency and accountability are improved by the system. (National Police Chiefs Council - NPCC 2021). All murders should be investigated according to the same nationally accepted professional standard, according to the Murder Investigation Manual – MIM (Association of Chief Police Officers ACPO (2006). The document specifies</w:t>
      </w:r>
      <w:r w:rsidR="00873112">
        <w:t xml:space="preserve"> best practises and outlines</w:t>
      </w:r>
      <w:r>
        <w:t xml:space="preserve"> the procedures that must be followed. This approach offers several advantages, including the ability to cross-reference information by checking, documenting, and recognising knowledge gaps or inconsistent information. It creates an audit trail of why each action is generated and how it entered the investigation. The importance of documenting, justifying, recording, and explaining decisions is emphasised (Roycroft and Roach 2019). It's also vital to understand why certain measures are</w:t>
      </w:r>
      <w:r w:rsidR="00873112">
        <w:t xml:space="preserve"> taken and why others are not, h</w:t>
      </w:r>
      <w:r>
        <w:t xml:space="preserve">owever, there are disadvantages. HOLMES protocols must be followed, and data must be received, indexed, and recorded in a precise way. Processing this data takes time, and many people are required to create the action flow (Innes 2003) </w:t>
      </w:r>
    </w:p>
    <w:p w:rsidR="00B179EE" w:rsidRDefault="00B179EE" w:rsidP="00B179EE"/>
    <w:p w:rsidR="00B179EE" w:rsidRDefault="00B179EE" w:rsidP="00B179EE">
      <w:r>
        <w:t>For HOLMES to work effectively, precise parameters are required. However, setting these parameters can also restrict the inv</w:t>
      </w:r>
      <w:r w:rsidR="00873112">
        <w:t>estigation (Innes 2003).</w:t>
      </w:r>
      <w:r>
        <w:t xml:space="preserve"> </w:t>
      </w:r>
      <w:r w:rsidR="00873112">
        <w:t>O</w:t>
      </w:r>
      <w:r>
        <w:t>verwhelming the HOLMES system with too much information due to inefficient non-targeted lines of enquiry is problematic. This can lead to irrelevant non-productive lines of inquiry. Along with adhering to the MIM investigative policies and procedures, I employed an investigative thinking mind-set. The Core Investigative Doctrine (Association of Chief Police Officers –ACPO 2005) emphasises the importance of this. However, as Chapman (2002) identified, acquiring this investigative mind-set can be difficult as there is no guidance on how to do so. According to Irvine and Dunningham's (1993)</w:t>
      </w:r>
      <w:r w:rsidR="00873112">
        <w:t xml:space="preserve"> research, decision-making is </w:t>
      </w:r>
      <w:r>
        <w:t xml:space="preserve">critical in murder investigations. They determined that poor decision-making had resulted in errors that harmed the investigations. Throughout the investigation I was aware of the importance of maintaining an open mind and formulating hypotheses. The necessity of identifying hypotheses in a murder investigation is often questioned. According to Heuer (1999), officers should work through the hypotheses, eliminating those that lack evidence, suggesting that the hypotheses which are left </w:t>
      </w:r>
      <w:r>
        <w:lastRenderedPageBreak/>
        <w:t xml:space="preserve">are correct. According to Innes (2002), hypotheses should not be used as investigators can construct cases unintentionally by accepting incorrect assumptions. However, it may be argued that identifying a hypothesis is a crucial element of the investigation.  </w:t>
      </w:r>
    </w:p>
    <w:p w:rsidR="00B179EE" w:rsidRDefault="00B179EE" w:rsidP="00B179EE"/>
    <w:p w:rsidR="00B179EE" w:rsidRDefault="00B179EE" w:rsidP="00B179EE">
      <w:r>
        <w:t xml:space="preserve">Following the case's successful conclusion, I used the Driscoll model of reflection (2007) to aid my learning. The 'What stage' refers to the investigation. The 'So </w:t>
      </w:r>
      <w:r w:rsidR="003F4785">
        <w:t>what</w:t>
      </w:r>
      <w:r>
        <w:t xml:space="preserve">' stage led me to reflect on what I'd done well and what I could do better. Throughout the investigation, I analysed data and evidence and created actions. </w:t>
      </w:r>
      <w:r w:rsidR="009D3CAC">
        <w:t xml:space="preserve">As identified by </w:t>
      </w:r>
      <w:r w:rsidR="009D3CAC" w:rsidRPr="009D3CAC">
        <w:t>Associa</w:t>
      </w:r>
      <w:r w:rsidR="009D3CAC">
        <w:t>tion of Chief Police Officers  (</w:t>
      </w:r>
      <w:r w:rsidR="009D3CAC" w:rsidRPr="009D3CAC">
        <w:t>ACPO 2006</w:t>
      </w:r>
      <w:r w:rsidR="009D3CAC">
        <w:t xml:space="preserve">) </w:t>
      </w:r>
      <w:r w:rsidR="003F4785">
        <w:t>“</w:t>
      </w:r>
      <w:r>
        <w:t xml:space="preserve">Any investigative actions if </w:t>
      </w:r>
      <w:r w:rsidR="009D3CAC">
        <w:t>completed quickly, are likely to establish important</w:t>
      </w:r>
      <w:r>
        <w:t xml:space="preserve"> facts, preserve</w:t>
      </w:r>
      <w:r w:rsidR="009D3CAC">
        <w:t xml:space="preserve"> evidence and/</w:t>
      </w:r>
      <w:r>
        <w:t>or result in the early resolution of the investigation</w:t>
      </w:r>
      <w:r w:rsidR="003F4785">
        <w:t>”</w:t>
      </w:r>
      <w:r w:rsidR="009D3CAC">
        <w:t>. However, the</w:t>
      </w:r>
      <w:r>
        <w:t xml:space="preserve"> actions</w:t>
      </w:r>
      <w:r w:rsidR="009D3CAC">
        <w:t xml:space="preserve"> I needed to resource</w:t>
      </w:r>
      <w:r>
        <w:t xml:space="preserve"> depended on the availability of officers to carry them out. Keeping in mind that deferring action</w:t>
      </w:r>
      <w:r w:rsidR="009D3CAC">
        <w:t>s</w:t>
      </w:r>
      <w:r>
        <w:t xml:space="preserve"> may have detrimental consequences that must be justified (Innes 2003). On reflection I had generated and resourced actions that were not necessarily high priority. Officers were therefore preoccupied in enquires when they may have been doing something else of a higher priority. </w:t>
      </w:r>
    </w:p>
    <w:p w:rsidR="00B179EE" w:rsidRDefault="00B179EE" w:rsidP="00B179EE"/>
    <w:p w:rsidR="00673070" w:rsidRDefault="00B179EE" w:rsidP="00B179EE">
      <w:r>
        <w:t>I considered the 'Now stage.' The knowledge I gained during this case was crucial, and I will incorporate it in future cases. I'll prioritise high-priority actions more effectively, knowing that the first few days' decisions on what is significant will have an impact on the investigation's outcome (Innes 2007)</w:t>
      </w:r>
    </w:p>
    <w:p w:rsidR="00673070" w:rsidRDefault="00673070" w:rsidP="00B179EE">
      <w:r>
        <w:t>WORDCOUNT -</w:t>
      </w:r>
      <w:r w:rsidR="009D3CAC">
        <w:t>1999</w:t>
      </w:r>
      <w:r>
        <w:t xml:space="preserve"> – 139 in brackets </w:t>
      </w:r>
    </w:p>
    <w:p w:rsidR="003313D9" w:rsidRDefault="003313D9" w:rsidP="00B179EE"/>
    <w:p w:rsidR="003313D9" w:rsidRPr="003313D9" w:rsidRDefault="003313D9" w:rsidP="003313D9">
      <w:pPr>
        <w:rPr>
          <w:b/>
          <w:u w:val="single"/>
        </w:rPr>
      </w:pPr>
      <w:r w:rsidRPr="003313D9">
        <w:rPr>
          <w:b/>
          <w:u w:val="single"/>
        </w:rPr>
        <w:t xml:space="preserve">REFERENCES  </w:t>
      </w:r>
    </w:p>
    <w:p w:rsidR="003313D9" w:rsidRDefault="003313D9" w:rsidP="003313D9">
      <w:r>
        <w:t>ACPO (2005)</w:t>
      </w:r>
      <w:r w:rsidRPr="003313D9">
        <w:rPr>
          <w:i/>
        </w:rPr>
        <w:t xml:space="preserve"> Guidance on Major Incident Room Standardised Administration Procedures (MIRSAP) </w:t>
      </w:r>
      <w:r>
        <w:t>Produced on behalf of the Association of Chief Police Officers by the National Centre for Policing Excellence</w:t>
      </w:r>
    </w:p>
    <w:p w:rsidR="003313D9" w:rsidRDefault="003313D9" w:rsidP="003313D9"/>
    <w:p w:rsidR="003313D9" w:rsidRDefault="003313D9" w:rsidP="003313D9">
      <w:r>
        <w:t>Armstrong, Shepherd, and Wolchover (1999)</w:t>
      </w:r>
      <w:r w:rsidRPr="003313D9">
        <w:rPr>
          <w:i/>
        </w:rPr>
        <w:t xml:space="preserve"> Analysing Witness Testimony. A guide for legal practitioners and other professionals</w:t>
      </w:r>
      <w:r>
        <w:t xml:space="preserve">.  Blackstone Press Limited. </w:t>
      </w:r>
    </w:p>
    <w:p w:rsidR="003313D9" w:rsidRDefault="003313D9" w:rsidP="003313D9"/>
    <w:p w:rsidR="003313D9" w:rsidRDefault="003313D9" w:rsidP="003313D9">
      <w:r>
        <w:t>Ashby, M (2017) `</w:t>
      </w:r>
      <w:r>
        <w:t>the</w:t>
      </w:r>
      <w:r>
        <w:t xml:space="preserve"> Value of CCTV Surveillance Cameras as an Investigative Tool: An Empirical Analysis`. </w:t>
      </w:r>
      <w:r w:rsidRPr="003313D9">
        <w:rPr>
          <w:i/>
        </w:rPr>
        <w:t xml:space="preserve">European Journal on Criminal Policy and Research. </w:t>
      </w:r>
      <w:r>
        <w:t>Volume 23 (30</w:t>
      </w:r>
      <w:r>
        <w:t>) Pages</w:t>
      </w:r>
      <w:r>
        <w:t xml:space="preserve"> - 441–459</w:t>
      </w:r>
    </w:p>
    <w:p w:rsidR="003313D9" w:rsidRDefault="003313D9" w:rsidP="003313D9"/>
    <w:p w:rsidR="003313D9" w:rsidRDefault="003313D9" w:rsidP="003313D9">
      <w:r>
        <w:t xml:space="preserve">Ashby, M, &amp; Bowers, K (2012). `A comparison of methods for temporal analysis of aoristic crime` </w:t>
      </w:r>
      <w:r w:rsidRPr="003313D9">
        <w:rPr>
          <w:i/>
        </w:rPr>
        <w:t>Crime Science</w:t>
      </w:r>
      <w:r>
        <w:t>, Volume 2(1)</w:t>
      </w:r>
    </w:p>
    <w:p w:rsidR="003313D9" w:rsidRDefault="003313D9" w:rsidP="003313D9"/>
    <w:p w:rsidR="003313D9" w:rsidRDefault="003313D9" w:rsidP="003313D9">
      <w:r>
        <w:t xml:space="preserve">Association of Chief Police officers (2005) </w:t>
      </w:r>
      <w:r w:rsidRPr="003313D9">
        <w:rPr>
          <w:i/>
        </w:rPr>
        <w:t>Practical advice on Core Investigative Doctrine</w:t>
      </w:r>
      <w:r>
        <w:t xml:space="preserve">. Available at:   https://library.college.police.uk/docs/acpo/Core-Investigative-Doctrine.pdf. Accessed on: 29/3/2022 </w:t>
      </w:r>
    </w:p>
    <w:p w:rsidR="003313D9" w:rsidRDefault="003313D9" w:rsidP="003313D9"/>
    <w:p w:rsidR="003313D9" w:rsidRDefault="003313D9" w:rsidP="003313D9">
      <w:r>
        <w:t>Association of Chief Police Officers ACPO (2006)</w:t>
      </w:r>
      <w:r w:rsidRPr="003313D9">
        <w:rPr>
          <w:i/>
        </w:rPr>
        <w:t xml:space="preserve"> Murder Investigation Manual </w:t>
      </w:r>
      <w:r>
        <w:t>– MIM. Centrex.  Available at: https://library.college.police.uk/docs/APPREF/murder-investigation-manual-redacted.pdf. Accessed on</w:t>
      </w:r>
      <w:r>
        <w:t>: 29</w:t>
      </w:r>
      <w:r>
        <w:t>/3/2022</w:t>
      </w:r>
    </w:p>
    <w:p w:rsidR="003313D9" w:rsidRDefault="003313D9" w:rsidP="003313D9"/>
    <w:p w:rsidR="003313D9" w:rsidRDefault="003313D9" w:rsidP="003313D9">
      <w:r>
        <w:t>Brookman, F &amp; Jones, H (2022) `</w:t>
      </w:r>
      <w:r>
        <w:t>Capturing</w:t>
      </w:r>
      <w:r>
        <w:t xml:space="preserve"> killers: the construction of CCTV evidence during homicide investigations`,</w:t>
      </w:r>
      <w:r w:rsidRPr="003313D9">
        <w:rPr>
          <w:i/>
        </w:rPr>
        <w:t xml:space="preserve"> Policing and Society,</w:t>
      </w:r>
      <w:r>
        <w:t xml:space="preserve"> 32:2, 125-144 </w:t>
      </w:r>
    </w:p>
    <w:p w:rsidR="003313D9" w:rsidRDefault="003313D9" w:rsidP="003313D9"/>
    <w:p w:rsidR="003313D9" w:rsidRDefault="003313D9" w:rsidP="003313D9">
      <w:r>
        <w:t xml:space="preserve">Casey, E (2019) `Editorial. Trust in digital evidence`. </w:t>
      </w:r>
      <w:r w:rsidRPr="003313D9">
        <w:rPr>
          <w:i/>
        </w:rPr>
        <w:t>Forensic science international: digital investigation</w:t>
      </w:r>
      <w:r>
        <w:t xml:space="preserve">, </w:t>
      </w:r>
      <w:r>
        <w:t xml:space="preserve">Volume </w:t>
      </w:r>
      <w:r>
        <w:t xml:space="preserve">31. </w:t>
      </w:r>
    </w:p>
    <w:p w:rsidR="003313D9" w:rsidRDefault="003313D9" w:rsidP="003313D9"/>
    <w:p w:rsidR="003313D9" w:rsidRDefault="003313D9" w:rsidP="003313D9">
      <w:r>
        <w:t xml:space="preserve">Chapman, J. (2002) </w:t>
      </w:r>
      <w:r w:rsidRPr="003313D9">
        <w:rPr>
          <w:i/>
        </w:rPr>
        <w:t>Systems Failure: Why governments must learn to think differently.</w:t>
      </w:r>
      <w:r>
        <w:t xml:space="preserve"> London: Demos.</w:t>
      </w:r>
    </w:p>
    <w:p w:rsidR="003313D9" w:rsidRDefault="003313D9" w:rsidP="003313D9"/>
    <w:p w:rsidR="003313D9" w:rsidRDefault="003313D9" w:rsidP="003313D9">
      <w:r>
        <w:t xml:space="preserve">College of Policing (2013) </w:t>
      </w:r>
      <w:r w:rsidRPr="003313D9">
        <w:rPr>
          <w:i/>
        </w:rPr>
        <w:t>Investigation Intelligence strategy</w:t>
      </w:r>
      <w:r>
        <w:t xml:space="preserve">. Available at: https://www.app.college.police.uk/app-content/investigations/investigative-strategies/intelligence-strategy/. Accessed on: 28/3/2022 </w:t>
      </w:r>
    </w:p>
    <w:p w:rsidR="003313D9" w:rsidRDefault="003313D9" w:rsidP="003313D9"/>
    <w:p w:rsidR="003313D9" w:rsidRDefault="003313D9" w:rsidP="003313D9">
      <w:r>
        <w:t xml:space="preserve">College of Policing (2014). </w:t>
      </w:r>
      <w:r w:rsidRPr="003313D9">
        <w:rPr>
          <w:i/>
        </w:rPr>
        <w:t>Authorised Professional Practice: Investigation</w:t>
      </w:r>
      <w:r>
        <w:t>. Retrieved from https://www.app.College.police.uk/app-content/investigations/investigative-strategies/passive-data-generators/. Accessed on 29/3/2022</w:t>
      </w:r>
    </w:p>
    <w:p w:rsidR="003313D9" w:rsidRDefault="003313D9" w:rsidP="003313D9"/>
    <w:p w:rsidR="003313D9" w:rsidRDefault="003313D9" w:rsidP="003313D9">
      <w:r>
        <w:t xml:space="preserve">Cook, T (2019) </w:t>
      </w:r>
      <w:r w:rsidRPr="003313D9">
        <w:rPr>
          <w:i/>
        </w:rPr>
        <w:t>Blackstone’s senior investigating officers’ handbook.</w:t>
      </w:r>
      <w:r>
        <w:t xml:space="preserve"> 5th ed. Oxford, England: Oxford University Press</w:t>
      </w:r>
    </w:p>
    <w:p w:rsidR="003313D9" w:rsidRDefault="003313D9" w:rsidP="003313D9"/>
    <w:p w:rsidR="003313D9" w:rsidRDefault="003313D9" w:rsidP="003313D9">
      <w:r>
        <w:t xml:space="preserve">Crown Prosecution Service CPS (2019) </w:t>
      </w:r>
      <w:r w:rsidRPr="003313D9">
        <w:rPr>
          <w:i/>
        </w:rPr>
        <w:t>Homicide: Murder and Manslaughter</w:t>
      </w:r>
      <w:r>
        <w:t>. Available at: https://www.cps.gov.uk/legal-guidance/homicide-murder-and-manslaughter. Accessed on: 29/3/2022</w:t>
      </w:r>
    </w:p>
    <w:p w:rsidR="003313D9" w:rsidRDefault="003313D9" w:rsidP="003313D9"/>
    <w:p w:rsidR="003313D9" w:rsidRDefault="003313D9" w:rsidP="003313D9">
      <w:r>
        <w:t>Crime and Disorder Act (1998)</w:t>
      </w:r>
      <w:r w:rsidRPr="003313D9">
        <w:rPr>
          <w:i/>
        </w:rPr>
        <w:t xml:space="preserve"> UK Public General Acts</w:t>
      </w:r>
      <w:r>
        <w:t>. Chapter 37 – Part I Prevention of Crime and disorder. 17A – Sharing information. Available at:  http://www.legislation.gov.uk/ukpga/1998/37/contents. Accessed on 29/3/2022</w:t>
      </w:r>
    </w:p>
    <w:p w:rsidR="003313D9" w:rsidRDefault="003313D9" w:rsidP="003313D9"/>
    <w:p w:rsidR="003313D9" w:rsidRDefault="003313D9" w:rsidP="003313D9">
      <w:r>
        <w:t xml:space="preserve">Driscoll, J. (2007) </w:t>
      </w:r>
      <w:r w:rsidRPr="003313D9">
        <w:rPr>
          <w:i/>
        </w:rPr>
        <w:t>Practising Clinical Supervision: A Reflective Approach</w:t>
      </w:r>
      <w:r>
        <w:t xml:space="preserve">, London, </w:t>
      </w:r>
      <w:proofErr w:type="spellStart"/>
      <w:r>
        <w:t>Bailliere</w:t>
      </w:r>
      <w:proofErr w:type="spellEnd"/>
      <w:r>
        <w:t xml:space="preserve"> Tindall.</w:t>
      </w:r>
    </w:p>
    <w:p w:rsidR="003313D9" w:rsidRDefault="003313D9" w:rsidP="003313D9"/>
    <w:p w:rsidR="003313D9" w:rsidRDefault="003B01D3" w:rsidP="003313D9">
      <w:r>
        <w:t xml:space="preserve">Edwards, R (2008) </w:t>
      </w:r>
      <w:r w:rsidR="003313D9" w:rsidRPr="003B01D3">
        <w:rPr>
          <w:i/>
        </w:rPr>
        <w:t>Polic</w:t>
      </w:r>
      <w:r w:rsidRPr="003B01D3">
        <w:rPr>
          <w:i/>
        </w:rPr>
        <w:t>e say CCTV is an ‘utter fiasco</w:t>
      </w:r>
      <w:r w:rsidR="003313D9">
        <w:t>. The Telegraph</w:t>
      </w:r>
    </w:p>
    <w:p w:rsidR="003313D9" w:rsidRDefault="003313D9" w:rsidP="003313D9"/>
    <w:p w:rsidR="003313D9" w:rsidRDefault="003313D9" w:rsidP="003313D9">
      <w:r>
        <w:t xml:space="preserve">Evison, M.P (2015) `The third forensics – images and allusions`. </w:t>
      </w:r>
      <w:r w:rsidRPr="003B01D3">
        <w:rPr>
          <w:i/>
        </w:rPr>
        <w:t>Policing and society</w:t>
      </w:r>
      <w:r>
        <w:t>, Volume 25 (5), Pages 521–539</w:t>
      </w:r>
    </w:p>
    <w:p w:rsidR="003313D9" w:rsidRDefault="003313D9" w:rsidP="003313D9"/>
    <w:p w:rsidR="003313D9" w:rsidRDefault="003313D9" w:rsidP="003313D9">
      <w:r>
        <w:t xml:space="preserve">Fahsing, I &amp; Ask, (2013) `Decision making and decisional tipping points in homicide investigations. An interview study of British and Norwegian detectives`. </w:t>
      </w:r>
      <w:r w:rsidRPr="003B01D3">
        <w:rPr>
          <w:i/>
        </w:rPr>
        <w:t>Journal of investigative psychology and offender profiling</w:t>
      </w:r>
      <w:r>
        <w:t xml:space="preserve"> Volume 10(20</w:t>
      </w:r>
      <w:r w:rsidR="003B01D3">
        <w:t>) Pages</w:t>
      </w:r>
      <w:r>
        <w:t xml:space="preserve"> -155-165 </w:t>
      </w:r>
    </w:p>
    <w:p w:rsidR="003313D9" w:rsidRDefault="003313D9" w:rsidP="003313D9"/>
    <w:p w:rsidR="003313D9" w:rsidRDefault="003313D9" w:rsidP="003313D9">
      <w:r>
        <w:t xml:space="preserve">Fisher, R (1995) `Interviewing victims and witnesses of crime`. </w:t>
      </w:r>
      <w:r w:rsidRPr="003B01D3">
        <w:rPr>
          <w:i/>
        </w:rPr>
        <w:t>Psychology, Public Policy, and Law,</w:t>
      </w:r>
      <w:r>
        <w:t xml:space="preserve"> 1(4), 732–764.</w:t>
      </w:r>
    </w:p>
    <w:p w:rsidR="003313D9" w:rsidRDefault="003313D9" w:rsidP="003313D9"/>
    <w:p w:rsidR="003313D9" w:rsidRDefault="003313D9" w:rsidP="003313D9">
      <w:proofErr w:type="spellStart"/>
      <w:r>
        <w:t>Flangan</w:t>
      </w:r>
      <w:proofErr w:type="spellEnd"/>
      <w:r>
        <w:t xml:space="preserve">, Sir R (2004) </w:t>
      </w:r>
      <w:r w:rsidRPr="003B01D3">
        <w:rPr>
          <w:i/>
        </w:rPr>
        <w:t xml:space="preserve">A report on the investigation by Cambridgeshire Constabulary into the murder of Jessica </w:t>
      </w:r>
      <w:proofErr w:type="spellStart"/>
      <w:r w:rsidRPr="003B01D3">
        <w:rPr>
          <w:i/>
        </w:rPr>
        <w:t>Chaman</w:t>
      </w:r>
      <w:proofErr w:type="spellEnd"/>
      <w:r w:rsidRPr="003B01D3">
        <w:rPr>
          <w:i/>
        </w:rPr>
        <w:t xml:space="preserve"> and Holly Wells at </w:t>
      </w:r>
      <w:proofErr w:type="spellStart"/>
      <w:r w:rsidRPr="003B01D3">
        <w:rPr>
          <w:i/>
        </w:rPr>
        <w:t>Soham</w:t>
      </w:r>
      <w:proofErr w:type="spellEnd"/>
      <w:r w:rsidRPr="003B01D3">
        <w:rPr>
          <w:i/>
        </w:rPr>
        <w:t xml:space="preserve"> on 4 August 202: Summary of Conclusions and Recommendations</w:t>
      </w:r>
      <w:r>
        <w:t xml:space="preserve">. London HMIC.  </w:t>
      </w:r>
    </w:p>
    <w:p w:rsidR="003313D9" w:rsidRDefault="003313D9" w:rsidP="003313D9"/>
    <w:p w:rsidR="003313D9" w:rsidRDefault="003313D9" w:rsidP="003313D9">
      <w:r>
        <w:t>Gerrard, G (2007) `CCTV and major incident investigation: professionalising the police approach`.</w:t>
      </w:r>
      <w:r w:rsidRPr="003B01D3">
        <w:rPr>
          <w:i/>
        </w:rPr>
        <w:t xml:space="preserve"> The journal of homicide and major incident investigation</w:t>
      </w:r>
      <w:r>
        <w:t>, Volume 3 (2), Pages 7–20.</w:t>
      </w:r>
    </w:p>
    <w:p w:rsidR="003313D9" w:rsidRDefault="003313D9" w:rsidP="003313D9"/>
    <w:p w:rsidR="003313D9" w:rsidRDefault="003313D9" w:rsidP="003313D9">
      <w:r>
        <w:t>Goodwin, C. (1994) `Professional vision` American anthropologist, Volume 96</w:t>
      </w:r>
      <w:r w:rsidR="003B01D3">
        <w:t>, Pages</w:t>
      </w:r>
      <w:r>
        <w:t xml:space="preserve"> 606–633.as</w:t>
      </w:r>
    </w:p>
    <w:p w:rsidR="003B01D3" w:rsidRDefault="003B01D3" w:rsidP="003313D9"/>
    <w:p w:rsidR="003313D9" w:rsidRDefault="003313D9" w:rsidP="003313D9">
      <w:r>
        <w:t>Heuer, R. (1999).</w:t>
      </w:r>
      <w:r w:rsidRPr="003B01D3">
        <w:rPr>
          <w:i/>
        </w:rPr>
        <w:t xml:space="preserve"> Psychology of Intelligence Analysis. Central Intelligence Agency</w:t>
      </w:r>
      <w:r w:rsidR="003B01D3">
        <w:t>. Available at</w:t>
      </w:r>
      <w:r>
        <w:t>: https://www.cia.gov/static/9a5f1162fd0932c29bfed1c030edf4ae/Pyschology-of-Intelligence-Analysis.pdf. Accessed on:  29/3/2022</w:t>
      </w:r>
    </w:p>
    <w:p w:rsidR="003313D9" w:rsidRDefault="003313D9" w:rsidP="003313D9"/>
    <w:p w:rsidR="003313D9" w:rsidRDefault="003313D9" w:rsidP="003313D9">
      <w:r>
        <w:t xml:space="preserve">Innes, M (2002) `The Process structures of Police homicide investigations` </w:t>
      </w:r>
      <w:r w:rsidRPr="003B01D3">
        <w:rPr>
          <w:i/>
        </w:rPr>
        <w:t>British journal of criminology</w:t>
      </w:r>
      <w:r>
        <w:t xml:space="preserve">. Volume 42 (4) Page 669 – 688  </w:t>
      </w:r>
    </w:p>
    <w:p w:rsidR="003313D9" w:rsidRDefault="003313D9" w:rsidP="003313D9"/>
    <w:p w:rsidR="003313D9" w:rsidRDefault="003313D9" w:rsidP="003313D9">
      <w:r>
        <w:t xml:space="preserve">Innes, M (2003) </w:t>
      </w:r>
      <w:r w:rsidRPr="003B01D3">
        <w:rPr>
          <w:i/>
        </w:rPr>
        <w:t xml:space="preserve">Investigating Murder: detective work and the police response to criminal homicide. </w:t>
      </w:r>
      <w:r>
        <w:t xml:space="preserve">Oxford: Clarendon Press.  </w:t>
      </w:r>
    </w:p>
    <w:p w:rsidR="003313D9" w:rsidRDefault="003313D9" w:rsidP="003313D9"/>
    <w:p w:rsidR="003313D9" w:rsidRDefault="003313D9" w:rsidP="003313D9">
      <w:r>
        <w:t xml:space="preserve">Innes, M (2007) </w:t>
      </w:r>
      <w:r w:rsidR="003B01D3">
        <w:t>`</w:t>
      </w:r>
      <w:r>
        <w:t xml:space="preserve">Investigation order and Major Crime inquiries. In T, </w:t>
      </w:r>
      <w:proofErr w:type="spellStart"/>
      <w:r>
        <w:t>Newburn</w:t>
      </w:r>
      <w:proofErr w:type="spellEnd"/>
      <w:r>
        <w:t>, T Williamson &amp; A. Wright (Eds.</w:t>
      </w:r>
      <w:r w:rsidR="003B01D3">
        <w:t>`</w:t>
      </w:r>
      <w:r>
        <w:t xml:space="preserve">) </w:t>
      </w:r>
      <w:r w:rsidRPr="003B01D3">
        <w:rPr>
          <w:i/>
        </w:rPr>
        <w:t>Handbook of criminal investigations</w:t>
      </w:r>
      <w:r>
        <w:t xml:space="preserve"> (Pages 255-277) London.  </w:t>
      </w:r>
    </w:p>
    <w:p w:rsidR="003313D9" w:rsidRDefault="003313D9" w:rsidP="003313D9"/>
    <w:p w:rsidR="003313D9" w:rsidRDefault="003313D9" w:rsidP="003313D9">
      <w:r>
        <w:t xml:space="preserve">Irvine, B. and </w:t>
      </w:r>
      <w:proofErr w:type="spellStart"/>
      <w:r>
        <w:t>Dunnigham</w:t>
      </w:r>
      <w:proofErr w:type="spellEnd"/>
      <w:r>
        <w:t xml:space="preserve">, C. (1993) </w:t>
      </w:r>
      <w:r w:rsidRPr="003B01D3">
        <w:rPr>
          <w:i/>
        </w:rPr>
        <w:t>Human Factors in the Quality Control of CID Investigations Royal Commission on Criminal Justice Research Study No. 21.</w:t>
      </w:r>
      <w:r>
        <w:t xml:space="preserve"> London: HMSO  </w:t>
      </w:r>
    </w:p>
    <w:p w:rsidR="003313D9" w:rsidRDefault="003313D9" w:rsidP="003313D9"/>
    <w:p w:rsidR="003313D9" w:rsidRDefault="003313D9" w:rsidP="003313D9">
      <w:r>
        <w:lastRenderedPageBreak/>
        <w:t>McCartney, C (2018) `Commentary: disclosure in the criminal justice system`.</w:t>
      </w:r>
      <w:r w:rsidRPr="003B01D3">
        <w:rPr>
          <w:i/>
        </w:rPr>
        <w:t xml:space="preserve"> Journal of forensic and legal medicine</w:t>
      </w:r>
      <w:r>
        <w:t>, Volume 58, Pages 72–73.</w:t>
      </w:r>
    </w:p>
    <w:p w:rsidR="003313D9" w:rsidRDefault="003313D9" w:rsidP="003313D9"/>
    <w:p w:rsidR="003313D9" w:rsidRDefault="003313D9" w:rsidP="003313D9">
      <w:r>
        <w:t xml:space="preserve">McConville, M, Sanders, A, and </w:t>
      </w:r>
      <w:proofErr w:type="spellStart"/>
      <w:r>
        <w:t>Leng</w:t>
      </w:r>
      <w:proofErr w:type="spellEnd"/>
      <w:r>
        <w:t xml:space="preserve">, R (1991). </w:t>
      </w:r>
      <w:r w:rsidRPr="003B01D3">
        <w:rPr>
          <w:i/>
        </w:rPr>
        <w:t>The Case for the Prosecution: Police, Suspects and the Construction of Criminality</w:t>
      </w:r>
      <w:r>
        <w:t xml:space="preserve">. London: Routledge. </w:t>
      </w:r>
    </w:p>
    <w:p w:rsidR="003313D9" w:rsidRDefault="003313D9" w:rsidP="003313D9"/>
    <w:p w:rsidR="003313D9" w:rsidRDefault="003313D9" w:rsidP="003313D9">
      <w:r>
        <w:t>Milne and Bull (2003) `Interviewing by the Police` in D. Carson and R. Bull (</w:t>
      </w:r>
      <w:proofErr w:type="spellStart"/>
      <w:r>
        <w:t>eds</w:t>
      </w:r>
      <w:proofErr w:type="spellEnd"/>
      <w:r>
        <w:t>),</w:t>
      </w:r>
      <w:r w:rsidRPr="003B01D3">
        <w:rPr>
          <w:i/>
        </w:rPr>
        <w:t xml:space="preserve"> Handbook of Psychology in Legal Contexts</w:t>
      </w:r>
      <w:r>
        <w:t xml:space="preserve">. Chichester: Wiley, 111 – 125  </w:t>
      </w:r>
    </w:p>
    <w:p w:rsidR="003313D9" w:rsidRDefault="003313D9" w:rsidP="003313D9"/>
    <w:p w:rsidR="003313D9" w:rsidRDefault="003313D9" w:rsidP="003313D9">
      <w:r>
        <w:t xml:space="preserve">Ministry of Justice (2011) </w:t>
      </w:r>
      <w:r w:rsidRPr="003B01D3">
        <w:rPr>
          <w:i/>
        </w:rPr>
        <w:t>Vulnerable and Intimidated Witnesses A Police Service Guide.</w:t>
      </w:r>
      <w:r>
        <w:t xml:space="preserve"> Available at: https://www.app.college.police.uk/app-content/investigations/victims-and-witnesses/#reluctant-witnesses.Accessed on 25/3/2022 </w:t>
      </w:r>
    </w:p>
    <w:p w:rsidR="003313D9" w:rsidRDefault="003313D9" w:rsidP="003313D9"/>
    <w:p w:rsidR="003313D9" w:rsidRDefault="003313D9" w:rsidP="003313D9">
      <w:r>
        <w:t xml:space="preserve">Mitchell, B (1990) </w:t>
      </w:r>
      <w:r w:rsidRPr="003B01D3">
        <w:rPr>
          <w:i/>
        </w:rPr>
        <w:t xml:space="preserve">Murder and Penal Policy. </w:t>
      </w:r>
      <w:r>
        <w:t>London Palgrave Macmillan</w:t>
      </w:r>
    </w:p>
    <w:p w:rsidR="003313D9" w:rsidRDefault="003313D9" w:rsidP="003313D9"/>
    <w:p w:rsidR="003313D9" w:rsidRDefault="003313D9" w:rsidP="003313D9">
      <w:r>
        <w:t>National Police Chiefs council NPCC (2021)</w:t>
      </w:r>
      <w:r w:rsidRPr="003B01D3">
        <w:rPr>
          <w:i/>
        </w:rPr>
        <w:t xml:space="preserve"> Major Incident Room Standardised Administrative Procedures – MIRSAP</w:t>
      </w:r>
      <w:r>
        <w:t>. Available at: https://www.app.college.police.uk/app-content/major-investigation-and-public-protection/major-incident-room-standardised-administrative-procedures-mirsap/. Accessed on 29/3/2022</w:t>
      </w:r>
    </w:p>
    <w:p w:rsidR="003313D9" w:rsidRDefault="003313D9" w:rsidP="003313D9"/>
    <w:p w:rsidR="003313D9" w:rsidRDefault="003313D9" w:rsidP="003313D9">
      <w:r>
        <w:t>Nicol, C, Innes, M, Gee, D &amp; Feist A (2004)</w:t>
      </w:r>
      <w:r w:rsidRPr="003B01D3">
        <w:rPr>
          <w:i/>
        </w:rPr>
        <w:t xml:space="preserve"> Reviewing murder investigations: an analysis of progress reviews from six police forces</w:t>
      </w:r>
      <w:r>
        <w:t>. Home Office Online Report 25/04</w:t>
      </w:r>
    </w:p>
    <w:p w:rsidR="003313D9" w:rsidRDefault="003313D9" w:rsidP="003313D9"/>
    <w:p w:rsidR="003313D9" w:rsidRDefault="003313D9" w:rsidP="003313D9">
      <w:r>
        <w:t xml:space="preserve">Osborne, N; Taylor, M and </w:t>
      </w:r>
      <w:proofErr w:type="spellStart"/>
      <w:r>
        <w:t>Zajac,R</w:t>
      </w:r>
      <w:proofErr w:type="spellEnd"/>
      <w:r>
        <w:t xml:space="preserve"> (2016) `Exploring the role of contextual information in bloodstain pattern analysis: A qualitative approach` </w:t>
      </w:r>
      <w:r w:rsidRPr="003B01D3">
        <w:rPr>
          <w:i/>
        </w:rPr>
        <w:t>Forensic science international</w:t>
      </w:r>
      <w:r>
        <w:t>, Volume 260. Pages - 1-8</w:t>
      </w:r>
    </w:p>
    <w:p w:rsidR="003313D9" w:rsidRDefault="003313D9" w:rsidP="003313D9"/>
    <w:p w:rsidR="003313D9" w:rsidRDefault="003313D9" w:rsidP="003313D9">
      <w:r>
        <w:t xml:space="preserve">Roycroft, M and Roach, J (2019) </w:t>
      </w:r>
      <w:r w:rsidRPr="003B01D3">
        <w:rPr>
          <w:i/>
        </w:rPr>
        <w:t>Decision making in Police enquiries and critical incidents what really works</w:t>
      </w:r>
      <w:r>
        <w:t xml:space="preserve">. Palgrave Macmillan UK   </w:t>
      </w:r>
    </w:p>
    <w:p w:rsidR="003313D9" w:rsidRDefault="003313D9" w:rsidP="003313D9"/>
    <w:p w:rsidR="003313D9" w:rsidRDefault="003313D9" w:rsidP="003313D9">
      <w:r>
        <w:t xml:space="preserve">Skolnick, H (1994) </w:t>
      </w:r>
      <w:r w:rsidRPr="003B01D3">
        <w:rPr>
          <w:i/>
        </w:rPr>
        <w:t>Above the law: Police and the Excessive Use of Force.</w:t>
      </w:r>
      <w:r>
        <w:t xml:space="preserve"> The Free Press. New York. </w:t>
      </w:r>
    </w:p>
    <w:p w:rsidR="003313D9" w:rsidRDefault="003313D9" w:rsidP="003313D9"/>
    <w:p w:rsidR="003313D9" w:rsidRDefault="003313D9" w:rsidP="003313D9">
      <w:r>
        <w:t xml:space="preserve">Smit, N.M, Morgan, R.M and </w:t>
      </w:r>
      <w:proofErr w:type="spellStart"/>
      <w:r>
        <w:t>Lagnado</w:t>
      </w:r>
      <w:proofErr w:type="spellEnd"/>
      <w:r>
        <w:t xml:space="preserve">, D.A (2018) `A systematic analysis of misleading evidence in unsafe rulings in England and Wales`. </w:t>
      </w:r>
      <w:r w:rsidRPr="003B01D3">
        <w:rPr>
          <w:i/>
        </w:rPr>
        <w:t>Science &amp; justice</w:t>
      </w:r>
      <w:r>
        <w:t>, Volume 58 (2), 128–137.</w:t>
      </w:r>
    </w:p>
    <w:p w:rsidR="003313D9" w:rsidRDefault="003313D9" w:rsidP="003313D9"/>
    <w:p w:rsidR="003313D9" w:rsidRDefault="003313D9" w:rsidP="003313D9">
      <w:r>
        <w:t xml:space="preserve">Taylor, T &amp; Gill, G (2014) </w:t>
      </w:r>
      <w:r w:rsidR="003B01D3">
        <w:t>`</w:t>
      </w:r>
      <w:r>
        <w:t>CCTV: reflections on its use, abuse and effectiveness</w:t>
      </w:r>
      <w:r w:rsidR="003B01D3">
        <w:t>`</w:t>
      </w:r>
      <w:r>
        <w:t xml:space="preserve">. </w:t>
      </w:r>
      <w:r w:rsidRPr="003B01D3">
        <w:rPr>
          <w:i/>
        </w:rPr>
        <w:t>In Gill, M. (Ed.) The handbook of security</w:t>
      </w:r>
      <w:r>
        <w:t xml:space="preserve"> (Chapter 31, Pages 705–726). Basingstoke: Palgrave Macmillan.</w:t>
      </w:r>
    </w:p>
    <w:p w:rsidR="003313D9" w:rsidRDefault="003313D9" w:rsidP="003313D9"/>
    <w:p w:rsidR="003313D9" w:rsidRDefault="003313D9" w:rsidP="003313D9">
      <w:r>
        <w:t>Tully, G (2020) F</w:t>
      </w:r>
      <w:r w:rsidRPr="003B01D3">
        <w:rPr>
          <w:i/>
        </w:rPr>
        <w:t>orensic Science Regulator Annual Report</w:t>
      </w:r>
      <w:r>
        <w:t xml:space="preserve"> 17 Nov 2018–16 Nov 2019 [online]. Available from: https://assets.publishing.service.gov.uk/government/uploads/system/uploads/attachment_data/file/877607/20200225_FSR_Annual_Report_2019_Final.pdf [Accessed 01/05/22].</w:t>
      </w:r>
    </w:p>
    <w:p w:rsidR="003313D9" w:rsidRDefault="003313D9" w:rsidP="003313D9"/>
    <w:p w:rsidR="003313D9" w:rsidRDefault="003313D9" w:rsidP="003313D9">
      <w:r>
        <w:t>Tully, G et al. (2020) `Quality standards for digital forensics: learning from experience in England &amp; Wales`.</w:t>
      </w:r>
      <w:r w:rsidRPr="003B01D3">
        <w:rPr>
          <w:i/>
        </w:rPr>
        <w:t xml:space="preserve"> Forensic science international: digital investigation</w:t>
      </w:r>
      <w:r>
        <w:t xml:space="preserve">, </w:t>
      </w:r>
      <w:r w:rsidR="003B01D3">
        <w:t xml:space="preserve">Volume </w:t>
      </w:r>
      <w:r>
        <w:t>32.</w:t>
      </w:r>
    </w:p>
    <w:p w:rsidR="003313D9" w:rsidRDefault="003313D9" w:rsidP="003313D9"/>
    <w:p w:rsidR="003313D9" w:rsidRDefault="003313D9" w:rsidP="003313D9">
      <w:r>
        <w:t xml:space="preserve">Vincze, E.A (2016) </w:t>
      </w:r>
      <w:r w:rsidR="003B01D3">
        <w:t>`</w:t>
      </w:r>
      <w:r>
        <w:t>Challenges in digital forensics. Police practice and research</w:t>
      </w:r>
      <w:r w:rsidR="003B01D3">
        <w:t>` A</w:t>
      </w:r>
      <w:r w:rsidRPr="003B01D3">
        <w:rPr>
          <w:i/>
        </w:rPr>
        <w:t>n international journal</w:t>
      </w:r>
      <w:r>
        <w:t>, Volume 17. Issue 2. Pages 183–194.</w:t>
      </w:r>
    </w:p>
    <w:p w:rsidR="003313D9" w:rsidRDefault="003313D9" w:rsidP="003313D9"/>
    <w:p w:rsidR="003313D9" w:rsidRDefault="003313D9" w:rsidP="00B179EE"/>
    <w:p w:rsidR="00673070" w:rsidRDefault="00673070" w:rsidP="00B179EE"/>
    <w:p w:rsidR="00B179EE" w:rsidRDefault="00B179EE" w:rsidP="00B179EE">
      <w:pPr>
        <w:rPr>
          <w:b/>
          <w:u w:val="single"/>
        </w:rPr>
      </w:pPr>
      <w:r w:rsidRPr="00673070">
        <w:rPr>
          <w:b/>
          <w:u w:val="single"/>
        </w:rPr>
        <w:t xml:space="preserve"> Question 2</w:t>
      </w:r>
    </w:p>
    <w:p w:rsidR="009D3CAC" w:rsidRPr="00673070" w:rsidRDefault="009D3CAC" w:rsidP="00B179EE">
      <w:pPr>
        <w:rPr>
          <w:b/>
          <w:u w:val="single"/>
        </w:rPr>
      </w:pPr>
    </w:p>
    <w:p w:rsidR="002D1BA7" w:rsidRPr="002D1BA7" w:rsidRDefault="002D1BA7" w:rsidP="002D1BA7">
      <w:pPr>
        <w:rPr>
          <w:b/>
        </w:rPr>
      </w:pPr>
      <w:r w:rsidRPr="002D1BA7">
        <w:rPr>
          <w:b/>
        </w:rPr>
        <w:t xml:space="preserve">Give a brief description of the investigation including social and legislative contexts and any relevant cultural, ethnicity and language issues.    </w:t>
      </w:r>
    </w:p>
    <w:p w:rsidR="002D1BA7" w:rsidRPr="002D1BA7" w:rsidRDefault="002D1BA7" w:rsidP="002D1BA7">
      <w:pPr>
        <w:rPr>
          <w:b/>
        </w:rPr>
      </w:pPr>
      <w:r w:rsidRPr="002D1BA7">
        <w:rPr>
          <w:b/>
        </w:rPr>
        <w:t xml:space="preserve">Critically evaluate how you have provided appropriate support for victims during an investigation. Consider the use of a victim strategy when required and working with the Victim Care Unit. </w:t>
      </w:r>
    </w:p>
    <w:p w:rsidR="002D1BA7" w:rsidRPr="002D1BA7" w:rsidRDefault="002D1BA7" w:rsidP="002D1BA7">
      <w:pPr>
        <w:rPr>
          <w:b/>
        </w:rPr>
      </w:pPr>
      <w:r w:rsidRPr="002D1BA7">
        <w:rPr>
          <w:b/>
        </w:rPr>
        <w:t xml:space="preserve">Examine the use of appropriate responses to safeguarding concerns and management risk in investigations. (Examples include but not limited to; child abuse, offences against vulnerable adults and domestic abuse). </w:t>
      </w:r>
    </w:p>
    <w:p w:rsidR="002D1BA7" w:rsidRPr="002D1BA7" w:rsidRDefault="002D1BA7" w:rsidP="002D1BA7">
      <w:pPr>
        <w:rPr>
          <w:b/>
        </w:rPr>
      </w:pPr>
      <w:r w:rsidRPr="002D1BA7">
        <w:rPr>
          <w:b/>
        </w:rPr>
        <w:t xml:space="preserve">Consider and reflect upon how you have assessed threat, risk and harm to develop and implement plans and strategies to investigate serious and complex crime. </w:t>
      </w:r>
    </w:p>
    <w:p w:rsidR="002D1BA7" w:rsidRDefault="002D1BA7" w:rsidP="002D1BA7"/>
    <w:p w:rsidR="00B179EE" w:rsidRDefault="00B179EE" w:rsidP="002D1BA7">
      <w:r>
        <w:t xml:space="preserve">In October 2021, I was appointed as the Family Liaison Officer (FLO) for a family whose 21-year-old son/brother, 'KC,' had been killed in a 'one punch' incident. This was my first deployment. The FLO's aim is to establish a rapport with the family and obtain information that will </w:t>
      </w:r>
      <w:r w:rsidR="0040229D">
        <w:t>contribute to the investigation,</w:t>
      </w:r>
      <w:r>
        <w:t xml:space="preserve"> </w:t>
      </w:r>
      <w:r w:rsidR="0040229D">
        <w:t>e</w:t>
      </w:r>
      <w:r>
        <w:t>nsuring that the family receives all necessary details regarding the investig</w:t>
      </w:r>
      <w:r w:rsidR="009D3CAC">
        <w:t xml:space="preserve">ation, as well as information about support agencies. I ensured that </w:t>
      </w:r>
      <w:r>
        <w:t xml:space="preserve">appropriate referrals </w:t>
      </w:r>
      <w:r w:rsidR="009D3CAC">
        <w:t xml:space="preserve">were made to Victim Support, </w:t>
      </w:r>
      <w:r w:rsidR="0040229D">
        <w:t>Homicide Service, Witness S</w:t>
      </w:r>
      <w:r>
        <w:t>upport and other support</w:t>
      </w:r>
      <w:r w:rsidR="009D3CAC">
        <w:t>ive</w:t>
      </w:r>
      <w:r>
        <w:t xml:space="preserve"> charities, in accordance with the family's wishes (College of Policing 2021). At the hospital, I met with the family and offered immediate support. Victim support was clearly an important issue that needed to be prioritised. In England and Wales, the Ministry of Justice (2012) has published statutory guidelines on Victims of Crime Codes of Practice. This strategy includes the right to "be referred to victim support services and to have these services and support targeted to their needs." The Ministry of Justice (2020) identified a “'victim' as a person who has suffered harm or a close relative of someone who has died because of a criminal offence such as murder or manslaughter”.  </w:t>
      </w:r>
    </w:p>
    <w:p w:rsidR="00B179EE" w:rsidRDefault="00B179EE" w:rsidP="00B179EE"/>
    <w:p w:rsidR="00B179EE" w:rsidRDefault="00B179EE" w:rsidP="00B179EE">
      <w:r>
        <w:t>I am aware that any victims, witnesses, or anybody affected by an incident who would benefit from support, such as the victims' family, should be referred immediately so that information, emotional support, practical support, and referrals to other services can be provided (South Wales Police victim focus 2022). Victim Support has improved significa</w:t>
      </w:r>
      <w:r w:rsidR="0040229D">
        <w:t>ntly</w:t>
      </w:r>
      <w:r w:rsidR="00605767">
        <w:t xml:space="preserve"> according to Mawby (2016)</w:t>
      </w:r>
      <w:r>
        <w:t xml:space="preserve"> </w:t>
      </w:r>
      <w:r w:rsidR="00605767">
        <w:t xml:space="preserve">whereby </w:t>
      </w:r>
      <w:r w:rsidR="003F4785">
        <w:t>“</w:t>
      </w:r>
      <w:r w:rsidR="00605767">
        <w:t>a</w:t>
      </w:r>
      <w:r>
        <w:t>n increased focus has been placed on serious crimes and victims who are severely traumatised</w:t>
      </w:r>
      <w:r w:rsidR="003F4785">
        <w:t>”</w:t>
      </w:r>
      <w:r>
        <w:t xml:space="preserve">. There has been a move from victims </w:t>
      </w:r>
      <w:r w:rsidR="0040229D">
        <w:t>being offered “t</w:t>
      </w:r>
      <w:r w:rsidR="003F4785">
        <w:t>ea and sympathy”</w:t>
      </w:r>
      <w:r>
        <w:t xml:space="preserve"> to victims being offered professional treatment (Ministry of Justice, 2012). Last year, 6.5 million offences were committed in England and Wales. Victim Support has recognised the vast range of consequences that these crimes can have on victims' families. (Victim Support 2022) </w:t>
      </w:r>
    </w:p>
    <w:p w:rsidR="00B179EE" w:rsidRDefault="00B179EE" w:rsidP="00B179EE"/>
    <w:p w:rsidR="00B179EE" w:rsidRDefault="00B179EE" w:rsidP="00B179EE">
      <w:r>
        <w:t>I explained to the family what support they would be entitled to and gained their consent in accordance with my requirements under the Data Protection Act (2018). As t</w:t>
      </w:r>
      <w:r w:rsidR="0040229D">
        <w:t>his was my first FLO deployment</w:t>
      </w:r>
      <w:r>
        <w:t xml:space="preserve"> I was unaware of the extent of support and involvement Victim Support could provide families of homicides. An FLO is required to attend 10-days of classroom training. There is little training to prepare officers for the grief process that the families will go through. Officers must deal with the emotional aspects of the situation and act with empathy along with being part of the investigation team (Sewell 2007). I quickly realised that having the independent support of Victim Support was crucial. This is supported by Rock (1990) who outlined that for families to have the best support the multi-agency relationship between Victim Support and the police is vital. I evaluated how effective Victim Support was at first hand. I was able to refer the family to more appropriate support at various points during the investigation, as the issues that the family brought to my attention were not always ones I could resolve. According to Sewell (2007), the investigator must strike a balance with the family and maintaining a professional relationship.  </w:t>
      </w:r>
    </w:p>
    <w:p w:rsidR="00B179EE" w:rsidRDefault="00B179EE" w:rsidP="00B179EE"/>
    <w:p w:rsidR="00B179EE" w:rsidRDefault="00B179EE" w:rsidP="00B179EE">
      <w:r>
        <w:t>Victim Support claims that a high proportion of people who use their service are satisfied (Franklyn 2012). However according to Mawby (2016) Victim</w:t>
      </w:r>
      <w:r w:rsidR="00231F8D">
        <w:t xml:space="preserve"> Support does not always meet</w:t>
      </w:r>
      <w:r>
        <w:t xml:space="preserve"> the </w:t>
      </w:r>
      <w:r w:rsidR="003F4785">
        <w:t>“</w:t>
      </w:r>
      <w:r w:rsidR="00A33880">
        <w:t xml:space="preserve">concerns and </w:t>
      </w:r>
      <w:r>
        <w:t>needs</w:t>
      </w:r>
      <w:r w:rsidR="003F4785">
        <w:t>”</w:t>
      </w:r>
      <w:r>
        <w:t xml:space="preserve"> </w:t>
      </w:r>
      <w:r w:rsidR="00A33880">
        <w:t>of</w:t>
      </w:r>
      <w:r>
        <w:t xml:space="preserve"> victims. Many victims</w:t>
      </w:r>
      <w:r w:rsidR="00A33880">
        <w:t xml:space="preserve"> received services that they didn`t require</w:t>
      </w:r>
      <w:r>
        <w:t>, other victims were not co</w:t>
      </w:r>
      <w:r w:rsidR="00A33880">
        <w:t xml:space="preserve">ntacted when they needed </w:t>
      </w:r>
      <w:r>
        <w:t xml:space="preserve">services </w:t>
      </w:r>
      <w:r w:rsidR="00A33880">
        <w:t xml:space="preserve">and/or support and the support they were given was not appropriate to their </w:t>
      </w:r>
      <w:r>
        <w:t xml:space="preserve">specific needs. According to the Ministry of Justice (2012), assisting everyone who has been referred by the police is expensive and unmanageable. They want to ensure that they help individuals who are in need. Serious crime victims, repeat victims, and the most vulnerable will receive the support. Others, however, who do not fit into this category, will not receive the assistance they require. </w:t>
      </w:r>
      <w:r w:rsidR="003F4785">
        <w:t>“</w:t>
      </w:r>
      <w:r>
        <w:t>The challenge of recognising vulnerable victims</w:t>
      </w:r>
      <w:r w:rsidR="003F4785">
        <w:t>”</w:t>
      </w:r>
      <w:r>
        <w:t xml:space="preserve"> was identified in studies by the Crime Survey for England and Wales (Freeman 2013) and Mawby and Simmonds (2008). Their research only partially supports the theory that the most vulnerable persons can be identified on the severity of the crime, victimisation, and social and personal circumstances. They claimed that </w:t>
      </w:r>
      <w:r w:rsidR="00231F8D">
        <w:t xml:space="preserve">the </w:t>
      </w:r>
      <w:r>
        <w:t>Victim Support's strategy of rel</w:t>
      </w:r>
      <w:r w:rsidR="00231F8D">
        <w:t>ying on victims' personal</w:t>
      </w:r>
      <w:r>
        <w:t xml:space="preserve"> assessments of need is only </w:t>
      </w:r>
      <w:r w:rsidR="003F4785">
        <w:t>“</w:t>
      </w:r>
      <w:r>
        <w:t xml:space="preserve">one way of identifying those </w:t>
      </w:r>
      <w:r w:rsidR="00231F8D">
        <w:t xml:space="preserve">who are </w:t>
      </w:r>
      <w:r>
        <w:t>most affected by crime</w:t>
      </w:r>
      <w:r w:rsidR="003F4785">
        <w:t>”</w:t>
      </w:r>
      <w:r>
        <w:t xml:space="preserve">. The link between the severity of the crime and the level of support required is unproven, it ignores the reality that </w:t>
      </w:r>
      <w:r w:rsidR="003F4785">
        <w:t>“</w:t>
      </w:r>
      <w:r>
        <w:t>some</w:t>
      </w:r>
      <w:r w:rsidR="00231F8D">
        <w:t xml:space="preserve"> victims, such as those who are isolated, have ill-health</w:t>
      </w:r>
      <w:r>
        <w:t xml:space="preserve">, or </w:t>
      </w:r>
      <w:r w:rsidR="00231F8D">
        <w:t>are elderly, can</w:t>
      </w:r>
      <w:r>
        <w:t xml:space="preserve"> be affected regardless of the seriousness of the crime. The most vulnerable victims will not always be identified without an initial unique evaluation tailored to the individual</w:t>
      </w:r>
      <w:r w:rsidR="003F4785">
        <w:t>”</w:t>
      </w:r>
      <w:r>
        <w:t xml:space="preserve"> (Mawby and Simmonds, 2008) </w:t>
      </w:r>
    </w:p>
    <w:p w:rsidR="00B179EE" w:rsidRDefault="00B179EE" w:rsidP="00B179EE"/>
    <w:p w:rsidR="00B179EE" w:rsidRDefault="00B179EE" w:rsidP="00B179EE">
      <w:r>
        <w:lastRenderedPageBreak/>
        <w:t>The crime survey for England and Wales (Freeman 2013) highlighted a critical issue and acknowledged that victims' requirements change throughout the investigation</w:t>
      </w:r>
      <w:r w:rsidR="00EF56F4">
        <w:t>. T</w:t>
      </w:r>
      <w:r>
        <w:t xml:space="preserve">hese needs are not always monitored. They proposed that a follow-up system be implemented to ensure that any changing requirements are met. Research by Boom and Kuijpers (2012) reinforce this view by pointing out that victims' requirements can change over time. This was a concern I encountered; the family told me they wouldn't require victim assistance at first, but as the case progressed and issues arose, their need for support grew. Tapley et al (2014) outlined the different timelines that the victims go through.  Some victims require support immediately after the incident, while others may not realise the extent of the offence's impact until later and only choose to seek support when they are ready. It's critical that victims know where to go and how to get help at any time, and that this is monitored. </w:t>
      </w:r>
    </w:p>
    <w:p w:rsidR="00B179EE" w:rsidRDefault="00B179EE" w:rsidP="00B179EE"/>
    <w:p w:rsidR="00B179EE" w:rsidRDefault="00B179EE" w:rsidP="00B179EE">
      <w:r>
        <w:t xml:space="preserve">The Ministry of Justice (2012) recognised the need of multi-agency partnership between statutory organisations as well as with the voluntary sector. However, relationships with other support and voluntary organisations that assist victims have been shown to be less successful, this may be due </w:t>
      </w:r>
      <w:r w:rsidR="003F4785">
        <w:t>to their “opposing viewpoints”</w:t>
      </w:r>
      <w:r>
        <w:t xml:space="preserve"> (Gill and Maw</w:t>
      </w:r>
      <w:r w:rsidR="003F4785">
        <w:t xml:space="preserve">by, 1990), or because they are “competing for the same clients” </w:t>
      </w:r>
      <w:r>
        <w:t xml:space="preserve">(Russell 1990). </w:t>
      </w:r>
    </w:p>
    <w:p w:rsidR="00B179EE" w:rsidRDefault="00B179EE" w:rsidP="00B179EE"/>
    <w:p w:rsidR="00B179EE" w:rsidRDefault="00B179EE" w:rsidP="00B179EE">
      <w:r>
        <w:t xml:space="preserve">Research by Sewell (2007) found that Police Officers were dissatisfied with the social support services provided by probation and mental health agencies. They deemed these services to be insufficient and inappropriate and that they were frequently unresponsive and/or unavailable. This is corroborated by Mawby (2016) who was critical of other organisations' services when dealing with the victim. This is an issue I too could identify with, the family of `KC` had mental health issues and felt let down by the support they received from the mental health services. Morrall, Hazelton, &amp; Shackleton (2013) agreed that the emotional impact of homicide on the families of the victims is misunderstood, and they receive little expert mental health support. They claim that there is a link between loss and post-traumatic stress disorder, and that more research is needed to provide adequate support.  </w:t>
      </w:r>
    </w:p>
    <w:p w:rsidR="00B179EE" w:rsidRDefault="00B179EE" w:rsidP="00B179EE"/>
    <w:p w:rsidR="00B179EE" w:rsidRDefault="00B179EE" w:rsidP="00B179EE">
      <w:r>
        <w:t xml:space="preserve">A critical issue that I evaluated whilst working with the victim's family was that no single agency took overall responsibility. At various stages of the process, the victim receives differing levels of interaction from a variety of agencies, some more effective than others, according to Wedlock and Tapley (2016). I had to ensure that all agencies involved were kept up to date and had to rely on them updating me with relevant information. It was apparent that at some stages the family received no contact for lengthy periods of time whilst at other times, contact from the different agencies overlapped. </w:t>
      </w:r>
    </w:p>
    <w:p w:rsidR="00B179EE" w:rsidRDefault="00B179EE" w:rsidP="00B179EE"/>
    <w:p w:rsidR="00B179EE" w:rsidRDefault="00B179EE" w:rsidP="00B179EE">
      <w:r>
        <w:t xml:space="preserve">Overall, the findings support the notion that victim support is an important service that victims value (Wedlock and Tapley 2016). Brown and Crego`s (2019) research corroborated this and identified that victims' relatives were satisfied with the assistance they received. However, in contrast Reed et al`s (2019) research recognised that relationships between families and FLOs were "difficult," and visits were "uncomfortable and demanding,". They noted that the families had been through a terrible </w:t>
      </w:r>
      <w:r>
        <w:lastRenderedPageBreak/>
        <w:t xml:space="preserve">loss and were struggling to cope with their grief while also having to learning about the "complexities and technicalities" of the criminal justice system.  </w:t>
      </w:r>
    </w:p>
    <w:p w:rsidR="00B179EE" w:rsidRDefault="00B179EE" w:rsidP="00B179EE"/>
    <w:p w:rsidR="00B179EE" w:rsidRDefault="00B179EE" w:rsidP="00B179EE">
      <w:r>
        <w:t xml:space="preserve">For me, this investigation has been a source of reflection. Using good interpersonal skills and creating relationships with co-victims is crucial along with ensuring that information is provided on a frequent, non-judgmental, and honest manner (Reed et al 2019). This is something I want to improve upon in future investigations.  </w:t>
      </w:r>
    </w:p>
    <w:p w:rsidR="00B179EE" w:rsidRDefault="00B179EE" w:rsidP="00B179EE"/>
    <w:p w:rsidR="00B179EE" w:rsidRDefault="00EF56F4" w:rsidP="00B179EE">
      <w:r>
        <w:t>Before visiting</w:t>
      </w:r>
      <w:r w:rsidR="00B179EE">
        <w:t xml:space="preserve"> 'KC's family, I conducted background checks. I noted that 'KC's' father had previously assaulted a Police officer and been convicted of drug dealing. Knowing this, as well as being aware of the trauma associated with a sudden and violent death (College of Policing 2013), I understood that the victim's family would be under a great deal of stress. I conducted a dynamic risk assessment and ensured that these aspects were considered. According to Brunschot and Kennedy (2010), we live in a "risky" community, and available resources must be used to control the threat to our safety (Beck 1992). Risk-based policing involves analysing data and determining how to police high-risk circumstances (Kennedy, Caplan, and Piza, 2018). I gathered all relevant data and intelligence using the National Decision Model (College of Policing 2013), I assessed the risk and devised a strategy that I considered was necessary and appropriate. I decided that I would only visit the family if I had contacted them beforehand to verify that </w:t>
      </w:r>
      <w:r w:rsidR="00C82B19">
        <w:t>both daughters would be present</w:t>
      </w:r>
      <w:r w:rsidR="00B179EE">
        <w:t xml:space="preserve"> and that two officers would always be present.  </w:t>
      </w:r>
    </w:p>
    <w:p w:rsidR="00B179EE" w:rsidRDefault="00B179EE" w:rsidP="00B179EE"/>
    <w:p w:rsidR="00B179EE" w:rsidRDefault="00B179EE" w:rsidP="00B179EE">
      <w:r>
        <w:t xml:space="preserve">My rationale was well-thought-out and documented to ensure that effective decision-making was transparent and in the best interests of both the family and the investigation (National Policing Improvement agency 2008). Following the visits, I updated the risk assessment and the Senior Investigating Officer. I reflected on how well the visit had gone and evaluated whether any changes to the strategy were required. I made certain that the code of ethics (College of Policing 2014) guided my decision-making. I provided Victim Support with the required referrals and ensured that they were aware of the risk markers. </w:t>
      </w:r>
    </w:p>
    <w:p w:rsidR="00B179EE" w:rsidRDefault="00B179EE" w:rsidP="00B179EE"/>
    <w:p w:rsidR="00B179EE" w:rsidRDefault="00B179EE" w:rsidP="00B179EE">
      <w:r>
        <w:t xml:space="preserve">Whilst visiting the family I observed that `KC`s baby spent a lot of time with the grandparents. I assessed this risk and evaluated the safeguarding issues in relation to the grandparent's involvement with drug usage, violence, and their mental health concerns. I made the necessary referrals to social services, acknowledging that the police have a responsibility to safeguard individuals (HMIC, 2015). I was involved with strategy discussions involving the child and during meetings with the social worker identified that `KC`s parents were also vulnerable and may need community services due to their mental health issues (Department of health 2000).  </w:t>
      </w:r>
    </w:p>
    <w:p w:rsidR="00B179EE" w:rsidRDefault="00B179EE" w:rsidP="00B179EE"/>
    <w:p w:rsidR="00B179EE" w:rsidRDefault="00B179EE" w:rsidP="00B179EE">
      <w:r>
        <w:t xml:space="preserve">The parents had not only informed me of their mental health issues but had also told me that following `KC's` death they were no longer able to leave their house. According to Waddell and Molloy (2015), "police must take early proactive action when recognising vulnerability to help minimise problems before they escalate." When it comes to assisting vulnerable people, they believe that successful “partnership work is critical”. Although KC's parents did not fulfil the criteria for </w:t>
      </w:r>
      <w:r>
        <w:lastRenderedPageBreak/>
        <w:t xml:space="preserve">social services involvement, the mental health crisis team conducted assessments and devised strategies to assist them. </w:t>
      </w:r>
    </w:p>
    <w:p w:rsidR="00B179EE" w:rsidRDefault="00B179EE" w:rsidP="00B179EE"/>
    <w:p w:rsidR="00B179EE" w:rsidRDefault="00B179EE" w:rsidP="00B179EE">
      <w:r>
        <w:t xml:space="preserve">KC`s family also felt intimidated by the defendant's family. When determining whether they were intimidated, I evaluated the defendant's family's behaviour. They had used social media to make indirect threats. I considered the family's viewpoints and by examining the `Victims Code` rightly classified them as having enhanced rights as they have the right to be safe from re-victimization, intimidation, and reprisal during and after the investigation (Ministry of Justice 2021).  I assessed the threat, risk, and harm to the family and devised a strategy to secure their safety, which included conducting a thorough examination into witness intimidation allegations. Appropriate safety advice was given, markers were placed on their property, and community officers were notified so that they could provide reassurance and advice. I obtained statements that resulted in the defendant's family members being arrested. </w:t>
      </w:r>
    </w:p>
    <w:p w:rsidR="00B179EE" w:rsidRDefault="00B179EE" w:rsidP="00B179EE"/>
    <w:p w:rsidR="00B179EE" w:rsidRDefault="00B179EE" w:rsidP="00B179EE">
      <w:r>
        <w:t xml:space="preserve">Following the conclusion of the investigation, I utilised the Driscoll (2007) reflective model to assist me in evaluating what went well and where I could improve.' The 'What stage' refers to my role in the investigation and the risk assessment. The 'So </w:t>
      </w:r>
      <w:r w:rsidR="00B76807">
        <w:t>what</w:t>
      </w:r>
      <w:r>
        <w:t xml:space="preserve">' stage required me to reflect on my abilities to recognise risks. I assessed the risks successfully. I had identified the risks to KC's daughter and to police officers visiting the family and recognised the dangers that the </w:t>
      </w:r>
      <w:r w:rsidR="00DD6258">
        <w:t xml:space="preserve">defendant's family posed to </w:t>
      </w:r>
      <w:r>
        <w:t xml:space="preserve">KC's family. I also identified that KC's parents were vulnerable, and they too needed safeguarding. </w:t>
      </w:r>
    </w:p>
    <w:p w:rsidR="00B179EE" w:rsidRDefault="00B179EE" w:rsidP="00B179EE">
      <w:r>
        <w:t xml:space="preserve">The `Now </w:t>
      </w:r>
      <w:r w:rsidR="00B76807">
        <w:t>what</w:t>
      </w:r>
      <w:r>
        <w:t xml:space="preserve">` stage requires me to reflect on the positives and negatives of the deployment. I initially focused on the risks to the child, police officers who attended the home and risks posed by the defendant's family. It was only much later in the enquiry that I identified the safeguarding concerns around KC`s parents mental health putting them at risk as well. A multi-agency approach earlier in the investigation may have provided me with this information at an earlier stage although it is recognised that the ability to recognise mental health concerns when someone is grieving is difficult. </w:t>
      </w:r>
    </w:p>
    <w:p w:rsidR="00B179EE" w:rsidRDefault="00B179EE" w:rsidP="00B179EE"/>
    <w:p w:rsidR="00673070" w:rsidRDefault="00B179EE" w:rsidP="00B179EE">
      <w:r>
        <w:t>According to Stanley et al (</w:t>
      </w:r>
      <w:r w:rsidR="00DD6258">
        <w:t>2011) m</w:t>
      </w:r>
      <w:r>
        <w:t>ost studies examining safeguarding referrals focus on children’s services, less is known about the challenges police have in detecting vulnerability in adults. This is concerning as vulnerability in adults is rising (Bartkowiak-Thoron and Asquith 2012). Upon reflection, I have since recognised the importance of having a thorough understanding of what resources are available. This information can be used in future investigations. Research has highlighted the need for better awareness and police training to better understand and identify vulnerability to safeguard and minimise risk, also to provide advice on when and how to communicate with partner agencies (Bartkowiak-Théron and Asquith, 2014</w:t>
      </w:r>
    </w:p>
    <w:p w:rsidR="00673070" w:rsidRDefault="00673070" w:rsidP="00B179EE"/>
    <w:p w:rsidR="00673070" w:rsidRDefault="00673070" w:rsidP="00673070">
      <w:r>
        <w:t>WORDCOUNT –</w:t>
      </w:r>
      <w:r w:rsidR="00A33880">
        <w:t xml:space="preserve"> 2000</w:t>
      </w:r>
      <w:r w:rsidR="00605767">
        <w:t xml:space="preserve"> </w:t>
      </w:r>
      <w:r>
        <w:t xml:space="preserve">- 107 in brackets </w:t>
      </w:r>
    </w:p>
    <w:p w:rsidR="002D1BA7" w:rsidRDefault="002D1BA7" w:rsidP="00673070"/>
    <w:p w:rsidR="002D1BA7" w:rsidRDefault="002D1BA7" w:rsidP="002D1BA7"/>
    <w:p w:rsidR="002D1BA7" w:rsidRDefault="002D1BA7" w:rsidP="002D1BA7">
      <w:pPr>
        <w:rPr>
          <w:b/>
          <w:u w:val="single"/>
        </w:rPr>
      </w:pPr>
    </w:p>
    <w:p w:rsidR="002D1BA7" w:rsidRPr="002D1BA7" w:rsidRDefault="002D1BA7" w:rsidP="002D1BA7">
      <w:pPr>
        <w:rPr>
          <w:b/>
          <w:u w:val="single"/>
        </w:rPr>
      </w:pPr>
      <w:r w:rsidRPr="002D1BA7">
        <w:rPr>
          <w:b/>
          <w:u w:val="single"/>
        </w:rPr>
        <w:lastRenderedPageBreak/>
        <w:t xml:space="preserve">REFERENCES  </w:t>
      </w:r>
    </w:p>
    <w:p w:rsidR="002D1BA7" w:rsidRDefault="002D1BA7" w:rsidP="002D1BA7"/>
    <w:p w:rsidR="002D1BA7" w:rsidRDefault="002D1BA7" w:rsidP="002D1BA7">
      <w:r>
        <w:t xml:space="preserve">Bartkowiak-Théron, I, Asquith, NL (2012) `Vulnerability and diversity in policing`. </w:t>
      </w:r>
      <w:r w:rsidRPr="002D1BA7">
        <w:rPr>
          <w:i/>
        </w:rPr>
        <w:t>Policing Vulnerability</w:t>
      </w:r>
      <w:r>
        <w:t xml:space="preserve">. Pages 3-19 </w:t>
      </w:r>
    </w:p>
    <w:p w:rsidR="002D1BA7" w:rsidRDefault="002D1BA7" w:rsidP="002D1BA7"/>
    <w:p w:rsidR="002D1BA7" w:rsidRDefault="002D1BA7" w:rsidP="002D1BA7">
      <w:r>
        <w:t>Bartkowiak-Théron, I, Asquith, NL (2014) `Policing diversity and vulnerability in the post-Macpherson era: unintended consequences and missed opportunities`.</w:t>
      </w:r>
      <w:r w:rsidRPr="002D1BA7">
        <w:rPr>
          <w:i/>
        </w:rPr>
        <w:t xml:space="preserve"> Policing: A Journal of Policy and Practice</w:t>
      </w:r>
      <w:r>
        <w:t xml:space="preserve"> Volume 9(1) Pages - 89–100. </w:t>
      </w:r>
    </w:p>
    <w:p w:rsidR="002D1BA7" w:rsidRDefault="002D1BA7" w:rsidP="002D1BA7"/>
    <w:p w:rsidR="002D1BA7" w:rsidRDefault="002D1BA7" w:rsidP="002D1BA7">
      <w:r>
        <w:t xml:space="preserve">Beck, U (1992) `From industrial society to the risk society: Questions of survival, social structure and ecological enlightenment`. </w:t>
      </w:r>
      <w:r w:rsidRPr="002D1BA7">
        <w:rPr>
          <w:i/>
        </w:rPr>
        <w:t>Theory, culture &amp; society.</w:t>
      </w:r>
      <w:r>
        <w:t xml:space="preserve"> Issue 9 (1) Pages 97- 123 </w:t>
      </w:r>
    </w:p>
    <w:p w:rsidR="002D1BA7" w:rsidRDefault="002D1BA7" w:rsidP="002D1BA7"/>
    <w:p w:rsidR="002D1BA7" w:rsidRDefault="002D1BA7" w:rsidP="002D1BA7">
      <w:r>
        <w:t>Boom, A. and Kuijpers, K. (2012) `Victims’ needs as basic human needs`</w:t>
      </w:r>
      <w:r w:rsidRPr="002D1BA7">
        <w:rPr>
          <w:i/>
        </w:rPr>
        <w:t>. International Review of Victimology</w:t>
      </w:r>
      <w:r>
        <w:t>. Issue 18(2) pages - 155–179.</w:t>
      </w:r>
    </w:p>
    <w:p w:rsidR="002D1BA7" w:rsidRDefault="002D1BA7" w:rsidP="002D1BA7"/>
    <w:p w:rsidR="002D1BA7" w:rsidRDefault="002D1BA7" w:rsidP="002D1BA7">
      <w:r>
        <w:t xml:space="preserve">Brown, E and </w:t>
      </w:r>
      <w:proofErr w:type="spellStart"/>
      <w:r>
        <w:t>Crego</w:t>
      </w:r>
      <w:proofErr w:type="spellEnd"/>
      <w:r>
        <w:t xml:space="preserve">, J (2019) `Homicide co-victims: confidence in the criminal justice system` </w:t>
      </w:r>
      <w:r w:rsidRPr="002D1BA7">
        <w:rPr>
          <w:i/>
        </w:rPr>
        <w:t>Journal of Criminological Research,</w:t>
      </w:r>
      <w:r>
        <w:t xml:space="preserve"> </w:t>
      </w:r>
      <w:r w:rsidRPr="002D1BA7">
        <w:rPr>
          <w:i/>
        </w:rPr>
        <w:t>Policy and Practice</w:t>
      </w:r>
      <w:r>
        <w:t xml:space="preserve">; Bingley Volume 5, Issue 3,  </w:t>
      </w:r>
    </w:p>
    <w:p w:rsidR="002D1BA7" w:rsidRDefault="002D1BA7" w:rsidP="002D1BA7"/>
    <w:p w:rsidR="002D1BA7" w:rsidRDefault="002D1BA7" w:rsidP="002D1BA7">
      <w:r>
        <w:t>Brunschot, E and Kennedy, L. (2010)</w:t>
      </w:r>
      <w:r w:rsidRPr="002D1BA7">
        <w:rPr>
          <w:i/>
        </w:rPr>
        <w:t xml:space="preserve"> The risk in Crime</w:t>
      </w:r>
      <w:r>
        <w:t xml:space="preserve">. </w:t>
      </w:r>
      <w:proofErr w:type="spellStart"/>
      <w:r>
        <w:t>Rowman</w:t>
      </w:r>
      <w:proofErr w:type="spellEnd"/>
      <w:r>
        <w:t xml:space="preserve"> and Littlefield Publishers. </w:t>
      </w:r>
    </w:p>
    <w:p w:rsidR="002D1BA7" w:rsidRDefault="002D1BA7" w:rsidP="002D1BA7"/>
    <w:p w:rsidR="002D1BA7" w:rsidRDefault="002D1BA7" w:rsidP="002D1BA7">
      <w:r>
        <w:t xml:space="preserve">College of Policing (2013) </w:t>
      </w:r>
      <w:r w:rsidRPr="002D1BA7">
        <w:rPr>
          <w:i/>
        </w:rPr>
        <w:t>Managing critical incidents</w:t>
      </w:r>
      <w:r>
        <w:t xml:space="preserve">. Available at:  https://www.app.college.police.uk/app-content/critical-incident-management/phase-2-managing-critical-incidents/?highlight=trauma?s=trauma. Accessed on 24/3/2022. </w:t>
      </w:r>
    </w:p>
    <w:p w:rsidR="002D1BA7" w:rsidRDefault="002D1BA7" w:rsidP="002D1BA7"/>
    <w:p w:rsidR="002D1BA7" w:rsidRDefault="002D1BA7" w:rsidP="002D1BA7">
      <w:r>
        <w:t xml:space="preserve">College of policing (2013) </w:t>
      </w:r>
      <w:r w:rsidRPr="002D1BA7">
        <w:rPr>
          <w:i/>
        </w:rPr>
        <w:t>National decision model.</w:t>
      </w:r>
      <w:r>
        <w:t xml:space="preserve"> Available at: https://www.app.college.police.uk/app-content/national-decision-model/the-national-decision-model/?highlight=national%20decision%20model?s=national+decision+model+. Accessed on 24/3/2022. </w:t>
      </w:r>
    </w:p>
    <w:p w:rsidR="002D1BA7" w:rsidRDefault="002D1BA7" w:rsidP="002D1BA7"/>
    <w:p w:rsidR="002D1BA7" w:rsidRDefault="002D1BA7" w:rsidP="002D1BA7">
      <w:r>
        <w:t>College of Policing (2014)</w:t>
      </w:r>
      <w:r w:rsidRPr="002D1BA7">
        <w:rPr>
          <w:i/>
        </w:rPr>
        <w:t xml:space="preserve"> Code of Ethics.</w:t>
      </w:r>
      <w:r>
        <w:t xml:space="preserve"> Available at: www.gov.uk/government/publications/the-code-of-practice-for-victims-of-crime. Accessed on: 24/3/2022</w:t>
      </w:r>
    </w:p>
    <w:p w:rsidR="002D1BA7" w:rsidRDefault="002D1BA7" w:rsidP="002D1BA7"/>
    <w:p w:rsidR="002D1BA7" w:rsidRDefault="002D1BA7" w:rsidP="002D1BA7">
      <w:r>
        <w:t xml:space="preserve">College of Policing (2021) </w:t>
      </w:r>
      <w:r w:rsidRPr="002D1BA7">
        <w:rPr>
          <w:i/>
        </w:rPr>
        <w:t xml:space="preserve">Victims` code for Policing - College of Policing. </w:t>
      </w:r>
    </w:p>
    <w:p w:rsidR="002D1BA7" w:rsidRDefault="002D1BA7" w:rsidP="002D1BA7">
      <w:r>
        <w:t>Available at: https://www.college.police.uk/guidance/victims-code/victims-rights-policing (accessed 17th March 2022).</w:t>
      </w:r>
    </w:p>
    <w:p w:rsidR="002D1BA7" w:rsidRDefault="002D1BA7" w:rsidP="002D1BA7"/>
    <w:p w:rsidR="002D1BA7" w:rsidRDefault="002D1BA7" w:rsidP="002D1BA7">
      <w:r>
        <w:lastRenderedPageBreak/>
        <w:t>Data Protection Act -</w:t>
      </w:r>
      <w:r w:rsidRPr="002D1BA7">
        <w:rPr>
          <w:i/>
        </w:rPr>
        <w:t xml:space="preserve"> Data Protection Act 2018 and General Data Protection Regulation (GDPR). </w:t>
      </w:r>
      <w:r>
        <w:t>https://www.legislation.gov.uk/ukpga/2018/12/contents/enacted. Last accessed 17/3/22</w:t>
      </w:r>
    </w:p>
    <w:p w:rsidR="002D1BA7" w:rsidRDefault="002D1BA7" w:rsidP="002D1BA7"/>
    <w:p w:rsidR="002D1BA7" w:rsidRDefault="002D1BA7" w:rsidP="002D1BA7">
      <w:r>
        <w:t xml:space="preserve">Department of Health (2000) </w:t>
      </w:r>
      <w:r w:rsidRPr="001F13CC">
        <w:rPr>
          <w:i/>
        </w:rPr>
        <w:t>No secrets: Guidance on Developing and Implementing Multi-Agency Policies and Procedures to Protect Vulnerable Adults from Abuse.</w:t>
      </w:r>
      <w:r>
        <w:t xml:space="preserve"> London. Department of Health. </w:t>
      </w:r>
    </w:p>
    <w:p w:rsidR="002D1BA7" w:rsidRDefault="002D1BA7" w:rsidP="002D1BA7"/>
    <w:p w:rsidR="002D1BA7" w:rsidRDefault="002D1BA7" w:rsidP="002D1BA7">
      <w:r>
        <w:t xml:space="preserve">Driscoll, J. (2007) </w:t>
      </w:r>
      <w:r w:rsidRPr="001F13CC">
        <w:rPr>
          <w:i/>
        </w:rPr>
        <w:t>Practising Clinical Supervision: A Reflective Approach,</w:t>
      </w:r>
      <w:r>
        <w:t xml:space="preserve"> London, </w:t>
      </w:r>
      <w:proofErr w:type="spellStart"/>
      <w:r>
        <w:t>Bailliere</w:t>
      </w:r>
      <w:proofErr w:type="spellEnd"/>
      <w:r>
        <w:t xml:space="preserve"> Tindall.</w:t>
      </w:r>
    </w:p>
    <w:p w:rsidR="002D1BA7" w:rsidRDefault="002D1BA7" w:rsidP="002D1BA7"/>
    <w:p w:rsidR="002D1BA7" w:rsidRDefault="002D1BA7" w:rsidP="002D1BA7">
      <w:r>
        <w:t>Franklyn, R (2012) `</w:t>
      </w:r>
      <w:r w:rsidRPr="001F13CC">
        <w:rPr>
          <w:i/>
        </w:rPr>
        <w:t>Satisfaction and willingness to engage with the Criminal Justice System. Findings from the Witness and Victim Experience Survey, 2009–10</w:t>
      </w:r>
      <w:r>
        <w:t>`. Ministry of Justice Research Series 1/12</w:t>
      </w:r>
    </w:p>
    <w:p w:rsidR="002D1BA7" w:rsidRDefault="002D1BA7" w:rsidP="002D1BA7"/>
    <w:p w:rsidR="002D1BA7" w:rsidRDefault="002D1BA7" w:rsidP="002D1BA7">
      <w:r>
        <w:t xml:space="preserve">Freeman, Laura (2013) </w:t>
      </w:r>
      <w:r w:rsidRPr="001F13CC">
        <w:rPr>
          <w:i/>
        </w:rPr>
        <w:t>Support for victims: Findings from the Crime Survey for England and Wales</w:t>
      </w:r>
      <w:r>
        <w:t>. Ministry of Justice Analytical Series 2013</w:t>
      </w:r>
    </w:p>
    <w:p w:rsidR="002D1BA7" w:rsidRDefault="002D1BA7" w:rsidP="002D1BA7"/>
    <w:p w:rsidR="002D1BA7" w:rsidRDefault="002D1BA7" w:rsidP="002D1BA7">
      <w:r>
        <w:t xml:space="preserve">Gill M and Mawby RI (1990) </w:t>
      </w:r>
      <w:r w:rsidRPr="001F13CC">
        <w:rPr>
          <w:i/>
        </w:rPr>
        <w:t>Volunteers in the Criminal Justice System.</w:t>
      </w:r>
      <w:r>
        <w:t xml:space="preserve"> Milton Keynes: Open University Press </w:t>
      </w:r>
    </w:p>
    <w:p w:rsidR="002D1BA7" w:rsidRDefault="002D1BA7" w:rsidP="002D1BA7"/>
    <w:p w:rsidR="002D1BA7" w:rsidRDefault="002D1BA7" w:rsidP="002D1BA7">
      <w:r>
        <w:t xml:space="preserve">HMIC (2015) PEEL: </w:t>
      </w:r>
      <w:r w:rsidRPr="001F13CC">
        <w:rPr>
          <w:i/>
        </w:rPr>
        <w:t>Police Effectiveness 2015 (Vulnerability). A National Overview</w:t>
      </w:r>
      <w:r>
        <w:t xml:space="preserve">. Available at: www.justiceinspectorates.gov.uk/hmicfrs/wp-content/uploads/police-effectiveness-vulnerability-2015.pdf (accessed 24/3/2022). </w:t>
      </w:r>
    </w:p>
    <w:p w:rsidR="002D1BA7" w:rsidRDefault="002D1BA7" w:rsidP="002D1BA7"/>
    <w:p w:rsidR="002D1BA7" w:rsidRDefault="002D1BA7" w:rsidP="002D1BA7">
      <w:r>
        <w:t>Kennedy, L, Caplan J, Piza E (2018)</w:t>
      </w:r>
      <w:r w:rsidRPr="001F13CC">
        <w:rPr>
          <w:i/>
        </w:rPr>
        <w:t xml:space="preserve"> Risk-Based Policing: Evidence-Based Crime Prevention with Big Data and Spatial Analytics</w:t>
      </w:r>
      <w:r>
        <w:t xml:space="preserve">. Published by: University of California Press </w:t>
      </w:r>
    </w:p>
    <w:p w:rsidR="002D1BA7" w:rsidRDefault="002D1BA7" w:rsidP="002D1BA7"/>
    <w:p w:rsidR="002D1BA7" w:rsidRDefault="002D1BA7" w:rsidP="002D1BA7">
      <w:r>
        <w:t xml:space="preserve">Mawby, R and Simmonds, L (2008) `Assisting victims: The British model in comparative context`, </w:t>
      </w:r>
      <w:r w:rsidRPr="001F13CC">
        <w:rPr>
          <w:i/>
        </w:rPr>
        <w:t>Archives of Criminology</w:t>
      </w:r>
      <w:r>
        <w:t xml:space="preserve">. Pages 555 – 565. </w:t>
      </w:r>
    </w:p>
    <w:p w:rsidR="002D1BA7" w:rsidRDefault="002D1BA7" w:rsidP="002D1BA7"/>
    <w:p w:rsidR="002D1BA7" w:rsidRDefault="002D1BA7" w:rsidP="002D1BA7">
      <w:r>
        <w:t>Mawby, R (2016) `Victim Support in England and Wales: The end of an era?`</w:t>
      </w:r>
      <w:r w:rsidRPr="001F13CC">
        <w:rPr>
          <w:i/>
        </w:rPr>
        <w:t xml:space="preserve"> International Review of Victimology 2016</w:t>
      </w:r>
      <w:r>
        <w:t xml:space="preserve">, Volume 22(3). Pages - 203–221 </w:t>
      </w:r>
    </w:p>
    <w:p w:rsidR="002D1BA7" w:rsidRDefault="002D1BA7" w:rsidP="002D1BA7"/>
    <w:p w:rsidR="002D1BA7" w:rsidRDefault="002D1BA7" w:rsidP="002D1BA7">
      <w:r>
        <w:t xml:space="preserve">Ministry of Justice (2012) </w:t>
      </w:r>
      <w:r w:rsidRPr="001F13CC">
        <w:rPr>
          <w:i/>
        </w:rPr>
        <w:t xml:space="preserve">Getting it Right for Victims and Witnesses, Consultation Paper CP3/2012. </w:t>
      </w:r>
      <w:r>
        <w:t>London: Ministry of Justice. Available at: www.justice.gov.uk/downloads/consultations/getting-it-right for-victims-and-witnesses.pdf (accessed 17/03/2022)</w:t>
      </w:r>
    </w:p>
    <w:p w:rsidR="002D1BA7" w:rsidRDefault="002D1BA7" w:rsidP="002D1BA7"/>
    <w:p w:rsidR="002D1BA7" w:rsidRDefault="002D1BA7" w:rsidP="002D1BA7">
      <w:r>
        <w:t>Ministry of justice (2020)</w:t>
      </w:r>
      <w:r w:rsidRPr="001F13CC">
        <w:rPr>
          <w:i/>
        </w:rPr>
        <w:t xml:space="preserve"> Code of practice for victims of crime in England and Wales</w:t>
      </w:r>
      <w:r>
        <w:t xml:space="preserve">. Available at: https://assets.college.police.uk/s3fs-public/moj-victims-code-2020.pdf. Accessed on 24/3/2022 </w:t>
      </w:r>
    </w:p>
    <w:p w:rsidR="002D1BA7" w:rsidRDefault="002D1BA7" w:rsidP="002D1BA7"/>
    <w:p w:rsidR="002D1BA7" w:rsidRDefault="002D1BA7" w:rsidP="002D1BA7">
      <w:r>
        <w:t xml:space="preserve">Ministry of Justice (2021) </w:t>
      </w:r>
      <w:r w:rsidRPr="001F13CC">
        <w:rPr>
          <w:i/>
        </w:rPr>
        <w:t xml:space="preserve">Code of Practice for Victims of Crime in England and Wales (Victims codes). </w:t>
      </w:r>
      <w:r>
        <w:t>Available at: https://www.gov.uk/government/publications/the-code-of-practice-for-victims-of-crime/code-of-practice-for-victims-of-crime-in-england-and-wales-victims-code. Accessed on: 24/3/2022</w:t>
      </w:r>
    </w:p>
    <w:p w:rsidR="002D1BA7" w:rsidRDefault="002D1BA7" w:rsidP="002D1BA7"/>
    <w:p w:rsidR="002D1BA7" w:rsidRDefault="002D1BA7" w:rsidP="002D1BA7">
      <w:r>
        <w:t xml:space="preserve">Morrall, P; Hazelton, M &amp; Shackleton, W (2013). `Homicide and its effects on secondary victims` </w:t>
      </w:r>
      <w:r w:rsidRPr="001F13CC">
        <w:rPr>
          <w:i/>
        </w:rPr>
        <w:t xml:space="preserve">Mental Health Practice. </w:t>
      </w:r>
      <w:r>
        <w:t>Volume 15, Issue 3</w:t>
      </w:r>
    </w:p>
    <w:p w:rsidR="002D1BA7" w:rsidRDefault="002D1BA7" w:rsidP="002D1BA7"/>
    <w:p w:rsidR="002D1BA7" w:rsidRDefault="002D1BA7" w:rsidP="002D1BA7">
      <w:r>
        <w:t xml:space="preserve">National Policing Improvement agency (2008) </w:t>
      </w:r>
      <w:r w:rsidRPr="001F13CC">
        <w:rPr>
          <w:i/>
        </w:rPr>
        <w:t>Family Liaison Officer Guidance</w:t>
      </w:r>
      <w:r>
        <w:t>. Available on: https://www.npcc.police.uk/documents/crime/2008/200809-cba-family-liaison-officer.pdf. Accessed on 24/3/2022</w:t>
      </w:r>
    </w:p>
    <w:p w:rsidR="002D1BA7" w:rsidRDefault="002D1BA7" w:rsidP="002D1BA7"/>
    <w:p w:rsidR="002D1BA7" w:rsidRDefault="002D1BA7" w:rsidP="002D1BA7">
      <w:r>
        <w:t xml:space="preserve">Reed, M.D., Dabney, D.A., </w:t>
      </w:r>
      <w:proofErr w:type="spellStart"/>
      <w:r>
        <w:t>Tapp</w:t>
      </w:r>
      <w:proofErr w:type="spellEnd"/>
      <w:r>
        <w:t xml:space="preserve">, S.N. and </w:t>
      </w:r>
      <w:proofErr w:type="spellStart"/>
      <w:r>
        <w:t>Ishoy</w:t>
      </w:r>
      <w:proofErr w:type="spellEnd"/>
      <w:r>
        <w:t xml:space="preserve">, G.A. (2019), `Tense relationships between homicide co-victims and detectives in the wake of murder`, </w:t>
      </w:r>
      <w:r w:rsidRPr="001F13CC">
        <w:rPr>
          <w:i/>
        </w:rPr>
        <w:t xml:space="preserve">Deviant </w:t>
      </w:r>
      <w:proofErr w:type="spellStart"/>
      <w:r w:rsidRPr="001F13CC">
        <w:rPr>
          <w:i/>
        </w:rPr>
        <w:t>Behavior</w:t>
      </w:r>
      <w:proofErr w:type="spellEnd"/>
      <w:r w:rsidRPr="001F13CC">
        <w:rPr>
          <w:i/>
        </w:rPr>
        <w:t>,</w:t>
      </w:r>
      <w:r>
        <w:t xml:space="preserve"> Pages - 1-19 </w:t>
      </w:r>
    </w:p>
    <w:p w:rsidR="002D1BA7" w:rsidRDefault="002D1BA7" w:rsidP="002D1BA7">
      <w:r>
        <w:t xml:space="preserve"> </w:t>
      </w:r>
    </w:p>
    <w:p w:rsidR="002D1BA7" w:rsidRDefault="002D1BA7" w:rsidP="002D1BA7">
      <w:r>
        <w:t xml:space="preserve">Rock P (1990) </w:t>
      </w:r>
      <w:r w:rsidRPr="001F13CC">
        <w:rPr>
          <w:i/>
        </w:rPr>
        <w:t xml:space="preserve">Helping Victims of Crime. </w:t>
      </w:r>
      <w:r>
        <w:t>Oxford: Clarendon Press</w:t>
      </w:r>
    </w:p>
    <w:p w:rsidR="002D1BA7" w:rsidRDefault="002D1BA7" w:rsidP="002D1BA7">
      <w:r>
        <w:t xml:space="preserve"> </w:t>
      </w:r>
    </w:p>
    <w:p w:rsidR="002D1BA7" w:rsidRDefault="002D1BA7" w:rsidP="002D1BA7">
      <w:r>
        <w:t xml:space="preserve">Russell J (1990) </w:t>
      </w:r>
      <w:r w:rsidRPr="001F13CC">
        <w:rPr>
          <w:i/>
        </w:rPr>
        <w:t>Home Office Funding of Victim Support Schemes – Money Well Spent</w:t>
      </w:r>
      <w:r>
        <w:t xml:space="preserve">? Home Office Research and Planning Unit paper no.58. London: HMSO </w:t>
      </w:r>
    </w:p>
    <w:p w:rsidR="002D1BA7" w:rsidRDefault="002D1BA7" w:rsidP="002D1BA7"/>
    <w:p w:rsidR="002D1BA7" w:rsidRDefault="002D1BA7" w:rsidP="002D1BA7">
      <w:r>
        <w:t xml:space="preserve">Sewell, J (2007) `The stress of homicide investigations` </w:t>
      </w:r>
      <w:r w:rsidRPr="001F13CC">
        <w:rPr>
          <w:i/>
        </w:rPr>
        <w:t>Death studies,</w:t>
      </w:r>
      <w:r>
        <w:t xml:space="preserve"> 1994-11-01, Volume 18 (6), Pages - 565-582 </w:t>
      </w:r>
    </w:p>
    <w:p w:rsidR="002D1BA7" w:rsidRDefault="002D1BA7" w:rsidP="002D1BA7"/>
    <w:p w:rsidR="002D1BA7" w:rsidRDefault="002D1BA7" w:rsidP="002D1BA7">
      <w:r>
        <w:t xml:space="preserve">South Wales Victim focus (2022) </w:t>
      </w:r>
      <w:r w:rsidRPr="001F13CC">
        <w:rPr>
          <w:i/>
        </w:rPr>
        <w:t>Victim Support.</w:t>
      </w:r>
      <w:r>
        <w:t xml:space="preserve"> Available at:  https://www.southwalesvictimfocus.org.uk/about-us/victim-support/.  Last accessed 17/03/2022  </w:t>
      </w:r>
    </w:p>
    <w:p w:rsidR="002D1BA7" w:rsidRDefault="002D1BA7" w:rsidP="002D1BA7"/>
    <w:p w:rsidR="002D1BA7" w:rsidRDefault="002D1BA7" w:rsidP="002D1BA7">
      <w:r>
        <w:t>Stanley, N, Miller, P, Foster, Richardson, et al. (2011) `Children’s experiences of domestic violence: Developing an integrated response from police and child protection Services`.</w:t>
      </w:r>
      <w:r w:rsidRPr="001F13CC">
        <w:rPr>
          <w:i/>
        </w:rPr>
        <w:t xml:space="preserve"> Journal of Interpersonal Violence</w:t>
      </w:r>
      <w:r>
        <w:t xml:space="preserve"> Issue 26(11) Pages -2372–2391. </w:t>
      </w:r>
    </w:p>
    <w:p w:rsidR="002D1BA7" w:rsidRDefault="002D1BA7" w:rsidP="002D1BA7"/>
    <w:p w:rsidR="002D1BA7" w:rsidRDefault="002D1BA7" w:rsidP="002D1BA7">
      <w:r>
        <w:t xml:space="preserve">Tapley, J; Stark, A; Watkins, M and </w:t>
      </w:r>
      <w:proofErr w:type="spellStart"/>
      <w:r>
        <w:t>Peneva</w:t>
      </w:r>
      <w:proofErr w:type="spellEnd"/>
      <w:r>
        <w:t xml:space="preserve">, B (2014) </w:t>
      </w:r>
      <w:r w:rsidRPr="001F13CC">
        <w:rPr>
          <w:i/>
        </w:rPr>
        <w:t xml:space="preserve">A strategic assessment of support services for victims of crime in the South East. </w:t>
      </w:r>
      <w:r>
        <w:t>University of Portsmouth. http://www.hampshire-pcc.gov.uk/Document-Library/Commissioning/Strategic-Assessment-of-Support-Services-for-Victims-of-Crime---Final-Report.pdf. Accessed on 24/3/2022.</w:t>
      </w:r>
    </w:p>
    <w:p w:rsidR="002D1BA7" w:rsidRDefault="002D1BA7" w:rsidP="002D1BA7"/>
    <w:p w:rsidR="002D1BA7" w:rsidRDefault="002D1BA7" w:rsidP="002D1BA7">
      <w:proofErr w:type="spellStart"/>
      <w:r>
        <w:lastRenderedPageBreak/>
        <w:t>Waddel</w:t>
      </w:r>
      <w:proofErr w:type="spellEnd"/>
      <w:r>
        <w:t xml:space="preserve">, S and Molloy, D (2015) </w:t>
      </w:r>
      <w:r w:rsidRPr="001F13CC">
        <w:rPr>
          <w:i/>
        </w:rPr>
        <w:t xml:space="preserve">Early intervention: a guide for frontline police officers and PCSO’s: a Home Office Crime Prevention Panel project. Social care online. </w:t>
      </w:r>
      <w:r>
        <w:t>Available at: Socialcareonline.org.uk. Accessed on 24/3/2022</w:t>
      </w:r>
    </w:p>
    <w:p w:rsidR="002D1BA7" w:rsidRDefault="002D1BA7" w:rsidP="002D1BA7"/>
    <w:p w:rsidR="002D1BA7" w:rsidRDefault="001F13CC" w:rsidP="002D1BA7">
      <w:r>
        <w:t xml:space="preserve">Wedlock and Tapley (2016) </w:t>
      </w:r>
      <w:r w:rsidR="002D1BA7" w:rsidRPr="001F13CC">
        <w:rPr>
          <w:i/>
        </w:rPr>
        <w:t>What works in supporting victi</w:t>
      </w:r>
      <w:r w:rsidRPr="001F13CC">
        <w:rPr>
          <w:i/>
        </w:rPr>
        <w:t>ms of crime; A rapid assessment</w:t>
      </w:r>
      <w:r w:rsidR="002D1BA7" w:rsidRPr="001F13CC">
        <w:rPr>
          <w:i/>
        </w:rPr>
        <w:t xml:space="preserve">. </w:t>
      </w:r>
      <w:r w:rsidR="002D1BA7">
        <w:t xml:space="preserve"> School of Criminology and Criminal Justice. </w:t>
      </w:r>
    </w:p>
    <w:p w:rsidR="002D1BA7" w:rsidRDefault="002D1BA7" w:rsidP="002D1BA7"/>
    <w:p w:rsidR="002D1BA7" w:rsidRDefault="002D1BA7" w:rsidP="002D1BA7">
      <w:r>
        <w:t xml:space="preserve">Victim Support (2022) </w:t>
      </w:r>
      <w:r w:rsidRPr="001F13CC">
        <w:rPr>
          <w:i/>
        </w:rPr>
        <w:t>Victim support.</w:t>
      </w:r>
      <w:r>
        <w:t xml:space="preserve">  Available at: www.victimsupport.org.uk. Last accessed 17/03/2022</w:t>
      </w:r>
    </w:p>
    <w:p w:rsidR="00673070" w:rsidRDefault="00673070" w:rsidP="00B179EE"/>
    <w:p w:rsidR="00B179EE" w:rsidRDefault="00B179EE" w:rsidP="00B179EE">
      <w:pPr>
        <w:rPr>
          <w:b/>
          <w:u w:val="single"/>
        </w:rPr>
      </w:pPr>
      <w:r w:rsidRPr="00673070">
        <w:rPr>
          <w:b/>
          <w:u w:val="single"/>
        </w:rPr>
        <w:t xml:space="preserve">Question 3 </w:t>
      </w:r>
    </w:p>
    <w:p w:rsidR="001F13CC" w:rsidRPr="00673070" w:rsidRDefault="001F13CC" w:rsidP="00B179EE">
      <w:pPr>
        <w:rPr>
          <w:b/>
          <w:u w:val="single"/>
        </w:rPr>
      </w:pPr>
    </w:p>
    <w:p w:rsidR="001F13CC" w:rsidRPr="001F13CC" w:rsidRDefault="001F13CC" w:rsidP="001F13CC">
      <w:pPr>
        <w:rPr>
          <w:b/>
        </w:rPr>
      </w:pPr>
      <w:r w:rsidRPr="001F13CC">
        <w:rPr>
          <w:b/>
        </w:rPr>
        <w:t xml:space="preserve">Give a brief description of the investigation including social and legislative contexts and any relevant cultural, ethnicity and language issues.    </w:t>
      </w:r>
    </w:p>
    <w:p w:rsidR="001F13CC" w:rsidRPr="001F13CC" w:rsidRDefault="001F13CC" w:rsidP="001F13CC">
      <w:pPr>
        <w:rPr>
          <w:b/>
        </w:rPr>
      </w:pPr>
      <w:r w:rsidRPr="001F13CC">
        <w:rPr>
          <w:b/>
        </w:rPr>
        <w:t xml:space="preserve">Critically evaluate the interview process of witnesses and suspects and how you have gathered all required information in relation to the investigation in accordance with PIP2 investigative standards. (Consider generating further lines of enquiry where required).  </w:t>
      </w:r>
    </w:p>
    <w:p w:rsidR="001F13CC" w:rsidRPr="001F13CC" w:rsidRDefault="001F13CC" w:rsidP="001F13CC">
      <w:pPr>
        <w:rPr>
          <w:b/>
        </w:rPr>
      </w:pPr>
      <w:r w:rsidRPr="001F13CC">
        <w:rPr>
          <w:b/>
        </w:rPr>
        <w:t xml:space="preserve">Reflect upon your application of relevant powers to arrest and apprehend where necessary and the use of special warnings when required.  </w:t>
      </w:r>
    </w:p>
    <w:p w:rsidR="001F13CC" w:rsidRPr="001F13CC" w:rsidRDefault="001F13CC" w:rsidP="001F13CC">
      <w:pPr>
        <w:rPr>
          <w:b/>
        </w:rPr>
      </w:pPr>
      <w:r w:rsidRPr="001F13CC">
        <w:rPr>
          <w:b/>
        </w:rPr>
        <w:t xml:space="preserve">Illustrate how you have undertaken associated search and custody procedures to protect and safeguard the public in accordance with legalisation and policy. </w:t>
      </w:r>
    </w:p>
    <w:p w:rsidR="001F13CC" w:rsidRPr="001F13CC" w:rsidRDefault="001F13CC" w:rsidP="001F13CC">
      <w:pPr>
        <w:rPr>
          <w:b/>
        </w:rPr>
      </w:pPr>
      <w:r w:rsidRPr="001F13CC">
        <w:rPr>
          <w:b/>
        </w:rPr>
        <w:t>Analyse your understanding of ethics and values of the service.</w:t>
      </w:r>
    </w:p>
    <w:p w:rsidR="001F13CC" w:rsidRPr="001F13CC" w:rsidRDefault="001F13CC" w:rsidP="001F13CC">
      <w:pPr>
        <w:rPr>
          <w:b/>
        </w:rPr>
      </w:pPr>
    </w:p>
    <w:p w:rsidR="00B179EE" w:rsidRDefault="00B179EE" w:rsidP="001F13CC">
      <w:r>
        <w:t xml:space="preserve">This relates to a child abuse case. LN contacted the Police to report that her 5-year-old daughter AJ had disclosed that her stepfather TT had sexually touched her. LN looked on her partner’s laptop and found hundreds of child abuse images.  </w:t>
      </w:r>
    </w:p>
    <w:p w:rsidR="00B179EE" w:rsidRDefault="00B179EE" w:rsidP="00B179EE"/>
    <w:p w:rsidR="00B179EE" w:rsidRDefault="00B179EE" w:rsidP="00B179EE">
      <w:r>
        <w:t xml:space="preserve"> AJ was taken to the Sexual Assault Referral Centre and assessed for her ability to be interviewed. When interviewing children, the Achieving Best Evidence guidelines (ABE, Ministry of Justice 2022) must be followed. I spent time talking to AJ about neutral subjects to assess her cognitive ability. According to Cederborg and Lamb (2008), understanding the child's competence, developmental capability, and behaviour is critical and should be determined at the earliest opportunity. This will allow interviewers to adjust their interview methods and employ suitable interview strategies. Interviewers using complicated language and certain types of questions may affect </w:t>
      </w:r>
      <w:r w:rsidR="003F4785">
        <w:t>the child's ability to provide “accurate and detailed responses”</w:t>
      </w:r>
      <w:r>
        <w:t xml:space="preserve"> (Walker and Hunt 1998).   </w:t>
      </w:r>
    </w:p>
    <w:p w:rsidR="00B179EE" w:rsidRDefault="00B179EE" w:rsidP="00B179EE"/>
    <w:p w:rsidR="00B179EE" w:rsidRDefault="00B179EE" w:rsidP="00B179EE">
      <w:r>
        <w:t>According to best practise guidelines (</w:t>
      </w:r>
      <w:r w:rsidR="002D5244">
        <w:t>Achieving best evidence 2022) t</w:t>
      </w:r>
      <w:r>
        <w:t>he PEACE model is used to effectively interview suspects, victims, and witnesses (Kassin et al 2010)</w:t>
      </w:r>
      <w:r w:rsidR="002D5244">
        <w:t>.</w:t>
      </w:r>
      <w:r>
        <w:t xml:space="preserve"> I had anticipated the </w:t>
      </w:r>
      <w:r>
        <w:lastRenderedPageBreak/>
        <w:t xml:space="preserve">challenges of interviewing a 5-year-old child so sought the help of an intermediary to facilitate communication, acknowledging that an intermediary would enhance the evidence provided. Leander, Granhag and Christianson (2009) found that the interviewer's skill in understanding the best way to obtain an interview can alter the quality of evidence produced.  </w:t>
      </w:r>
    </w:p>
    <w:p w:rsidR="00B179EE" w:rsidRDefault="00B179EE" w:rsidP="00B179EE"/>
    <w:p w:rsidR="00B179EE" w:rsidRDefault="00B179EE" w:rsidP="00B179EE">
      <w:r>
        <w:t>Intermediaries can be used during the planning phase of an interview; they can provide advice as to how questions should be asked (Achieving best evidence 2022). Jointly we devised open-ended question</w:t>
      </w:r>
      <w:r w:rsidR="002D5244">
        <w:t>s</w:t>
      </w:r>
      <w:r>
        <w:t xml:space="preserve"> that we deemed appropriate. Open questions are more likely to elicit more complete, accurate, and relevant information (Sternberg et al 2001). These questions allow the children to talk about their experiences in their own way without interruption (Lamb et al 2011). This is particularly important when young children are being interviewed (Lamb and Fauchier 2001). Their responses are improved further when interviewers ask children for further clarification, using summarised information that the children have already provided (Lambe et al 2003). Towards the end of the interview, after exhausting open questions, I needed to ask a few direct clarifying questions. This is supported by Horowitz et al (2012) who found that some children remember less 'episodic' material when asked open questions and require more directive questioning. I was mindful of asking these questions as research conducted by Lamb et al`s (2011) will agree that only asking leading or multiple-choice questions may result in the children answering `Yes` or `No` or replying with one-word answers if they are not asked to provide further clarification with a further open question.  </w:t>
      </w:r>
    </w:p>
    <w:p w:rsidR="00B179EE" w:rsidRDefault="00B179EE" w:rsidP="00B179EE"/>
    <w:p w:rsidR="00B179EE" w:rsidRDefault="00B179EE" w:rsidP="00B179EE">
      <w:r>
        <w:t>I used the cognitive interview technique to interview AJ.  AJ was asked to recall events in her own words. This technique can help interviewees recall more accurate detailed information and enhances memory and communication skills (Koehnken et al 1999). Using this method Interviewers must listen carefully and precisely recall the facts while formulating questions to ask next and asking for clarification where necessary</w:t>
      </w:r>
      <w:r w:rsidR="002D5244">
        <w:t xml:space="preserve"> (Fisher et al 2014). T</w:t>
      </w:r>
      <w:r>
        <w:t xml:space="preserve">here are </w:t>
      </w:r>
      <w:r w:rsidR="002D5244">
        <w:t xml:space="preserve">however </w:t>
      </w:r>
      <w:r>
        <w:t xml:space="preserve">drawbacks to using the Cognitive interview technique, as the interviews take longer to conduct, involve a higher level of mental concentration, and can be more challenging than conventional interviews (Geiselman and Fisher 1992). It's critical to recollect what a victim or witness has said correctly. Hanway et al (2021) evaluated how interviewers' capacity to recall the witness's story can be affected by 'cognitive load.'  Not being able to remember what the interviewee has said can affect the interviewers’ questioning and their ability to comply with interview guidance. The interviewer may interrupt the victim/witness or ask questions that have already asked (Schreiber-Compo et al 2012). I evaluated the technique that I would be using and was mindful that managing the information received would take time, effort, and concentration. I ensured to do this to the best of my ability as the account the child provides is vital in child abuse cases. If it is not secured correctly a conviction is improbable (Williamson, Milne and Savage 2009)   </w:t>
      </w:r>
    </w:p>
    <w:p w:rsidR="00B179EE" w:rsidRDefault="00B179EE" w:rsidP="00B179EE"/>
    <w:p w:rsidR="00B179EE" w:rsidRDefault="00B179EE" w:rsidP="00B179EE">
      <w:r>
        <w:t>Following the interview, a decision was made to arrest TT for sexual abuse on AJ. Section 24 of PACE (1984) provides the power of arrest to a</w:t>
      </w:r>
      <w:r w:rsidR="003F4785">
        <w:t xml:space="preserve"> police officer when they have “</w:t>
      </w:r>
      <w:r>
        <w:t>reasonable grounds to suspect that a person has committed an offence and there is a necessity to arre</w:t>
      </w:r>
      <w:r w:rsidR="003F4785">
        <w:t>st”</w:t>
      </w:r>
      <w:r>
        <w:t xml:space="preserve">. All arrests must be lawful, proportionate, and necessary. The Serious Organised Crime and Police Act (2005) introduced amendments and made </w:t>
      </w:r>
      <w:r w:rsidR="003F4785">
        <w:t>it mandatory for arrests to be “justified and necessary”</w:t>
      </w:r>
      <w:r>
        <w:t>. TT was informed that his arrest was required to conduct a prompt and effective investigation into the offence and to protect children. Following TT's arrest, he was subjected to a sea</w:t>
      </w:r>
      <w:r w:rsidR="002D5244">
        <w:t xml:space="preserve">rch under section 32 </w:t>
      </w:r>
      <w:r w:rsidR="002D5244">
        <w:lastRenderedPageBreak/>
        <w:t>of</w:t>
      </w:r>
      <w:r>
        <w:t xml:space="preserve"> PACE (1984) for anything on his person that could be evidence of the crime or that could </w:t>
      </w:r>
      <w:r w:rsidR="003F4785">
        <w:t>“</w:t>
      </w:r>
      <w:r>
        <w:t>pose a th</w:t>
      </w:r>
      <w:r w:rsidR="003F4785">
        <w:t>reat to himself or others”</w:t>
      </w:r>
      <w:r w:rsidR="002D5244">
        <w:t>,</w:t>
      </w:r>
      <w:r>
        <w:t xml:space="preserve"> any object found could be seized. A phone was discovered in his possession. The phone was confiscated, examined, and found to contain several indecent images of children. Special warnings were considered and would be factored into the interview strategy as the presence of this phone (object) which contained indecent images were deemed to be attributable to TT`s participation in the offence (The Crown Prosecution service 2018). I devised a set of questions that I would ask TT about the phone as it is only when a person fails to disclose a fact when questioned about a fact that negative inferences be drawn. A suspect failing to provide their account is not enough, they must be questioned about it (Quinn 2011).  </w:t>
      </w:r>
    </w:p>
    <w:p w:rsidR="00B179EE" w:rsidRDefault="00B179EE" w:rsidP="00B179EE"/>
    <w:p w:rsidR="00B179EE" w:rsidRDefault="00B179EE" w:rsidP="00B179EE">
      <w:r>
        <w:t>In the first stage of Driscoll's (2007) model of reflection, 'What,' I was able to reflect on the arrest. The model's second stage, 'So What,' prompted me to analyse my powers of arrest and to consider whether an alternative method would have been more appropriate. I evaluated the Serious Organised Crime and Police Act (2005) and the necessity of the arrest and considered whether it would be more reasonable to ask TT to come to the police station voluntarily. The 2005 Act was criticised by Sanders et al (as cited by Pearson, Rowe, and Turner (2018), who claimed that it "prioritises police efficiency over the interests of the suspect." He argued that alternatives to arrest, such as voluntary attendance at the police station, should be explored. Not only did I consider the Human Rights Act (1998) and TT`s Right to Liberty in terms of necessity, but also Code G PACE (1984 and revised in 2012) in terms of proportionality. Concerns occur when officers justify arresting for prompt and effective investigation into the offence when they have not considered securing the evidence by alternative means (Pearson, Rowe, and Turner 2018). Similarly, when officers believe they are safeguarding a vulnerable individual, they may not consider that the vulnerable person can be protected differently. Officers must use the necessity test correctly, according to Baroness Anelay's (2005 as cited by Pearson, Rowe, and Turner 2018) recommendations. Each situation needs a Human Rights Act (1998) evaluation of the officer's exercise of powers to determine wh</w:t>
      </w:r>
      <w:r w:rsidR="003F4785">
        <w:t>ether the “</w:t>
      </w:r>
      <w:r>
        <w:t>interference with the individual's rights is lawful, necessary, and proportional, to evaluate whether removing their rights to l</w:t>
      </w:r>
      <w:r w:rsidR="003F4785">
        <w:t>iberty and privacy is justified”</w:t>
      </w:r>
      <w:r>
        <w:t xml:space="preserve">. As Ferguson (2017) found, policing is incredibly diverse and complex, and police personnel have a great deal of discretion in how they handle situations. According to Brown and Frank's (2006) research, the situation and severity of the offence often has a significant impact on whether an arrest is made.   </w:t>
      </w:r>
    </w:p>
    <w:p w:rsidR="00B179EE" w:rsidRDefault="00B179EE" w:rsidP="00B179EE"/>
    <w:p w:rsidR="00B179EE" w:rsidRDefault="00B179EE" w:rsidP="00B179EE">
      <w:r>
        <w:t>The `Now what stage` of the model led me to examine the learning from this arrest. In this case, the most appropriate approach was to arrest TT. According to Pe</w:t>
      </w:r>
      <w:r w:rsidR="00387AE4">
        <w:t>arson, Rowe, and Turner (2018) o</w:t>
      </w:r>
      <w:r>
        <w:t xml:space="preserve">fficers should choose the least restrictive method of securing an account from a suspect. If there are other methods that can achieve the same goal without compromising the suspect's liberty, these methods should be employed instead. However, arresting TT gave me the power to use special warnings during the interview. Had I have not arrested I would not have been able to use the special warnings (PACE 1984). In future cases, I will ensure that the decision to arrest is carefully considered, and that all options are explored.   </w:t>
      </w:r>
    </w:p>
    <w:p w:rsidR="00B179EE" w:rsidRDefault="00B179EE" w:rsidP="00B179EE"/>
    <w:p w:rsidR="00B179EE" w:rsidRDefault="00B179EE" w:rsidP="00B179EE">
      <w:r>
        <w:t xml:space="preserve">TT was then interviewed as a suspect. Interviewing suspects is an important part of the investigation. Accurate, thorough, and transparent evidence must be gathered (Williamson, Milne and Savage 2009). I made sure to follow the Association of Chief Police Officers' seven investigative interviewing </w:t>
      </w:r>
      <w:r>
        <w:lastRenderedPageBreak/>
        <w:t xml:space="preserve">principles (College of Policing 2013) ensuring to act impartially when interviewing the suspect to obtain a full detailed account, acknowledging that the goal of the interview is not only to obtain a confession (Williamson, 1994).   </w:t>
      </w:r>
    </w:p>
    <w:p w:rsidR="00B179EE" w:rsidRDefault="00B179EE" w:rsidP="00B179EE"/>
    <w:p w:rsidR="00B179EE" w:rsidRDefault="00B179EE" w:rsidP="00B179EE">
      <w:r>
        <w:t>To enhance the quantity and quality of information provided, the PEACE model encourages the officer to have an open-minded and ethical mind-set (Williamson, Milne, and Savage 2009). During the interview, I followed the Conversation Management Model and allowed TT to provide a free recall by using open questions. Shepherd (1988) agrees that the interviewer must apply active listening, rapport building, and conversational management skills, which will encourage the suspect to talk.  The model advises officers to be fair and to seek the truth (Kassin et al 2010) being mindful to avoid 'confirmation bias,' which occurs when officers use selected information received during an interview to reinforce pre-existing beliefs (Ede and Shepherd 2000). Interviewers may wrongly perceive nonverbal behaviours such as giving no eye contact as deceit, which might compound this 'Confirmation Bias' (Vrij 2008) who goes</w:t>
      </w:r>
      <w:r w:rsidR="00387AE4">
        <w:t xml:space="preserve"> on</w:t>
      </w:r>
      <w:r>
        <w:t xml:space="preserve"> to explain that it is possible that critical information will be missed if interviewers are closed to obtaining new, unbiased information.   </w:t>
      </w:r>
    </w:p>
    <w:p w:rsidR="00B179EE" w:rsidRDefault="00B179EE" w:rsidP="00B179EE"/>
    <w:p w:rsidR="00B179EE" w:rsidRDefault="00B179EE" w:rsidP="00B179EE">
      <w:r>
        <w:t xml:space="preserve">Even though some may regard the PEACE interview as a "soft option," Williamson, Milne, and Savage (2009) have evaluated the method and believe it to be an effective interviewing strategy. However, the National Crime Faculty (2004) has stated that for interview techniques to succeed, skills in planning, listening, and rapport building must be improved, which has sparked a dispute about whether effective interview skills are natural or can be learned (Cherryman and Bull 2001). Despite progress, questioning remains a concern, as inappropriate questions are frequently asked (Griffith’s and Milne 2006). Another critique voiced by Clarke and Milne (2001) was that police interviewers were ineffective at challenging the suspect's account and summarising interviews. This was an area where I was having some difficulties, I spent time formulating questions for all possible responses to the suspect's answers. This is supported by Griffiths (2008) who was critical of officers’ interviewing skills which he put down to a lack of planning.  </w:t>
      </w:r>
    </w:p>
    <w:p w:rsidR="00B179EE" w:rsidRDefault="00B179EE" w:rsidP="00B179EE"/>
    <w:p w:rsidR="00B179EE" w:rsidRDefault="00B179EE" w:rsidP="00B179EE">
      <w:r>
        <w:t xml:space="preserve">Although criticisms have been highlighted, several studies have suggested that using PEACE model for suspect interviews is extremely beneficial. (Cherryman and Bull 2001, Clarke &amp; Milne, 2001, Griffiths &amp; Milne, 2005) However, the level of training for these types of interviews needs to be maintained. Walsh and Bull (2010) found that although officers were trained in the model, far too many interviews were below an acceptable level of ability, suggesting that re-training was needed on a regular basis and that interviews should be frequently monitored and assessed. This has led to the Professionalising Investigation Programme (PIP College of Policing 2022) which has been established to improve interview performance by providing rigorous training to interviewers. Based on the nature of the officer's responsibilities, training is implemented utilising a 5-tiered interviewing method. Advanced training is provided to those who interview suspects for the most serious crimes. This entails continuous work-based assessments and support (Griffith’s and Milne 2006). The 5-tier method works in conjunction with the PIP, providing the structure and assessment necessary to achieve an acceptable level of interviewing. Fair and ethical interviewing goals prioritise gathering information over obtaining a confession (Williamson, Milne, and Savage 2009).   </w:t>
      </w:r>
    </w:p>
    <w:p w:rsidR="00B179EE" w:rsidRDefault="00B179EE" w:rsidP="00B179EE"/>
    <w:p w:rsidR="00B179EE" w:rsidRDefault="00B179EE" w:rsidP="00B179EE">
      <w:r>
        <w:lastRenderedPageBreak/>
        <w:t xml:space="preserve">I interviewed `TT` according to the training that I had received. However, Griffiths and Milne (2005) questioned whether police interviewing should be based on a "one size fits all" approach and questioned whether persons accused of sexual abuse, should be interviewed differently as often suspects who have committed these types of crimes will talk about the offences differently. Interviewing sex offenders, according to Barbaree (1991) can be extremely difficult. Given these challenges, there is limited research on these types of interviews and how they are conducted (Benneworth 2006).   </w:t>
      </w:r>
    </w:p>
    <w:p w:rsidR="00B179EE" w:rsidRDefault="00B179EE" w:rsidP="00B179EE"/>
    <w:p w:rsidR="00B179EE" w:rsidRDefault="00B179EE" w:rsidP="00B179EE">
      <w:r>
        <w:t>Following TT`s interview a decision had to be made on how he would be dealt with. The Bail Act (</w:t>
      </w:r>
      <w:r w:rsidR="00F41182">
        <w:t xml:space="preserve">1976 </w:t>
      </w:r>
      <w:r>
        <w:t xml:space="preserve">amended in 2017) creates a presumption that suspects should be released from police custody while under investigation unless bail/remand is deemed necessary and proportionate (NPCC National Police Chiefs Council 2019).   Due to concerns around TT reoffending and being a danger to children a remand application was made. Almost a quarter of defendants commit at least one crime while on bail (Brown 1998). Remanding someone in custody, on the other hand, is a serious matter; persons are presumed innocent until proven guilty, and they should not be treated in a way that implies their guilt (Brown 2013). According to MacPartholan's (2019) research, prison can be a traumatic experience for a suspect who is legally innocent until proved guilty. It can cause family breakup, death while in custody, loss of career, and loss of respect, all of which would be exceedingly detrimental if the person were later discovered to be innocent. There have been several debates over the years, and a balance must be reached between allowing perpetrators out on bail to commit additional crimes while also preventing innocent individuals from being on necessary bail for years and having their reputations damaged (The Guardian 2020). However, National Police Chiefs council lead for bail management </w:t>
      </w:r>
      <w:r w:rsidR="00387AE4">
        <w:t xml:space="preserve">- </w:t>
      </w:r>
      <w:r>
        <w:t>Chief Constable Darren Martland (The Guardian 2020)</w:t>
      </w:r>
      <w:r w:rsidR="00387AE4">
        <w:t xml:space="preserve"> -</w:t>
      </w:r>
      <w:r>
        <w:t xml:space="preserve"> was concerned that </w:t>
      </w:r>
      <w:r w:rsidR="00B76807">
        <w:t>“</w:t>
      </w:r>
      <w:r>
        <w:t>reducing bail could mean missed opportunities to protect vulnerable people</w:t>
      </w:r>
      <w:r w:rsidR="00B76807">
        <w:t>”</w:t>
      </w:r>
      <w:r>
        <w:t xml:space="preserve">. The guidance makes it clear that if any suspect is a threat to the public bail conditions should be placed on them. In this case, I evaluated the available evidence, and the circumstances of the case were considered. The remand application was deemed justified and necessary. </w:t>
      </w:r>
    </w:p>
    <w:p w:rsidR="00B179EE" w:rsidRDefault="00B179EE" w:rsidP="00B179EE"/>
    <w:p w:rsidR="00CE5C97" w:rsidRDefault="00B179EE" w:rsidP="00B179EE">
      <w:r>
        <w:t>Whilst investigating this offence I made sure that I adhered to and understood the ethics and values of South Wales Police. I am aware of the current Police and Crime plan which focuses on prioritising victims of sexual expl</w:t>
      </w:r>
      <w:r w:rsidR="00B76807">
        <w:t>oitation ensuring that the</w:t>
      </w:r>
      <w:r>
        <w:t xml:space="preserve"> </w:t>
      </w:r>
      <w:r w:rsidR="00B76807">
        <w:t>“</w:t>
      </w:r>
      <w:r>
        <w:t>criminal justice system is efficient and effective to meet the needs of victims and reduce re-offending</w:t>
      </w:r>
      <w:r w:rsidR="00B76807">
        <w:t>”</w:t>
      </w:r>
      <w:r>
        <w:t xml:space="preserve"> (Police and Crime Commissioner 2022)</w:t>
      </w:r>
    </w:p>
    <w:p w:rsidR="00673070" w:rsidRDefault="00673070" w:rsidP="00B179EE"/>
    <w:p w:rsidR="00673070" w:rsidRDefault="00673070" w:rsidP="00B179EE">
      <w:r>
        <w:t xml:space="preserve">WORDCOUNT – 1996 – 209 words in brackets </w:t>
      </w:r>
    </w:p>
    <w:p w:rsidR="001F13CC" w:rsidRDefault="001F13CC" w:rsidP="00B179EE"/>
    <w:p w:rsidR="001F13CC" w:rsidRDefault="001F13CC" w:rsidP="00B179EE">
      <w:pPr>
        <w:rPr>
          <w:b/>
          <w:u w:val="single"/>
        </w:rPr>
      </w:pPr>
    </w:p>
    <w:p w:rsidR="001F13CC" w:rsidRDefault="001F13CC" w:rsidP="00B179EE">
      <w:pPr>
        <w:rPr>
          <w:b/>
          <w:u w:val="single"/>
        </w:rPr>
      </w:pPr>
    </w:p>
    <w:p w:rsidR="001F13CC" w:rsidRDefault="001F13CC" w:rsidP="00B179EE">
      <w:pPr>
        <w:rPr>
          <w:b/>
          <w:u w:val="single"/>
        </w:rPr>
      </w:pPr>
    </w:p>
    <w:p w:rsidR="001F13CC" w:rsidRDefault="001F13CC" w:rsidP="00B179EE">
      <w:pPr>
        <w:rPr>
          <w:b/>
          <w:u w:val="single"/>
        </w:rPr>
      </w:pPr>
    </w:p>
    <w:p w:rsidR="005E1424" w:rsidRDefault="005E1424" w:rsidP="00B179EE">
      <w:pPr>
        <w:rPr>
          <w:b/>
          <w:u w:val="single"/>
        </w:rPr>
      </w:pPr>
    </w:p>
    <w:p w:rsidR="005E1424" w:rsidRDefault="005E1424" w:rsidP="00B179EE">
      <w:pPr>
        <w:rPr>
          <w:b/>
          <w:u w:val="single"/>
        </w:rPr>
      </w:pPr>
    </w:p>
    <w:p w:rsidR="001F13CC" w:rsidRPr="001F13CC" w:rsidRDefault="001F13CC" w:rsidP="00B179EE">
      <w:pPr>
        <w:rPr>
          <w:b/>
          <w:u w:val="single"/>
        </w:rPr>
      </w:pPr>
      <w:r w:rsidRPr="001F13CC">
        <w:rPr>
          <w:b/>
          <w:u w:val="single"/>
        </w:rPr>
        <w:lastRenderedPageBreak/>
        <w:t xml:space="preserve">REFERENCES </w:t>
      </w:r>
    </w:p>
    <w:p w:rsidR="001F13CC" w:rsidRDefault="001F13CC" w:rsidP="001F13CC"/>
    <w:p w:rsidR="001F13CC" w:rsidRDefault="001F13CC" w:rsidP="001F13CC">
      <w:r>
        <w:t xml:space="preserve">Bail Act (1976) </w:t>
      </w:r>
      <w:r w:rsidRPr="00F41182">
        <w:rPr>
          <w:i/>
        </w:rPr>
        <w:t>Bail Act. Chapter 63</w:t>
      </w:r>
      <w:r>
        <w:t xml:space="preserve">. Legislation.gov.uk. Available at: https://www.legislation.gov.uk/ukpga/1976/63:. Accessed on 9/4/2022. </w:t>
      </w:r>
    </w:p>
    <w:p w:rsidR="001F13CC" w:rsidRDefault="001F13CC" w:rsidP="001F13CC"/>
    <w:p w:rsidR="001F13CC" w:rsidRDefault="001F13CC" w:rsidP="001F13CC">
      <w:r>
        <w:t xml:space="preserve">Barbaree, H (1991) ‘Denial and Minimisation among Sex Offenders: Assessment and Treatment Outcome’, </w:t>
      </w:r>
      <w:r w:rsidRPr="00F41182">
        <w:rPr>
          <w:i/>
        </w:rPr>
        <w:t xml:space="preserve">Forum on Corrections Research </w:t>
      </w:r>
      <w:r>
        <w:t>Volume 3. Pages - 30–33.</w:t>
      </w:r>
    </w:p>
    <w:p w:rsidR="001F13CC" w:rsidRDefault="001F13CC" w:rsidP="001F13CC"/>
    <w:p w:rsidR="001F13CC" w:rsidRDefault="001F13CC" w:rsidP="001F13CC">
      <w:r>
        <w:t>Benneworth, K (2009) `Police interviews with suspected paedophiles: a discourse analysis`</w:t>
      </w:r>
      <w:r w:rsidRPr="00F41182">
        <w:rPr>
          <w:i/>
        </w:rPr>
        <w:t xml:space="preserve"> Discourse &amp; society,</w:t>
      </w:r>
      <w:r>
        <w:t xml:space="preserve"> Volume 20 (5) Pages - 555-569</w:t>
      </w:r>
    </w:p>
    <w:p w:rsidR="001F13CC" w:rsidRDefault="001F13CC" w:rsidP="001F13CC"/>
    <w:p w:rsidR="001F13CC" w:rsidRDefault="001F13CC" w:rsidP="001F13CC">
      <w:r>
        <w:t>Brown, D (1998)</w:t>
      </w:r>
      <w:r w:rsidRPr="00F41182">
        <w:rPr>
          <w:i/>
        </w:rPr>
        <w:t xml:space="preserve"> Offending while on bail, </w:t>
      </w:r>
      <w:r>
        <w:t xml:space="preserve">Home office, Report no 72, London. Home office  </w:t>
      </w:r>
    </w:p>
    <w:p w:rsidR="001F13CC" w:rsidRDefault="001F13CC" w:rsidP="001F13CC"/>
    <w:p w:rsidR="001F13CC" w:rsidRDefault="001F13CC" w:rsidP="001F13CC">
      <w:r>
        <w:t xml:space="preserve">Brown, R &amp; Frank, J. (2006). `Race and officer decision making: Examining differences in arrest outcomes between Black and White officers`. </w:t>
      </w:r>
      <w:r w:rsidRPr="00F41182">
        <w:rPr>
          <w:i/>
        </w:rPr>
        <w:t>Justice Quarterly</w:t>
      </w:r>
      <w:r>
        <w:t>, Volume 23 (1), pages 96–126.</w:t>
      </w:r>
    </w:p>
    <w:p w:rsidR="001F13CC" w:rsidRDefault="001F13CC" w:rsidP="001F13CC"/>
    <w:p w:rsidR="001F13CC" w:rsidRDefault="001F13CC" w:rsidP="001F13CC">
      <w:r>
        <w:t xml:space="preserve">Brown, D (2013) `Looking Behind the Increase in Custodial Remand Populations`. </w:t>
      </w:r>
      <w:r w:rsidRPr="00F41182">
        <w:rPr>
          <w:i/>
        </w:rPr>
        <w:t>International Journal for Crime and Justice and social democracy.</w:t>
      </w:r>
      <w:r>
        <w:t xml:space="preserve"> Vol. 2, Issue 2, Pages: 80-99.</w:t>
      </w:r>
    </w:p>
    <w:p w:rsidR="001F13CC" w:rsidRDefault="001F13CC" w:rsidP="001F13CC"/>
    <w:p w:rsidR="001F13CC" w:rsidRDefault="001F13CC" w:rsidP="001F13CC">
      <w:r>
        <w:t xml:space="preserve">Cederborg, A and Lamb, M (2008). `Intensive training of forensic interviewers. In T.I. Richardson &amp; M.V. Williams (Eds.)` </w:t>
      </w:r>
      <w:r w:rsidRPr="00F41182">
        <w:rPr>
          <w:i/>
        </w:rPr>
        <w:t>Child abuse and violence</w:t>
      </w:r>
      <w:r>
        <w:t xml:space="preserve"> (Pages 1–17). New York, NY: Nova Science Publishers</w:t>
      </w:r>
    </w:p>
    <w:p w:rsidR="001F13CC" w:rsidRDefault="001F13CC" w:rsidP="001F13CC"/>
    <w:p w:rsidR="001F13CC" w:rsidRDefault="001F13CC" w:rsidP="001F13CC">
      <w:r>
        <w:t>Cherryman J and Bull R, (2001) `Police Officers' Perceptions of Specialist Investigative Interviewing Skills`.</w:t>
      </w:r>
      <w:r w:rsidRPr="00F41182">
        <w:rPr>
          <w:i/>
        </w:rPr>
        <w:t xml:space="preserve"> International journal of Police Science and Management.</w:t>
      </w:r>
      <w:r>
        <w:t xml:space="preserve"> Volume 3 (3) Pages 199-212 </w:t>
      </w:r>
    </w:p>
    <w:p w:rsidR="001F13CC" w:rsidRDefault="001F13CC" w:rsidP="001F13CC"/>
    <w:p w:rsidR="001F13CC" w:rsidRDefault="001F13CC" w:rsidP="001F13CC">
      <w:r>
        <w:t xml:space="preserve">Clarke C and Milne R (2001) </w:t>
      </w:r>
      <w:r w:rsidRPr="00F41182">
        <w:rPr>
          <w:i/>
        </w:rPr>
        <w:t xml:space="preserve">National Evaluation of the PEACE Investigative Interviewing Course. </w:t>
      </w:r>
      <w:r>
        <w:t>Institute of Criminal Justice Studies.</w:t>
      </w:r>
    </w:p>
    <w:p w:rsidR="001F13CC" w:rsidRDefault="001F13CC" w:rsidP="001F13CC"/>
    <w:p w:rsidR="001F13CC" w:rsidRDefault="001F13CC" w:rsidP="001F13CC">
      <w:r>
        <w:t xml:space="preserve">College of Policing (2013) </w:t>
      </w:r>
      <w:r w:rsidRPr="00F41182">
        <w:rPr>
          <w:i/>
        </w:rPr>
        <w:t>Investigative interviewing.</w:t>
      </w:r>
      <w:r>
        <w:t xml:space="preserve"> Available at:  https://www.app.college.police.uk/app-content/investigations/investigative-interviewing/. Accessed on 9/4/2022 </w:t>
      </w:r>
    </w:p>
    <w:p w:rsidR="001F13CC" w:rsidRDefault="001F13CC" w:rsidP="001F13CC"/>
    <w:p w:rsidR="001F13CC" w:rsidRDefault="001F13CC" w:rsidP="001F13CC">
      <w:r>
        <w:t>College of Policing (2022)</w:t>
      </w:r>
      <w:r w:rsidRPr="00F41182">
        <w:rPr>
          <w:i/>
        </w:rPr>
        <w:t xml:space="preserve"> Professional Investigation Programme Level 2. </w:t>
      </w:r>
      <w:r>
        <w:t>Available at: https://profdev.college.police.uk/professional-profile/investigator-pip2/ Accessed on: 9/4/2022</w:t>
      </w:r>
    </w:p>
    <w:p w:rsidR="001F13CC" w:rsidRDefault="001F13CC" w:rsidP="001F13CC"/>
    <w:p w:rsidR="001F13CC" w:rsidRDefault="001F13CC" w:rsidP="001F13CC">
      <w:r>
        <w:lastRenderedPageBreak/>
        <w:t xml:space="preserve">Crown Prosecution service (2018) </w:t>
      </w:r>
      <w:r w:rsidRPr="00F41182">
        <w:rPr>
          <w:i/>
        </w:rPr>
        <w:t>Adverse Inferences</w:t>
      </w:r>
      <w:r>
        <w:t xml:space="preserve">. Available at: https://www.cps.gov.uk/legal-guidance/adverse-inferences. Accessed on: 9/4/2022 </w:t>
      </w:r>
    </w:p>
    <w:p w:rsidR="001F13CC" w:rsidRDefault="001F13CC" w:rsidP="001F13CC"/>
    <w:p w:rsidR="001F13CC" w:rsidRDefault="001F13CC" w:rsidP="001F13CC">
      <w:r>
        <w:t xml:space="preserve">Driscoll (2007) </w:t>
      </w:r>
      <w:r w:rsidRPr="00F41182">
        <w:rPr>
          <w:i/>
        </w:rPr>
        <w:t>Practising Clinical Supervision: A Reflective Approach,</w:t>
      </w:r>
      <w:r>
        <w:t xml:space="preserve"> London, </w:t>
      </w:r>
      <w:proofErr w:type="spellStart"/>
      <w:r>
        <w:t>Bailliere</w:t>
      </w:r>
      <w:proofErr w:type="spellEnd"/>
      <w:r>
        <w:t xml:space="preserve"> Tindall.</w:t>
      </w:r>
    </w:p>
    <w:p w:rsidR="001F13CC" w:rsidRDefault="001F13CC" w:rsidP="001F13CC"/>
    <w:p w:rsidR="001F13CC" w:rsidRDefault="001F13CC" w:rsidP="001F13CC">
      <w:r>
        <w:t xml:space="preserve">Ede and Shepherd (2000) </w:t>
      </w:r>
      <w:r w:rsidRPr="00F41182">
        <w:rPr>
          <w:i/>
        </w:rPr>
        <w:t xml:space="preserve">Active defence </w:t>
      </w:r>
      <w:r>
        <w:t xml:space="preserve">(2nd </w:t>
      </w:r>
      <w:proofErr w:type="spellStart"/>
      <w:r>
        <w:t>edn</w:t>
      </w:r>
      <w:proofErr w:type="spellEnd"/>
      <w:r>
        <w:t xml:space="preserve">) Law Society Publishing. </w:t>
      </w:r>
    </w:p>
    <w:p w:rsidR="001F13CC" w:rsidRDefault="001F13CC" w:rsidP="001F13CC"/>
    <w:p w:rsidR="001F13CC" w:rsidRDefault="001F13CC" w:rsidP="001F13CC">
      <w:r>
        <w:t xml:space="preserve">Ferguson, A (2017) </w:t>
      </w:r>
      <w:r w:rsidRPr="00F41182">
        <w:rPr>
          <w:i/>
        </w:rPr>
        <w:t>The Rise of Big Data Policing: Surveillance, Race, and the Future of Law Enforcement</w:t>
      </w:r>
      <w:r>
        <w:t xml:space="preserve">. New York University Press. </w:t>
      </w:r>
    </w:p>
    <w:p w:rsidR="001F13CC" w:rsidRDefault="001F13CC" w:rsidP="001F13CC"/>
    <w:p w:rsidR="001F13CC" w:rsidRDefault="001F13CC" w:rsidP="001F13CC">
      <w:r>
        <w:t>Geiselman and Fisher (1992)</w:t>
      </w:r>
      <w:r w:rsidRPr="00F41182">
        <w:rPr>
          <w:i/>
        </w:rPr>
        <w:t xml:space="preserve"> Memory enhancing techniques for investigating interviews: The Cognitive interview.</w:t>
      </w:r>
      <w:r>
        <w:t xml:space="preserve"> Charles C Thomas Publisher USA. </w:t>
      </w:r>
    </w:p>
    <w:p w:rsidR="001F13CC" w:rsidRDefault="001F13CC" w:rsidP="001F13CC"/>
    <w:p w:rsidR="001F13CC" w:rsidRDefault="001F13CC" w:rsidP="001F13CC">
      <w:r>
        <w:t xml:space="preserve">Goodman, G and Reed, R (1986). `Age differences in eyewitness testimony`. </w:t>
      </w:r>
      <w:r w:rsidRPr="00F41182">
        <w:rPr>
          <w:i/>
        </w:rPr>
        <w:t xml:space="preserve">Law and Human </w:t>
      </w:r>
      <w:proofErr w:type="spellStart"/>
      <w:r w:rsidRPr="00F41182">
        <w:rPr>
          <w:i/>
        </w:rPr>
        <w:t>Behavior</w:t>
      </w:r>
      <w:proofErr w:type="spellEnd"/>
      <w:r>
        <w:t>, Volume 10 (4), Pages 317–332.</w:t>
      </w:r>
    </w:p>
    <w:p w:rsidR="001F13CC" w:rsidRDefault="001F13CC" w:rsidP="001F13CC"/>
    <w:p w:rsidR="001F13CC" w:rsidRDefault="001F13CC" w:rsidP="001F13CC">
      <w:r>
        <w:t xml:space="preserve">Griffiths A. (2008). </w:t>
      </w:r>
      <w:r w:rsidRPr="00F41182">
        <w:rPr>
          <w:i/>
        </w:rPr>
        <w:t>An examination into the efficacy of police advanced investigative interview training</w:t>
      </w:r>
      <w:r>
        <w:t>. PhD thesis. Institute of Criminal Justice Studies. University of Portsmouth.</w:t>
      </w:r>
    </w:p>
    <w:p w:rsidR="001F13CC" w:rsidRDefault="001F13CC" w:rsidP="001F13CC"/>
    <w:p w:rsidR="001F13CC" w:rsidRDefault="001F13CC" w:rsidP="001F13CC">
      <w:r>
        <w:t xml:space="preserve">Griffiths, A and Milne, R (2005) ‘Will it all End in Tiers? Police Interviews with Suspects in Britain’, in T. Williamson (ed.) </w:t>
      </w:r>
      <w:r w:rsidRPr="00F41182">
        <w:rPr>
          <w:i/>
        </w:rPr>
        <w:t>Investigative Interviewing: Rights, Research, Regulation</w:t>
      </w:r>
      <w:r>
        <w:t xml:space="preserve">, Pages - 167–89. </w:t>
      </w:r>
    </w:p>
    <w:p w:rsidR="001F13CC" w:rsidRDefault="001F13CC" w:rsidP="001F13CC"/>
    <w:p w:rsidR="001F13CC" w:rsidRDefault="001F13CC" w:rsidP="001F13CC">
      <w:r>
        <w:t>Guardian (2020) `Police bail reforms left crime victims feeling unsafe, finds report`.</w:t>
      </w:r>
      <w:r w:rsidRPr="00F41182">
        <w:rPr>
          <w:i/>
        </w:rPr>
        <w:t xml:space="preserve"> The Guardian </w:t>
      </w:r>
      <w:r>
        <w:t xml:space="preserve">Available at: https://amp.theguardian.com/uk-news/2020/dec/08/police-bail-reforms-left-victims-feeling-unsafe-finds-report. Accessed on 9/4/2022 </w:t>
      </w:r>
    </w:p>
    <w:p w:rsidR="001F13CC" w:rsidRDefault="001F13CC" w:rsidP="001F13CC"/>
    <w:p w:rsidR="001F13CC" w:rsidRDefault="001F13CC" w:rsidP="001F13CC">
      <w:r>
        <w:t xml:space="preserve">Hanway P,  </w:t>
      </w:r>
      <w:proofErr w:type="spellStart"/>
      <w:r>
        <w:t>Akehurst</w:t>
      </w:r>
      <w:proofErr w:type="spellEnd"/>
      <w:r>
        <w:t xml:space="preserve"> L, </w:t>
      </w:r>
      <w:proofErr w:type="spellStart"/>
      <w:r>
        <w:t>Vernham</w:t>
      </w:r>
      <w:proofErr w:type="spellEnd"/>
      <w:r>
        <w:t xml:space="preserve"> Z and Lorraine Hope  (2021) `The effects of cognitive load during an investigative interviewing task on mock interviewers’ recall of information Department of Psychology`,</w:t>
      </w:r>
      <w:r w:rsidRPr="00F41182">
        <w:rPr>
          <w:i/>
        </w:rPr>
        <w:t xml:space="preserve"> Legal and Criminological Psychology</w:t>
      </w:r>
      <w:r>
        <w:t xml:space="preserve">, Volume 26, Pages 25–41.  </w:t>
      </w:r>
    </w:p>
    <w:p w:rsidR="001F13CC" w:rsidRDefault="001F13CC" w:rsidP="001F13CC"/>
    <w:p w:rsidR="001F13CC" w:rsidRDefault="001F13CC" w:rsidP="001F13CC">
      <w:proofErr w:type="spellStart"/>
      <w:r>
        <w:t>Hershkowitz</w:t>
      </w:r>
      <w:proofErr w:type="spellEnd"/>
      <w:r>
        <w:t xml:space="preserve">, I, Lamb, M.E., Sternberg, K.J., </w:t>
      </w:r>
      <w:proofErr w:type="spellStart"/>
      <w:r>
        <w:t>Orbach</w:t>
      </w:r>
      <w:proofErr w:type="spellEnd"/>
      <w:r>
        <w:t xml:space="preserve">, Y , Horowitz, D., &amp; </w:t>
      </w:r>
      <w:proofErr w:type="spellStart"/>
      <w:r>
        <w:t>Esplin</w:t>
      </w:r>
      <w:proofErr w:type="spellEnd"/>
      <w:r>
        <w:t>, P.W. (2002). `The effects of intensive training and ongoing supervision on the quality of investigative interviews with alleged sex abuse victims`</w:t>
      </w:r>
      <w:r w:rsidRPr="00F41182">
        <w:rPr>
          <w:i/>
        </w:rPr>
        <w:t xml:space="preserve">. Applied Developmental Science, </w:t>
      </w:r>
      <w:r>
        <w:t>Volume 6, Pages - 114–125.</w:t>
      </w:r>
    </w:p>
    <w:p w:rsidR="001F13CC" w:rsidRDefault="001F13CC" w:rsidP="001F13CC"/>
    <w:p w:rsidR="001F13CC" w:rsidRDefault="00F41182" w:rsidP="001F13CC">
      <w:r>
        <w:lastRenderedPageBreak/>
        <w:t>Hope L,</w:t>
      </w:r>
      <w:r w:rsidR="001F13CC">
        <w:t xml:space="preserve"> </w:t>
      </w:r>
      <w:proofErr w:type="spellStart"/>
      <w:r w:rsidR="001F13CC">
        <w:t>G</w:t>
      </w:r>
      <w:r>
        <w:t>abbert</w:t>
      </w:r>
      <w:proofErr w:type="spellEnd"/>
      <w:r>
        <w:t xml:space="preserve"> F, Fisher, R &amp; Jamieson K</w:t>
      </w:r>
      <w:r w:rsidR="001F13CC">
        <w:t xml:space="preserve"> (2014)  `Protecting and Enhancing Eyewitness Memory: The Impact of an Initial Recall Attempt on Performance in an Investigative Interview` </w:t>
      </w:r>
      <w:r w:rsidR="001F13CC" w:rsidRPr="00F41182">
        <w:rPr>
          <w:i/>
        </w:rPr>
        <w:t>Applied cognitive psychology</w:t>
      </w:r>
      <w:r w:rsidR="001F13CC">
        <w:t xml:space="preserve">, Volume 28 (3), Pages 304-313. </w:t>
      </w:r>
    </w:p>
    <w:p w:rsidR="001F13CC" w:rsidRDefault="001F13CC" w:rsidP="001F13CC"/>
    <w:p w:rsidR="001F13CC" w:rsidRDefault="001F13CC" w:rsidP="001F13CC">
      <w:r>
        <w:t>Human Rights Act (1998)</w:t>
      </w:r>
      <w:r w:rsidRPr="00F41182">
        <w:rPr>
          <w:i/>
        </w:rPr>
        <w:t xml:space="preserve"> Article 5 Right to liberty and security</w:t>
      </w:r>
      <w:r>
        <w:t xml:space="preserve">. Legislation.gov.uk. Schedule 1. Available at: https://www.legislation.gov.uk/ukpga/1998/42/schedule/1. Accessed on: 8/4/2022. </w:t>
      </w:r>
    </w:p>
    <w:p w:rsidR="001F13CC" w:rsidRDefault="001F13CC" w:rsidP="001F13CC"/>
    <w:p w:rsidR="001F13CC" w:rsidRDefault="001F13CC" w:rsidP="001F13CC">
      <w:r>
        <w:t xml:space="preserve">Kassin S, </w:t>
      </w:r>
      <w:proofErr w:type="spellStart"/>
      <w:r>
        <w:t>Drizin</w:t>
      </w:r>
      <w:proofErr w:type="spellEnd"/>
      <w:r>
        <w:t xml:space="preserve"> S, </w:t>
      </w:r>
      <w:proofErr w:type="spellStart"/>
      <w:r>
        <w:t>Grisso</w:t>
      </w:r>
      <w:proofErr w:type="spellEnd"/>
      <w:r>
        <w:t xml:space="preserve"> T, </w:t>
      </w:r>
      <w:proofErr w:type="spellStart"/>
      <w:r>
        <w:t>Gudjonsson</w:t>
      </w:r>
      <w:proofErr w:type="spellEnd"/>
      <w:r>
        <w:t xml:space="preserve"> G, Leo R and Redlich, A (2010). `Police-induced confessions: Risk factors and recommendations`.</w:t>
      </w:r>
      <w:r w:rsidRPr="005E1424">
        <w:rPr>
          <w:i/>
        </w:rPr>
        <w:t xml:space="preserve"> Law and Human </w:t>
      </w:r>
      <w:proofErr w:type="spellStart"/>
      <w:r w:rsidRPr="005E1424">
        <w:rPr>
          <w:i/>
        </w:rPr>
        <w:t>Behavior</w:t>
      </w:r>
      <w:proofErr w:type="spellEnd"/>
      <w:r w:rsidRPr="005E1424">
        <w:rPr>
          <w:i/>
        </w:rPr>
        <w:t>,</w:t>
      </w:r>
      <w:r>
        <w:t xml:space="preserve"> Volume 34, Pages 3–38.</w:t>
      </w:r>
    </w:p>
    <w:p w:rsidR="001F13CC" w:rsidRDefault="001F13CC" w:rsidP="001F13CC"/>
    <w:p w:rsidR="001F13CC" w:rsidRDefault="001F13CC" w:rsidP="001F13CC">
      <w:proofErr w:type="spellStart"/>
      <w:r>
        <w:t>Köhnken</w:t>
      </w:r>
      <w:proofErr w:type="spellEnd"/>
      <w:r>
        <w:t xml:space="preserve"> G, Milne R, </w:t>
      </w:r>
      <w:proofErr w:type="spellStart"/>
      <w:r>
        <w:t>Memon</w:t>
      </w:r>
      <w:proofErr w:type="spellEnd"/>
      <w:r>
        <w:t xml:space="preserve"> and Bull, R (1999) `The cognitive interview: A meta-analysis. Psychology`, </w:t>
      </w:r>
      <w:r w:rsidRPr="005E1424">
        <w:rPr>
          <w:i/>
        </w:rPr>
        <w:t>Crime &amp; Law,</w:t>
      </w:r>
      <w:r>
        <w:t xml:space="preserve"> Volume 5 (1-2), Pages 3-27</w:t>
      </w:r>
    </w:p>
    <w:p w:rsidR="001F13CC" w:rsidRDefault="001F13CC" w:rsidP="001F13CC"/>
    <w:p w:rsidR="001F13CC" w:rsidRDefault="001F13CC" w:rsidP="001F13CC">
      <w:r>
        <w:t xml:space="preserve">Lamb, M.E., &amp; Fauchier, A. (2001). `The effects of question type on self-contradiction by children in the course of forensic interviews`. </w:t>
      </w:r>
      <w:r w:rsidRPr="005E1424">
        <w:rPr>
          <w:i/>
        </w:rPr>
        <w:t>Applied Cognitive Psychology,</w:t>
      </w:r>
      <w:r>
        <w:t xml:space="preserve"> Volume 15, Pages 483–491</w:t>
      </w:r>
    </w:p>
    <w:p w:rsidR="001F13CC" w:rsidRDefault="001F13CC" w:rsidP="001F13CC"/>
    <w:p w:rsidR="001F13CC" w:rsidRDefault="001F13CC" w:rsidP="001F13CC">
      <w:r>
        <w:t xml:space="preserve">Lamb M, Sternberg K, </w:t>
      </w:r>
      <w:proofErr w:type="spellStart"/>
      <w:r>
        <w:t>Orbach</w:t>
      </w:r>
      <w:proofErr w:type="spellEnd"/>
      <w:r>
        <w:t xml:space="preserve"> Y, </w:t>
      </w:r>
      <w:proofErr w:type="spellStart"/>
      <w:r>
        <w:t>Esplin</w:t>
      </w:r>
      <w:proofErr w:type="spellEnd"/>
      <w:r>
        <w:t xml:space="preserve"> P, Stewart H, and Mitchell S (2003). `Age differences in young children’s responses to open-ended invitations in the course of forensic interviews`. </w:t>
      </w:r>
      <w:r w:rsidRPr="005E1424">
        <w:rPr>
          <w:i/>
        </w:rPr>
        <w:t>Journal of Consulting and Clinical Psychology,</w:t>
      </w:r>
      <w:r>
        <w:t xml:space="preserve"> Volume 71, Pages 926–934.</w:t>
      </w:r>
    </w:p>
    <w:p w:rsidR="001F13CC" w:rsidRDefault="001F13CC" w:rsidP="001F13CC"/>
    <w:p w:rsidR="001F13CC" w:rsidRDefault="001F13CC" w:rsidP="001F13CC">
      <w:r>
        <w:t xml:space="preserve">Lamb M, </w:t>
      </w:r>
      <w:proofErr w:type="spellStart"/>
      <w:r>
        <w:t>LaRooy</w:t>
      </w:r>
      <w:proofErr w:type="spellEnd"/>
      <w:r>
        <w:t xml:space="preserve"> D, Lindsay C, Malloy L, and Katz C (2011).</w:t>
      </w:r>
      <w:r w:rsidRPr="005E1424">
        <w:rPr>
          <w:i/>
        </w:rPr>
        <w:t xml:space="preserve"> Children’s testimony: A handbook of psychological research and forensic practice</w:t>
      </w:r>
      <w:r>
        <w:t>. Chichester, West Sussex: Wiley Blackwell.</w:t>
      </w:r>
    </w:p>
    <w:p w:rsidR="001F13CC" w:rsidRDefault="001F13CC" w:rsidP="001F13CC"/>
    <w:p w:rsidR="001F13CC" w:rsidRDefault="001F13CC" w:rsidP="001F13CC">
      <w:r>
        <w:t xml:space="preserve">Leander L, Granhag P &amp; Christianson S (2009) `Children's Reports of Verbal Sexual Abuse: Effects of Police Officers' Interviewing Style`. </w:t>
      </w:r>
      <w:r w:rsidRPr="005E1424">
        <w:rPr>
          <w:i/>
        </w:rPr>
        <w:t>Psychiatry, Psychology and Law</w:t>
      </w:r>
      <w:r>
        <w:t>. Volume 16, 2009 - Issue 3</w:t>
      </w:r>
    </w:p>
    <w:p w:rsidR="001F13CC" w:rsidRDefault="001F13CC" w:rsidP="001F13CC"/>
    <w:p w:rsidR="001F13CC" w:rsidRDefault="001F13CC" w:rsidP="001F13CC">
      <w:proofErr w:type="spellStart"/>
      <w:r>
        <w:t>Macpartholan</w:t>
      </w:r>
      <w:proofErr w:type="spellEnd"/>
      <w:r>
        <w:t xml:space="preserve"> C (2019) `Court in the Act: Procedural Progression in the Law of Arrest, Detention and Failure to Answer to Bail`.</w:t>
      </w:r>
      <w:r w:rsidRPr="005E1424">
        <w:rPr>
          <w:i/>
        </w:rPr>
        <w:t xml:space="preserve"> Journal of Criminal Law</w:t>
      </w:r>
      <w:r>
        <w:t xml:space="preserve"> Volume 83( issue 3) </w:t>
      </w:r>
    </w:p>
    <w:p w:rsidR="001F13CC" w:rsidRDefault="001F13CC" w:rsidP="001F13CC"/>
    <w:p w:rsidR="001F13CC" w:rsidRDefault="001F13CC" w:rsidP="001F13CC">
      <w:r>
        <w:t xml:space="preserve">Ministry of Justice (2022) </w:t>
      </w:r>
      <w:r w:rsidRPr="005E1424">
        <w:rPr>
          <w:i/>
        </w:rPr>
        <w:t xml:space="preserve">Achieving Best Evidence in Criminal Proceedings: Guidance on Interviewing Victims and Witnesses, and Guidance on Using Special Measures. </w:t>
      </w:r>
      <w:r>
        <w:t xml:space="preserve">Available at: https://assets.publishing.service.gov.uk/government/uploads/system/uploads/attachment_data/file/1051269/achieving-best-evidence-criminal-proceedings.pdf. Accessed on 7/4/2022. </w:t>
      </w:r>
    </w:p>
    <w:p w:rsidR="001F13CC" w:rsidRDefault="001F13CC" w:rsidP="001F13CC"/>
    <w:p w:rsidR="001F13CC" w:rsidRDefault="001F13CC" w:rsidP="001F13CC">
      <w:r>
        <w:t xml:space="preserve">National Crime Faculty (2004) </w:t>
      </w:r>
      <w:r w:rsidRPr="005E1424">
        <w:rPr>
          <w:i/>
        </w:rPr>
        <w:t>Investigative Interviewing</w:t>
      </w:r>
      <w:r>
        <w:t xml:space="preserve">. Training Material. </w:t>
      </w:r>
      <w:proofErr w:type="spellStart"/>
      <w:r>
        <w:t>Bramshill</w:t>
      </w:r>
      <w:proofErr w:type="spellEnd"/>
      <w:r>
        <w:t xml:space="preserve">. National Crime Faculty. </w:t>
      </w:r>
    </w:p>
    <w:p w:rsidR="001F13CC" w:rsidRDefault="001F13CC" w:rsidP="001F13CC"/>
    <w:p w:rsidR="001F13CC" w:rsidRDefault="001F13CC" w:rsidP="001F13CC">
      <w:r>
        <w:t>National Police Chiefs Council (2019) Police chiefs guide officers to impose bail conditions protecting victims and vulnerable people. Available at:https://news.npcc.police.uk/releases/police-chiefs-guide-officers-to-impose-bail-conditions-protecting-victims-and-vulnerable-people. Accessed on: 9/4/2022</w:t>
      </w:r>
    </w:p>
    <w:p w:rsidR="001F13CC" w:rsidRDefault="001F13CC" w:rsidP="001F13CC"/>
    <w:p w:rsidR="001F13CC" w:rsidRDefault="001F13CC" w:rsidP="001F13CC">
      <w:r>
        <w:t>Pearson G, Rowe M and Turner L (2018) `Policy, Practicalities, and PACE s. 24: The Subsuming of the Necessity Criteria in Arrest Decision Making by Frontline Police Officers`. Journal of Law and Society. Volume 45 (2), Pages 282-308</w:t>
      </w:r>
    </w:p>
    <w:p w:rsidR="001F13CC" w:rsidRDefault="001F13CC" w:rsidP="001F13CC"/>
    <w:p w:rsidR="001F13CC" w:rsidRDefault="001F13CC" w:rsidP="001F13CC">
      <w:r>
        <w:t>Police and Crime Commissioner (2022)</w:t>
      </w:r>
      <w:r w:rsidRPr="005E1424">
        <w:rPr>
          <w:i/>
        </w:rPr>
        <w:t xml:space="preserve"> South Wales Police and Crime plan</w:t>
      </w:r>
      <w:r>
        <w:t xml:space="preserve"> 2022-2026. Executive summary. Available at file://swp.police.int/data/home/swp1692/Downloads/2022%2026%20Police%20&amp;%20Crime%20Plan%20Final%20(Eng).pdf. Accessed on 2/5/22 </w:t>
      </w:r>
    </w:p>
    <w:p w:rsidR="001F13CC" w:rsidRDefault="001F13CC" w:rsidP="001F13CC"/>
    <w:p w:rsidR="001F13CC" w:rsidRDefault="001F13CC" w:rsidP="001F13CC">
      <w:r>
        <w:t xml:space="preserve">Police and Criminal Evidence Act (1984) </w:t>
      </w:r>
      <w:r w:rsidRPr="005E1424">
        <w:rPr>
          <w:i/>
        </w:rPr>
        <w:t xml:space="preserve">Section 18 – Entry and Search after arrest. </w:t>
      </w:r>
      <w:r>
        <w:t xml:space="preserve">Legislation.gov.uk. Available at: https://www.legislation.gov.uk/ukpga/1984/60/section/18. Accessed on 8/4/2022 </w:t>
      </w:r>
    </w:p>
    <w:p w:rsidR="001F13CC" w:rsidRDefault="001F13CC" w:rsidP="001F13CC"/>
    <w:p w:rsidR="001F13CC" w:rsidRDefault="001F13CC" w:rsidP="001F13CC">
      <w:r>
        <w:t xml:space="preserve">Police and Criminal Evidence Act (1984) </w:t>
      </w:r>
      <w:r w:rsidRPr="005E1424">
        <w:rPr>
          <w:i/>
        </w:rPr>
        <w:t xml:space="preserve">Section 24 –Arrest without warrant: constables. </w:t>
      </w:r>
      <w:r>
        <w:t>Legislation.gov.uk. Available at: https://www.legislation.gov.uk/ukpga/1984/60/section/24. Accessed on 8/4/2022</w:t>
      </w:r>
    </w:p>
    <w:p w:rsidR="001F13CC" w:rsidRDefault="001F13CC" w:rsidP="001F13CC"/>
    <w:p w:rsidR="001F13CC" w:rsidRDefault="001F13CC" w:rsidP="001F13CC">
      <w:r>
        <w:t xml:space="preserve">Police and Criminal Evidence Act (1984) </w:t>
      </w:r>
      <w:r w:rsidRPr="005E1424">
        <w:rPr>
          <w:i/>
        </w:rPr>
        <w:t>Section 32 – Search upon arrest.</w:t>
      </w:r>
      <w:r>
        <w:t xml:space="preserve"> Legislation.gov.uk. Available at: https://www.legislation.gov.uk/ukpga/1984/60/section/32. Accessed on 9/4/2022 </w:t>
      </w:r>
    </w:p>
    <w:p w:rsidR="001F13CC" w:rsidRDefault="001F13CC" w:rsidP="001F13CC"/>
    <w:p w:rsidR="001F13CC" w:rsidRDefault="001F13CC" w:rsidP="001F13CC">
      <w:r>
        <w:t xml:space="preserve">Police and Criminal Evidence Act (1984) </w:t>
      </w:r>
      <w:r w:rsidRPr="005E1424">
        <w:rPr>
          <w:i/>
        </w:rPr>
        <w:t xml:space="preserve">Code G Revised 2012. Code of Practice for the statutory power of arrest by Police Officers. </w:t>
      </w:r>
      <w:r>
        <w:t xml:space="preserve">Available at: Code G Revised 2012. Code of Practice for the statutory power of arrest by Police Officers. Accessed on: 10/4/2022 </w:t>
      </w:r>
    </w:p>
    <w:p w:rsidR="001F13CC" w:rsidRDefault="001F13CC" w:rsidP="001F13CC"/>
    <w:p w:rsidR="001F13CC" w:rsidRDefault="005E1424" w:rsidP="001F13CC">
      <w:r>
        <w:t>Quinn F (2011)</w:t>
      </w:r>
      <w:r w:rsidR="001F13CC" w:rsidRPr="005E1424">
        <w:rPr>
          <w:i/>
        </w:rPr>
        <w:t xml:space="preserve"> English legal system</w:t>
      </w:r>
      <w:r w:rsidR="001F13CC">
        <w:t xml:space="preserve"> Contributor; Catherine Elliott Author. Pearson Longman </w:t>
      </w:r>
    </w:p>
    <w:p w:rsidR="001F13CC" w:rsidRDefault="001F13CC" w:rsidP="001F13CC"/>
    <w:p w:rsidR="001F13CC" w:rsidRDefault="001F13CC" w:rsidP="001F13CC">
      <w:r>
        <w:t xml:space="preserve">Sanders, A et al (2010, 4th </w:t>
      </w:r>
      <w:proofErr w:type="spellStart"/>
      <w:r>
        <w:t>edn</w:t>
      </w:r>
      <w:proofErr w:type="spellEnd"/>
      <w:r>
        <w:t xml:space="preserve">.) `Criminal Justice 141` as cited by Pearson G, Rowe M and Turner L (2018)  Policy, Practicalities, and PACE s. 24: `The Subsuming of the Necessity Criteria in Arrest Decision Making by Frontline Police Officers`. </w:t>
      </w:r>
      <w:r w:rsidRPr="005E1424">
        <w:rPr>
          <w:i/>
        </w:rPr>
        <w:t>Journal of Law and Society.</w:t>
      </w:r>
      <w:r>
        <w:t xml:space="preserve"> Volume 45. Number 2. </w:t>
      </w:r>
    </w:p>
    <w:p w:rsidR="001F13CC" w:rsidRDefault="001F13CC" w:rsidP="001F13CC"/>
    <w:p w:rsidR="001F13CC" w:rsidRDefault="001F13CC" w:rsidP="001F13CC">
      <w:proofErr w:type="spellStart"/>
      <w:r>
        <w:lastRenderedPageBreak/>
        <w:t>Schreibe</w:t>
      </w:r>
      <w:proofErr w:type="spellEnd"/>
      <w:r>
        <w:t xml:space="preserve">- Compo N,  Hyman G and Fisher R (2012) `Interviewing </w:t>
      </w:r>
      <w:proofErr w:type="spellStart"/>
      <w:r>
        <w:t>behaviors</w:t>
      </w:r>
      <w:proofErr w:type="spellEnd"/>
      <w:r>
        <w:t xml:space="preserve"> in police investigators: a field study of a current US sample`. </w:t>
      </w:r>
      <w:r w:rsidRPr="005E1424">
        <w:rPr>
          <w:i/>
        </w:rPr>
        <w:t xml:space="preserve">Psychology, crime &amp; law, </w:t>
      </w:r>
      <w:r>
        <w:t>Volume 18 (4), Pages 359-375</w:t>
      </w:r>
    </w:p>
    <w:p w:rsidR="001F13CC" w:rsidRDefault="001F13CC" w:rsidP="001F13CC"/>
    <w:p w:rsidR="001F13CC" w:rsidRDefault="001F13CC" w:rsidP="001F13CC">
      <w:r>
        <w:t>Serious Organised Crime and Police Act (2005)</w:t>
      </w:r>
      <w:r w:rsidRPr="005E1424">
        <w:rPr>
          <w:i/>
        </w:rPr>
        <w:t xml:space="preserve"> Section 110 – Powers of arrest.</w:t>
      </w:r>
      <w:r>
        <w:t xml:space="preserve"> Available at: https://www.legislation.gov.uk/ukpga/2005/15/section/110. Accessed on 8/4/2022. </w:t>
      </w:r>
    </w:p>
    <w:p w:rsidR="001F13CC" w:rsidRDefault="001F13CC" w:rsidP="001F13CC"/>
    <w:p w:rsidR="001F13CC" w:rsidRDefault="001F13CC" w:rsidP="001F13CC">
      <w:r>
        <w:t xml:space="preserve">Shepherd, E. (1988) </w:t>
      </w:r>
      <w:r w:rsidRPr="005E1424">
        <w:rPr>
          <w:i/>
        </w:rPr>
        <w:t>Developing interviewing skills: A career span perspective. In Southgate, P. (Ed). New directions in police training</w:t>
      </w:r>
      <w:r>
        <w:t>’. London: HMSO</w:t>
      </w:r>
    </w:p>
    <w:p w:rsidR="001F13CC" w:rsidRDefault="001F13CC" w:rsidP="001F13CC"/>
    <w:p w:rsidR="001F13CC" w:rsidRDefault="001F13CC" w:rsidP="001F13CC">
      <w:r>
        <w:t xml:space="preserve">Sternberg K, Lamb M, </w:t>
      </w:r>
      <w:proofErr w:type="spellStart"/>
      <w:r>
        <w:t>Orbach</w:t>
      </w:r>
      <w:proofErr w:type="spellEnd"/>
      <w:r>
        <w:t xml:space="preserve"> Y, </w:t>
      </w:r>
      <w:proofErr w:type="spellStart"/>
      <w:r>
        <w:t>Esplin</w:t>
      </w:r>
      <w:proofErr w:type="spellEnd"/>
      <w:r>
        <w:t xml:space="preserve"> P and Mitchell S. (2001). `Use of a structured investigative protocol enhance young children’s responses to free-recall prompts in the course of forensic interviews`. </w:t>
      </w:r>
      <w:r w:rsidRPr="005E1424">
        <w:rPr>
          <w:i/>
        </w:rPr>
        <w:t>Journal of Applied Psychology,</w:t>
      </w:r>
      <w:r>
        <w:t xml:space="preserve"> Volume 86(5), 997–1005.</w:t>
      </w:r>
    </w:p>
    <w:p w:rsidR="001F13CC" w:rsidRDefault="001F13CC" w:rsidP="001F13CC"/>
    <w:p w:rsidR="001F13CC" w:rsidRDefault="001F13CC" w:rsidP="001F13CC">
      <w:r>
        <w:t xml:space="preserve">Vrij, A (2008) </w:t>
      </w:r>
      <w:r w:rsidRPr="005E1424">
        <w:rPr>
          <w:i/>
        </w:rPr>
        <w:t>Detecting Lies and Deceit. Pitfalls and Opportunities.</w:t>
      </w:r>
      <w:r>
        <w:t xml:space="preserve"> John Wiley and Sons </w:t>
      </w:r>
    </w:p>
    <w:p w:rsidR="001F13CC" w:rsidRDefault="001F13CC" w:rsidP="001F13CC"/>
    <w:p w:rsidR="001F13CC" w:rsidRDefault="005E1424" w:rsidP="001F13CC">
      <w:r>
        <w:t>Walker N and Hunt J. (1998) `I</w:t>
      </w:r>
      <w:r w:rsidR="001F13CC">
        <w:t xml:space="preserve">nterviewing child victim witness: How you ask is what you get`. Eyewitness memory: </w:t>
      </w:r>
      <w:r w:rsidR="001F13CC" w:rsidRPr="005E1424">
        <w:rPr>
          <w:i/>
        </w:rPr>
        <w:t>Theoretical and applied perspectives</w:t>
      </w:r>
      <w:r w:rsidR="001F13CC">
        <w:t>. Pages -55–87</w:t>
      </w:r>
    </w:p>
    <w:p w:rsidR="001F13CC" w:rsidRDefault="001F13CC" w:rsidP="001F13CC"/>
    <w:p w:rsidR="001F13CC" w:rsidRDefault="005E1424" w:rsidP="001F13CC">
      <w:r>
        <w:t>Walsh D and Bull R (2010) `W</w:t>
      </w:r>
      <w:r w:rsidR="001F13CC">
        <w:t xml:space="preserve">hat really is effective in interviews with suspects? A study comparing interviewing skills against interviewing outcomes`. </w:t>
      </w:r>
      <w:r w:rsidR="001F13CC" w:rsidRPr="005E1424">
        <w:rPr>
          <w:i/>
        </w:rPr>
        <w:t>Legal and Criminological Psychology</w:t>
      </w:r>
      <w:r w:rsidR="001F13CC">
        <w:t xml:space="preserve">. Volume 15 (2) Pages 305-321 </w:t>
      </w:r>
    </w:p>
    <w:p w:rsidR="001F13CC" w:rsidRDefault="001F13CC" w:rsidP="001F13CC"/>
    <w:p w:rsidR="001F13CC" w:rsidRDefault="001F13CC" w:rsidP="001F13CC">
      <w:r>
        <w:t>Williamson T (1994) `Reflections on current police practice` in D. Morgan and G. Stephenson (</w:t>
      </w:r>
      <w:proofErr w:type="spellStart"/>
      <w:r>
        <w:t>eds</w:t>
      </w:r>
      <w:proofErr w:type="spellEnd"/>
      <w:r>
        <w:t xml:space="preserve">) Suspicion and Silence. </w:t>
      </w:r>
      <w:r w:rsidRPr="005E1424">
        <w:rPr>
          <w:i/>
        </w:rPr>
        <w:t>The rights of Silence in Criminal Investigations.</w:t>
      </w:r>
      <w:r>
        <w:t xml:space="preserve"> London: Blackstone Press. </w:t>
      </w:r>
    </w:p>
    <w:p w:rsidR="001F13CC" w:rsidRDefault="001F13CC" w:rsidP="001F13CC"/>
    <w:p w:rsidR="001F13CC" w:rsidRDefault="001F13CC" w:rsidP="001F13CC">
      <w:r>
        <w:t xml:space="preserve">Williamson T, Milne B and Savage S (2009) </w:t>
      </w:r>
      <w:r w:rsidRPr="005E1424">
        <w:rPr>
          <w:i/>
        </w:rPr>
        <w:t>International Developments in Investigative Interviewing</w:t>
      </w:r>
      <w:r>
        <w:t>. Routledge, London and New York</w:t>
      </w:r>
    </w:p>
    <w:p w:rsidR="00B179EE" w:rsidRDefault="00B179EE" w:rsidP="00B179EE"/>
    <w:p w:rsidR="005E1424" w:rsidRDefault="005E1424" w:rsidP="00B179EE">
      <w:pPr>
        <w:rPr>
          <w:b/>
          <w:u w:val="single"/>
        </w:rPr>
      </w:pPr>
    </w:p>
    <w:p w:rsidR="005E1424" w:rsidRDefault="005E1424" w:rsidP="00B179EE">
      <w:pPr>
        <w:rPr>
          <w:b/>
          <w:u w:val="single"/>
        </w:rPr>
      </w:pPr>
    </w:p>
    <w:p w:rsidR="005E1424" w:rsidRDefault="005E1424" w:rsidP="00B179EE">
      <w:pPr>
        <w:rPr>
          <w:b/>
          <w:u w:val="single"/>
        </w:rPr>
      </w:pPr>
    </w:p>
    <w:p w:rsidR="005E1424" w:rsidRDefault="005E1424" w:rsidP="00B179EE">
      <w:pPr>
        <w:rPr>
          <w:b/>
          <w:u w:val="single"/>
        </w:rPr>
      </w:pPr>
    </w:p>
    <w:p w:rsidR="005E1424" w:rsidRDefault="005E1424" w:rsidP="00B179EE">
      <w:pPr>
        <w:rPr>
          <w:b/>
          <w:u w:val="single"/>
        </w:rPr>
      </w:pPr>
    </w:p>
    <w:p w:rsidR="005E1424" w:rsidRDefault="005E1424" w:rsidP="00B179EE">
      <w:pPr>
        <w:rPr>
          <w:b/>
          <w:u w:val="single"/>
        </w:rPr>
      </w:pPr>
    </w:p>
    <w:p w:rsidR="00B179EE" w:rsidRDefault="00B179EE" w:rsidP="00B179EE">
      <w:pPr>
        <w:rPr>
          <w:b/>
          <w:u w:val="single"/>
        </w:rPr>
      </w:pPr>
      <w:r w:rsidRPr="00673070">
        <w:rPr>
          <w:b/>
          <w:u w:val="single"/>
        </w:rPr>
        <w:lastRenderedPageBreak/>
        <w:t xml:space="preserve">Question 4 </w:t>
      </w:r>
    </w:p>
    <w:p w:rsidR="003B01D3" w:rsidRPr="00673070" w:rsidRDefault="003B01D3" w:rsidP="00B179EE">
      <w:pPr>
        <w:rPr>
          <w:b/>
          <w:u w:val="single"/>
        </w:rPr>
      </w:pPr>
    </w:p>
    <w:p w:rsidR="003B01D3" w:rsidRPr="003B01D3" w:rsidRDefault="003B01D3" w:rsidP="003B01D3">
      <w:pPr>
        <w:rPr>
          <w:b/>
        </w:rPr>
      </w:pPr>
      <w:r w:rsidRPr="003B01D3">
        <w:rPr>
          <w:b/>
        </w:rPr>
        <w:t>Consider and reflect upon how you analysed, assessed and evaluated material generated by the investi</w:t>
      </w:r>
      <w:r w:rsidRPr="003B01D3">
        <w:rPr>
          <w:b/>
        </w:rPr>
        <w:t xml:space="preserve">gation to identify offenders.  </w:t>
      </w:r>
    </w:p>
    <w:p w:rsidR="003B01D3" w:rsidRPr="003B01D3" w:rsidRDefault="003B01D3" w:rsidP="003B01D3">
      <w:pPr>
        <w:rPr>
          <w:b/>
        </w:rPr>
      </w:pPr>
      <w:r w:rsidRPr="003B01D3">
        <w:rPr>
          <w:b/>
        </w:rPr>
        <w:t>Illustrate how you have ensured that all material, including exhibits generated were seized, examined and retained in accordance with legislation and policy where necessary</w:t>
      </w:r>
      <w:r w:rsidRPr="003B01D3">
        <w:rPr>
          <w:b/>
        </w:rPr>
        <w:t xml:space="preserve"> (compliance with CPIA. PACE)  </w:t>
      </w:r>
    </w:p>
    <w:p w:rsidR="003B01D3" w:rsidRPr="003B01D3" w:rsidRDefault="003B01D3" w:rsidP="003B01D3">
      <w:pPr>
        <w:rPr>
          <w:b/>
        </w:rPr>
      </w:pPr>
      <w:r w:rsidRPr="003B01D3">
        <w:rPr>
          <w:b/>
        </w:rPr>
        <w:t xml:space="preserve">Evaluate How you pre-prepared reports detailing the investigating and the management of case files. Examine how you have conducted disclosure with best practice procedures whilst creating an accurate audit trail. </w:t>
      </w:r>
    </w:p>
    <w:p w:rsidR="003B01D3" w:rsidRDefault="003B01D3" w:rsidP="003B01D3"/>
    <w:p w:rsidR="00B179EE" w:rsidRDefault="00B179EE" w:rsidP="003B01D3">
      <w:r>
        <w:t>This case involves a male 'DT' who was discovered deceased outside his home with severe head injuries. I was assigned the role of exhibits officer, which entails taking responsibility for every exhibit recovered in the investigation. According to Roberts (2012) an exhibit is defined as 'Any physical/tangible object that may provide some evidential value to an investigation and may be produced at Court. If there is any doubt about whether anything will become an exhibit, it is best to exhibit it from the start as going back to it later may not be possible. Roberts (2012) states that the finder should produce the exhibit so that if the case goes to court, the finder can provide history around where and why it was produced. Overseeing the exhibits was a crucial role that was often overwhelming. Exhibits were quickly brought into the Major Incident Room, where they had to be examined and accurately recorded onto the home office large major enquiry system (HOLMES, Association of Chief Police Officers ACPO 2006). While the exhibits are in their possession, the police must keep detailed records of their movements (NPIA 2005). There are key standards to follow while managing exhibits, and all officers must do so with integrity (ACPO 200</w:t>
      </w:r>
      <w:r w:rsidR="009F353C">
        <w:t>6). According to Fisher (1992) o</w:t>
      </w:r>
      <w:r>
        <w:t>fficers must always demonstrate honesty and transparency when handling exhibits, as well as ensuring accountability by accurately documenting them. The exhibits must be secured and clearly labelled on the outside of the packaging as to what they include. They must be safely stored and mechanisms to keep these exhibits secure must be robust to avoid losing them (Pepper 2005), making sure they are appropriately sealed so they cannot be tampered with (White 2004)</w:t>
      </w:r>
      <w:r w:rsidR="009F353C">
        <w:t>,</w:t>
      </w:r>
      <w:r>
        <w:t xml:space="preserve"> ensuring that nothing is unintentionally or intentionally added to or removed from the exhibit (Pepper 2005). The association of chief Police officers (ACPO 2006) states that it is crucial to ensure that the exhibits are not compromised in any way. I adhered to the guidance and correctly ensured the continuity and integrity of the exhibits. According to Horswell (2004)</w:t>
      </w:r>
      <w:r w:rsidR="009F353C">
        <w:t>,</w:t>
      </w:r>
      <w:r>
        <w:t xml:space="preserve"> ens</w:t>
      </w:r>
      <w:r w:rsidR="009F353C">
        <w:t>uring that all exhibit labels are</w:t>
      </w:r>
      <w:r>
        <w:t xml:space="preserve"> accur</w:t>
      </w:r>
      <w:r w:rsidR="009F353C">
        <w:t>ately completed is vital. The `c</w:t>
      </w:r>
      <w:r>
        <w:t xml:space="preserve">hain of custody' is an important part of exhibit management and the function of an exhibits officer is critical in ensuring that the chain of custody is maintained (Nicole et al 2004). This includes documenting the exhibit's movement from its finding through to its presentation in court (Pepper 2005). It is critical to create a documentary trail that includes everyone who has handled the exhibit, commencing with where and when it was received and continuing through storage, transportation, and analysis (ACPO 2006). The exhibits must be kept in a safe place until the investigation is completed, at which point they would be restored to the owner or destroyed (NPIA 2005, Weston 1998). In this investigation the principles and standards for the exhibits' management were rigorously followed. Officers must be aware of these procedures and follow them, as failing to do so can result in evidence being ruled inadmissible, the case being dismissed, and a loss of professional credibility (Roberts 2012). </w:t>
      </w:r>
    </w:p>
    <w:p w:rsidR="00B179EE" w:rsidRDefault="00B179EE" w:rsidP="00B179EE"/>
    <w:p w:rsidR="00B179EE" w:rsidRDefault="00B179EE" w:rsidP="00B179EE">
      <w:r>
        <w:t xml:space="preserve">I evaluated the exhibits as they were brought into the room for their relevance to the investigation. I was involved in Forensic Management meetings which were attended by </w:t>
      </w:r>
      <w:r w:rsidR="009F353C" w:rsidRPr="009F353C">
        <w:t>Scenes of Crime Officers</w:t>
      </w:r>
      <w:r w:rsidR="009F353C">
        <w:t>, e</w:t>
      </w:r>
      <w:r w:rsidR="009F353C" w:rsidRPr="009F353C">
        <w:t xml:space="preserve">xpert scientists </w:t>
      </w:r>
      <w:r w:rsidR="009F353C">
        <w:t xml:space="preserve">and </w:t>
      </w:r>
      <w:r>
        <w:t>other officers</w:t>
      </w:r>
      <w:r w:rsidR="009F353C">
        <w:t xml:space="preserve"> involved in the investigation</w:t>
      </w:r>
      <w:r>
        <w:t xml:space="preserve">. The scenes and exhibits were discussed and prioritised according to their importance. Detailed study of the crime scene and analysis of forensic evidence are frequently used to solve crimes and according to Lee and Pagliaro (2013) forensic scientists' work is vital in criminal investigations. `KB` had been arrested for murdering DT as he had been found near to the scene. He had no connection to the deceased male and made `no comment` during interview. To determine DT's involvement, forensic examination of the exhibits was crucial. There were several exhibits that needed to be assessed and prioritised. These included footprints found at the scene, on a plant pot and on the deceased's clothing, swabs obtained from KB at custody and DT`s post-mortem, a brick found at the scene and clothing worn by the deceased and KB.  </w:t>
      </w:r>
    </w:p>
    <w:p w:rsidR="00B179EE" w:rsidRDefault="00B179EE" w:rsidP="00B179EE"/>
    <w:p w:rsidR="00B179EE" w:rsidRDefault="00B179EE" w:rsidP="00B179EE">
      <w:r>
        <w:t xml:space="preserve">To aid my learning in respect of the exhibits, I will utilise Driscoll's (2007) model of reflection. The evaluation of the exhibits is the 'What' stage. The 'So </w:t>
      </w:r>
      <w:r w:rsidR="003F4785">
        <w:t>what</w:t>
      </w:r>
      <w:r>
        <w:t xml:space="preserve"> stage' was the decision to prioritise and expedite the analysis of KB's shoes. The shoes proved to be a crucial piece of evidence. Blood from the deceased was discovered on them, along with an exact match of soil from the scene and the footprint mark from the shoes matched the footprint found on the deceased's clothing. The shoes had to be transported to several experts around the country for various components of the work to be completed, however, it was not until I sent the shoes for the blood analysis that I discovered that there was a specific order in which they had to be evaluated. As a result, the shoes had to be collected and transferred to a different lab to complete the soil task first. </w:t>
      </w:r>
      <w:r w:rsidR="009F353C">
        <w:t>This added t</w:t>
      </w:r>
      <w:r>
        <w:t>ime to a</w:t>
      </w:r>
      <w:r w:rsidR="009F353C">
        <w:t>n already tight</w:t>
      </w:r>
      <w:r>
        <w:t xml:space="preserve"> schedule. The model's third stage, 'Now what,' has prompted me to reflect on my learning. In future, I will be sure to schedule discussions with each laboratory's scientists at an ear</w:t>
      </w:r>
      <w:r w:rsidR="009F353C">
        <w:t>ly stage to confirm the work tha</w:t>
      </w:r>
      <w:r>
        <w:t xml:space="preserve">t will be done on each exhibit. This will save time and confusion. A flow chart diagram explaining the exhibit process was provided, which I made available to colleagues.  </w:t>
      </w:r>
    </w:p>
    <w:p w:rsidR="00B179EE" w:rsidRDefault="00B179EE" w:rsidP="00B179EE"/>
    <w:p w:rsidR="00B179EE" w:rsidRDefault="00B179EE" w:rsidP="00B179EE">
      <w:r>
        <w:t xml:space="preserve">Along with taking responsibility of the exhibits I was also appointed the exhibit's disclosure officer. In all investigations an Officer will be given this function and will be responsible for disclosing to the Crown Prosecution Service (CPS) any information that has been produced or identified throughout the investigation (CPS 2018). Vast amounts of physical and digital evidence can be acquired during criminal investigations (McCartney and Shorter 2020). The material must be accurately retained and stored. The Nationwide Police Chiefs Council (NPCC 2017) has provided national recommendations to ensure that all police forces maintain and store information in the same way. </w:t>
      </w:r>
    </w:p>
    <w:p w:rsidR="00B179EE" w:rsidRDefault="00B179EE" w:rsidP="00B179EE"/>
    <w:p w:rsidR="00B179EE" w:rsidRDefault="00B179EE" w:rsidP="00B179EE">
      <w:r>
        <w:t xml:space="preserve">The Criminal Procedure and Investigations Act (CPIA 1996), the Police and Criminal Evidence Act (PACE 1984), and the Management of Police Information Act (College of Policing 2013) are three sets of guidelines in relation to managing material gathered by police. Officers should adhere to CPIA guidelines (CPIA Ministry of Justice, 2015) when gathering information/evidence in a criminal investigation. CPIA </w:t>
      </w:r>
      <w:r w:rsidR="00B76807">
        <w:t xml:space="preserve">(1996) </w:t>
      </w:r>
      <w:r>
        <w:t>stipulates that</w:t>
      </w:r>
      <w:r w:rsidR="00B76807">
        <w:t xml:space="preserve"> officers investigating </w:t>
      </w:r>
      <w:r>
        <w:t xml:space="preserve">crimes have a </w:t>
      </w:r>
      <w:r w:rsidR="00B76807">
        <w:t>“</w:t>
      </w:r>
      <w:r>
        <w:t>responsibility to record and retain material that may be relevant to the investigation</w:t>
      </w:r>
      <w:r w:rsidR="00B76807">
        <w:t>”</w:t>
      </w:r>
      <w:r>
        <w:t xml:space="preserve">. These are, however, guidelines, not laws. Police officers must record, retain, and reveal material obtained during investigations to the prosecutor (Ministry of Justice, 2015). The term "material" is defined as "any material, including </w:t>
      </w:r>
      <w:r>
        <w:lastRenderedPageBreak/>
        <w:t>information and objects, acquired or examined during a criminal investigation and that may be</w:t>
      </w:r>
      <w:r w:rsidR="00B76807">
        <w:t xml:space="preserve"> relevant to the investigation.</w:t>
      </w:r>
      <w:r>
        <w:t xml:space="preserve"> This includes not only material that comes into the investigator's possession, but also material that they create</w:t>
      </w:r>
      <w:r w:rsidR="00B76807">
        <w:t>”</w:t>
      </w:r>
      <w:r>
        <w:t xml:space="preserve"> (Ministry of Justice, 2015). </w:t>
      </w:r>
    </w:p>
    <w:p w:rsidR="00B179EE" w:rsidRDefault="00B179EE" w:rsidP="00B179EE"/>
    <w:p w:rsidR="00B179EE" w:rsidRDefault="00B179EE" w:rsidP="00B179EE">
      <w:r>
        <w:t>If the</w:t>
      </w:r>
      <w:r w:rsidR="00B76807">
        <w:t xml:space="preserve"> disclosure officer or</w:t>
      </w:r>
      <w:r>
        <w:t xml:space="preserve"> officer in charge of the </w:t>
      </w:r>
      <w:r w:rsidR="00B76807">
        <w:t xml:space="preserve">case </w:t>
      </w:r>
      <w:r>
        <w:t xml:space="preserve">believes the evidence will have some impact on the case or the person being investigated (CPIA 1996), it may be relevant. If the investigator determines that the material gathered is irrelevant, the material does not need to be retained, though the investigator should bear in mind that what is incapable of impact may change over time. Physical objects should be kept as, due to technological advancements, they may be forensically analysed in the future. These physical and digital exhibits must be preserved for future re-evaluation if necessary (McCarter and Shorter 2020).  </w:t>
      </w:r>
    </w:p>
    <w:p w:rsidR="00B179EE" w:rsidRDefault="00B179EE" w:rsidP="00B179EE"/>
    <w:p w:rsidR="00B179EE" w:rsidRDefault="00B179EE" w:rsidP="00B179EE">
      <w:r>
        <w:t>The officers must use their own judgement and discretion when determining what material</w:t>
      </w:r>
      <w:r w:rsidR="009F353C">
        <w:t xml:space="preserve"> is</w:t>
      </w:r>
      <w:r>
        <w:t xml:space="preserve"> 'relevant.' (McCartney and Shorter 2020). Officers must examine and evaluate all this material. However, the guidelines provide little instructions on how to do so, thus officers will interpret the material differently. It is often necessary to analyse copious amounts of irrelevant content, which can be time consuming and costly. </w:t>
      </w:r>
    </w:p>
    <w:p w:rsidR="00B179EE" w:rsidRDefault="00B179EE" w:rsidP="00B179EE"/>
    <w:p w:rsidR="00B179EE" w:rsidRDefault="00B179EE" w:rsidP="00B179EE">
      <w:r>
        <w:t xml:space="preserve">Throughout this investigation a large amount of information was gathered. It is critical that all the material was assessed and reviewed accurately and thoroughly and importantly with transparency. According to the Attorney General's Disclosure Guidelines (2013), a fair investigation entails officers following </w:t>
      </w:r>
      <w:r w:rsidR="00B76807">
        <w:t>“</w:t>
      </w:r>
      <w:r>
        <w:t>all legitimate avenues of inquiry, whether they lead to or away from the suspect. What constitutes 'reasonable' will vary depending on the circumstances</w:t>
      </w:r>
      <w:r w:rsidR="00B76807">
        <w:t>”</w:t>
      </w:r>
      <w:r w:rsidR="00B76807" w:rsidRPr="00B76807">
        <w:t xml:space="preserve"> (Attorney General</w:t>
      </w:r>
      <w:r w:rsidR="009F353C">
        <w:t>'s Disclosure Guidelines 2013)</w:t>
      </w:r>
      <w:r>
        <w:t>. However, a fair investigation, does not entail an indefinite inquiry. Officers must place limits on their investigations, seeking guidance from the prosecutor where necessary</w:t>
      </w:r>
      <w:r w:rsidR="009F353C">
        <w:t>.</w:t>
      </w:r>
      <w:r>
        <w:t xml:space="preserve"> </w:t>
      </w:r>
    </w:p>
    <w:p w:rsidR="00B179EE" w:rsidRDefault="00B179EE" w:rsidP="00B179EE">
      <w:r>
        <w:t xml:space="preserve">Negative data is equally relevant to the investigation and should be preserved in the same way. The information should be documented soon after it is acquired. The material must then be kept until a decision is made on whether to bring legal proceedings against the individual (CPIA 1996).  </w:t>
      </w:r>
    </w:p>
    <w:p w:rsidR="00B179EE" w:rsidRDefault="00B179EE" w:rsidP="00B179EE"/>
    <w:p w:rsidR="00B179EE" w:rsidRDefault="00B179EE" w:rsidP="00B179EE">
      <w:r>
        <w:t xml:space="preserve">Schedules must be created for any material that may be relevant to the inquiry but is not part of the prosecution case (CPS 2018). Throughout the investigation I ensured that the Prosecutor received the disclosure schedules. It is critical that the police create accurate schedules of the material in their possession, and that the schedules provide enough detail when summarising that material to allow the prosecutor to decide on whether the material should be disclosed. (College of Policing 2013) In a prosecution case, the defendant has the right to be given information about the allegations brought against them so that they can have a fair trial (Immigration Enforcement 2020). </w:t>
      </w:r>
    </w:p>
    <w:p w:rsidR="00B179EE" w:rsidRDefault="00B179EE" w:rsidP="00B179EE"/>
    <w:p w:rsidR="00B179EE" w:rsidRDefault="00B179EE" w:rsidP="00B179EE">
      <w:r>
        <w:t xml:space="preserve">As a child, KB was involved with Social Services. The third-party material was examined, and documents pertinent to the investigation were discovered. KB had previously revealed that he had been sexually abused by a group of men at DT's home address when he was a child. Other accused persons and other young people who had been spoken to as part of the inquiry were mentioned in </w:t>
      </w:r>
      <w:r>
        <w:lastRenderedPageBreak/>
        <w:t xml:space="preserve">the Social Services material. This material was deemed sensitive, and the information was listed on a separate disclosure schedule.  </w:t>
      </w:r>
    </w:p>
    <w:p w:rsidR="00B179EE" w:rsidRDefault="00B179EE" w:rsidP="00B179EE"/>
    <w:p w:rsidR="00B179EE" w:rsidRDefault="00B179EE" w:rsidP="00B179EE">
      <w:r>
        <w:t>I used HOLMES, which has an audit feature, to complete the disclosure schedules. An audit function is critical for user responsibility</w:t>
      </w:r>
      <w:r w:rsidR="00F7589B">
        <w:t>. I</w:t>
      </w:r>
      <w:r>
        <w:t>t can reconstruct events and can be used to identify flaws with the system (Marker 2017). I evaluated my use of HOLMES to prepare the disclosure schedules. To be able to use this system I had to undertake an intensive disclosure and exhibits course. Preparing the reports in this manner took far longer than the system I had used previously. At first, I found the system difficult to use as it was new to me. Information technology is one of the greatest influences on police practices. However, the Police service is often criticised in relation to their use of technology (Fox 2019). The Technology Acceptance Model (</w:t>
      </w:r>
      <w:proofErr w:type="spellStart"/>
      <w:r>
        <w:t>Masrom</w:t>
      </w:r>
      <w:proofErr w:type="spellEnd"/>
      <w:r>
        <w:t xml:space="preserve"> 2017) is useful to understand why users set out to accept or reject computer technology (Colvin and Goh 2005). Their research found that Training and information on modern technologies need to focus on how the technology can help improve the effectiveness of the individual’s learning process rather than on the procedures of the technology itself. Training staff to use computer systems is costly and time consuming and the systems need regular updating (</w:t>
      </w:r>
      <w:proofErr w:type="spellStart"/>
      <w:r>
        <w:t>Legris</w:t>
      </w:r>
      <w:proofErr w:type="spellEnd"/>
      <w:r>
        <w:t xml:space="preserve">, </w:t>
      </w:r>
      <w:proofErr w:type="spellStart"/>
      <w:r>
        <w:t>Ingham</w:t>
      </w:r>
      <w:proofErr w:type="spellEnd"/>
      <w:r>
        <w:t xml:space="preserve"> and </w:t>
      </w:r>
      <w:proofErr w:type="spellStart"/>
      <w:r>
        <w:t>Collerette</w:t>
      </w:r>
      <w:proofErr w:type="spellEnd"/>
      <w:r>
        <w:t xml:space="preserve"> 2003). However, it can be argued that the </w:t>
      </w:r>
      <w:r w:rsidR="00B76807">
        <w:t>“</w:t>
      </w:r>
      <w:r>
        <w:t xml:space="preserve">implementation of </w:t>
      </w:r>
      <w:r w:rsidR="00B76807">
        <w:t xml:space="preserve">modern </w:t>
      </w:r>
      <w:r>
        <w:t xml:space="preserve">technologies make the police more </w:t>
      </w:r>
      <w:r w:rsidR="00B76807">
        <w:t xml:space="preserve">effective and efficient” </w:t>
      </w:r>
      <w:r>
        <w:t>(Fox 2019). The Association of Police and Crime Commissioners Chair (in 2016) Vera Baird QC stated that using technology would attract and keep confident and professional officers (Fox 2019)</w:t>
      </w:r>
      <w:r w:rsidR="00F7589B">
        <w:t>.</w:t>
      </w:r>
      <w:r>
        <w:t xml:space="preserve"> However, there are inconsistencies acr</w:t>
      </w:r>
      <w:r w:rsidR="00F7589B">
        <w:t>oss England and Wales and</w:t>
      </w:r>
      <w:r>
        <w:t xml:space="preserve"> technology need</w:t>
      </w:r>
      <w:r w:rsidR="00F7589B">
        <w:t>s</w:t>
      </w:r>
      <w:r>
        <w:t xml:space="preserve"> to be used in the same way (Fox 2019). I arranged a training session with the lead disclosure expert within the force who demonstrated how the schedules should be completed on the system. My evaluation of this system led me to believe that the benefits of how effectively I was able to produce the schedules outweighed the time it took to create them.  </w:t>
      </w:r>
    </w:p>
    <w:p w:rsidR="00B179EE" w:rsidRDefault="00B179EE" w:rsidP="00B179EE"/>
    <w:p w:rsidR="00B179EE" w:rsidRDefault="00B179EE" w:rsidP="00B179EE">
      <w:r>
        <w:t>Although I had provided detailed disclo</w:t>
      </w:r>
      <w:r w:rsidR="00F7589B">
        <w:t>sure schedules,</w:t>
      </w:r>
      <w:r>
        <w:t xml:space="preserve"> I was asked by the Prosecutor to provide documents for further review. The schedules were constantly reviewed as the investigation continued and again after the defence statements were provided, checking for any information or evidence that would aid the defence or undermine the prosecution case. The schedules were then amended accordingly. To the best of their knowledge and belief, the disclosure officer must </w:t>
      </w:r>
      <w:r w:rsidR="00B76807">
        <w:t xml:space="preserve">confirm </w:t>
      </w:r>
      <w:r>
        <w:t xml:space="preserve">that </w:t>
      </w:r>
      <w:r w:rsidR="00B76807">
        <w:t>“</w:t>
      </w:r>
      <w:r>
        <w:t>all relevant evidence has been retained and has been disclosed to the prosecutor in accordance with this code</w:t>
      </w:r>
      <w:r w:rsidR="00B76807">
        <w:t>”</w:t>
      </w:r>
      <w:r>
        <w:t xml:space="preserve"> (Ministry of Justice 2015). I made sure I was not only familiar with the CPIA procedures, but also with Section 22(1) of the Police and Criminal Evidence Act (PACE 1984), which states that "anything seized or taken away by a constable may be retained for as long as is necessary in all circumstances." In addition to completing disclosures schedules, I also completed a disclosure management booklet detailing the investigation to date (CPS 2018). I liaised with the officers in charge of the case and discussed specific documents and exhibits in terms of their significance to the case. The expansion of digital media has exacerbated disclosure issues. The expense and time that it takes can influence investigative decisions. The disclosure management document was introduced as a solution to this problem. It entails the prosecution overseeing the case from the beginning, avoiding last-minute disclosure problems. (Attorney General 2018)  </w:t>
      </w:r>
    </w:p>
    <w:p w:rsidR="00B179EE" w:rsidRDefault="00B179EE" w:rsidP="00B179EE"/>
    <w:p w:rsidR="00B179EE" w:rsidRDefault="00B179EE" w:rsidP="00B179EE">
      <w:r>
        <w:t xml:space="preserve">Officers must retain and store information in a consistent, open, robust, and unbiased manner (McCartney and Shorter 2020). One of the most important challenges in the criminal justice system </w:t>
      </w:r>
      <w:r>
        <w:lastRenderedPageBreak/>
        <w:t xml:space="preserve">is disclosure and employing adequate and fair disclosure is essential for a just system (Kirk 2013). </w:t>
      </w:r>
      <w:r w:rsidR="00B76807">
        <w:t>“</w:t>
      </w:r>
      <w:r>
        <w:t>All material held by the prosecution that weakens or helps the case of th</w:t>
      </w:r>
      <w:r w:rsidR="00B76807">
        <w:t>e defence should be made public,</w:t>
      </w:r>
      <w:r w:rsidR="00F7589B">
        <w:t xml:space="preserve"> f</w:t>
      </w:r>
      <w:r>
        <w:t>air and transparent disclosure is required</w:t>
      </w:r>
      <w:r w:rsidR="00B76807">
        <w:t>” (CPS 2018)</w:t>
      </w:r>
      <w:r>
        <w:t>. According to Kirk (2013) if the evidence against a defendant is so overwhelming, challenging the evidence is the greatest way to avoid a guilty verdict</w:t>
      </w:r>
      <w:r w:rsidR="00F7589B">
        <w:t>.</w:t>
      </w:r>
    </w:p>
    <w:p w:rsidR="00673070" w:rsidRDefault="00673070" w:rsidP="00B179EE"/>
    <w:p w:rsidR="00673070" w:rsidRDefault="00673070" w:rsidP="00B179EE">
      <w:r>
        <w:t xml:space="preserve">WORDCOUNT 2197 – 141 in brackets </w:t>
      </w:r>
    </w:p>
    <w:p w:rsidR="003B01D3" w:rsidRDefault="003B01D3" w:rsidP="003B01D3"/>
    <w:p w:rsidR="003B01D3" w:rsidRPr="003B01D3" w:rsidRDefault="003B01D3" w:rsidP="003B01D3">
      <w:pPr>
        <w:rPr>
          <w:b/>
          <w:u w:val="single"/>
        </w:rPr>
      </w:pPr>
      <w:r w:rsidRPr="003B01D3">
        <w:rPr>
          <w:b/>
          <w:u w:val="single"/>
        </w:rPr>
        <w:t xml:space="preserve">REFERENCES </w:t>
      </w:r>
    </w:p>
    <w:p w:rsidR="003B01D3" w:rsidRDefault="003B01D3" w:rsidP="003B01D3"/>
    <w:p w:rsidR="003B01D3" w:rsidRDefault="003B01D3" w:rsidP="003B01D3">
      <w:r>
        <w:t xml:space="preserve">Association of chief Police Officers ACPO (2006) </w:t>
      </w:r>
      <w:r w:rsidRPr="003B01D3">
        <w:rPr>
          <w:i/>
        </w:rPr>
        <w:t>Murder Investigation Manual</w:t>
      </w:r>
      <w:r>
        <w:t>. NPIA UK</w:t>
      </w:r>
    </w:p>
    <w:p w:rsidR="003B01D3" w:rsidRDefault="003B01D3" w:rsidP="003B01D3">
      <w:r>
        <w:t xml:space="preserve"> </w:t>
      </w:r>
    </w:p>
    <w:p w:rsidR="003B01D3" w:rsidRDefault="003B01D3" w:rsidP="003B01D3">
      <w:r>
        <w:t xml:space="preserve">Attorney General (2013) </w:t>
      </w:r>
      <w:r w:rsidRPr="003B01D3">
        <w:rPr>
          <w:i/>
        </w:rPr>
        <w:t>Attorney General’s Guidelines on Disclosure.</w:t>
      </w:r>
      <w:r>
        <w:t xml:space="preserve"> London: Attorney General’s Office </w:t>
      </w:r>
    </w:p>
    <w:p w:rsidR="003B01D3" w:rsidRDefault="003B01D3" w:rsidP="003B01D3"/>
    <w:p w:rsidR="003B01D3" w:rsidRDefault="003B01D3" w:rsidP="003B01D3">
      <w:r>
        <w:t xml:space="preserve">Attorney General (2018) </w:t>
      </w:r>
      <w:r w:rsidRPr="003B01D3">
        <w:rPr>
          <w:i/>
        </w:rPr>
        <w:t xml:space="preserve">Review of the efficiency and effectiveness of disclosure in the criminal justice system. Presented to Parliament by the Attorney General by Command of Her Majesty. </w:t>
      </w:r>
      <w:r>
        <w:t xml:space="preserve">Available at: https://assets.publishing.service.gov.uk/government/uploads/system/uploads/attachment_data/file/756436/Attorney_General_s_Disclosure_Review.pdf. Accessed on: 4/2/2022 </w:t>
      </w:r>
    </w:p>
    <w:p w:rsidR="003B01D3" w:rsidRDefault="003B01D3" w:rsidP="003B01D3"/>
    <w:p w:rsidR="003B01D3" w:rsidRDefault="003B01D3" w:rsidP="003B01D3">
      <w:r>
        <w:t xml:space="preserve">Butler J M (2016) </w:t>
      </w:r>
      <w:r w:rsidRPr="003B01D3">
        <w:rPr>
          <w:i/>
        </w:rPr>
        <w:t>The crime scene. In: White P (</w:t>
      </w:r>
      <w:proofErr w:type="spellStart"/>
      <w:r w:rsidRPr="003B01D3">
        <w:rPr>
          <w:i/>
        </w:rPr>
        <w:t>ed</w:t>
      </w:r>
      <w:proofErr w:type="spellEnd"/>
      <w:r w:rsidRPr="003B01D3">
        <w:rPr>
          <w:i/>
        </w:rPr>
        <w:t>) Crime Scene to Court: The Essentials of Forensic Science</w:t>
      </w:r>
      <w:r>
        <w:t xml:space="preserve">, 4th edition. Cambridge: Royal Society of Chemistry, 2–34. </w:t>
      </w:r>
    </w:p>
    <w:p w:rsidR="003B01D3" w:rsidRDefault="003B01D3" w:rsidP="003B01D3"/>
    <w:p w:rsidR="003B01D3" w:rsidRDefault="003B01D3" w:rsidP="003B01D3">
      <w:r>
        <w:t>College of Policing (2013)</w:t>
      </w:r>
      <w:r w:rsidRPr="003B01D3">
        <w:rPr>
          <w:i/>
        </w:rPr>
        <w:t xml:space="preserve"> Investigation process. Material</w:t>
      </w:r>
      <w:r>
        <w:t xml:space="preserve">. Available at: https://www.app.college.police.uk/app-content/investigations/investigation-process/#material. Accessed on: 22/4/22 </w:t>
      </w:r>
    </w:p>
    <w:p w:rsidR="003B01D3" w:rsidRDefault="003B01D3" w:rsidP="003B01D3"/>
    <w:p w:rsidR="003B01D3" w:rsidRDefault="003B01D3" w:rsidP="003B01D3">
      <w:r>
        <w:t xml:space="preserve">College of Policing (2013) </w:t>
      </w:r>
      <w:r w:rsidRPr="003B01D3">
        <w:rPr>
          <w:i/>
        </w:rPr>
        <w:t>Retention, review and disposal</w:t>
      </w:r>
      <w:r>
        <w:t>. Available at: https://www.college.police.uk/app/information-management/management-police-information/retention-review-and-disposal. Accessed on: 01/05/2022</w:t>
      </w:r>
    </w:p>
    <w:p w:rsidR="003B01D3" w:rsidRDefault="003B01D3" w:rsidP="003B01D3"/>
    <w:p w:rsidR="003B01D3" w:rsidRDefault="003B01D3" w:rsidP="003B01D3">
      <w:r>
        <w:t>Colvin C and Goh A (2005) `Validation of the technology acceptance model for Police`.</w:t>
      </w:r>
      <w:r w:rsidRPr="003B01D3">
        <w:rPr>
          <w:i/>
        </w:rPr>
        <w:t xml:space="preserve"> Criminal Justice</w:t>
      </w:r>
      <w:r>
        <w:t xml:space="preserve">. Issue 33. Pages 89 – 95 </w:t>
      </w:r>
    </w:p>
    <w:p w:rsidR="003B01D3" w:rsidRDefault="003B01D3" w:rsidP="003B01D3"/>
    <w:p w:rsidR="003B01D3" w:rsidRDefault="003B01D3" w:rsidP="003B01D3">
      <w:r>
        <w:t xml:space="preserve">CPIA (1996) </w:t>
      </w:r>
      <w:r w:rsidRPr="003B01D3">
        <w:rPr>
          <w:i/>
        </w:rPr>
        <w:t>Criminal Procedure and Investigations Act 1996 (section 23(1)) Code of Practice. Disclosure.</w:t>
      </w:r>
      <w:r>
        <w:t xml:space="preserve"> Available at: https://www.legislation.gov.uk/ukpga/1996/25/contents. Accessed on 1/5/22. </w:t>
      </w:r>
    </w:p>
    <w:p w:rsidR="003B01D3" w:rsidRDefault="003B01D3" w:rsidP="003B01D3">
      <w:r>
        <w:lastRenderedPageBreak/>
        <w:t xml:space="preserve"> </w:t>
      </w:r>
    </w:p>
    <w:p w:rsidR="003B01D3" w:rsidRDefault="003B01D3" w:rsidP="003B01D3">
      <w:r>
        <w:t xml:space="preserve">Crown Prosecution CPS (2018) </w:t>
      </w:r>
      <w:r w:rsidRPr="003B01D3">
        <w:rPr>
          <w:i/>
        </w:rPr>
        <w:t>Disclosure</w:t>
      </w:r>
      <w:r>
        <w:t>. Available at: https://www.cps.gov.uk/about-cps/disclosure. Accessed on: 24/4/2022</w:t>
      </w:r>
    </w:p>
    <w:p w:rsidR="003B01D3" w:rsidRDefault="003B01D3" w:rsidP="003B01D3"/>
    <w:p w:rsidR="003B01D3" w:rsidRDefault="003B01D3" w:rsidP="003B01D3">
      <w:r>
        <w:t xml:space="preserve">Crown Prosecution service (2021) </w:t>
      </w:r>
      <w:r w:rsidRPr="003B01D3">
        <w:rPr>
          <w:i/>
        </w:rPr>
        <w:t xml:space="preserve">Disclosure Manual: Chapter 3 - Roles and Responsibilities. </w:t>
      </w:r>
      <w:r>
        <w:t>https://www.cps.gov.uk/legal-guidance/disclosure-manual-chapter-3-roles-and-responsibilities Accessed on: 24/4/2022</w:t>
      </w:r>
    </w:p>
    <w:p w:rsidR="003B01D3" w:rsidRDefault="003B01D3" w:rsidP="003B01D3"/>
    <w:p w:rsidR="003B01D3" w:rsidRDefault="003B01D3" w:rsidP="003B01D3">
      <w:r>
        <w:t>Driscoll (2007)</w:t>
      </w:r>
      <w:r w:rsidRPr="003B01D3">
        <w:rPr>
          <w:i/>
        </w:rPr>
        <w:t xml:space="preserve"> Practising Clinical Supervision: A Reflective Approach</w:t>
      </w:r>
      <w:r>
        <w:t xml:space="preserve">, London, </w:t>
      </w:r>
      <w:proofErr w:type="spellStart"/>
      <w:r>
        <w:t>Bailliere</w:t>
      </w:r>
      <w:proofErr w:type="spellEnd"/>
      <w:r>
        <w:t xml:space="preserve"> Tindall.</w:t>
      </w:r>
    </w:p>
    <w:p w:rsidR="003B01D3" w:rsidRDefault="003B01D3" w:rsidP="003B01D3"/>
    <w:p w:rsidR="003B01D3" w:rsidRDefault="003B01D3" w:rsidP="003B01D3">
      <w:r>
        <w:t xml:space="preserve">Fisher, B.A.J. (1992) </w:t>
      </w:r>
      <w:r w:rsidRPr="003B01D3">
        <w:rPr>
          <w:i/>
        </w:rPr>
        <w:t>Techniques of Crime Scene Investigation</w:t>
      </w:r>
      <w:r>
        <w:t xml:space="preserve">, 5th edition. Elsevier Science, New York </w:t>
      </w:r>
    </w:p>
    <w:p w:rsidR="003B01D3" w:rsidRDefault="003B01D3" w:rsidP="003B01D3"/>
    <w:p w:rsidR="003B01D3" w:rsidRDefault="003B01D3" w:rsidP="003B01D3">
      <w:r>
        <w:t xml:space="preserve">Fox (2019) `Policing - The technological revolution: Opportunities &amp; challenges!` </w:t>
      </w:r>
      <w:r w:rsidRPr="003B01D3">
        <w:rPr>
          <w:i/>
        </w:rPr>
        <w:t>Technology in Society</w:t>
      </w:r>
      <w:r>
        <w:t xml:space="preserve">. Volume 56 Pages 69- 78.  </w:t>
      </w:r>
    </w:p>
    <w:p w:rsidR="003B01D3" w:rsidRDefault="003B01D3" w:rsidP="003B01D3"/>
    <w:p w:rsidR="003B01D3" w:rsidRDefault="003B01D3" w:rsidP="003B01D3">
      <w:r>
        <w:t xml:space="preserve">Horswell, J. (2004) </w:t>
      </w:r>
      <w:r w:rsidRPr="003B01D3">
        <w:rPr>
          <w:i/>
        </w:rPr>
        <w:t>The Practice of Crime Scene Investigation</w:t>
      </w:r>
      <w:r>
        <w:t xml:space="preserve">. Taylor &amp; Francis, London. </w:t>
      </w:r>
    </w:p>
    <w:p w:rsidR="003B01D3" w:rsidRDefault="003B01D3" w:rsidP="003B01D3"/>
    <w:p w:rsidR="003B01D3" w:rsidRDefault="003B01D3" w:rsidP="003B01D3">
      <w:r>
        <w:t xml:space="preserve">Immigration enforcement (2020) </w:t>
      </w:r>
      <w:r w:rsidRPr="003B01D3">
        <w:rPr>
          <w:i/>
        </w:rPr>
        <w:t>Evidence in criminal investigations</w:t>
      </w:r>
      <w:r>
        <w:t>. Version 5.0. Published for Home Office staff on 06 July 2020</w:t>
      </w:r>
    </w:p>
    <w:p w:rsidR="003B01D3" w:rsidRDefault="003B01D3" w:rsidP="003B01D3"/>
    <w:p w:rsidR="003B01D3" w:rsidRDefault="003B01D3" w:rsidP="003B01D3">
      <w:r>
        <w:t xml:space="preserve">Kirk D (2013) OPINION `How Do You Solve a Problem Like Disclosure?` </w:t>
      </w:r>
      <w:r w:rsidRPr="00D24E3B">
        <w:rPr>
          <w:i/>
        </w:rPr>
        <w:t>Chief Criminal Counsel, Enforcement and Financial Crime,</w:t>
      </w:r>
      <w:r>
        <w:t xml:space="preserve"> Financial Conduct Authority </w:t>
      </w:r>
    </w:p>
    <w:p w:rsidR="003B01D3" w:rsidRDefault="003B01D3" w:rsidP="003B01D3"/>
    <w:p w:rsidR="003B01D3" w:rsidRDefault="003B01D3" w:rsidP="003B01D3">
      <w:proofErr w:type="spellStart"/>
      <w:r>
        <w:t>Legris</w:t>
      </w:r>
      <w:proofErr w:type="spellEnd"/>
      <w:r>
        <w:t xml:space="preserve">, </w:t>
      </w:r>
      <w:proofErr w:type="spellStart"/>
      <w:r>
        <w:t>Ingham</w:t>
      </w:r>
      <w:proofErr w:type="spellEnd"/>
      <w:r>
        <w:t xml:space="preserve"> and </w:t>
      </w:r>
      <w:proofErr w:type="spellStart"/>
      <w:r>
        <w:t>Collerette</w:t>
      </w:r>
      <w:proofErr w:type="spellEnd"/>
      <w:r>
        <w:t xml:space="preserve"> (2003) `Why do people use information technology? A critical review of the technology acceptance model`. I</w:t>
      </w:r>
      <w:r w:rsidRPr="00D24E3B">
        <w:rPr>
          <w:i/>
        </w:rPr>
        <w:t xml:space="preserve">nformation and Management. </w:t>
      </w:r>
      <w:r>
        <w:t>Volume</w:t>
      </w:r>
      <w:r w:rsidR="00D24E3B">
        <w:t xml:space="preserve"> 40. Issue 3. Pages 191 – 204  </w:t>
      </w:r>
    </w:p>
    <w:p w:rsidR="003B01D3" w:rsidRDefault="003B01D3" w:rsidP="003B01D3"/>
    <w:p w:rsidR="003B01D3" w:rsidRDefault="003B01D3" w:rsidP="003B01D3">
      <w:r>
        <w:t>Lee and Pagliaro (2013) `Forensic Evidence and Crime Scene Investigation`.</w:t>
      </w:r>
      <w:r w:rsidRPr="00D24E3B">
        <w:rPr>
          <w:i/>
        </w:rPr>
        <w:t xml:space="preserve"> Journal of Forensic Investigation</w:t>
      </w:r>
      <w:r>
        <w:t xml:space="preserve"> Volume 1. Issue 2. </w:t>
      </w:r>
    </w:p>
    <w:p w:rsidR="003B01D3" w:rsidRDefault="003B01D3" w:rsidP="003B01D3"/>
    <w:p w:rsidR="003B01D3" w:rsidRDefault="003B01D3" w:rsidP="003B01D3">
      <w:r>
        <w:t xml:space="preserve">Marker (2017) </w:t>
      </w:r>
      <w:r w:rsidRPr="00D24E3B">
        <w:rPr>
          <w:i/>
        </w:rPr>
        <w:t>Smart Sheet - Audit Trails: Managing the Who, What, and When of Business Transactions</w:t>
      </w:r>
      <w:r>
        <w:t xml:space="preserve"> Available at: https://www.smartsheet.com/audit-trails-and-logs. Accessed on 22/4/2022</w:t>
      </w:r>
    </w:p>
    <w:p w:rsidR="003B01D3" w:rsidRDefault="003B01D3" w:rsidP="003B01D3"/>
    <w:p w:rsidR="003B01D3" w:rsidRDefault="003B01D3" w:rsidP="003B01D3">
      <w:proofErr w:type="spellStart"/>
      <w:r>
        <w:lastRenderedPageBreak/>
        <w:t>Masrom</w:t>
      </w:r>
      <w:proofErr w:type="spellEnd"/>
      <w:r>
        <w:t xml:space="preserve"> M (2007)</w:t>
      </w:r>
      <w:r w:rsidRPr="00D24E3B">
        <w:rPr>
          <w:i/>
        </w:rPr>
        <w:t xml:space="preserve"> Technology Acceptance Model and E- Learning.</w:t>
      </w:r>
      <w:r>
        <w:t xml:space="preserve"> 12th International Conference on Education, Institute of Education University Brunei </w:t>
      </w:r>
    </w:p>
    <w:p w:rsidR="003B01D3" w:rsidRDefault="003B01D3" w:rsidP="003B01D3"/>
    <w:p w:rsidR="003B01D3" w:rsidRDefault="003B01D3" w:rsidP="003B01D3">
      <w:r>
        <w:t xml:space="preserve">McCartney and Shorter (2020) `Police retention and storage of evidence in England and Wales`. </w:t>
      </w:r>
      <w:r w:rsidRPr="00D24E3B">
        <w:rPr>
          <w:i/>
        </w:rPr>
        <w:t>International Journal of Police Science &amp; Management</w:t>
      </w:r>
      <w:r>
        <w:t xml:space="preserve">. Volume 22, issue 2. Pages 123–136 </w:t>
      </w:r>
    </w:p>
    <w:p w:rsidR="003B01D3" w:rsidRDefault="003B01D3" w:rsidP="003B01D3"/>
    <w:p w:rsidR="003B01D3" w:rsidRDefault="003B01D3" w:rsidP="003B01D3">
      <w:r>
        <w:t xml:space="preserve">Ministry of Justice (2015) </w:t>
      </w:r>
      <w:r w:rsidRPr="00D24E3B">
        <w:rPr>
          <w:i/>
        </w:rPr>
        <w:t xml:space="preserve">Criminal Procedure and Investigations Act 1996 (section 23(1)) Code of Practice </w:t>
      </w:r>
      <w:r>
        <w:t>Revised in accordance with section 25(4) of the Criminal Procedure and Investigations Act 1996.  London, HMSO.</w:t>
      </w:r>
    </w:p>
    <w:p w:rsidR="003B01D3" w:rsidRDefault="003B01D3" w:rsidP="003B01D3"/>
    <w:p w:rsidR="003B01D3" w:rsidRDefault="003B01D3" w:rsidP="003B01D3">
      <w:r>
        <w:t xml:space="preserve">National Police Chiefs’ Council (NPCC) (2017) </w:t>
      </w:r>
      <w:r w:rsidRPr="00D24E3B">
        <w:rPr>
          <w:i/>
        </w:rPr>
        <w:t xml:space="preserve">Guidance Regarding the Storage, Retention and Destruction of Records and Materials That Have Been Seized for Forensic Examination </w:t>
      </w:r>
      <w:r>
        <w:t>Version 2.1. Available at: https://assets.publishing.ser vice.gov.uk/government/uploads/system/uploads/attachment_ data/file/775354 Accessed on: 22/4/2022</w:t>
      </w:r>
    </w:p>
    <w:p w:rsidR="003B01D3" w:rsidRDefault="003B01D3" w:rsidP="003B01D3"/>
    <w:p w:rsidR="003B01D3" w:rsidRDefault="003B01D3" w:rsidP="003B01D3">
      <w:r>
        <w:t>Nicole C, Innes, M, Gee D and Feist A (2004)</w:t>
      </w:r>
      <w:r w:rsidRPr="00D24E3B">
        <w:rPr>
          <w:i/>
        </w:rPr>
        <w:t xml:space="preserve"> Reviewing murder investigations: an analysis of progress reviews from six police forces</w:t>
      </w:r>
      <w:r>
        <w:t xml:space="preserve">. Home Office, London. </w:t>
      </w:r>
      <w:r w:rsidR="00D24E3B">
        <w:t xml:space="preserve">Available at: </w:t>
      </w:r>
      <w:r>
        <w:t>http://library.npia.police.uk/ docs</w:t>
      </w:r>
      <w:r w:rsidR="00D24E3B">
        <w:t>/</w:t>
      </w:r>
      <w:proofErr w:type="spellStart"/>
      <w:r w:rsidR="00D24E3B">
        <w:t>hordsolr</w:t>
      </w:r>
      <w:proofErr w:type="spellEnd"/>
      <w:r w:rsidR="00D24E3B">
        <w:t>/rdsolr2504.pdf. A</w:t>
      </w:r>
      <w:r>
        <w:t>ccessed</w:t>
      </w:r>
      <w:r w:rsidR="00D24E3B">
        <w:t xml:space="preserve"> on </w:t>
      </w:r>
      <w:r>
        <w:t>:24/4/22</w:t>
      </w:r>
      <w:r w:rsidR="00D24E3B">
        <w:t>. Accessed on 1/5/2022</w:t>
      </w:r>
    </w:p>
    <w:p w:rsidR="003B01D3" w:rsidRDefault="003B01D3" w:rsidP="003B01D3"/>
    <w:p w:rsidR="003B01D3" w:rsidRDefault="003B01D3" w:rsidP="003B01D3">
      <w:r>
        <w:t xml:space="preserve">National Police Improvements agency/NPIA (2005) </w:t>
      </w:r>
      <w:r w:rsidRPr="00D24E3B">
        <w:rPr>
          <w:i/>
        </w:rPr>
        <w:t xml:space="preserve">Guidance on Major Incident Room Standardised Administrative Procedures (MIRSAP) </w:t>
      </w:r>
      <w:r>
        <w:t xml:space="preserve">Produced on behalf of the association of Chief Police Officers. UK  </w:t>
      </w:r>
    </w:p>
    <w:p w:rsidR="003B01D3" w:rsidRDefault="003B01D3" w:rsidP="003B01D3"/>
    <w:p w:rsidR="003B01D3" w:rsidRDefault="003B01D3" w:rsidP="003B01D3">
      <w:r>
        <w:t xml:space="preserve">Pepper, I. (2005) </w:t>
      </w:r>
      <w:r w:rsidRPr="00D24E3B">
        <w:rPr>
          <w:i/>
        </w:rPr>
        <w:t>Crime Scene Investigation: Methods and Procedures.</w:t>
      </w:r>
      <w:r>
        <w:t xml:space="preserve"> Open University Press, Maidenhead </w:t>
      </w:r>
    </w:p>
    <w:p w:rsidR="003B01D3" w:rsidRDefault="003B01D3" w:rsidP="003B01D3"/>
    <w:p w:rsidR="003B01D3" w:rsidRDefault="003B01D3" w:rsidP="003B01D3">
      <w:r>
        <w:t xml:space="preserve">Police and Criminal evidence act (1984) </w:t>
      </w:r>
      <w:r w:rsidRPr="00D24E3B">
        <w:rPr>
          <w:i/>
        </w:rPr>
        <w:t>Section 22 Retention</w:t>
      </w:r>
      <w:r>
        <w:t xml:space="preserve">. Available at: https://www.legislation.gov.uk/ukpga/1984/60/section/22. Accessed on 1/5/22 </w:t>
      </w:r>
    </w:p>
    <w:p w:rsidR="003B01D3" w:rsidRDefault="003B01D3" w:rsidP="003B01D3"/>
    <w:p w:rsidR="003B01D3" w:rsidRDefault="003B01D3" w:rsidP="003B01D3">
      <w:r>
        <w:t xml:space="preserve">Roberts (2012) </w:t>
      </w:r>
      <w:r w:rsidRPr="00D24E3B">
        <w:rPr>
          <w:i/>
        </w:rPr>
        <w:t>Forensic ecology from Crime scene to Court</w:t>
      </w:r>
      <w:r>
        <w:t xml:space="preserve">. Wiley Blackwell  </w:t>
      </w:r>
    </w:p>
    <w:p w:rsidR="003B01D3" w:rsidRDefault="003B01D3" w:rsidP="003B01D3"/>
    <w:p w:rsidR="003B01D3" w:rsidRDefault="003B01D3" w:rsidP="003B01D3">
      <w:r>
        <w:t xml:space="preserve">Thompson, D. (ed.) </w:t>
      </w:r>
      <w:r w:rsidRPr="00D24E3B">
        <w:rPr>
          <w:i/>
        </w:rPr>
        <w:t>1996. Oxford Compact English Dictionary</w:t>
      </w:r>
      <w:r>
        <w:t xml:space="preserve">. Oxford University Press, Oxford. </w:t>
      </w:r>
    </w:p>
    <w:p w:rsidR="003B01D3" w:rsidRDefault="003B01D3" w:rsidP="003B01D3"/>
    <w:p w:rsidR="003B01D3" w:rsidRDefault="003B01D3" w:rsidP="003B01D3">
      <w:r>
        <w:t xml:space="preserve">Weston, N. 1998. </w:t>
      </w:r>
      <w:r w:rsidR="00D24E3B">
        <w:t>`</w:t>
      </w:r>
      <w:r w:rsidRPr="00D24E3B">
        <w:t>The Crime Scene. In P. White (ed.) Crime Scene to Court: The Essentials of Forensic Science</w:t>
      </w:r>
      <w:r w:rsidR="00D24E3B">
        <w:t>`</w:t>
      </w:r>
      <w:r w:rsidRPr="00D24E3B">
        <w:t xml:space="preserve">. </w:t>
      </w:r>
      <w:r w:rsidRPr="00D24E3B">
        <w:rPr>
          <w:i/>
        </w:rPr>
        <w:t>Royal Society of Chemistry</w:t>
      </w:r>
      <w:r>
        <w:t xml:space="preserve">, London, pp. 15–46. </w:t>
      </w:r>
    </w:p>
    <w:p w:rsidR="003B01D3" w:rsidRDefault="003B01D3" w:rsidP="003B01D3"/>
    <w:p w:rsidR="003B01D3" w:rsidRDefault="003B01D3" w:rsidP="003B01D3">
      <w:r>
        <w:t>White (2004)</w:t>
      </w:r>
      <w:r w:rsidR="00D24E3B">
        <w:t xml:space="preserve"> </w:t>
      </w:r>
      <w:r w:rsidRPr="00D24E3B">
        <w:rPr>
          <w:i/>
        </w:rPr>
        <w:t>Crime Scene to Court: The Essentials of Forensic Science</w:t>
      </w:r>
      <w:r w:rsidR="00D24E3B">
        <w:t>. 2nd</w:t>
      </w:r>
      <w:r>
        <w:t xml:space="preserve"> edition. The Royal Society of Chemistry, London.</w:t>
      </w:r>
    </w:p>
    <w:p w:rsidR="005E1424" w:rsidRDefault="005E1424" w:rsidP="003B01D3"/>
    <w:p w:rsidR="005E1424" w:rsidRPr="005E1424" w:rsidRDefault="005E1424" w:rsidP="003B01D3">
      <w:pPr>
        <w:rPr>
          <w:b/>
          <w:u w:val="single"/>
        </w:rPr>
      </w:pPr>
      <w:r w:rsidRPr="005E1424">
        <w:rPr>
          <w:b/>
          <w:u w:val="single"/>
        </w:rPr>
        <w:t xml:space="preserve">QUESTION 5 </w:t>
      </w:r>
      <w:bookmarkStart w:id="0" w:name="_GoBack"/>
      <w:bookmarkEnd w:id="0"/>
    </w:p>
    <w:p w:rsidR="005E1424" w:rsidRDefault="005E1424" w:rsidP="003B01D3"/>
    <w:tbl>
      <w:tblPr>
        <w:tblStyle w:val="TableGrid"/>
        <w:tblW w:w="11057" w:type="dxa"/>
        <w:tblInd w:w="-1139" w:type="dxa"/>
        <w:tblLook w:val="04A0" w:firstRow="1" w:lastRow="0" w:firstColumn="1" w:lastColumn="0" w:noHBand="0" w:noVBand="1"/>
      </w:tblPr>
      <w:tblGrid>
        <w:gridCol w:w="1416"/>
        <w:gridCol w:w="2496"/>
        <w:gridCol w:w="2346"/>
        <w:gridCol w:w="4799"/>
      </w:tblGrid>
      <w:tr w:rsidR="005E1424" w:rsidTr="00FE453A">
        <w:trPr>
          <w:trHeight w:val="7365"/>
        </w:trPr>
        <w:tc>
          <w:tcPr>
            <w:tcW w:w="1416" w:type="dxa"/>
          </w:tcPr>
          <w:p w:rsidR="005E1424" w:rsidRPr="00764D0B" w:rsidRDefault="005E1424" w:rsidP="00FE453A">
            <w:r>
              <w:t xml:space="preserve">        </w:t>
            </w:r>
            <w:r w:rsidRPr="00764D0B">
              <w:t xml:space="preserve">KNOWLEDGE </w:t>
            </w:r>
          </w:p>
        </w:tc>
        <w:tc>
          <w:tcPr>
            <w:tcW w:w="2496" w:type="dxa"/>
          </w:tcPr>
          <w:p w:rsidR="005E1424" w:rsidRDefault="005E1424" w:rsidP="00FE453A">
            <w:r>
              <w:rPr>
                <w:noProof/>
                <w:lang w:eastAsia="en-GB"/>
              </w:rPr>
              <mc:AlternateContent>
                <mc:Choice Requires="wps">
                  <w:drawing>
                    <wp:anchor distT="0" distB="0" distL="114300" distR="114300" simplePos="0" relativeHeight="251659264" behindDoc="0" locked="0" layoutInCell="1" allowOverlap="1" wp14:anchorId="2B72F39B" wp14:editId="73F85AEC">
                      <wp:simplePos x="0" y="0"/>
                      <wp:positionH relativeFrom="column">
                        <wp:posOffset>8890</wp:posOffset>
                      </wp:positionH>
                      <wp:positionV relativeFrom="paragraph">
                        <wp:posOffset>1808480</wp:posOffset>
                      </wp:positionV>
                      <wp:extent cx="1314450" cy="28575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314450" cy="2857500"/>
                              </a:xfrm>
                              <a:prstGeom prst="rect">
                                <a:avLst/>
                              </a:prstGeom>
                              <a:solidFill>
                                <a:schemeClr val="lt1"/>
                              </a:solidFill>
                              <a:ln w="6350">
                                <a:solidFill>
                                  <a:prstClr val="black"/>
                                </a:solidFill>
                              </a:ln>
                            </wps:spPr>
                            <wps:txbx>
                              <w:txbxContent>
                                <w:p w:rsidR="005E1424" w:rsidRDefault="005E1424" w:rsidP="005E1424">
                                  <w:pPr>
                                    <w:rPr>
                                      <w:highlight w:val="yellow"/>
                                    </w:rPr>
                                  </w:pPr>
                                </w:p>
                                <w:p w:rsidR="005E1424" w:rsidRDefault="005E1424" w:rsidP="005E1424">
                                  <w:r w:rsidRPr="00075027">
                                    <w:rPr>
                                      <w:highlight w:val="yellow"/>
                                    </w:rPr>
                                    <w:t>Level 4</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B72F39B" id="_x0000_t202" coordsize="21600,21600" o:spt="202" path="m,l,21600r21600,l21600,xe">
                      <v:stroke joinstyle="miter"/>
                      <v:path gradientshapeok="t" o:connecttype="rect"/>
                    </v:shapetype>
                    <v:shape id="Text Box 7" o:spid="_x0000_s1026" type="#_x0000_t202" style="position:absolute;margin-left:.7pt;margin-top:142.4pt;width:103.5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" fillcolor="white [3201]" strokeweight=".5pt">
                      <v:textbox>
                        <w:txbxContent>
                          <w:p w:rsidR="005E1424" w:rsidRDefault="005E1424" w:rsidP="005E1424">
                            <w:pPr>
                              <w:rPr>
                                <w:highlight w:val="yellow"/>
                              </w:rPr>
                            </w:pPr>
                          </w:p>
                          <w:p w:rsidR="005E1424" w:rsidRDefault="005E1424" w:rsidP="005E1424">
                            <w:r w:rsidRPr="00075027">
                              <w:rPr>
                                <w:highlight w:val="yellow"/>
                              </w:rPr>
                              <w:t>Level 4</w:t>
                            </w:r>
                            <w:r>
                              <w:t xml:space="preserve"> </w:t>
                            </w:r>
                          </w:p>
                        </w:txbxContent>
                      </v:textbox>
                    </v:shape>
                  </w:pict>
                </mc:Fallback>
              </mc:AlternateContent>
            </w:r>
            <w:r>
              <w:rPr>
                <w:noProof/>
                <w:lang w:eastAsia="en-GB"/>
              </w:rPr>
              <w:drawing>
                <wp:inline distT="0" distB="0" distL="0" distR="0" wp14:anchorId="19C4F2DE" wp14:editId="33A5EE1D">
                  <wp:extent cx="1446218" cy="181546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71801" cy="1847579"/>
                          </a:xfrm>
                          <a:prstGeom prst="rect">
                            <a:avLst/>
                          </a:prstGeom>
                        </pic:spPr>
                      </pic:pic>
                    </a:graphicData>
                  </a:graphic>
                </wp:inline>
              </w:drawing>
            </w:r>
          </w:p>
        </w:tc>
        <w:tc>
          <w:tcPr>
            <w:tcW w:w="2335" w:type="dxa"/>
          </w:tcPr>
          <w:p w:rsidR="005E1424" w:rsidRDefault="005E1424" w:rsidP="00FE453A">
            <w:r>
              <w:rPr>
                <w:noProof/>
                <w:lang w:eastAsia="en-GB"/>
              </w:rPr>
              <mc:AlternateContent>
                <mc:Choice Requires="wps">
                  <w:drawing>
                    <wp:anchor distT="0" distB="0" distL="114300" distR="114300" simplePos="0" relativeHeight="251660288" behindDoc="0" locked="0" layoutInCell="1" allowOverlap="1" wp14:anchorId="7FACA29A" wp14:editId="1CE6E682">
                      <wp:simplePos x="0" y="0"/>
                      <wp:positionH relativeFrom="column">
                        <wp:posOffset>14605</wp:posOffset>
                      </wp:positionH>
                      <wp:positionV relativeFrom="paragraph">
                        <wp:posOffset>1798955</wp:posOffset>
                      </wp:positionV>
                      <wp:extent cx="1295400" cy="28765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295400" cy="2876550"/>
                              </a:xfrm>
                              <a:prstGeom prst="rect">
                                <a:avLst/>
                              </a:prstGeom>
                              <a:solidFill>
                                <a:schemeClr val="lt1"/>
                              </a:solidFill>
                              <a:ln w="6350">
                                <a:solidFill>
                                  <a:prstClr val="black"/>
                                </a:solidFill>
                              </a:ln>
                            </wps:spPr>
                            <wps:txbx>
                              <w:txbxContent>
                                <w:p w:rsidR="005E1424" w:rsidRDefault="005E1424" w:rsidP="005E1424">
                                  <w:pPr>
                                    <w:rPr>
                                      <w:highlight w:val="yellow"/>
                                    </w:rPr>
                                  </w:pPr>
                                </w:p>
                                <w:p w:rsidR="005E1424" w:rsidRDefault="005E1424" w:rsidP="005E1424">
                                  <w:r w:rsidRPr="00075027">
                                    <w:rPr>
                                      <w:highlight w:val="yellow"/>
                                    </w:rPr>
                                    <w:t>Level 7</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ACA29A" id="Text Box 8" o:spid="_x0000_s1027" type="#_x0000_t202" style="position:absolute;margin-left:1.15pt;margin-top:141.65pt;width:102pt;height:22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" fillcolor="white [3201]" strokeweight=".5pt">
                      <v:textbox>
                        <w:txbxContent>
                          <w:p w:rsidR="005E1424" w:rsidRDefault="005E1424" w:rsidP="005E1424">
                            <w:pPr>
                              <w:rPr>
                                <w:highlight w:val="yellow"/>
                              </w:rPr>
                            </w:pPr>
                          </w:p>
                          <w:p w:rsidR="005E1424" w:rsidRDefault="005E1424" w:rsidP="005E1424">
                            <w:r w:rsidRPr="00075027">
                              <w:rPr>
                                <w:highlight w:val="yellow"/>
                              </w:rPr>
                              <w:t>Level 7</w:t>
                            </w:r>
                            <w:r>
                              <w:t xml:space="preserve"> </w:t>
                            </w:r>
                          </w:p>
                        </w:txbxContent>
                      </v:textbox>
                    </v:shape>
                  </w:pict>
                </mc:Fallback>
              </mc:AlternateContent>
            </w:r>
            <w:r>
              <w:rPr>
                <w:noProof/>
                <w:lang w:eastAsia="en-GB"/>
              </w:rPr>
              <w:drawing>
                <wp:inline distT="0" distB="0" distL="0" distR="0" wp14:anchorId="6125C6BE" wp14:editId="014645BD">
                  <wp:extent cx="1343025" cy="1685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43025" cy="1685925"/>
                          </a:xfrm>
                          <a:prstGeom prst="rect">
                            <a:avLst/>
                          </a:prstGeom>
                        </pic:spPr>
                      </pic:pic>
                    </a:graphicData>
                  </a:graphic>
                </wp:inline>
              </w:drawing>
            </w:r>
          </w:p>
        </w:tc>
        <w:tc>
          <w:tcPr>
            <w:tcW w:w="4810" w:type="dxa"/>
          </w:tcPr>
          <w:p w:rsidR="005E1424" w:rsidRDefault="005E1424" w:rsidP="00FE453A">
            <w:r>
              <w:t xml:space="preserve">I started learning Welsh 18 months ago. Learning Welsh is something I have always wanted to do but I didn’t have the spare time. Having more time during the COVID Pandemic I signed up to complete the online </w:t>
            </w:r>
            <w:proofErr w:type="spellStart"/>
            <w:r>
              <w:t>Mynediad</w:t>
            </w:r>
            <w:proofErr w:type="spellEnd"/>
            <w:r>
              <w:t xml:space="preserve"> course.  I have ensured to attend all online learning wherever possible, work and family commitments permitting. I have always ensured to complete the online work and homework set. I have furthered my knowledge and ability by completing daily </w:t>
            </w:r>
            <w:proofErr w:type="spellStart"/>
            <w:r>
              <w:t>Duolingo</w:t>
            </w:r>
            <w:proofErr w:type="spellEnd"/>
            <w:r>
              <w:t xml:space="preserve"> tasks, watching programmes on S4C and reading books aimed at my level. I have been quite surprised by how much I have enjoyed learning this language and have pushed myself further by practicing my skills during my working day with Welsh speaking colleagues. However, since starting the Sylfaen level last September I am now finding it extremely difficult to manage my university studies, working full time (which sometimes requires me to work long hours) and having family commitments to also commit to my Welsh learning. I have therefore made the decision to redo the Sylfaen course in September. This has been a difficult decision as I don’t like to give up. However, I feel that I can’t give the learning the commitment I need to. I have discussed this plan with my Welsh tutor, and she feels that this the right decision for me. I will continue to do the online work and go through the workbooks and will sign up for the revision course over the summer and hopefully will then be ready in September to start the course anew. This developmental plan I have set myself is achievable as the University course will finish in November, I will have more time to commit to learning Welsh. I feel that this goal is far more realistic and is relevant to the other priorities I have in my life at the moment.</w:t>
            </w:r>
          </w:p>
          <w:p w:rsidR="005E1424" w:rsidRDefault="005E1424" w:rsidP="00FE453A">
            <w:r>
              <w:t xml:space="preserve">I will be able to measure my goal and progress by completing the Sylfaen course in July 2023 and sitting the end of year exam. I think that giving </w:t>
            </w:r>
            <w:r>
              <w:lastRenderedPageBreak/>
              <w:t xml:space="preserve">myself this goal will ensure that I have something to work towards. </w:t>
            </w:r>
          </w:p>
          <w:p w:rsidR="005E1424" w:rsidRDefault="005E1424" w:rsidP="00FE453A">
            <w:r>
              <w:t xml:space="preserve">South Wales Police place a lot of emphasis on Welsh learning and encourage us to use Welsh when answering the phone and on our email signatures. I have attended the SWP Welsh language level 2 course, which is a course that all officers are expected to attend. The online course that I have already attended and will continue to attend in September exceeds the expectations that South Wales Police have of me with regards to my Welsh language. </w:t>
            </w:r>
          </w:p>
        </w:tc>
      </w:tr>
      <w:tr w:rsidR="005E1424" w:rsidTr="00FE453A">
        <w:trPr>
          <w:trHeight w:val="70"/>
        </w:trPr>
        <w:tc>
          <w:tcPr>
            <w:tcW w:w="1416" w:type="dxa"/>
          </w:tcPr>
          <w:p w:rsidR="005E1424" w:rsidRPr="00764D0B" w:rsidRDefault="005E1424" w:rsidP="00FE453A">
            <w:pPr>
              <w:rPr>
                <w:highlight w:val="yellow"/>
              </w:rPr>
            </w:pPr>
            <w:r>
              <w:lastRenderedPageBreak/>
              <w:t xml:space="preserve">              </w:t>
            </w:r>
            <w:r w:rsidRPr="00764D0B">
              <w:t>SKILLS</w:t>
            </w:r>
            <w:r>
              <w:rPr>
                <w:highlight w:val="yellow"/>
              </w:rPr>
              <w:t xml:space="preserve"> </w:t>
            </w:r>
          </w:p>
        </w:tc>
        <w:tc>
          <w:tcPr>
            <w:tcW w:w="2496" w:type="dxa"/>
          </w:tcPr>
          <w:p w:rsidR="005E1424" w:rsidRDefault="005E1424" w:rsidP="00FE453A">
            <w:r>
              <w:rPr>
                <w:noProof/>
                <w:lang w:eastAsia="en-GB"/>
              </w:rPr>
              <mc:AlternateContent>
                <mc:Choice Requires="wps">
                  <w:drawing>
                    <wp:anchor distT="0" distB="0" distL="114300" distR="114300" simplePos="0" relativeHeight="251661312" behindDoc="0" locked="0" layoutInCell="1" allowOverlap="1" wp14:anchorId="16AAB77D" wp14:editId="2E4E0430">
                      <wp:simplePos x="0" y="0"/>
                      <wp:positionH relativeFrom="column">
                        <wp:posOffset>28575</wp:posOffset>
                      </wp:positionH>
                      <wp:positionV relativeFrom="paragraph">
                        <wp:posOffset>1781809</wp:posOffset>
                      </wp:positionV>
                      <wp:extent cx="1417320" cy="2105025"/>
                      <wp:effectExtent l="0" t="0" r="11430" b="28575"/>
                      <wp:wrapNone/>
                      <wp:docPr id="10" name="Text Box 10"/>
                      <wp:cNvGraphicFramePr/>
                      <a:graphic xmlns:a="http://schemas.openxmlformats.org/drawingml/2006/main">
                        <a:graphicData uri="http://schemas.microsoft.com/office/word/2010/wordprocessingShape">
                          <wps:wsp>
                            <wps:cNvSpPr txBox="1"/>
                            <wps:spPr>
                              <a:xfrm>
                                <a:off x="0" y="0"/>
                                <a:ext cx="1417320" cy="2105025"/>
                              </a:xfrm>
                              <a:prstGeom prst="rect">
                                <a:avLst/>
                              </a:prstGeom>
                              <a:solidFill>
                                <a:schemeClr val="lt1"/>
                              </a:solidFill>
                              <a:ln w="6350">
                                <a:solidFill>
                                  <a:prstClr val="black"/>
                                </a:solidFill>
                              </a:ln>
                            </wps:spPr>
                            <wps:txbx>
                              <w:txbxContent>
                                <w:p w:rsidR="005E1424" w:rsidRDefault="005E1424" w:rsidP="005E1424"/>
                                <w:p w:rsidR="005E1424" w:rsidRDefault="005E1424" w:rsidP="005E1424">
                                  <w:r w:rsidRPr="006E056C">
                                    <w:rPr>
                                      <w:highlight w:val="yellow"/>
                                    </w:rPr>
                                    <w:t>Level 5</w:t>
                                  </w:r>
                                  <w:r>
                                    <w:t xml:space="preserve"> </w:t>
                                  </w:r>
                                </w:p>
                                <w:p w:rsidR="005E1424" w:rsidRDefault="005E1424" w:rsidP="005E1424"/>
                                <w:p w:rsidR="005E1424" w:rsidRDefault="005E1424" w:rsidP="005E14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AB77D" id="Text Box 10" o:spid="_x0000_s1028" type="#_x0000_t202" style="position:absolute;margin-left:2.25pt;margin-top:140.3pt;width:111.6pt;height:16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" fillcolor="white [3201]" strokeweight=".5pt">
                      <v:textbox>
                        <w:txbxContent>
                          <w:p w:rsidR="005E1424" w:rsidRDefault="005E1424" w:rsidP="005E1424"/>
                          <w:p w:rsidR="005E1424" w:rsidRDefault="005E1424" w:rsidP="005E1424">
                            <w:r w:rsidRPr="006E056C">
                              <w:rPr>
                                <w:highlight w:val="yellow"/>
                              </w:rPr>
                              <w:t>Level 5</w:t>
                            </w:r>
                            <w:r>
                              <w:t xml:space="preserve"> </w:t>
                            </w:r>
                          </w:p>
                          <w:p w:rsidR="005E1424" w:rsidRDefault="005E1424" w:rsidP="005E1424"/>
                          <w:p w:rsidR="005E1424" w:rsidRDefault="005E1424" w:rsidP="005E1424"/>
                        </w:txbxContent>
                      </v:textbox>
                    </v:shape>
                  </w:pict>
                </mc:Fallback>
              </mc:AlternateContent>
            </w:r>
            <w:r>
              <w:rPr>
                <w:noProof/>
                <w:lang w:eastAsia="en-GB"/>
              </w:rPr>
              <w:drawing>
                <wp:inline distT="0" distB="0" distL="0" distR="0" wp14:anchorId="02036DBF" wp14:editId="5895F6BA">
                  <wp:extent cx="1343025" cy="1685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43025" cy="1685925"/>
                          </a:xfrm>
                          <a:prstGeom prst="rect">
                            <a:avLst/>
                          </a:prstGeom>
                        </pic:spPr>
                      </pic:pic>
                    </a:graphicData>
                  </a:graphic>
                </wp:inline>
              </w:drawing>
            </w:r>
          </w:p>
        </w:tc>
        <w:tc>
          <w:tcPr>
            <w:tcW w:w="2335" w:type="dxa"/>
          </w:tcPr>
          <w:p w:rsidR="005E1424" w:rsidRDefault="005E1424" w:rsidP="00FE453A">
            <w:r>
              <w:rPr>
                <w:noProof/>
                <w:lang w:eastAsia="en-GB"/>
              </w:rPr>
              <mc:AlternateContent>
                <mc:Choice Requires="wps">
                  <w:drawing>
                    <wp:anchor distT="0" distB="0" distL="114300" distR="114300" simplePos="0" relativeHeight="251662336" behindDoc="0" locked="0" layoutInCell="1" allowOverlap="1" wp14:anchorId="0C271C36" wp14:editId="5371F78B">
                      <wp:simplePos x="0" y="0"/>
                      <wp:positionH relativeFrom="column">
                        <wp:posOffset>15240</wp:posOffset>
                      </wp:positionH>
                      <wp:positionV relativeFrom="paragraph">
                        <wp:posOffset>1791335</wp:posOffset>
                      </wp:positionV>
                      <wp:extent cx="1295400" cy="21240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295400" cy="2124075"/>
                              </a:xfrm>
                              <a:prstGeom prst="rect">
                                <a:avLst/>
                              </a:prstGeom>
                              <a:solidFill>
                                <a:schemeClr val="lt1"/>
                              </a:solidFill>
                              <a:ln w="6350">
                                <a:solidFill>
                                  <a:prstClr val="black"/>
                                </a:solidFill>
                              </a:ln>
                            </wps:spPr>
                            <wps:txbx>
                              <w:txbxContent>
                                <w:p w:rsidR="005E1424" w:rsidRDefault="005E1424" w:rsidP="005E1424"/>
                                <w:p w:rsidR="005E1424" w:rsidRDefault="005E1424" w:rsidP="005E1424">
                                  <w:r w:rsidRPr="006E056C">
                                    <w:rPr>
                                      <w:highlight w:val="yellow"/>
                                    </w:rPr>
                                    <w:t>Level 8</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271C36" id="Text Box 11" o:spid="_x0000_s1029" type="#_x0000_t202" style="position:absolute;margin-left:1.2pt;margin-top:141.05pt;width:102pt;height:167.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" fillcolor="white [3201]" strokeweight=".5pt">
                      <v:textbox>
                        <w:txbxContent>
                          <w:p w:rsidR="005E1424" w:rsidRDefault="005E1424" w:rsidP="005E1424"/>
                          <w:p w:rsidR="005E1424" w:rsidRDefault="005E1424" w:rsidP="005E1424">
                            <w:r w:rsidRPr="006E056C">
                              <w:rPr>
                                <w:highlight w:val="yellow"/>
                              </w:rPr>
                              <w:t>Level 8</w:t>
                            </w:r>
                            <w:r>
                              <w:t xml:space="preserve"> </w:t>
                            </w:r>
                          </w:p>
                        </w:txbxContent>
                      </v:textbox>
                    </v:shape>
                  </w:pict>
                </mc:Fallback>
              </mc:AlternateContent>
            </w:r>
            <w:r>
              <w:rPr>
                <w:noProof/>
                <w:lang w:eastAsia="en-GB"/>
              </w:rPr>
              <w:drawing>
                <wp:inline distT="0" distB="0" distL="0" distR="0" wp14:anchorId="5632649D" wp14:editId="664AC20F">
                  <wp:extent cx="1343025" cy="1685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43025" cy="1685925"/>
                          </a:xfrm>
                          <a:prstGeom prst="rect">
                            <a:avLst/>
                          </a:prstGeom>
                        </pic:spPr>
                      </pic:pic>
                    </a:graphicData>
                  </a:graphic>
                </wp:inline>
              </w:drawing>
            </w:r>
          </w:p>
        </w:tc>
        <w:tc>
          <w:tcPr>
            <w:tcW w:w="4810" w:type="dxa"/>
          </w:tcPr>
          <w:p w:rsidR="005E1424" w:rsidRDefault="005E1424" w:rsidP="00FE453A">
            <w:r>
              <w:t>I completed the Tier 3 interview course in September 2020. I enjoy interviewing and had requested to attend this course for several years.</w:t>
            </w:r>
          </w:p>
          <w:p w:rsidR="005E1424" w:rsidRDefault="005E1424" w:rsidP="00FE453A">
            <w:r>
              <w:t xml:space="preserve">In work, I must complete quarterly performance development reviews. In the last review I requested that I be allowed to conduct more Tier 3 interviews.  I have discussed this request with my supervisor and Inspector who have agreed to release me from my usual daily duties if these interviewing opportunities arise.  My aim is to conduct at least one interview in every review period if possible. I believe that this is a realistic and achievable goal as sometime work commitments and family commitments won’t allow me to do anymore. I have contacted the Tier 5 advisor and told him of my need to conduct more interviews. The more interviews that I conduct the more my knowledge and confidence will improve. The Tier 5 has placed me on a list, and I will be called at the next opportunity. My overall aim is to feel completely confident when being called upon to conduct these interviews and I feel that the only way to achieve this is to practice as much as possible. I have also asked the </w:t>
            </w:r>
            <w:r>
              <w:lastRenderedPageBreak/>
              <w:t xml:space="preserve">Tier 5 advisor’s advice and am aware that they have and will continue to dip sample interviews to ensure that they are of a good standard. The feedback I have received so far on the interviews that I have conducted has been positive and I have taken on board any comments and criticisms so that I can improve on interviews I conduct in the future. </w:t>
            </w:r>
          </w:p>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p w:rsidR="005E1424" w:rsidRDefault="005E1424" w:rsidP="00FE453A"/>
        </w:tc>
      </w:tr>
      <w:tr w:rsidR="005E1424" w:rsidTr="00FE453A">
        <w:trPr>
          <w:trHeight w:val="10338"/>
        </w:trPr>
        <w:tc>
          <w:tcPr>
            <w:tcW w:w="1416" w:type="dxa"/>
          </w:tcPr>
          <w:p w:rsidR="005E1424" w:rsidRPr="00764D0B" w:rsidRDefault="005E1424" w:rsidP="00FE453A">
            <w:pPr>
              <w:rPr>
                <w:highlight w:val="yellow"/>
              </w:rPr>
            </w:pPr>
            <w:r>
              <w:lastRenderedPageBreak/>
              <w:t xml:space="preserve">          </w:t>
            </w:r>
            <w:r w:rsidRPr="00764D0B">
              <w:t xml:space="preserve">EXPERIENCE </w:t>
            </w:r>
          </w:p>
        </w:tc>
        <w:tc>
          <w:tcPr>
            <w:tcW w:w="2496" w:type="dxa"/>
          </w:tcPr>
          <w:p w:rsidR="005E1424" w:rsidRDefault="005E1424" w:rsidP="00FE453A">
            <w:r>
              <w:rPr>
                <w:noProof/>
                <w:lang w:eastAsia="en-GB"/>
              </w:rPr>
              <mc:AlternateContent>
                <mc:Choice Requires="wps">
                  <w:drawing>
                    <wp:anchor distT="0" distB="0" distL="114300" distR="114300" simplePos="0" relativeHeight="251663360" behindDoc="0" locked="0" layoutInCell="1" allowOverlap="1" wp14:anchorId="52175525" wp14:editId="642A60F4">
                      <wp:simplePos x="0" y="0"/>
                      <wp:positionH relativeFrom="column">
                        <wp:posOffset>27940</wp:posOffset>
                      </wp:positionH>
                      <wp:positionV relativeFrom="paragraph">
                        <wp:posOffset>1831975</wp:posOffset>
                      </wp:positionV>
                      <wp:extent cx="1266825" cy="47434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1266825" cy="4743450"/>
                              </a:xfrm>
                              <a:prstGeom prst="rect">
                                <a:avLst/>
                              </a:prstGeom>
                              <a:solidFill>
                                <a:schemeClr val="lt1"/>
                              </a:solidFill>
                              <a:ln w="6350">
                                <a:solidFill>
                                  <a:prstClr val="black"/>
                                </a:solidFill>
                              </a:ln>
                            </wps:spPr>
                            <wps:txbx>
                              <w:txbxContent>
                                <w:p w:rsidR="005E1424" w:rsidRDefault="005E1424" w:rsidP="005E1424"/>
                                <w:p w:rsidR="005E1424" w:rsidRDefault="005E1424" w:rsidP="005E1424">
                                  <w:r w:rsidRPr="006E056C">
                                    <w:rPr>
                                      <w:highlight w:val="yellow"/>
                                    </w:rPr>
                                    <w:t>Level 5</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175525" id="Text Box 12" o:spid="_x0000_s1030" type="#_x0000_t202" style="position:absolute;margin-left:2.2pt;margin-top:144.25pt;width:99.75pt;height:37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" fillcolor="white [3201]" strokeweight=".5pt">
                      <v:textbox>
                        <w:txbxContent>
                          <w:p w:rsidR="005E1424" w:rsidRDefault="005E1424" w:rsidP="005E1424"/>
                          <w:p w:rsidR="005E1424" w:rsidRDefault="005E1424" w:rsidP="005E1424">
                            <w:r w:rsidRPr="006E056C">
                              <w:rPr>
                                <w:highlight w:val="yellow"/>
                              </w:rPr>
                              <w:t>Level 5</w:t>
                            </w:r>
                            <w:r>
                              <w:t xml:space="preserve"> </w:t>
                            </w:r>
                          </w:p>
                        </w:txbxContent>
                      </v:textbox>
                    </v:shape>
                  </w:pict>
                </mc:Fallback>
              </mc:AlternateContent>
            </w:r>
            <w:r>
              <w:rPr>
                <w:noProof/>
                <w:lang w:eastAsia="en-GB"/>
              </w:rPr>
              <w:drawing>
                <wp:inline distT="0" distB="0" distL="0" distR="0" wp14:anchorId="48D65BCA" wp14:editId="628C247B">
                  <wp:extent cx="1343025" cy="1685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43025" cy="1685925"/>
                          </a:xfrm>
                          <a:prstGeom prst="rect">
                            <a:avLst/>
                          </a:prstGeom>
                        </pic:spPr>
                      </pic:pic>
                    </a:graphicData>
                  </a:graphic>
                </wp:inline>
              </w:drawing>
            </w:r>
          </w:p>
        </w:tc>
        <w:tc>
          <w:tcPr>
            <w:tcW w:w="2335" w:type="dxa"/>
          </w:tcPr>
          <w:p w:rsidR="005E1424" w:rsidRDefault="005E1424" w:rsidP="00FE453A">
            <w:r>
              <w:rPr>
                <w:noProof/>
                <w:lang w:eastAsia="en-GB"/>
              </w:rPr>
              <mc:AlternateContent>
                <mc:Choice Requires="wps">
                  <w:drawing>
                    <wp:anchor distT="0" distB="0" distL="114300" distR="114300" simplePos="0" relativeHeight="251664384" behindDoc="0" locked="0" layoutInCell="1" allowOverlap="1" wp14:anchorId="35606331" wp14:editId="4DCA26D7">
                      <wp:simplePos x="0" y="0"/>
                      <wp:positionH relativeFrom="column">
                        <wp:posOffset>33655</wp:posOffset>
                      </wp:positionH>
                      <wp:positionV relativeFrom="paragraph">
                        <wp:posOffset>1860550</wp:posOffset>
                      </wp:positionV>
                      <wp:extent cx="1266825" cy="47148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1266825" cy="4714875"/>
                              </a:xfrm>
                              <a:prstGeom prst="rect">
                                <a:avLst/>
                              </a:prstGeom>
                              <a:solidFill>
                                <a:schemeClr val="lt1"/>
                              </a:solidFill>
                              <a:ln w="6350">
                                <a:solidFill>
                                  <a:prstClr val="black"/>
                                </a:solidFill>
                              </a:ln>
                            </wps:spPr>
                            <wps:txbx>
                              <w:txbxContent>
                                <w:p w:rsidR="005E1424" w:rsidRDefault="005E1424" w:rsidP="005E1424"/>
                                <w:p w:rsidR="005E1424" w:rsidRDefault="005E1424" w:rsidP="005E1424">
                                  <w:r w:rsidRPr="006E056C">
                                    <w:rPr>
                                      <w:highlight w:val="yellow"/>
                                    </w:rPr>
                                    <w:t>Level 8</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606331" id="Text Box 13" o:spid="_x0000_s1031" type="#_x0000_t202" style="position:absolute;margin-left:2.65pt;margin-top:146.5pt;width:99.75pt;height:371.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" fillcolor="white [3201]" strokeweight=".5pt">
                      <v:textbox>
                        <w:txbxContent>
                          <w:p w:rsidR="005E1424" w:rsidRDefault="005E1424" w:rsidP="005E1424"/>
                          <w:p w:rsidR="005E1424" w:rsidRDefault="005E1424" w:rsidP="005E1424">
                            <w:r w:rsidRPr="006E056C">
                              <w:rPr>
                                <w:highlight w:val="yellow"/>
                              </w:rPr>
                              <w:t>Level 8</w:t>
                            </w:r>
                            <w:r>
                              <w:t xml:space="preserve"> </w:t>
                            </w:r>
                          </w:p>
                        </w:txbxContent>
                      </v:textbox>
                    </v:shape>
                  </w:pict>
                </mc:Fallback>
              </mc:AlternateContent>
            </w:r>
            <w:r>
              <w:rPr>
                <w:noProof/>
                <w:lang w:eastAsia="en-GB"/>
              </w:rPr>
              <w:drawing>
                <wp:inline distT="0" distB="0" distL="0" distR="0" wp14:anchorId="5F40F05A" wp14:editId="59519C43">
                  <wp:extent cx="1343025" cy="16859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43025" cy="1685925"/>
                          </a:xfrm>
                          <a:prstGeom prst="rect">
                            <a:avLst/>
                          </a:prstGeom>
                        </pic:spPr>
                      </pic:pic>
                    </a:graphicData>
                  </a:graphic>
                </wp:inline>
              </w:drawing>
            </w:r>
          </w:p>
        </w:tc>
        <w:tc>
          <w:tcPr>
            <w:tcW w:w="4810" w:type="dxa"/>
          </w:tcPr>
          <w:p w:rsidR="005E1424" w:rsidRDefault="005E1424" w:rsidP="00FE453A">
            <w:r>
              <w:t xml:space="preserve">I completed the family liaison officer course approximately 18 months ago. Unfortunately, in that time I have only been deployed to one family. This case has now been completed. I enjoyed this experience and feel like I performed the role to the best of my ability. I gained a lot of experience and knowledge and feel ready to </w:t>
            </w:r>
            <w:r w:rsidRPr="005B653C">
              <w:t>be deployed again</w:t>
            </w:r>
            <w:r>
              <w:t xml:space="preserve"> so that I can put into practice the skills I learnt. When completing my quarterly </w:t>
            </w:r>
            <w:r w:rsidRPr="00364B3E">
              <w:t>performance development review</w:t>
            </w:r>
            <w:r>
              <w:t xml:space="preserve">, I also requested that I be given further family liaison opportunities and asked that I be considered for the next family that will need a family liaison officer allocated to them. I have since being allocated a family for a historical case. A male was assaulted approximately 10 years ago, the two defendants in the case only received a few months imprisonment. The male victim died two years later and there has been a lengthy investigation in relation to whether the injuries he sustained from the assault led to his death. It has decided that the case will be re-investigated, and I have been allocated as the FLO. This will be a good experience and will involve a different type of learning to the last case I was involved with. I feel that by the time I will need to complete my next </w:t>
            </w:r>
            <w:r w:rsidRPr="00F814D2">
              <w:t>performance development review</w:t>
            </w:r>
            <w:r>
              <w:t xml:space="preserve"> my confidence, ability and knowledge will have increased enormously due to the experience I will have been given.  This goal is realistic and achievable as the FLO deployment has been set for me already. I will be able to measure whether the goal is set by the feedback I received not only from the family but also the SIO and family liaison advisor. </w:t>
            </w:r>
          </w:p>
          <w:p w:rsidR="005E1424" w:rsidRDefault="005E1424" w:rsidP="00FE453A"/>
        </w:tc>
      </w:tr>
    </w:tbl>
    <w:p w:rsidR="005E1424" w:rsidRDefault="005E1424" w:rsidP="003B01D3"/>
    <w:p w:rsidR="003B01D3" w:rsidRDefault="003B01D3" w:rsidP="003B01D3">
      <w:r>
        <w:t xml:space="preserve">  </w:t>
      </w:r>
    </w:p>
    <w:p w:rsidR="003B01D3" w:rsidRDefault="003B01D3" w:rsidP="003B01D3"/>
    <w:p w:rsidR="003B01D3" w:rsidRDefault="003B01D3" w:rsidP="003B01D3">
      <w:r>
        <w:t xml:space="preserve"> </w:t>
      </w:r>
    </w:p>
    <w:p w:rsidR="003B01D3" w:rsidRDefault="003B01D3" w:rsidP="003B01D3"/>
    <w:p w:rsidR="003B01D3" w:rsidRDefault="003B01D3" w:rsidP="003B01D3">
      <w:r>
        <w:t xml:space="preserve">  </w:t>
      </w:r>
    </w:p>
    <w:p w:rsidR="003B01D3" w:rsidRDefault="003B01D3" w:rsidP="003B01D3"/>
    <w:p w:rsidR="003B01D3" w:rsidRDefault="003B01D3" w:rsidP="00B179EE"/>
    <w:sectPr w:rsidR="003B01D3" w:rsidSect="00B179E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79EE" w:rsidRDefault="00B179EE" w:rsidP="00B179EE">
      <w:pPr>
        <w:spacing w:after="0" w:line="240" w:lineRule="auto"/>
      </w:pPr>
      <w:r>
        <w:separator/>
      </w:r>
    </w:p>
  </w:endnote>
  <w:endnote w:type="continuationSeparator" w:id="0">
    <w:p w:rsidR="00B179EE" w:rsidRDefault="00B179EE" w:rsidP="00B17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070" w:rsidRDefault="004E246F" w:rsidP="004E246F">
    <w:pPr>
      <w:pStyle w:val="Footer"/>
      <w:rPr>
        <w:color w:val="000000"/>
        <w:sz w:val="17"/>
      </w:rPr>
    </w:pPr>
    <w:bookmarkStart w:id="3" w:name="TITUS1FooterEvenPages"/>
    <w:r>
      <w:rPr>
        <w:color w:val="000000"/>
        <w:sz w:val="17"/>
      </w:rPr>
      <w:t> </w:t>
    </w:r>
  </w:p>
  <w:bookmarkEnd w:id="3"/>
  <w:p w:rsidR="00673070" w:rsidRDefault="00673070" w:rsidP="00673070">
    <w:pPr>
      <w:pStyle w:val="Footer"/>
    </w:pPr>
  </w:p>
  <w:p w:rsidR="00B179EE" w:rsidRDefault="00B17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79EE" w:rsidRDefault="004E246F" w:rsidP="004E246F">
    <w:pPr>
      <w:pStyle w:val="Footer"/>
      <w:rPr>
        <w:color w:val="000000"/>
        <w:sz w:val="17"/>
      </w:rPr>
    </w:pPr>
    <w:bookmarkStart w:id="4" w:name="TITUS1FooterPrimary"/>
    <w:r>
      <w:rPr>
        <w:color w:val="000000"/>
        <w:sz w:val="17"/>
      </w:rPr>
      <w:t> </w:t>
    </w:r>
  </w:p>
  <w:bookmarkEnd w:id="4"/>
  <w:p w:rsidR="00B179EE" w:rsidRDefault="00B179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79EE" w:rsidRDefault="004E246F" w:rsidP="004E246F">
    <w:pPr>
      <w:pStyle w:val="Footer"/>
      <w:rPr>
        <w:color w:val="000000"/>
        <w:sz w:val="17"/>
      </w:rPr>
    </w:pPr>
    <w:bookmarkStart w:id="6" w:name="TITUS1FooterFirstPage"/>
    <w:r>
      <w:rPr>
        <w:color w:val="000000"/>
        <w:sz w:val="17"/>
      </w:rPr>
      <w:t> </w:t>
    </w:r>
  </w:p>
  <w:bookmarkEnd w:id="6"/>
  <w:p w:rsidR="00B179EE" w:rsidRDefault="00B17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79EE" w:rsidRDefault="00B179EE" w:rsidP="00B179EE">
      <w:pPr>
        <w:spacing w:after="0" w:line="240" w:lineRule="auto"/>
      </w:pPr>
      <w:r>
        <w:separator/>
      </w:r>
    </w:p>
  </w:footnote>
  <w:footnote w:type="continuationSeparator" w:id="0">
    <w:p w:rsidR="00B179EE" w:rsidRDefault="00B179EE" w:rsidP="00B179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070" w:rsidRDefault="004E246F" w:rsidP="004E246F">
    <w:pPr>
      <w:pStyle w:val="Header"/>
      <w:rPr>
        <w:color w:val="000000"/>
        <w:sz w:val="17"/>
      </w:rPr>
    </w:pPr>
    <w:bookmarkStart w:id="1" w:name="TITUS1HeaderEvenPages"/>
    <w:r>
      <w:rPr>
        <w:color w:val="000000"/>
        <w:sz w:val="17"/>
      </w:rPr>
      <w:t> </w:t>
    </w:r>
  </w:p>
  <w:bookmarkEnd w:id="1"/>
  <w:p w:rsidR="00673070" w:rsidRDefault="00673070" w:rsidP="00673070">
    <w:pPr>
      <w:pStyle w:val="Header"/>
    </w:pPr>
  </w:p>
  <w:p w:rsidR="00B179EE" w:rsidRDefault="00B179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79EE" w:rsidRDefault="004E246F" w:rsidP="004E246F">
    <w:pPr>
      <w:pStyle w:val="Header"/>
      <w:rPr>
        <w:color w:val="000000"/>
        <w:sz w:val="17"/>
      </w:rPr>
    </w:pPr>
    <w:bookmarkStart w:id="2" w:name="TITUS1HeaderPrimary"/>
    <w:r>
      <w:rPr>
        <w:color w:val="000000"/>
        <w:sz w:val="17"/>
      </w:rPr>
      <w:t> </w:t>
    </w:r>
  </w:p>
  <w:bookmarkEnd w:id="2"/>
  <w:p w:rsidR="00B179EE" w:rsidRDefault="00B179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79EE" w:rsidRDefault="004E246F" w:rsidP="004E246F">
    <w:pPr>
      <w:pStyle w:val="Header"/>
      <w:rPr>
        <w:color w:val="000000"/>
        <w:sz w:val="17"/>
      </w:rPr>
    </w:pPr>
    <w:bookmarkStart w:id="5" w:name="TITUS1HeaderFirstPage"/>
    <w:r>
      <w:rPr>
        <w:color w:val="000000"/>
        <w:sz w:val="17"/>
      </w:rPr>
      <w:t> </w:t>
    </w:r>
  </w:p>
  <w:bookmarkEnd w:id="5"/>
  <w:p w:rsidR="00B179EE" w:rsidRDefault="00B179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9EE"/>
    <w:rsid w:val="001F13CC"/>
    <w:rsid w:val="00231F8D"/>
    <w:rsid w:val="002A67B4"/>
    <w:rsid w:val="002D1BA7"/>
    <w:rsid w:val="002D5244"/>
    <w:rsid w:val="003313D9"/>
    <w:rsid w:val="00387AE4"/>
    <w:rsid w:val="003B01D3"/>
    <w:rsid w:val="003F4785"/>
    <w:rsid w:val="0040229D"/>
    <w:rsid w:val="004E246F"/>
    <w:rsid w:val="005072AE"/>
    <w:rsid w:val="005C7846"/>
    <w:rsid w:val="005E1424"/>
    <w:rsid w:val="00605767"/>
    <w:rsid w:val="00673070"/>
    <w:rsid w:val="00870BB2"/>
    <w:rsid w:val="00873112"/>
    <w:rsid w:val="008C122A"/>
    <w:rsid w:val="009C2FF8"/>
    <w:rsid w:val="009D3CAC"/>
    <w:rsid w:val="009F353C"/>
    <w:rsid w:val="00A33880"/>
    <w:rsid w:val="00AC2475"/>
    <w:rsid w:val="00B179EE"/>
    <w:rsid w:val="00B201A2"/>
    <w:rsid w:val="00B76807"/>
    <w:rsid w:val="00C82B19"/>
    <w:rsid w:val="00CC5867"/>
    <w:rsid w:val="00D24E3B"/>
    <w:rsid w:val="00DB5363"/>
    <w:rsid w:val="00DD6258"/>
    <w:rsid w:val="00E624D7"/>
    <w:rsid w:val="00EF56F4"/>
    <w:rsid w:val="00F41182"/>
    <w:rsid w:val="00F7589B"/>
    <w:rsid w:val="00F93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A4870"/>
  <w15:chartTrackingRefBased/>
  <w15:docId w15:val="{B2D02BA4-5EE0-45FB-A7B5-045CA4944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EE"/>
  </w:style>
  <w:style w:type="paragraph" w:styleId="Footer">
    <w:name w:val="footer"/>
    <w:basedOn w:val="Normal"/>
    <w:link w:val="FooterChar"/>
    <w:uiPriority w:val="99"/>
    <w:unhideWhenUsed/>
    <w:rsid w:val="00B17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EE"/>
  </w:style>
  <w:style w:type="table" w:styleId="TableGrid">
    <w:name w:val="Table Grid"/>
    <w:basedOn w:val="TableNormal"/>
    <w:uiPriority w:val="39"/>
    <w:rsid w:val="005E1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14490</Words>
  <Characters>82596</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Herbert (2112543)</dc:creator>
  <cp:keywords/>
  <dc:description/>
  <cp:lastModifiedBy>Sara Herbert (2112543)</cp:lastModifiedBy>
  <cp:revision>2</cp:revision>
  <dcterms:created xsi:type="dcterms:W3CDTF">2022-05-07T18:32:00Z</dcterms:created>
  <dcterms:modified xsi:type="dcterms:W3CDTF">2022-05-07T18:32:00Z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c8bc0d1d-7861-47a7-a1eb-405a0e71ca3b</vt:lpwstr>
  </property>
  <property fmtid="{D5CDD505-2E9C-101B-9397-08002B2CF9AE}" pid="3" name="Classification">
    <vt:lpwstr>OFFICIAL</vt:lpwstr>
  </property>
  <property fmtid="{D5CDD505-2E9C-101B-9397-08002B2CF9AE}" pid="4" name="Visibility">
    <vt:lpwstr>NOT VISIBLE</vt:lpwstr>
  </property>
</Properties>
</file>